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3880" w:right="1620" w:hanging="3872"/>
        <w:spacing w:after="0" w:line="224" w:lineRule="auto"/>
        <w:tabs>
          <w:tab w:leader="none" w:pos="462"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30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PRELUDE THERAPEUTICS INCORPORATED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2"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81-1384762</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8"/>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8"/>
              <w:spacing w:after="0"/>
              <w:rPr>
                <w:sz w:val="20"/>
                <w:szCs w:val="20"/>
                <w:color w:val="auto"/>
              </w:rPr>
            </w:pPr>
            <w:r>
              <w:rPr>
                <w:rFonts w:ascii="Arial" w:cs="Arial" w:eastAsia="Arial" w:hAnsi="Arial"/>
                <w:sz w:val="13"/>
                <w:szCs w:val="13"/>
                <w:b w:val="1"/>
                <w:bCs w:val="1"/>
                <w:color w:val="auto"/>
                <w:w w:val="89"/>
              </w:rPr>
              <w:t>Identification No.)</w:t>
            </w:r>
          </w:p>
        </w:tc>
      </w:tr>
      <w:tr>
        <w:trPr>
          <w:trHeight w:val="295"/>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2"/>
              </w:rPr>
              <w:t>200 Powder Mill Road</w:t>
            </w:r>
          </w:p>
        </w:tc>
        <w:tc>
          <w:tcPr>
            <w:tcW w:w="3020" w:type="dxa"/>
            <w:vAlign w:val="bottom"/>
          </w:tcPr>
          <w:p>
            <w:pPr>
              <w:spacing w:after="0"/>
              <w:rPr>
                <w:sz w:val="24"/>
                <w:szCs w:val="24"/>
                <w:color w:val="auto"/>
              </w:rPr>
            </w:pPr>
          </w:p>
        </w:tc>
      </w:tr>
      <w:tr>
        <w:trPr>
          <w:trHeight w:val="216"/>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Wilmington, Delaware</w:t>
            </w:r>
          </w:p>
        </w:tc>
        <w:tc>
          <w:tcPr>
            <w:tcW w:w="3020" w:type="dxa"/>
            <w:vAlign w:val="bottom"/>
          </w:tcPr>
          <w:p>
            <w:pPr>
              <w:jc w:val="right"/>
              <w:ind w:right="208"/>
              <w:spacing w:after="0"/>
              <w:rPr>
                <w:sz w:val="20"/>
                <w:szCs w:val="20"/>
                <w:color w:val="auto"/>
              </w:rPr>
            </w:pPr>
            <w:r>
              <w:rPr>
                <w:rFonts w:ascii="Arial" w:cs="Arial" w:eastAsia="Arial" w:hAnsi="Arial"/>
                <w:sz w:val="16"/>
                <w:szCs w:val="16"/>
                <w:b w:val="1"/>
                <w:bCs w:val="1"/>
                <w:color w:val="auto"/>
              </w:rPr>
              <w:t>19803</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8"/>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PRLD</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47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0" w:firstLine="478"/>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300" w:firstLine="47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jc w:val="both"/>
        <w:ind w:right="100" w:firstLine="47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right="180" w:firstLine="478"/>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As of August 9, 2021, the registrant had 47,093,531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40" w:type="dxa"/>
            <w:vAlign w:val="bottom"/>
            <w:gridSpan w:val="5"/>
          </w:tcPr>
          <w:p>
            <w:pPr>
              <w:ind w:left="4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300" w:type="dxa"/>
            <w:vAlign w:val="bottom"/>
            <w:gridSpan w:val="9"/>
            <w:vMerge w:val="restart"/>
          </w:tcPr>
          <w:p>
            <w:pPr>
              <w:spacing w:after="0"/>
              <w:rPr>
                <w:sz w:val="24"/>
                <w:szCs w:val="24"/>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02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300" w:type="dxa"/>
            <w:vAlign w:val="bottom"/>
            <w:gridSpan w:val="9"/>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Balance Sheets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(Unaudited)</w:t>
              </w:r>
            </w:hyperlink>
          </w:p>
        </w:tc>
        <w:tc>
          <w:tcPr>
            <w:tcW w:w="682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Changes in Convertible Preferred Stock and Stockholder’s Equity (Deficit)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4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Cash Flows (Unaudited)</w:t>
              </w:r>
            </w:hyperlink>
          </w:p>
        </w:tc>
        <w:tc>
          <w:tcPr>
            <w:tcW w:w="2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Interim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520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20" w:type="dxa"/>
            <w:vAlign w:val="bottom"/>
            <w:gridSpan w:val="2"/>
            <w:vMerge w:val="continue"/>
          </w:tcPr>
          <w:p>
            <w:pPr>
              <w:spacing w:after="0"/>
              <w:rPr>
                <w:sz w:val="21"/>
                <w:szCs w:val="21"/>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2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8220" w:type="dxa"/>
            <w:vAlign w:val="bottom"/>
            <w:gridSpan w:val="13"/>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Defaults Upon Senior Securities</w:t>
              </w:r>
            </w:hyperlink>
          </w:p>
        </w:tc>
        <w:tc>
          <w:tcPr>
            <w:tcW w:w="522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724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8"/>
                <w:szCs w:val="18"/>
                <w:color w:val="auto"/>
              </w:rPr>
            </w:pPr>
          </w:p>
        </w:tc>
        <w:tc>
          <w:tcPr>
            <w:tcW w:w="780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32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343,119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344,575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32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349,581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6,844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14,677</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15,220</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(Note 7)</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Voting common stock, $0.0001 par value: 487,149,741 shares authorized; 35,636,695 and</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32,595,301 shares issued and outstanding at June 30, 2021 and December 31, 2020, respectively</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w w:val="98"/>
              </w:rPr>
              <w:t>Non-voting common stock, $0.0001 par value; 12,850,259 shares authorized; 11,402,037 and</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w w:val="93"/>
              </w:rPr>
              <w:t>11,110,371 shares issued and outstanding at June 30, 2021 and December 31, 2020, respectively</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489,947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(155,591)</w:t>
            </w:r>
          </w:p>
        </w:tc>
        <w:tc>
          <w:tcPr>
            <w:tcW w:w="2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(107,426)</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334,361</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349,581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00" w:type="dxa"/>
            <w:vAlign w:val="bottom"/>
            <w:tcBorders>
              <w:bottom w:val="single" w:sz="8" w:color="CFF0FC"/>
            </w:tcBorders>
            <w:vMerge w:val="continue"/>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22,409</w:t>
            </w:r>
          </w:p>
        </w:tc>
        <w:tc>
          <w:tcPr>
            <w:tcW w:w="2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9,776</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38,879</w:t>
            </w:r>
          </w:p>
        </w:tc>
        <w:tc>
          <w:tcPr>
            <w:tcW w:w="160" w:type="dxa"/>
            <w:vAlign w:val="bottom"/>
          </w:tcPr>
          <w:p>
            <w:pPr>
              <w:spacing w:after="0"/>
              <w:rPr>
                <w:sz w:val="19"/>
                <w:szCs w:val="19"/>
                <w:color w:val="auto"/>
              </w:rPr>
            </w:pP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(26,865)</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Per share information:</w:t>
            </w: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9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(0.58)</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(5.50)</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w:t>
            </w:r>
          </w:p>
        </w:tc>
        <w:tc>
          <w:tcPr>
            <w:tcW w:w="7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46,057,112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2,074,108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45,592,117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1,964,403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5"/>
              </w:rPr>
              <w:t>Stockholders’ equity</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Voting common 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7"/>
          </w:tcPr>
          <w:p>
            <w:pPr>
              <w:jc w:val="right"/>
              <w:ind w:right="404"/>
              <w:spacing w:after="0" w:line="133" w:lineRule="exact"/>
              <w:rPr>
                <w:sz w:val="20"/>
                <w:szCs w:val="20"/>
                <w:color w:val="auto"/>
              </w:rPr>
            </w:pPr>
            <w:r>
              <w:rPr>
                <w:rFonts w:ascii="Arial" w:cs="Arial" w:eastAsia="Arial" w:hAnsi="Arial"/>
                <w:sz w:val="14"/>
                <w:szCs w:val="14"/>
                <w:b w:val="1"/>
                <w:bCs w:val="1"/>
                <w:color w:val="auto"/>
              </w:rPr>
              <w:t>Non-voting common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0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1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8"/>
              </w:rPr>
              <w:t>stock</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86"/>
              <w:spacing w:after="0"/>
              <w:rPr>
                <w:sz w:val="20"/>
                <w:szCs w:val="20"/>
                <w:color w:val="auto"/>
              </w:rPr>
            </w:pPr>
            <w:r>
              <w:rPr>
                <w:rFonts w:ascii="Arial" w:cs="Arial" w:eastAsia="Arial" w:hAnsi="Arial"/>
                <w:sz w:val="14"/>
                <w:szCs w:val="14"/>
                <w:b w:val="1"/>
                <w:bCs w:val="1"/>
                <w:color w:val="auto"/>
                <w:w w:val="95"/>
              </w:rPr>
              <w:t>paid-in</w:t>
            </w:r>
          </w:p>
        </w:tc>
        <w:tc>
          <w:tcPr>
            <w:tcW w:w="2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except shares)</w:t>
            </w:r>
          </w:p>
        </w:tc>
        <w:tc>
          <w:tcPr>
            <w:tcW w:w="6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3"/>
          </w:tcPr>
          <w:p>
            <w:pPr>
              <w:jc w:val="right"/>
              <w:ind w:right="223"/>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184"/>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right="106"/>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gridSpan w:val="3"/>
          </w:tcPr>
          <w:p>
            <w:pPr>
              <w:jc w:val="center"/>
              <w:ind w:left="163"/>
              <w:spacing w:after="0" w:line="155" w:lineRule="exact"/>
              <w:rPr>
                <w:sz w:val="20"/>
                <w:szCs w:val="20"/>
                <w:color w:val="auto"/>
              </w:rPr>
            </w:pPr>
            <w:r>
              <w:rPr>
                <w:rFonts w:ascii="Arial" w:cs="Arial" w:eastAsia="Arial" w:hAnsi="Arial"/>
                <w:sz w:val="14"/>
                <w:szCs w:val="14"/>
                <w:b w:val="1"/>
                <w:bCs w:val="1"/>
                <w:color w:val="auto"/>
                <w:w w:val="92"/>
              </w:rPr>
              <w:t>deficit</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04"/>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January 1, 2021</w:t>
            </w: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32,595,301</w:t>
            </w:r>
          </w:p>
        </w:tc>
        <w:tc>
          <w:tcPr>
            <w:tcW w:w="20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11,110,371</w:t>
            </w:r>
          </w:p>
        </w:tc>
        <w:tc>
          <w:tcPr>
            <w:tcW w:w="300" w:type="dxa"/>
            <w:vAlign w:val="bottom"/>
            <w:gridSpan w:val="3"/>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w:t>
            </w:r>
          </w:p>
        </w:tc>
        <w:tc>
          <w:tcPr>
            <w:tcW w:w="3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319,605</w:t>
            </w:r>
          </w:p>
        </w:tc>
        <w:tc>
          <w:tcPr>
            <w:tcW w:w="620" w:type="dxa"/>
            <w:vAlign w:val="bottom"/>
            <w:gridSpan w:val="2"/>
            <w:shd w:val="clear" w:color="auto" w:fill="CFF0FC"/>
          </w:tcPr>
          <w:p>
            <w:pPr>
              <w:jc w:val="right"/>
              <w:ind w:right="263"/>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4"/>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w w:val="99"/>
              </w:rPr>
              <w:t>(107,426)</w:t>
            </w:r>
          </w:p>
        </w:tc>
        <w:tc>
          <w:tcPr>
            <w:tcW w:w="320" w:type="dxa"/>
            <w:vAlign w:val="bottom"/>
            <w:gridSpan w:val="2"/>
            <w:shd w:val="clear" w:color="auto" w:fill="CFF0FC"/>
          </w:tcPr>
          <w:p>
            <w:pPr>
              <w:jc w:val="right"/>
              <w:ind w:right="99"/>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212,183</w:t>
            </w:r>
          </w:p>
        </w:tc>
        <w:tc>
          <w:tcPr>
            <w:tcW w:w="1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4"/>
              </w:rPr>
              <w:t>210,274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386</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Sale of common stock,</w:t>
            </w: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net of offering costs of $739</w:t>
            </w: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2,583,334</w:t>
            </w:r>
          </w:p>
        </w:tc>
        <w:tc>
          <w:tcPr>
            <w:tcW w:w="2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291,666</w:t>
            </w:r>
          </w:p>
        </w:tc>
        <w:tc>
          <w:tcPr>
            <w:tcW w:w="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161,411</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161,412</w:t>
            </w:r>
          </w:p>
        </w:tc>
        <w:tc>
          <w:tcPr>
            <w:tcW w:w="10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Stock-based compensation</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20"/>
              <w:spacing w:after="0"/>
              <w:rPr>
                <w:sz w:val="20"/>
                <w:szCs w:val="20"/>
                <w:color w:val="auto"/>
              </w:rPr>
            </w:pPr>
            <w:r>
              <w:rPr>
                <w:rFonts w:ascii="Arial" w:cs="Arial" w:eastAsia="Arial" w:hAnsi="Arial"/>
                <w:sz w:val="15"/>
                <w:szCs w:val="15"/>
                <w:color w:val="auto"/>
              </w:rPr>
              <w:t>expense</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39"/>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3,886</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3,886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20" w:type="dxa"/>
            <w:vAlign w:val="bottom"/>
            <w:gridSpan w:val="4"/>
            <w:shd w:val="clear" w:color="auto" w:fill="CFF0FC"/>
          </w:tcPr>
          <w:p>
            <w:pPr>
              <w:jc w:val="right"/>
              <w:ind w:right="60"/>
              <w:spacing w:after="0"/>
              <w:rPr>
                <w:sz w:val="20"/>
                <w:szCs w:val="20"/>
                <w:color w:val="auto"/>
              </w:rPr>
            </w:pPr>
            <w:r>
              <w:rPr>
                <w:rFonts w:ascii="Arial" w:cs="Arial" w:eastAsia="Arial" w:hAnsi="Arial"/>
                <w:sz w:val="15"/>
                <w:szCs w:val="15"/>
                <w:color w:val="auto"/>
              </w:rPr>
              <w:t>(21,300)</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(21,300)</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5"/>
                <w:szCs w:val="15"/>
                <w:b w:val="1"/>
                <w:bCs w:val="1"/>
                <w:color w:val="auto"/>
              </w:rPr>
              <w:t>Balance at March 31, 2021</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35,388,909</w:t>
            </w:r>
          </w:p>
        </w:tc>
        <w:tc>
          <w:tcPr>
            <w:tcW w:w="200" w:type="dxa"/>
            <w:vAlign w:val="bottom"/>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11,402,037</w:t>
            </w:r>
          </w:p>
        </w:tc>
        <w:tc>
          <w:tcPr>
            <w:tcW w:w="30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w:t>
            </w:r>
          </w:p>
        </w:tc>
        <w:tc>
          <w:tcPr>
            <w:tcW w:w="3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485,288</w:t>
            </w:r>
          </w:p>
        </w:tc>
        <w:tc>
          <w:tcPr>
            <w:tcW w:w="620" w:type="dxa"/>
            <w:vAlign w:val="bottom"/>
            <w:gridSpan w:val="2"/>
          </w:tcPr>
          <w:p>
            <w:pPr>
              <w:jc w:val="right"/>
              <w:ind w:right="263"/>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4"/>
          </w:tcPr>
          <w:p>
            <w:pPr>
              <w:jc w:val="right"/>
              <w:ind w:right="60"/>
              <w:spacing w:after="0" w:line="169" w:lineRule="exact"/>
              <w:rPr>
                <w:sz w:val="20"/>
                <w:szCs w:val="20"/>
                <w:color w:val="auto"/>
              </w:rPr>
            </w:pPr>
            <w:r>
              <w:rPr>
                <w:rFonts w:ascii="Arial" w:cs="Arial" w:eastAsia="Arial" w:hAnsi="Arial"/>
                <w:sz w:val="15"/>
                <w:szCs w:val="15"/>
                <w:color w:val="auto"/>
                <w:w w:val="99"/>
              </w:rPr>
              <w:t>(128,726)</w:t>
            </w:r>
          </w:p>
        </w:tc>
        <w:tc>
          <w:tcPr>
            <w:tcW w:w="320" w:type="dxa"/>
            <w:vAlign w:val="bottom"/>
            <w:gridSpan w:val="2"/>
          </w:tcPr>
          <w:p>
            <w:pPr>
              <w:jc w:val="right"/>
              <w:ind w:right="99"/>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356,567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spacing w:after="0"/>
              <w:rPr>
                <w:sz w:val="20"/>
                <w:szCs w:val="20"/>
                <w:color w:val="auto"/>
              </w:rPr>
            </w:pPr>
            <w:r>
              <w:rPr>
                <w:rFonts w:ascii="Arial" w:cs="Arial" w:eastAsia="Arial" w:hAnsi="Arial"/>
                <w:sz w:val="15"/>
                <w:szCs w:val="15"/>
                <w:color w:val="auto"/>
              </w:rPr>
              <w:t>Exercise of stock options</w:t>
            </w: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4"/>
              </w:rPr>
              <w:t>247,786</w:t>
            </w:r>
          </w:p>
        </w:tc>
        <w:tc>
          <w:tcPr>
            <w:tcW w:w="2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422</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422</w:t>
            </w:r>
          </w:p>
        </w:tc>
        <w:tc>
          <w:tcPr>
            <w:tcW w:w="10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Stock-based compensation</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120"/>
              <w:spacing w:after="0"/>
              <w:rPr>
                <w:sz w:val="20"/>
                <w:szCs w:val="20"/>
                <w:color w:val="auto"/>
              </w:rPr>
            </w:pPr>
            <w:r>
              <w:rPr>
                <w:rFonts w:ascii="Arial" w:cs="Arial" w:eastAsia="Arial" w:hAnsi="Arial"/>
                <w:sz w:val="15"/>
                <w:szCs w:val="15"/>
                <w:color w:val="auto"/>
              </w:rPr>
              <w:t>expense</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39"/>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4,237</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4,237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20" w:type="dxa"/>
            <w:vAlign w:val="bottom"/>
            <w:gridSpan w:val="4"/>
            <w:shd w:val="clear" w:color="auto" w:fill="CFF0FC"/>
          </w:tcPr>
          <w:p>
            <w:pPr>
              <w:jc w:val="right"/>
              <w:ind w:right="60"/>
              <w:spacing w:after="0"/>
              <w:rPr>
                <w:sz w:val="20"/>
                <w:szCs w:val="20"/>
                <w:color w:val="auto"/>
              </w:rPr>
            </w:pPr>
            <w:r>
              <w:rPr>
                <w:rFonts w:ascii="Arial" w:cs="Arial" w:eastAsia="Arial" w:hAnsi="Arial"/>
                <w:sz w:val="15"/>
                <w:szCs w:val="15"/>
                <w:color w:val="auto"/>
              </w:rPr>
              <w:t>(26,865)</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(26,865)</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5"/>
                <w:szCs w:val="15"/>
                <w:b w:val="1"/>
                <w:bCs w:val="1"/>
                <w:color w:val="auto"/>
              </w:rPr>
              <w:t>Balance at June 30, 2021</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35,636,695</w:t>
            </w:r>
          </w:p>
        </w:tc>
        <w:tc>
          <w:tcPr>
            <w:tcW w:w="200" w:type="dxa"/>
            <w:vAlign w:val="bottom"/>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11,402,037</w:t>
            </w:r>
          </w:p>
        </w:tc>
        <w:tc>
          <w:tcPr>
            <w:tcW w:w="300" w:type="dxa"/>
            <w:vAlign w:val="bottom"/>
            <w:gridSpan w:val="3"/>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w:t>
            </w:r>
          </w:p>
        </w:tc>
        <w:tc>
          <w:tcPr>
            <w:tcW w:w="3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489,947</w:t>
            </w:r>
          </w:p>
        </w:tc>
        <w:tc>
          <w:tcPr>
            <w:tcW w:w="620" w:type="dxa"/>
            <w:vAlign w:val="bottom"/>
            <w:gridSpan w:val="2"/>
          </w:tcPr>
          <w:p>
            <w:pPr>
              <w:jc w:val="right"/>
              <w:ind w:right="263"/>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4"/>
          </w:tcPr>
          <w:p>
            <w:pPr>
              <w:jc w:val="right"/>
              <w:ind w:right="60"/>
              <w:spacing w:after="0" w:line="169" w:lineRule="exact"/>
              <w:rPr>
                <w:sz w:val="20"/>
                <w:szCs w:val="20"/>
                <w:color w:val="auto"/>
              </w:rPr>
            </w:pPr>
            <w:r>
              <w:rPr>
                <w:rFonts w:ascii="Arial" w:cs="Arial" w:eastAsia="Arial" w:hAnsi="Arial"/>
                <w:sz w:val="15"/>
                <w:szCs w:val="15"/>
                <w:color w:val="auto"/>
                <w:w w:val="99"/>
              </w:rPr>
              <w:t>(155,591)</w:t>
            </w:r>
          </w:p>
        </w:tc>
        <w:tc>
          <w:tcPr>
            <w:tcW w:w="320" w:type="dxa"/>
            <w:vAlign w:val="bottom"/>
            <w:gridSpan w:val="2"/>
          </w:tcPr>
          <w:p>
            <w:pPr>
              <w:jc w:val="right"/>
              <w:ind w:right="99"/>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334,361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7"/>
            <w:vMerge w:val="restart"/>
          </w:tcPr>
          <w:p>
            <w:pPr>
              <w:ind w:left="340"/>
              <w:spacing w:after="0"/>
              <w:rPr>
                <w:sz w:val="20"/>
                <w:szCs w:val="20"/>
                <w:color w:val="auto"/>
              </w:rPr>
            </w:pPr>
            <w:r>
              <w:rPr>
                <w:rFonts w:ascii="Arial" w:cs="Arial" w:eastAsia="Arial" w:hAnsi="Arial"/>
                <w:sz w:val="14"/>
                <w:szCs w:val="14"/>
                <w:b w:val="1"/>
                <w:bCs w:val="1"/>
                <w:color w:val="auto"/>
              </w:rPr>
              <w:t>Stockholders’ deficit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7"/>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7"/>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5"/>
            <w:vMerge w:val="restart"/>
          </w:tcPr>
          <w:p>
            <w:pPr>
              <w:jc w:val="right"/>
              <w:ind w:right="599"/>
              <w:spacing w:after="0"/>
              <w:rPr>
                <w:sz w:val="20"/>
                <w:szCs w:val="20"/>
                <w:color w:val="auto"/>
              </w:rPr>
            </w:pPr>
            <w:r>
              <w:rPr>
                <w:rFonts w:ascii="Arial" w:cs="Arial" w:eastAsia="Arial" w:hAnsi="Arial"/>
                <w:sz w:val="14"/>
                <w:szCs w:val="14"/>
                <w:b w:val="1"/>
                <w:bCs w:val="1"/>
                <w:color w:val="auto"/>
                <w:w w:val="92"/>
              </w:rPr>
              <w:t>Series A</w:t>
            </w:r>
          </w:p>
        </w:tc>
        <w:tc>
          <w:tcPr>
            <w:tcW w:w="200" w:type="dxa"/>
            <w:vAlign w:val="bottom"/>
          </w:tcPr>
          <w:p>
            <w:pPr>
              <w:spacing w:after="0"/>
              <w:rPr>
                <w:sz w:val="11"/>
                <w:szCs w:val="11"/>
                <w:color w:val="auto"/>
              </w:rPr>
            </w:pPr>
          </w:p>
        </w:tc>
        <w:tc>
          <w:tcPr>
            <w:tcW w:w="120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Series B</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9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gridSpan w:val="5"/>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9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except shares)</w:t>
            </w:r>
          </w:p>
        </w:tc>
        <w:tc>
          <w:tcPr>
            <w:tcW w:w="86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79"/>
              <w:spacing w:after="0" w:line="155"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123"/>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4"/>
          </w:tcPr>
          <w:p>
            <w:pPr>
              <w:jc w:val="right"/>
              <w:ind w:right="159"/>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11,736,119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36,595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7,628,846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29,848</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3,161,653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jc w:val="center"/>
              <w:ind w:left="182"/>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1,085</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(50,497)</w:t>
            </w:r>
          </w:p>
        </w:tc>
        <w:tc>
          <w:tcPr>
            <w:tcW w:w="82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 (49,412)</w:t>
            </w:r>
          </w:p>
        </w:tc>
        <w:tc>
          <w:tcPr>
            <w:tcW w:w="0" w:type="dxa"/>
            <w:vAlign w:val="bottom"/>
          </w:tcPr>
          <w:p>
            <w:pPr>
              <w:spacing w:after="0"/>
              <w:rPr>
                <w:sz w:val="1"/>
                <w:szCs w:val="1"/>
                <w:color w:val="auto"/>
              </w:rPr>
            </w:pPr>
          </w:p>
        </w:tc>
      </w:t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Sale of Series B convertible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color w:val="auto"/>
              </w:rPr>
              <w:t>preferred stock, net of</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120"/>
              <w:spacing w:after="0"/>
              <w:rPr>
                <w:sz w:val="20"/>
                <w:szCs w:val="20"/>
                <w:color w:val="auto"/>
              </w:rPr>
            </w:pPr>
            <w:r>
              <w:rPr>
                <w:rFonts w:ascii="Arial" w:cs="Arial" w:eastAsia="Arial" w:hAnsi="Arial"/>
                <w:sz w:val="16"/>
                <w:szCs w:val="16"/>
                <w:color w:val="auto"/>
              </w:rPr>
              <w:t>offering costs of $152</w:t>
            </w: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7,628,846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29,942</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center"/>
              <w:ind w:left="18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expense, including issuance</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of RSAs</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432,301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jc w:val="center"/>
              <w:ind w:left="18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6"/>
                <w:szCs w:val="16"/>
                <w:color w:val="auto"/>
              </w:rPr>
              <w:t>Net loss</w:t>
            </w: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center"/>
              <w:ind w:left="18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6"/>
                <w:szCs w:val="16"/>
                <w:color w:val="auto"/>
              </w:rPr>
              <w:t>(9,511)</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8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vMerge w:val="continue"/>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11,736,119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36,595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15,257,692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59,790</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3,593,954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jc w:val="center"/>
              <w:ind w:left="182"/>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(60,008)</w:t>
            </w:r>
          </w:p>
        </w:tc>
        <w:tc>
          <w:tcPr>
            <w:tcW w:w="82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 (58,561)</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center"/>
              <w:ind w:left="18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expense</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8"/>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jc w:val="center"/>
              <w:ind w:left="18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6"/>
                <w:szCs w:val="16"/>
                <w:color w:val="auto"/>
              </w:rPr>
              <w:t>Net loss</w:t>
            </w: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center"/>
              <w:ind w:left="18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6"/>
                <w:szCs w:val="16"/>
                <w:color w:val="auto"/>
              </w:rPr>
              <w:t>(11,408)</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(11,408)</w:t>
            </w: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June 30, 2020</w:t>
            </w:r>
          </w:p>
        </w:tc>
        <w:tc>
          <w:tcPr>
            <w:tcW w:w="8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vMerge w:val="continue"/>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11,736,119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36,595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15,257,692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59,790</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3,630,699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jc w:val="center"/>
              <w:ind w:left="182"/>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2,105</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(71,416)</w:t>
            </w:r>
          </w:p>
        </w:tc>
        <w:tc>
          <w:tcPr>
            <w:tcW w:w="82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 (69,311)</w:t>
            </w: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6980" w:type="dxa"/>
            <w:vAlign w:val="bottom"/>
            <w:tcBorders>
              <w:bottom w:val="single" w:sz="8" w:color="CFF0FC"/>
            </w:tcBorders>
            <w:vMerge w:val="continue"/>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operating activities: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(48,165)</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(20,919)</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(36,055)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flows provided by financing activities: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sale of common stock, net of offering costs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161,424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Proceeds from the sale of Series B convertible preferred stock, net of offering costs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capital lease obligation</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the exercise of stock options</w:t>
            </w:r>
          </w:p>
        </w:tc>
        <w:tc>
          <w:tcPr>
            <w:tcW w:w="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162,232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124,810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343,119</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60"/>
              <w:spacing w:after="0"/>
              <w:rPr>
                <w:sz w:val="20"/>
                <w:szCs w:val="20"/>
                <w:color w:val="auto"/>
              </w:rPr>
            </w:pPr>
            <w:r>
              <w:rPr>
                <w:rFonts w:ascii="Arial" w:cs="Arial" w:eastAsia="Arial" w:hAnsi="Arial"/>
                <w:sz w:val="18"/>
                <w:szCs w:val="18"/>
                <w:color w:val="auto"/>
              </w:rPr>
              <w:t>Property and equipment in accounts payable</w:t>
            </w:r>
          </w:p>
        </w:tc>
        <w:tc>
          <w:tcPr>
            <w:tcW w:w="11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23"/>
                <w:szCs w:val="23"/>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Offering costs in accounts payable</w:t>
            </w: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260"/>
              <w:spacing w:after="0"/>
              <w:rPr>
                <w:sz w:val="20"/>
                <w:szCs w:val="20"/>
                <w:color w:val="auto"/>
              </w:rPr>
            </w:pPr>
            <w:r>
              <w:rPr>
                <w:rFonts w:ascii="Arial" w:cs="Arial" w:eastAsia="Arial" w:hAnsi="Arial"/>
                <w:sz w:val="18"/>
                <w:szCs w:val="18"/>
                <w:color w:val="auto"/>
              </w:rPr>
              <w:t>Offering costs in accrued expenses and other current liabilities</w:t>
            </w:r>
          </w:p>
        </w:tc>
        <w:tc>
          <w:tcPr>
            <w:tcW w:w="11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121"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Prelude Therapeutics Incorporated (the “Company”) was incorporated in Delaware on February 5, 2016 and is a clinical-stage precision oncology company focused on discovering and developing small molecule therapies optimized to target the key driver mechanisms in cancers with high unmet need. Since beginning operations, the Company has devoted substantially all its efforts to research and development, conducting preclinical and clinical studies, recruiting management and technical staff, administration, and raising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right="40" w:firstLine="478"/>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jc w:val="both"/>
        <w:ind w:right="40" w:firstLine="478"/>
        <w:spacing w:after="0" w:line="263" w:lineRule="auto"/>
        <w:rPr>
          <w:sz w:val="20"/>
          <w:szCs w:val="20"/>
          <w:color w:val="auto"/>
        </w:rPr>
      </w:pPr>
      <w:r>
        <w:rPr>
          <w:rFonts w:ascii="Arial" w:cs="Arial" w:eastAsia="Arial" w:hAnsi="Arial"/>
          <w:sz w:val="18"/>
          <w:szCs w:val="18"/>
          <w:color w:val="auto"/>
        </w:rPr>
        <w:t>Since its inception, the Company has incurred operating losses and has an accumulated deficit of $155.6 million at June 30, 2021.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84" w:lineRule="exact"/>
        <w:rPr>
          <w:sz w:val="20"/>
          <w:szCs w:val="20"/>
          <w:color w:val="auto"/>
        </w:rPr>
      </w:pPr>
    </w:p>
    <w:p>
      <w:pPr>
        <w:jc w:val="both"/>
        <w:ind w:right="20" w:firstLine="478"/>
        <w:spacing w:after="0" w:line="277" w:lineRule="auto"/>
        <w:rPr>
          <w:sz w:val="20"/>
          <w:szCs w:val="20"/>
          <w:color w:val="auto"/>
        </w:rPr>
      </w:pPr>
      <w:r>
        <w:rPr>
          <w:rFonts w:ascii="Arial" w:cs="Arial" w:eastAsia="Arial" w:hAnsi="Arial"/>
          <w:sz w:val="18"/>
          <w:szCs w:val="18"/>
          <w:color w:val="auto"/>
        </w:rPr>
        <w:t>The Company believes that its cash and cash equivalents as of June 30, 2021 will be sufficient to fund its operating expenses and capital expenditure requirements into mid-2023.</w:t>
      </w:r>
    </w:p>
    <w:p>
      <w:pPr>
        <w:spacing w:after="0" w:line="170" w:lineRule="exact"/>
        <w:rPr>
          <w:sz w:val="20"/>
          <w:szCs w:val="20"/>
          <w:color w:val="auto"/>
        </w:rPr>
      </w:pPr>
    </w:p>
    <w:p>
      <w:pPr>
        <w:ind w:right="100" w:firstLine="478"/>
        <w:spacing w:after="0" w:line="273" w:lineRule="auto"/>
        <w:rPr>
          <w:sz w:val="20"/>
          <w:szCs w:val="20"/>
          <w:color w:val="auto"/>
        </w:rPr>
      </w:pPr>
      <w:r>
        <w:rPr>
          <w:rFonts w:ascii="Arial" w:cs="Arial" w:eastAsia="Arial" w:hAnsi="Arial"/>
          <w:sz w:val="17"/>
          <w:szCs w:val="17"/>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78"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On March 10, 2020, the World Health Organization characterized the novel COVID-19 virus as a global pandemic. There is significant uncertainty as to the likely effects of this disease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jc w:val="both"/>
        <w:ind w:right="60" w:firstLine="478"/>
        <w:spacing w:after="0" w:line="263" w:lineRule="auto"/>
        <w:rPr>
          <w:sz w:val="20"/>
          <w:szCs w:val="20"/>
          <w:color w:val="auto"/>
        </w:rPr>
      </w:pPr>
      <w:r>
        <w:rPr>
          <w:rFonts w:ascii="Arial" w:cs="Arial" w:eastAsia="Arial" w:hAnsi="Arial"/>
          <w:sz w:val="18"/>
          <w:szCs w:val="18"/>
          <w:color w:val="auto"/>
        </w:rPr>
        <w:t>The summary of significant accounting policies included in the Company’s financial statements for the year ended December 31, 2020 can be found in “Note 3. Summary of significant accounting policies” of the Company’s Form 10-K filed with the Securities and Exchange Commission (the “SEC”) on March 16, 2021. Those policies have not materially changed, except as set forth below.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78"/>
        <w:spacing w:after="0" w:line="290" w:lineRule="auto"/>
        <w:rPr>
          <w:sz w:val="20"/>
          <w:szCs w:val="20"/>
          <w:color w:val="auto"/>
        </w:rPr>
      </w:pPr>
      <w:r>
        <w:rPr>
          <w:rFonts w:ascii="Arial" w:cs="Arial" w:eastAsia="Arial" w:hAnsi="Arial"/>
          <w:sz w:val="16"/>
          <w:szCs w:val="16"/>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six month periods ended June 30, 2021 are not necessarily indicative of the results that may be expected for the year ending December 31, 2021. The accompanying unaudited interim financial statements should be read in conjunction with the annual audited financial statements and related notes as of and for the year ended December 31, 2020 found in the Form 10-K filed with the SEC on March 16, 2021. Any reference in these notes to applicable guidance is meant to refer to GAAP as found in the Accounting Standards Codification (“ASC”) and Accounting Standards Updates (“ASU”) of the Financial Accounting Standards Board (“FASB”).</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260" w:firstLine="478"/>
        <w:spacing w:after="0" w:line="311"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49" w:lineRule="exact"/>
        <w:rPr>
          <w:sz w:val="20"/>
          <w:szCs w:val="20"/>
          <w:color w:val="auto"/>
        </w:rPr>
      </w:pPr>
    </w:p>
    <w:p>
      <w:pPr>
        <w:ind w:right="220" w:firstLine="478"/>
        <w:spacing w:after="0" w:line="308" w:lineRule="auto"/>
        <w:rPr>
          <w:sz w:val="20"/>
          <w:szCs w:val="20"/>
          <w:color w:val="auto"/>
        </w:rPr>
      </w:pPr>
      <w:r>
        <w:rPr>
          <w:rFonts w:ascii="Arial" w:cs="Arial" w:eastAsia="Arial" w:hAnsi="Arial"/>
          <w:sz w:val="17"/>
          <w:szCs w:val="17"/>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78"/>
        <w:spacing w:after="0" w:line="263" w:lineRule="auto"/>
        <w:rPr>
          <w:sz w:val="20"/>
          <w:szCs w:val="20"/>
          <w:color w:val="auto"/>
        </w:rPr>
      </w:pPr>
      <w:r>
        <w:rPr>
          <w:rFonts w:ascii="Arial" w:cs="Arial" w:eastAsia="Arial" w:hAnsi="Arial"/>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June 30, 2021 and December 31, 2020.</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478"/>
        <w:spacing w:after="0" w:line="269" w:lineRule="auto"/>
        <w:rPr>
          <w:sz w:val="20"/>
          <w:szCs w:val="20"/>
          <w:color w:val="auto"/>
        </w:rPr>
      </w:pPr>
      <w:r>
        <w:rPr>
          <w:rFonts w:ascii="Arial" w:cs="Arial" w:eastAsia="Arial" w:hAnsi="Arial"/>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stock options and convertible preferred stock, and the effect from unvested restricted stock awards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185" w:lineRule="exact"/>
        <w:rPr>
          <w:sz w:val="20"/>
          <w:szCs w:val="20"/>
          <w:color w:val="auto"/>
        </w:rPr>
      </w:pPr>
    </w:p>
    <w:p>
      <w:pPr>
        <w:ind w:right="680" w:firstLine="47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A convertible preferred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11,736,119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15,257,692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awards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841,965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1,409,250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6,769,438</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3,578,863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7,636,403</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31,981,924</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right="160" w:firstLine="478"/>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On January 1, 2021, the Company adopted ASC 842 issued by the FASB in February 2016, which was subsequently supplemented by clarifying guidance to improve financial reporting of leasing transactions. The new lease accounting guidance requires lessees to recognize lease liabilities and right-of-use assets on the balance sheet for all leases with initial terms longer than 12 months and provides enhanced disclosures on key information of leasing arrangements.</w:t>
      </w:r>
    </w:p>
    <w:p>
      <w:pPr>
        <w:spacing w:after="0" w:line="227" w:lineRule="exact"/>
        <w:rPr>
          <w:sz w:val="20"/>
          <w:szCs w:val="20"/>
          <w:color w:val="auto"/>
        </w:rPr>
      </w:pPr>
    </w:p>
    <w:p>
      <w:pPr>
        <w:ind w:firstLine="478"/>
        <w:spacing w:after="0" w:line="291" w:lineRule="auto"/>
        <w:rPr>
          <w:sz w:val="20"/>
          <w:szCs w:val="20"/>
          <w:color w:val="auto"/>
        </w:rPr>
      </w:pPr>
      <w:r>
        <w:rPr>
          <w:rFonts w:ascii="Arial" w:cs="Arial" w:eastAsia="Arial" w:hAnsi="Arial"/>
          <w:sz w:val="16"/>
          <w:szCs w:val="16"/>
          <w:color w:val="auto"/>
        </w:rPr>
        <w:t>The Company adopted the new standard using the modified retrospective transition method utilizing the optional transition method and elected the package of practical expedients. Accordingly, prior periods were not restated to reflect the adopted standard. In accordance with the guidance in ASC 842, components of a lease should be split into three categories: lease components (e.g., land, building, etc.), non-lease components (e.g., common area maintenance, maintenance, consumables, etc.), and non-components (e.g., property taxes, insurance, etc.). The Company has elected the practical expedient to account for the lease and non-lease components of each of its operating leases as a single lease component and allocate all of the contract consideration to the lease component only. Upon adoption, the Company recorded a right of use asset of $2.5 million and corresponding operating lease liabilities of $2.5 million, with an offset to accrued expenses and other current liabilities of approximately $64,000 to eliminate deferred rent on the balance sheets.</w:t>
      </w:r>
    </w:p>
    <w:p>
      <w:pPr>
        <w:spacing w:after="0" w:line="193"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At lease commencement, the Company records a lease liability based on the present value of lease payments over the expected lease term including any options to extend the lease that the Company is reasonably certain to exercise. The Company calculates the present value of lease payments using an incremental borrowing rate as the Company’s leases do not provide an implicit interest rate. The Company’s incremental borrowing rate for a lease is the rate of interest it would have to pay on a collateralized basis to borrow an amount equal to the lease payments under similar terms. At the lease commencement date, the Company records a corresponding right-of-use lease asset based on the lease liability, adjusted for any lease incentives received and any initial direct costs paid to the lessor prior to the lease commencement date. The Company may enter into leases with an initial term of 12 months or less (“Short-Term Leases”). For Short-Term Leases, the Company records the rent expense on a straight-line basis and does not record the leases on the balance sheet. The Company entered into a short-term lease in June 2021 and elected the short-term lease exemption that allows the Company to record the rent expense on a straight-line basis and does not require the recognition of a right-of-use asset or corresponding operating lease liability. Refer to Note 7 for the Company’s lease disclosures.</w:t>
      </w:r>
    </w:p>
    <w:p>
      <w:pPr>
        <w:spacing w:after="0" w:line="185" w:lineRule="exact"/>
        <w:rPr>
          <w:sz w:val="20"/>
          <w:szCs w:val="20"/>
          <w:color w:val="auto"/>
        </w:rPr>
      </w:pPr>
    </w:p>
    <w:p>
      <w:pPr>
        <w:ind w:right="60" w:firstLine="478"/>
        <w:spacing w:after="0" w:line="275" w:lineRule="auto"/>
        <w:rPr>
          <w:sz w:val="20"/>
          <w:szCs w:val="20"/>
          <w:color w:val="auto"/>
        </w:rPr>
      </w:pPr>
      <w:r>
        <w:rPr>
          <w:rFonts w:ascii="Arial" w:cs="Arial" w:eastAsia="Arial" w:hAnsi="Arial"/>
          <w:sz w:val="17"/>
          <w:szCs w:val="17"/>
          <w:color w:val="auto"/>
        </w:rPr>
        <w:t>After lease commencement, the Company measures its leases as follows: (i) the lease liability based on the present value of the remaining lease payments using the discount rate determined at lease commencement and (ii) the right-of-use lease asset based on the re-measured lease liability, adjusted for any unamortized lease incentives received, any unamortized initial direct costs and the cumulative difference between rent expense and amounts paid under the lease agreement. Any lease incentives received, and any initial direct costs incurred are amortized on a straight-line basis over the expected lease term. Rent expense is recorded on a straight-line basis over the expected lease term.</w:t>
      </w:r>
    </w:p>
    <w:p>
      <w:pPr>
        <w:spacing w:after="0" w:line="176" w:lineRule="exact"/>
        <w:rPr>
          <w:sz w:val="20"/>
          <w:szCs w:val="20"/>
          <w:color w:val="auto"/>
        </w:rPr>
      </w:pPr>
    </w:p>
    <w:p>
      <w:pPr>
        <w:ind w:right="220" w:firstLine="478"/>
        <w:spacing w:after="0" w:line="277" w:lineRule="auto"/>
        <w:rPr>
          <w:sz w:val="20"/>
          <w:szCs w:val="20"/>
          <w:color w:val="auto"/>
        </w:rPr>
      </w:pPr>
      <w:r>
        <w:rPr>
          <w:rFonts w:ascii="Arial" w:cs="Arial" w:eastAsia="Arial" w:hAnsi="Arial"/>
          <w:sz w:val="18"/>
          <w:szCs w:val="18"/>
          <w:color w:val="auto"/>
        </w:rPr>
        <w:t>The adoption of the new lease accounting standard did not have a material impact on the Company’s results of operations or cash flows for the six months ended June 30,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40" w:firstLine="478"/>
        <w:spacing w:after="0" w:line="273" w:lineRule="auto"/>
        <w:rPr>
          <w:sz w:val="20"/>
          <w:szCs w:val="20"/>
          <w:color w:val="auto"/>
        </w:rPr>
      </w:pPr>
      <w:r>
        <w:rPr>
          <w:rFonts w:ascii="Arial" w:cs="Arial" w:eastAsia="Arial" w:hAnsi="Arial"/>
          <w:sz w:val="17"/>
          <w:szCs w:val="17"/>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0" w:lineRule="exact"/>
        <w:rPr>
          <w:sz w:val="20"/>
          <w:szCs w:val="20"/>
          <w:color w:val="auto"/>
        </w:rPr>
      </w:pPr>
    </w:p>
    <w:p>
      <w:pPr>
        <w:ind w:left="5580" w:right="120" w:hanging="5100"/>
        <w:spacing w:after="0" w:line="527" w:lineRule="auto"/>
        <w:tabs>
          <w:tab w:leader="none" w:pos="95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Unadjusted quoted prices in active markets that are accessible at the measurement date for identical, unrestricted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 w:name="page10"/>
    <w:bookmarkEnd w:id="9"/>
    <w:p>
      <w:pPr>
        <w:ind w:left="960" w:right="20" w:hanging="480"/>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 or liabilities.</w:t>
      </w:r>
    </w:p>
    <w:p>
      <w:pPr>
        <w:spacing w:after="0" w:line="62" w:lineRule="exact"/>
        <w:rPr>
          <w:rFonts w:ascii="Arial" w:cs="Arial" w:eastAsia="Arial" w:hAnsi="Arial"/>
          <w:sz w:val="18"/>
          <w:szCs w:val="18"/>
          <w:color w:val="auto"/>
        </w:rPr>
      </w:pPr>
    </w:p>
    <w:p>
      <w:pPr>
        <w:ind w:left="960" w:right="900" w:hanging="480"/>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(i.e., supported by little or no market activity).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fair value hierarchy table presents information about the Company’s assets and liabilities measured at fair value on a recurring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20" w:type="dxa"/>
            <w:vAlign w:val="bottom"/>
            <w:gridSpan w:val="11"/>
          </w:tcPr>
          <w:p>
            <w:pPr>
              <w:jc w:val="center"/>
              <w:ind w:right="280"/>
              <w:spacing w:after="0"/>
              <w:rPr>
                <w:sz w:val="20"/>
                <w:szCs w:val="20"/>
                <w:color w:val="auto"/>
              </w:rPr>
            </w:pPr>
            <w:r>
              <w:rPr>
                <w:rFonts w:ascii="Arial" w:cs="Arial" w:eastAsia="Arial" w:hAnsi="Arial"/>
                <w:sz w:val="14"/>
                <w:szCs w:val="14"/>
                <w:b w:val="1"/>
                <w:bCs w:val="1"/>
                <w:color w:val="auto"/>
                <w:w w:val="93"/>
              </w:rPr>
              <w:t>Fair value measurement at reporting date using</w:t>
            </w:r>
          </w:p>
        </w:tc>
        <w:tc>
          <w:tcPr>
            <w:tcW w:w="0" w:type="dxa"/>
            <w:vAlign w:val="bottom"/>
          </w:tcPr>
          <w:p>
            <w:pPr>
              <w:spacing w:after="0"/>
              <w:rPr>
                <w:sz w:val="1"/>
                <w:szCs w:val="1"/>
                <w:color w:val="auto"/>
              </w:rPr>
            </w:pPr>
          </w:p>
        </w:tc>
      </w:tr>
      <w:tr>
        <w:trPr>
          <w:trHeight w:val="133"/>
        </w:trPr>
        <w:tc>
          <w:tcPr>
            <w:tcW w:w="6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07"/>
              <w:spacing w:after="0" w:line="133" w:lineRule="exact"/>
              <w:rPr>
                <w:sz w:val="20"/>
                <w:szCs w:val="20"/>
                <w:color w:val="auto"/>
              </w:rPr>
            </w:pPr>
            <w:r>
              <w:rPr>
                <w:rFonts w:ascii="Arial" w:cs="Arial" w:eastAsia="Arial" w:hAnsi="Arial"/>
                <w:sz w:val="14"/>
                <w:szCs w:val="14"/>
                <w:b w:val="1"/>
                <w:bCs w:val="1"/>
                <w:color w:val="auto"/>
                <w:w w:val="91"/>
              </w:rPr>
              <w:t>Quoted prices</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center"/>
              <w:ind w:left="228"/>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07"/>
              <w:spacing w:after="0" w:line="149" w:lineRule="exact"/>
              <w:rPr>
                <w:sz w:val="20"/>
                <w:szCs w:val="20"/>
                <w:color w:val="auto"/>
              </w:rPr>
            </w:pPr>
            <w:r>
              <w:rPr>
                <w:rFonts w:ascii="Arial" w:cs="Arial" w:eastAsia="Arial" w:hAnsi="Arial"/>
                <w:sz w:val="14"/>
                <w:szCs w:val="14"/>
                <w:b w:val="1"/>
                <w:bCs w:val="1"/>
                <w:color w:val="auto"/>
                <w:w w:val="89"/>
              </w:rPr>
              <w:t>in active</w:t>
            </w: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87"/>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40" w:type="dxa"/>
            <w:vAlign w:val="bottom"/>
          </w:tcPr>
          <w:p>
            <w:pPr>
              <w:spacing w:after="0"/>
              <w:rPr>
                <w:sz w:val="12"/>
                <w:szCs w:val="12"/>
                <w:color w:val="auto"/>
              </w:rPr>
            </w:pPr>
          </w:p>
        </w:tc>
        <w:tc>
          <w:tcPr>
            <w:tcW w:w="10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07"/>
              <w:spacing w:after="0" w:line="149" w:lineRule="exact"/>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07"/>
              <w:spacing w:after="0" w:line="149" w:lineRule="exact"/>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inputs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07"/>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June 30, 2021:</w:t>
            </w: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Assets: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 (Money Market Funds)</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341,198</w:t>
            </w:r>
          </w:p>
        </w:tc>
        <w:tc>
          <w:tcPr>
            <w:tcW w:w="12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Cash equivalents (Money Market Funds)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217,072</w:t>
            </w: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6"/>
        </w:trPr>
        <w:tc>
          <w:tcPr>
            <w:tcW w:w="620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tcPr>
          <w:p>
            <w:pPr>
              <w:ind w:left="480"/>
              <w:spacing w:after="0"/>
              <w:rPr>
                <w:sz w:val="20"/>
                <w:szCs w:val="20"/>
                <w:color w:val="auto"/>
              </w:rPr>
            </w:pPr>
            <w:r>
              <w:rPr>
                <w:rFonts w:ascii="Arial" w:cs="Arial" w:eastAsia="Arial" w:hAnsi="Arial"/>
                <w:sz w:val="18"/>
                <w:szCs w:val="18"/>
                <w:color w:val="auto"/>
                <w:w w:val="99"/>
              </w:rPr>
              <w:t>Accrued expenses and other current liabilities consisted of the following:</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00" w:type="dxa"/>
            <w:vAlign w:val="bottom"/>
            <w:tcBorders>
              <w:bottom w:val="single" w:sz="8" w:color="CFF0FC"/>
            </w:tcBorders>
            <w:vMerge w:val="continue"/>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6,430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117" w:lineRule="exact"/>
        <w:rPr>
          <w:sz w:val="20"/>
          <w:szCs w:val="20"/>
          <w:color w:val="auto"/>
        </w:rPr>
      </w:pPr>
    </w:p>
    <w:p>
      <w:pPr>
        <w:jc w:val="both"/>
        <w:ind w:right="140" w:firstLine="478"/>
        <w:spacing w:after="0" w:line="308" w:lineRule="auto"/>
        <w:rPr>
          <w:sz w:val="20"/>
          <w:szCs w:val="20"/>
          <w:color w:val="auto"/>
        </w:rPr>
      </w:pPr>
      <w:r>
        <w:rPr>
          <w:rFonts w:ascii="Arial" w:cs="Arial" w:eastAsia="Arial" w:hAnsi="Arial"/>
          <w:sz w:val="17"/>
          <w:szCs w:val="17"/>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38" w:lineRule="exact"/>
        <w:rPr>
          <w:sz w:val="20"/>
          <w:szCs w:val="20"/>
          <w:color w:val="auto"/>
        </w:rPr>
      </w:pPr>
    </w:p>
    <w:p>
      <w:pPr>
        <w:ind w:right="20" w:firstLine="478"/>
        <w:spacing w:after="0" w:line="269" w:lineRule="auto"/>
        <w:rPr>
          <w:sz w:val="20"/>
          <w:szCs w:val="20"/>
          <w:color w:val="auto"/>
        </w:rPr>
      </w:pPr>
      <w:r>
        <w:rPr>
          <w:rFonts w:ascii="Arial" w:cs="Arial" w:eastAsia="Arial" w:hAnsi="Arial"/>
          <w:sz w:val="17"/>
          <w:szCs w:val="17"/>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left="520" w:right="9960" w:hanging="512"/>
        <w:spacing w:after="0" w:line="488" w:lineRule="auto"/>
        <w:tabs>
          <w:tab w:leader="none" w:pos="190" w:val="left"/>
        </w:tabs>
        <w:numPr>
          <w:ilvl w:val="0"/>
          <w:numId w:val="5"/>
        </w:numPr>
        <w:rPr>
          <w:rFonts w:ascii="Arial" w:cs="Arial" w:eastAsia="Arial" w:hAnsi="Arial"/>
          <w:sz w:val="16"/>
          <w:szCs w:val="16"/>
          <w:b w:val="1"/>
          <w:bCs w:val="1"/>
          <w:color w:val="231F20"/>
        </w:rPr>
      </w:pPr>
      <w:r>
        <w:rPr>
          <w:rFonts w:ascii="Arial" w:cs="Arial" w:eastAsia="Arial" w:hAnsi="Arial"/>
          <w:sz w:val="16"/>
          <w:szCs w:val="16"/>
          <w:b w:val="1"/>
          <w:bCs w:val="1"/>
          <w:color w:val="231F20"/>
        </w:rPr>
        <w:t xml:space="preserve">Commitments </w:t>
      </w:r>
      <w:r>
        <w:rPr>
          <w:rFonts w:ascii="Arial" w:cs="Arial" w:eastAsia="Arial" w:hAnsi="Arial"/>
          <w:sz w:val="16"/>
          <w:szCs w:val="16"/>
          <w:b w:val="1"/>
          <w:bCs w:val="1"/>
          <w:i w:val="1"/>
          <w:iCs w:val="1"/>
          <w:color w:val="231F20"/>
        </w:rPr>
        <w:t>Leases</w:t>
      </w:r>
    </w:p>
    <w:p>
      <w:pPr>
        <w:spacing w:after="0" w:line="1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 xml:space="preserve">The Company leases office and laboratory space in Wilmington, Delaware under a noncancelable lease, which expires in December 2022. The Company has an option to renew the leases for an additional 1-year period. </w:t>
      </w:r>
      <w:r>
        <w:rPr>
          <w:rFonts w:ascii="Arial" w:cs="Arial" w:eastAsia="Arial" w:hAnsi="Arial"/>
          <w:sz w:val="18"/>
          <w:szCs w:val="18"/>
          <w:color w:val="231F20"/>
        </w:rPr>
        <w:t>This option to extend was not recognized as part of the Company’s</w:t>
      </w:r>
      <w:r>
        <w:rPr>
          <w:rFonts w:ascii="Arial" w:cs="Arial" w:eastAsia="Arial" w:hAnsi="Arial"/>
          <w:sz w:val="18"/>
          <w:szCs w:val="18"/>
          <w:color w:val="auto"/>
        </w:rPr>
        <w:t xml:space="preserve"> </w:t>
      </w:r>
      <w:r>
        <w:rPr>
          <w:rFonts w:ascii="Arial" w:cs="Arial" w:eastAsia="Arial" w:hAnsi="Arial"/>
          <w:sz w:val="18"/>
          <w:szCs w:val="18"/>
          <w:color w:val="231F20"/>
        </w:rPr>
        <w:t>measurement of the right-of-use asset and operating lease liability as of June 30, 2021</w:t>
      </w:r>
      <w:r>
        <w:rPr>
          <w:rFonts w:ascii="Arial" w:cs="Arial" w:eastAsia="Arial" w:hAnsi="Arial"/>
          <w:sz w:val="18"/>
          <w:szCs w:val="18"/>
          <w:color w:val="000000"/>
        </w:rPr>
        <w:t>.</w:t>
      </w:r>
      <w:r>
        <w:rPr>
          <w:rFonts w:ascii="Arial" w:cs="Arial" w:eastAsia="Arial" w:hAnsi="Arial"/>
          <w:sz w:val="18"/>
          <w:szCs w:val="18"/>
          <w:color w:val="231F20"/>
        </w:rPr>
        <w:t xml:space="preserve"> The discount rate used to account for the Company’s operating lease under ASC 842 is the Company’s estimated incremental borrowing rate of 10.0</w:t>
      </w:r>
      <w:r>
        <w:rPr>
          <w:rFonts w:ascii="Arial" w:cs="Arial" w:eastAsia="Arial" w:hAnsi="Arial"/>
          <w:sz w:val="18"/>
          <w:szCs w:val="18"/>
          <w:color w:val="000000"/>
        </w:rPr>
        <w:t>%.</w:t>
      </w:r>
      <w:r>
        <w:rPr>
          <w:rFonts w:ascii="Arial" w:cs="Arial" w:eastAsia="Arial" w:hAnsi="Arial"/>
          <w:sz w:val="18"/>
          <w:szCs w:val="18"/>
          <w:color w:val="231F20"/>
        </w:rPr>
        <w:t xml:space="preserve"> In June 2021, the Company signed a 12-month noncancelable lease, which commenced on July 1, 2021 and will expire on June 30, 2022 and has remaining lease payments of approximately $0.2 million in both 2021 and 2022.</w:t>
      </w:r>
    </w:p>
    <w:p>
      <w:pPr>
        <w:spacing w:after="0" w:line="19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231F20"/>
        </w:rPr>
        <w:t>Rent expense for the three months ended June 30, 2021 and 2020 was $0.3 million and $0.2 million, respectively. Rent expense for the six months ended June 30, 2021 and 2020 was $0.7 million and $0.5 million, respectively.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Future minimum annual lease payments under the Company’s noncancelable lease at June 30, 2021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(remaining)</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FF0FC"/>
          </w:tcPr>
          <w:p>
            <w:pPr>
              <w:spacing w:after="0"/>
              <w:rPr>
                <w:sz w:val="19"/>
                <w:szCs w:val="19"/>
                <w:color w:val="auto"/>
              </w:rPr>
            </w:pPr>
          </w:p>
        </w:tc>
      </w:tr>
      <w:tr>
        <w:trPr>
          <w:trHeight w:val="229"/>
        </w:trPr>
        <w:tc>
          <w:tcPr>
            <w:tcW w:w="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83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7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imputed interest</w:t>
            </w:r>
          </w:p>
        </w:tc>
        <w:tc>
          <w:tcPr>
            <w:tcW w:w="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 and noncurrent lease liability</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Company entered into employment agreements with key personnel providing for compensation and severance in certain circumstances, as defined in the respective employment agreements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401(k) Defined Contribution Plan</w:t>
      </w:r>
    </w:p>
    <w:p>
      <w:pPr>
        <w:spacing w:after="0" w:line="117" w:lineRule="exact"/>
        <w:rPr>
          <w:sz w:val="20"/>
          <w:szCs w:val="20"/>
          <w:color w:val="auto"/>
        </w:rPr>
      </w:pPr>
    </w:p>
    <w:p>
      <w:pPr>
        <w:ind w:right="220" w:firstLine="510"/>
        <w:spacing w:after="0" w:line="220" w:lineRule="exact"/>
        <w:rPr>
          <w:sz w:val="20"/>
          <w:szCs w:val="20"/>
          <w:color w:val="auto"/>
        </w:rPr>
      </w:pPr>
      <w:r>
        <w:rPr>
          <w:rFonts w:ascii="Arial" w:cs="Arial" w:eastAsia="Arial" w:hAnsi="Arial"/>
          <w:sz w:val="18"/>
          <w:szCs w:val="18"/>
          <w:color w:val="auto"/>
        </w:rPr>
        <w:t>The Company sponsors a 401(k) defined</w:t>
      </w:r>
      <w:r>
        <w:rPr>
          <w:rFonts w:ascii="MS PGothic" w:cs="MS PGothic" w:eastAsia="MS PGothic" w:hAnsi="MS PGothic"/>
          <w:sz w:val="18"/>
          <w:szCs w:val="18"/>
          <w:color w:val="auto"/>
        </w:rPr>
        <w:t>‑</w:t>
      </w:r>
      <w:r>
        <w:rPr>
          <w:rFonts w:ascii="Arial" w:cs="Arial" w:eastAsia="Arial" w:hAnsi="Arial"/>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safe harbor match with a maximum amount of 3% of the participant’s compensation. During the three and six months ended June 30, 2021, the Company made matching contributions of $0.1 million and $0.3 million, respectively.</w:t>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Research and Development Arrangements</w:t>
      </w:r>
    </w:p>
    <w:p>
      <w:pPr>
        <w:spacing w:after="0" w:line="11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100" w:firstLine="478"/>
        <w:spacing w:after="0" w:line="269" w:lineRule="auto"/>
        <w:rPr>
          <w:sz w:val="20"/>
          <w:szCs w:val="20"/>
          <w:color w:val="auto"/>
        </w:rPr>
      </w:pPr>
      <w:r>
        <w:rPr>
          <w:rFonts w:ascii="Arial" w:cs="Arial" w:eastAsia="Arial" w:hAnsi="Arial"/>
          <w:sz w:val="17"/>
          <w:szCs w:val="17"/>
          <w:color w:val="auto"/>
        </w:rPr>
        <w:t>The Company has two equity incentive plans: the 2016 Equity Incentive Plan, as amended, and the 2020 Equity Incentive Plan. New awards can only be granted under the 2020 Equity Incentive Plan (the “Plan”) and as of June 30, 2021, 6,282,783 shares were available for future grants.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 In September 2020, the Company adopted the 2020 Employee Stock Purchase Plan (the “ESPP”), which, as of June 30, 2021, had 957,056 shares of common stock reserved for future issuance. No shares have been issued from the ESPP as of June 30,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right="100" w:firstLine="478"/>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8"/>
          </w:tcPr>
          <w:p>
            <w:pPr>
              <w:ind w:left="8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383</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4,080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4,237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8,123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480"/>
              <w:spacing w:after="0"/>
              <w:rPr>
                <w:sz w:val="20"/>
                <w:szCs w:val="20"/>
                <w:color w:val="auto"/>
              </w:rPr>
            </w:pPr>
            <w:r>
              <w:rPr>
                <w:rFonts w:ascii="Arial" w:cs="Arial" w:eastAsia="Arial" w:hAnsi="Arial"/>
                <w:sz w:val="18"/>
                <w:szCs w:val="18"/>
                <w:b w:val="1"/>
                <w:bCs w:val="1"/>
                <w:i w:val="1"/>
                <w:iCs w:val="1"/>
                <w:color w:val="auto"/>
              </w:rPr>
              <w:t>Stock Options</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gridSpan w:val="4"/>
          </w:tcPr>
          <w:p>
            <w:pPr>
              <w:ind w:left="480"/>
              <w:spacing w:after="0"/>
              <w:rPr>
                <w:sz w:val="20"/>
                <w:szCs w:val="20"/>
                <w:color w:val="auto"/>
              </w:rPr>
            </w:pPr>
            <w:r>
              <w:rPr>
                <w:rFonts w:ascii="Arial" w:cs="Arial" w:eastAsia="Arial" w:hAnsi="Arial"/>
                <w:sz w:val="18"/>
                <w:szCs w:val="18"/>
                <w:color w:val="auto"/>
              </w:rPr>
              <w:t>The following table summarizes stock option activity for the periods indicated: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24"/>
                <w:szCs w:val="2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8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ind w:left="200"/>
              <w:spacing w:after="0"/>
              <w:rPr>
                <w:sz w:val="20"/>
                <w:szCs w:val="20"/>
                <w:color w:val="auto"/>
              </w:rPr>
            </w:pPr>
            <w:r>
              <w:rPr>
                <w:rFonts w:ascii="Arial" w:cs="Arial" w:eastAsia="Arial" w:hAnsi="Arial"/>
                <w:sz w:val="14"/>
                <w:szCs w:val="14"/>
                <w:b w:val="1"/>
                <w:bCs w:val="1"/>
                <w:color w:val="auto"/>
              </w:rPr>
              <w:t>of shares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term (years)</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6,839,091</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60"/>
              <w:spacing w:after="0"/>
              <w:rPr>
                <w:sz w:val="20"/>
                <w:szCs w:val="20"/>
                <w:color w:val="auto"/>
              </w:rPr>
            </w:pPr>
            <w:r>
              <w:rPr>
                <w:rFonts w:ascii="Arial" w:cs="Arial" w:eastAsia="Arial" w:hAnsi="Arial"/>
                <w:sz w:val="18"/>
                <w:szCs w:val="18"/>
                <w:color w:val="auto"/>
              </w:rPr>
              <w:t>Granted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423,395</w:t>
            </w:r>
          </w:p>
        </w:tc>
        <w:tc>
          <w:tcPr>
            <w:tcW w:w="200" w:type="dxa"/>
            <w:vAlign w:val="bottom"/>
          </w:tcPr>
          <w:p>
            <w:pPr>
              <w:spacing w:after="0"/>
              <w:rPr>
                <w:sz w:val="19"/>
                <w:szCs w:val="19"/>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(458,060)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(34,988)</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6,769,438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Exercisable at June 30, 2021</w:t>
            </w: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1,255,060</w:t>
            </w:r>
          </w:p>
        </w:tc>
        <w:tc>
          <w:tcPr>
            <w:tcW w:w="2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 June 30, 2021, the aggregate intrinsic value of outstanding options and exercisable options was $131.1 million and $33.2 million, respectively.</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stock options outstanding at June 30, 2021 under the Plan: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4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years)</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right"/>
              <w:ind w:right="78"/>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$0.31</w:t>
            </w:r>
          </w:p>
        </w:tc>
        <w:tc>
          <w:tcPr>
            <w:tcW w:w="47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$7.37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3,051,304</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1,205,008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$7.38</w:t>
            </w:r>
          </w:p>
        </w:tc>
        <w:tc>
          <w:tcPr>
            <w:tcW w:w="4720" w:type="dxa"/>
            <w:vAlign w:val="bottom"/>
          </w:tcPr>
          <w:p>
            <w:pPr>
              <w:ind w:left="20"/>
              <w:spacing w:after="0"/>
              <w:rPr>
                <w:sz w:val="20"/>
                <w:szCs w:val="20"/>
                <w:color w:val="auto"/>
              </w:rPr>
            </w:pPr>
            <w:r>
              <w:rPr>
                <w:rFonts w:ascii="Arial" w:cs="Arial" w:eastAsia="Arial" w:hAnsi="Arial"/>
                <w:sz w:val="18"/>
                <w:szCs w:val="18"/>
                <w:color w:val="auto"/>
              </w:rPr>
              <w:t>- $15.93</w:t>
            </w:r>
          </w:p>
        </w:tc>
        <w:tc>
          <w:tcPr>
            <w:tcW w:w="1000" w:type="dxa"/>
            <w:vAlign w:val="bottom"/>
          </w:tcPr>
          <w:p>
            <w:pPr>
              <w:jc w:val="right"/>
              <w:spacing w:after="0"/>
              <w:rPr>
                <w:sz w:val="20"/>
                <w:szCs w:val="20"/>
                <w:color w:val="auto"/>
              </w:rPr>
            </w:pPr>
            <w:r>
              <w:rPr>
                <w:rFonts w:ascii="Arial" w:cs="Arial" w:eastAsia="Arial" w:hAnsi="Arial"/>
                <w:sz w:val="18"/>
                <w:szCs w:val="18"/>
                <w:color w:val="auto"/>
              </w:rPr>
              <w:t>3,116,323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$15.94 - $88.98</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601,811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6,769,438</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1,255,060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478"/>
        <w:spacing w:after="0" w:line="273" w:lineRule="auto"/>
        <w:rPr>
          <w:sz w:val="20"/>
          <w:szCs w:val="20"/>
          <w:color w:val="auto"/>
        </w:rPr>
      </w:pPr>
      <w:r>
        <w:rPr>
          <w:rFonts w:ascii="Arial" w:cs="Arial" w:eastAsia="Arial" w:hAnsi="Arial"/>
          <w:sz w:val="17"/>
          <w:szCs w:val="17"/>
          <w:color w:val="auto"/>
        </w:rPr>
        <w:t>The weighted-average grant date fair value of options granted was $38.31 and $2.88 per share for the six months ended June 30, 2021 and 2020, respectively. The aggregate intrinsic value of options exercised was $18.3 million for the six months ended June 30, 2021. The Company recorded stock-based compensation expense of $4.2 million and $0.6 million for the three months ended June 30, 2021 and 2020, respectively, related to stock options. The Company recorded stock-based compensation expense of $7.7 million and $0.7 million for the six months ended June 30, 2021 and 2020, respectively, related to stock options. As of June 30, 2021, the total unrecognized compensation expense related to unvested stock option awards was $55.6 million, which the Company expects to recognize over a weighted-average period of 3.05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48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57"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Six months ended</w:t>
      </w:r>
    </w:p>
    <w:p>
      <w:pPr>
        <w:jc w:val="center"/>
        <w:ind w:left="74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6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115.05%</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111.81%</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0.93%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r>
      <w:tr>
        <w:trPr>
          <w:trHeight w:val="229"/>
        </w:trPr>
        <w:tc>
          <w:tcPr>
            <w:tcW w:w="8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3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Stock Awards and Units</w:t>
      </w:r>
    </w:p>
    <w:p>
      <w:pPr>
        <w:spacing w:after="0" w:line="117" w:lineRule="exact"/>
        <w:rPr>
          <w:sz w:val="20"/>
          <w:szCs w:val="20"/>
          <w:color w:val="auto"/>
        </w:rPr>
      </w:pPr>
    </w:p>
    <w:p>
      <w:pPr>
        <w:ind w:right="80" w:firstLine="478"/>
        <w:spacing w:after="0" w:line="311" w:lineRule="auto"/>
        <w:rPr>
          <w:sz w:val="20"/>
          <w:szCs w:val="20"/>
          <w:color w:val="auto"/>
        </w:rPr>
      </w:pPr>
      <w:r>
        <w:rPr>
          <w:rFonts w:ascii="Arial" w:cs="Arial" w:eastAsia="Arial" w:hAnsi="Arial"/>
          <w:sz w:val="16"/>
          <w:szCs w:val="16"/>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7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January 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1,214,778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(372,813)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June 30,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841,965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478"/>
        <w:spacing w:after="0" w:line="259" w:lineRule="auto"/>
        <w:rPr>
          <w:sz w:val="20"/>
          <w:szCs w:val="20"/>
          <w:color w:val="auto"/>
        </w:rPr>
      </w:pPr>
      <w:r>
        <w:rPr>
          <w:rFonts w:ascii="Arial" w:cs="Arial" w:eastAsia="Arial" w:hAnsi="Arial"/>
          <w:sz w:val="18"/>
          <w:szCs w:val="18"/>
          <w:color w:val="auto"/>
        </w:rPr>
        <w:t>The Company recorded stock-based compensation expense of $0.2 million and $0.2 million for the three months ended June 30, 2021 and 2020, respectively, related to RSAs. The Company recorded stock-based compensation expense of $0.4 million and $0.3 million for the six months ended June 30, 2021 and 2020, respectively, related to RSAs. As of June 30, 2021, the total unrecognized expense related to all RSAs was $1.8 million, which the Company expects to recognize over a weighted-average period of 2.26 years.</w:t>
      </w:r>
    </w:p>
    <w:p>
      <w:pPr>
        <w:spacing w:after="0" w:line="187" w:lineRule="exact"/>
        <w:rPr>
          <w:sz w:val="20"/>
          <w:szCs w:val="20"/>
          <w:color w:val="auto"/>
        </w:rPr>
      </w:pPr>
    </w:p>
    <w:p>
      <w:pPr>
        <w:jc w:val="both"/>
        <w:ind w:right="180" w:firstLine="478"/>
        <w:spacing w:after="0" w:line="311" w:lineRule="auto"/>
        <w:rPr>
          <w:sz w:val="20"/>
          <w:szCs w:val="20"/>
          <w:color w:val="auto"/>
        </w:rPr>
      </w:pPr>
      <w:r>
        <w:rPr>
          <w:rFonts w:ascii="Arial" w:cs="Arial" w:eastAsia="Arial" w:hAnsi="Arial"/>
          <w:sz w:val="16"/>
          <w:szCs w:val="16"/>
          <w:color w:val="auto"/>
        </w:rPr>
        <w:t>During the six months ended June 30, 2021, the Company granted 25,000 restricted stock units (“RSU”) to an employee that vest over a four-year period with 25% of awards vesting after one year and then quarterly thereafter. Any unvested units will be forfeited upon termination of services. At June 30, 2021 the total unrecognized expense related to the RSUs was $0.8 million, which the Company expects to recognize over 3.95 years.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78"/>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II, Item 1A below. These forward-looking statements may include, but are not limited to, statements regarding our future results of operations and financial position, the impact of the COVID-19 pandemic,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68" w:lineRule="exact"/>
        <w:rPr>
          <w:sz w:val="20"/>
          <w:szCs w:val="20"/>
          <w:color w:val="auto"/>
        </w:rPr>
      </w:pPr>
    </w:p>
    <w:p>
      <w:pPr>
        <w:ind w:right="360" w:firstLine="478"/>
        <w:spacing w:after="0" w:line="259" w:lineRule="auto"/>
        <w:rPr>
          <w:sz w:val="20"/>
          <w:szCs w:val="20"/>
          <w:color w:val="auto"/>
        </w:rPr>
      </w:pPr>
      <w:r>
        <w:rPr>
          <w:rFonts w:ascii="Arial" w:cs="Arial" w:eastAsia="Arial" w:hAnsi="Arial"/>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four investigational new drug applications, or INDs, and successfully advanced these programs into clinical development. In addition, we have three unique programs in various stages of preclinical development that we plan to advance into clinical development beginning in 2021.</w:t>
      </w:r>
    </w:p>
    <w:p>
      <w:pPr>
        <w:spacing w:after="0" w:line="17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9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an ongoing confirmed complete response, or CR, in a patient with HRD+ high grade serous ovarian cancer through nine months of therapy. A complete response is defined as the disappearance of all target lesions. We will need to enroll and demonstrate objective responses in additional patients to support further development and potential approval by the FDA or other regulatory authorities, and while such approval is not guaranteed, we are encouraged by the clinical activity as of the date of this Quarterly Report on Form 10-Q. Patient enrollment is continuing in multiple biomarker-selected solid tumor and hematologic malignancy expansion cohorts. We anticipate presenting data from the dose escalation portion of the Phase 1 trial in unselected patient populations, including safety, PK and PD data and markers of target engagement, at the AACR-NCI-EORTC Annual Meeting in October 2021 and data from the expansion cohorts of the trial at medical meetings throughout 2022.</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right="240" w:firstLine="510"/>
        <w:spacing w:after="0" w:line="287" w:lineRule="auto"/>
        <w:rPr>
          <w:sz w:val="20"/>
          <w:szCs w:val="20"/>
          <w:color w:val="auto"/>
        </w:rPr>
      </w:pPr>
      <w:r>
        <w:rPr>
          <w:rFonts w:ascii="Arial" w:cs="Arial" w:eastAsia="Arial" w:hAnsi="Arial"/>
          <w:sz w:val="16"/>
          <w:szCs w:val="16"/>
          <w:color w:val="auto"/>
        </w:rPr>
        <w:t>We are also advancing PRT811, a second PRMT5 inhibitor that we have optimized for high brain exposure, in a Phase 1 clinical trial in solid tumors, including GBM. As of the date of this Quarterly Report on Form 10-Q, the trial has demonstrated early signs of clinical activity and tolerability. The previously disclosed refractory GBM patient whose tumor had demonstrated a 66% reduction on monotherapy PRT811 subsequently underwent</w:t>
      </w:r>
    </w:p>
    <w:p>
      <w:pPr>
        <w:spacing w:after="0" w:line="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a follow-up MRI at week 18 and the regression improved to 77% from baseline, confirming a partial response, or PR, per RANO (response assessment in neuro-oncology) criteria. We will present data from the dose escalation portion of the Phase 1 trial in unselected patient populations, including safety, PK and PD data and markers of target engagement, at the AACR-NCI-EORTC Annual Meeting in October 2021. We anticipate beginning the dose expansion portion of the Phase 1 trial in the third quarter of 2021 in selected patients with central nervous system cancers, including high grade gliomas and CNS metastatic cancers. We expect to present data from these expansion cohorts at medical meetings throughout 2022.</w:t>
      </w:r>
    </w:p>
    <w:p>
      <w:pPr>
        <w:spacing w:after="0" w:line="162"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dose escalation portion of a Phase 1 open-label, multicenter clinical trial for the oral formulation of PRT1419. We expect to add dose expansion and combination cohorts to the Phase 1 clinical trial in the second half of 2021. Additionally, in March 2021, the FDA cleared our IND for an intravenous (IV) formulation of PRT1419. The Phase 1 trial of the IV formulation of PRT1419, which leverages the optimized physicochemical properties of PRT1419, is now underway in patients with solid tumors.</w:t>
      </w:r>
    </w:p>
    <w:p>
      <w:pPr>
        <w:spacing w:after="0" w:line="19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$48.2 million for the six months ended June 30, 2021 as compared to $20.9 million for the six months ended June 30, 2020, and as of June 30, 2021, we had an accumulated deficit of $155.6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8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As of June 30, 2021, we had $343.1 million in cash and cash equivalents. We expect our existing cash and cash equivalents will enable us to fund our operating expenses and capital expenditures into mid-2023.</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COVID-19 Impact</w:t>
      </w:r>
    </w:p>
    <w:p>
      <w:pPr>
        <w:spacing w:after="0" w:line="131"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We are continuing to proactively monitor and assess the current coronavirus disease 2019, or COVID-19, global pandemic. Since early March 2020,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Research and development expenses consist primarily of costs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expense research and development costs as incurred, including:</w:t>
      </w:r>
    </w:p>
    <w:p>
      <w:pPr>
        <w:spacing w:after="0" w:line="103" w:lineRule="exact"/>
        <w:rPr>
          <w:sz w:val="20"/>
          <w:szCs w:val="20"/>
          <w:color w:val="auto"/>
        </w:rPr>
      </w:pPr>
    </w:p>
    <w:p>
      <w:pPr>
        <w:ind w:left="960" w:right="2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62" w:lineRule="exact"/>
        <w:rPr>
          <w:rFonts w:ascii="Arial" w:cs="Arial" w:eastAsia="Arial" w:hAnsi="Arial"/>
          <w:sz w:val="18"/>
          <w:szCs w:val="18"/>
          <w:color w:val="auto"/>
        </w:rPr>
      </w:pPr>
    </w:p>
    <w:p>
      <w:pPr>
        <w:ind w:left="960" w:right="88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62" w:lineRule="exact"/>
        <w:rPr>
          <w:rFonts w:ascii="Arial" w:cs="Arial" w:eastAsia="Arial" w:hAnsi="Arial"/>
          <w:sz w:val="18"/>
          <w:szCs w:val="18"/>
          <w:color w:val="auto"/>
        </w:rPr>
      </w:pPr>
    </w:p>
    <w:p>
      <w:pPr>
        <w:ind w:left="960" w:right="400" w:hanging="480"/>
        <w:spacing w:after="0" w:line="342"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15" w:lineRule="exact"/>
        <w:rPr>
          <w:rFonts w:ascii="Arial" w:cs="Arial" w:eastAsia="Arial" w:hAnsi="Arial"/>
          <w:sz w:val="16"/>
          <w:szCs w:val="16"/>
          <w:color w:val="auto"/>
        </w:rPr>
      </w:pPr>
    </w:p>
    <w:p>
      <w:pPr>
        <w:ind w:left="960" w:right="4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ind w:right="100" w:firstLine="478"/>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78"/>
        <w:spacing w:after="0" w:line="301" w:lineRule="auto"/>
        <w:rPr>
          <w:sz w:val="20"/>
          <w:szCs w:val="20"/>
          <w:color w:val="auto"/>
        </w:rPr>
      </w:pPr>
      <w:r>
        <w:rPr>
          <w:rFonts w:ascii="Arial" w:cs="Arial" w:eastAsia="Arial" w:hAnsi="Arial"/>
          <w:sz w:val="16"/>
          <w:szCs w:val="16"/>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57" w:lineRule="exact"/>
        <w:rPr>
          <w:sz w:val="20"/>
          <w:szCs w:val="20"/>
          <w:color w:val="auto"/>
        </w:rPr>
      </w:pPr>
    </w:p>
    <w:p>
      <w:pPr>
        <w:ind w:right="160" w:firstLine="478"/>
        <w:spacing w:after="0" w:line="300" w:lineRule="auto"/>
        <w:rPr>
          <w:sz w:val="20"/>
          <w:szCs w:val="20"/>
          <w:color w:val="auto"/>
        </w:rPr>
      </w:pPr>
      <w:r>
        <w:rPr>
          <w:rFonts w:ascii="Arial" w:cs="Arial" w:eastAsia="Arial" w:hAnsi="Arial"/>
          <w:sz w:val="16"/>
          <w:szCs w:val="16"/>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Other income, net consists primarily of interest earned on our cash equivalents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our stock offerings.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three months ended June 30, 2021 and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3"/>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22,409</w:t>
            </w:r>
          </w:p>
        </w:tc>
        <w:tc>
          <w:tcPr>
            <w:tcW w:w="160" w:type="dxa"/>
            <w:vAlign w:val="bottom"/>
          </w:tcPr>
          <w:p>
            <w:pPr>
              <w:spacing w:after="0"/>
              <w:rPr>
                <w:sz w:val="19"/>
                <w:szCs w:val="19"/>
                <w:color w:val="auto"/>
              </w:rPr>
            </w:pP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9,776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00" w:firstLine="478"/>
        <w:spacing w:after="0" w:line="293" w:lineRule="auto"/>
        <w:rPr>
          <w:sz w:val="20"/>
          <w:szCs w:val="20"/>
          <w:color w:val="auto"/>
        </w:rPr>
      </w:pPr>
      <w:r>
        <w:rPr>
          <w:rFonts w:ascii="Arial" w:cs="Arial" w:eastAsia="Arial" w:hAnsi="Arial"/>
          <w:sz w:val="16"/>
          <w:szCs w:val="16"/>
          <w:color w:val="auto"/>
        </w:rPr>
        <w:t>Research and development expenses increased by $12.6 million to $22.4 million for the three months ended June 30, 2021 from $9.8 million for the three months ended June 30, 2020. The increase was mainly due to increased clinical research costs for the PRT543, PRT811 and PRT1419 (Oral and IV). Our chemistry, manufacturing and other costs for those trials also increased.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PRT543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PRT811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PRT1419 (Oral and IV)</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7,366</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22,409</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firstLine="478"/>
        <w:spacing w:after="0" w:line="259" w:lineRule="auto"/>
        <w:rPr>
          <w:sz w:val="20"/>
          <w:szCs w:val="20"/>
          <w:color w:val="auto"/>
        </w:rPr>
      </w:pPr>
      <w:r>
        <w:rPr>
          <w:rFonts w:ascii="Arial" w:cs="Arial" w:eastAsia="Arial" w:hAnsi="Arial"/>
          <w:sz w:val="18"/>
          <w:szCs w:val="18"/>
          <w:color w:val="auto"/>
        </w:rPr>
        <w:t>General and administrative expenses increased by $3.9 million to $5.5 million for the three months ended June 30, 2021 from $1.6 million for the three months ended June 30, 2020. The increase was primarily due to an increase in personnel related expense due to an increase in employee headcount and an increase in our professional fees as we expanded our operations to support our research and development efforts and incurred additional costs to operate as a public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00" w:firstLine="478"/>
        <w:spacing w:after="0" w:line="277" w:lineRule="auto"/>
        <w:rPr>
          <w:sz w:val="20"/>
          <w:szCs w:val="20"/>
          <w:color w:val="auto"/>
        </w:rPr>
      </w:pPr>
      <w:r>
        <w:rPr>
          <w:rFonts w:ascii="Arial" w:cs="Arial" w:eastAsia="Arial" w:hAnsi="Arial"/>
          <w:sz w:val="18"/>
          <w:szCs w:val="18"/>
          <w:color w:val="auto"/>
        </w:rPr>
        <w:t>Other income, net increased by $1.0 million primarily due to the receipt and recognition of a research and development tax credit from the State of Delaware in the second quarter of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six months ended June 30, 2021 and 2020.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38,879</w:t>
            </w:r>
          </w:p>
        </w:tc>
        <w:tc>
          <w:tcPr>
            <w:tcW w:w="160" w:type="dxa"/>
            <w:vAlign w:val="bottom"/>
          </w:tcPr>
          <w:p>
            <w:pPr>
              <w:spacing w:after="0"/>
              <w:rPr>
                <w:sz w:val="19"/>
                <w:szCs w:val="19"/>
                <w:color w:val="auto"/>
              </w:rPr>
            </w:pP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18,312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478"/>
        <w:spacing w:after="0" w:line="293" w:lineRule="auto"/>
        <w:rPr>
          <w:sz w:val="20"/>
          <w:szCs w:val="20"/>
          <w:color w:val="auto"/>
        </w:rPr>
      </w:pPr>
      <w:r>
        <w:rPr>
          <w:rFonts w:ascii="Arial" w:cs="Arial" w:eastAsia="Arial" w:hAnsi="Arial"/>
          <w:sz w:val="16"/>
          <w:szCs w:val="16"/>
          <w:color w:val="auto"/>
        </w:rPr>
        <w:t>Research and development expenses increased by $20.6 million to $38.9 million for the six months ended June 30, 2021 from $18.3 million for the six months ended June 30, 2020. The increase was mainly due to increased clinical research costs for the PRT543 and PRT811. Our chemistry, manufacturing and other costs for those trials also increased.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PRT543</w:t>
            </w:r>
          </w:p>
        </w:tc>
        <w:tc>
          <w:tcPr>
            <w:tcW w:w="2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PRT811</w:t>
            </w:r>
          </w:p>
        </w:tc>
        <w:tc>
          <w:tcPr>
            <w:tcW w:w="2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PRT1419 (Oral and IV)</w:t>
            </w:r>
          </w:p>
        </w:tc>
        <w:tc>
          <w:tcPr>
            <w:tcW w:w="2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Discovery programs</w:t>
            </w:r>
          </w:p>
        </w:tc>
        <w:tc>
          <w:tcPr>
            <w:tcW w:w="2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23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General and administrative expenses increased by $8.1 million to $11.0 million for the six months ended June 30, 2021 from $2.9 million for the six months ended June 30, 2020. The increase was primarily due to an increase in personnel related expense due to increases in employee headcount and an increase in our professional fees as we expanded our operations to support our research and development efforts and incurred additional costs to operate as a public company.</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00" w:firstLine="478"/>
        <w:spacing w:after="0" w:line="277" w:lineRule="auto"/>
        <w:rPr>
          <w:sz w:val="20"/>
          <w:szCs w:val="20"/>
          <w:color w:val="auto"/>
        </w:rPr>
      </w:pPr>
      <w:r>
        <w:rPr>
          <w:rFonts w:ascii="Arial" w:cs="Arial" w:eastAsia="Arial" w:hAnsi="Arial"/>
          <w:sz w:val="18"/>
          <w:szCs w:val="18"/>
          <w:color w:val="auto"/>
        </w:rPr>
        <w:t>Other income, net increased by $1.5 million primarily due to the receipt and recognition of a research and development tax credit from the State of Delaware in the first and second quarter of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478"/>
        <w:spacing w:after="0" w:line="255" w:lineRule="auto"/>
        <w:rPr>
          <w:sz w:val="20"/>
          <w:szCs w:val="20"/>
          <w:color w:val="auto"/>
        </w:rPr>
      </w:pPr>
      <w:r>
        <w:rPr>
          <w:rFonts w:ascii="Arial" w:cs="Arial" w:eastAsia="Arial" w:hAnsi="Arial"/>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June 30, 2021, we had $343.1 million in cash and cash equivalents and had an accumulated deficit of $155.6 million. We expect our existing cash and cash equivalents to enable us to fund our operating expenses and capital expenditure requirements into mid-2023. We have based these estimates on assumptions that may prove to be imprecise, and we could utilize our available capital resources sooner than we expect.</w:t>
      </w:r>
    </w:p>
    <w:p>
      <w:pPr>
        <w:spacing w:after="0" w:line="30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60" w:firstLine="478"/>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960" w:hanging="480"/>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scope, timing, progress and results of discovery, preclinical development, laboratory testing and clinical trials for our product candidates;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28" w:lineRule="exact"/>
        <w:rPr>
          <w:rFonts w:ascii="Arial" w:cs="Arial" w:eastAsia="Arial" w:hAnsi="Arial"/>
          <w:sz w:val="17"/>
          <w:szCs w:val="17"/>
          <w:color w:val="auto"/>
        </w:rPr>
      </w:pPr>
    </w:p>
    <w:p>
      <w:pPr>
        <w:ind w:left="960" w:right="380" w:hanging="480"/>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62" w:lineRule="exact"/>
        <w:rPr>
          <w:rFonts w:ascii="Arial" w:cs="Arial" w:eastAsia="Arial" w:hAnsi="Arial"/>
          <w:sz w:val="18"/>
          <w:szCs w:val="18"/>
          <w:color w:val="auto"/>
        </w:rPr>
      </w:pPr>
    </w:p>
    <w:p>
      <w:pPr>
        <w:ind w:left="960" w:right="360" w:hanging="480"/>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17"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w:t>
      </w:r>
    </w:p>
    <w:p>
      <w:pPr>
        <w:spacing w:after="0" w:line="248" w:lineRule="exact"/>
        <w:rPr>
          <w:sz w:val="20"/>
          <w:szCs w:val="20"/>
          <w:color w:val="auto"/>
        </w:rPr>
      </w:pPr>
    </w:p>
    <w:p>
      <w:pPr>
        <w:ind w:right="140" w:firstLine="478"/>
        <w:spacing w:after="0" w:line="259"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7" w:lineRule="exact"/>
        <w:rPr>
          <w:sz w:val="20"/>
          <w:szCs w:val="20"/>
          <w:color w:val="auto"/>
        </w:rPr>
      </w:pPr>
    </w:p>
    <w:p>
      <w:pPr>
        <w:ind w:firstLine="478"/>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ind w:left="4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(1,367)</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162,232</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124,810</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478"/>
        <w:spacing w:after="0" w:line="259" w:lineRule="auto"/>
        <w:rPr>
          <w:sz w:val="20"/>
          <w:szCs w:val="20"/>
          <w:color w:val="auto"/>
        </w:rPr>
      </w:pPr>
      <w:r>
        <w:rPr>
          <w:rFonts w:ascii="Arial" w:cs="Arial" w:eastAsia="Arial" w:hAnsi="Arial"/>
          <w:sz w:val="18"/>
          <w:szCs w:val="18"/>
          <w:color w:val="auto"/>
        </w:rPr>
        <w:t>During the six months ended June 30, 2021, we used $36.1 million of cash in operating activities. Cash used in operating activities reflected our net loss of $48.2 million, offset by a $3.1 million net decrease in our operating assets and liabilities and noncash charges of $9.1 million, which consisted of $0.4 million in depreciation, $0.6 million noncash lease expense and $8.1 million in stock-based compensation. The primary use of cash was to fund our operations related to the development of our product candidates.</w:t>
      </w:r>
    </w:p>
    <w:p>
      <w:pPr>
        <w:spacing w:after="0" w:line="187" w:lineRule="exact"/>
        <w:rPr>
          <w:sz w:val="20"/>
          <w:szCs w:val="20"/>
          <w:color w:val="auto"/>
        </w:rPr>
      </w:pPr>
    </w:p>
    <w:p>
      <w:pPr>
        <w:ind w:right="120" w:firstLine="478"/>
        <w:spacing w:after="0" w:line="259" w:lineRule="auto"/>
        <w:rPr>
          <w:sz w:val="20"/>
          <w:szCs w:val="20"/>
          <w:color w:val="auto"/>
        </w:rPr>
      </w:pPr>
      <w:r>
        <w:rPr>
          <w:rFonts w:ascii="Arial" w:cs="Arial" w:eastAsia="Arial" w:hAnsi="Arial"/>
          <w:sz w:val="18"/>
          <w:szCs w:val="18"/>
          <w:color w:val="auto"/>
        </w:rPr>
        <w:t>During the six months ended June 30, 2020, we used $18.8 million of cash in operating activities. Cash used in operating activities reflected our net loss of $20.9 million, offset by a $0.8 million net decrease in our operating assets and liabilities and noncash charges of $1.3 million, which consisted of $0.3 million in depreciation and $1.0 million in stock-based compensation. The primary use of cash was to fund our operations related to the development of our product candidates.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478"/>
        <w:spacing w:after="0" w:line="277" w:lineRule="auto"/>
        <w:rPr>
          <w:sz w:val="20"/>
          <w:szCs w:val="20"/>
          <w:color w:val="auto"/>
        </w:rPr>
      </w:pPr>
      <w:r>
        <w:rPr>
          <w:rFonts w:ascii="Arial" w:cs="Arial" w:eastAsia="Arial" w:hAnsi="Arial"/>
          <w:sz w:val="18"/>
          <w:szCs w:val="18"/>
          <w:color w:val="auto"/>
        </w:rPr>
        <w:t>During the six months ended June 30, 2021 and 2020, we used $1.4 million and $0.1 million of cash, respectively, for the purchase of property and equipment.</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the six months ended June 30, 2021, financing activities provided $162.2 million, which reflected the receipt of net cash of $161.4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the sale of common stock as well as the receipt of $0.8 million from the exercise of stock options. During the six months ended June 30, 2020,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financing activities provided $29.8 million of cash. Net cash provided by financing activities for the six months ended June 30, 2020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$29.9 million from the sale of our Series B convertible preferred stock and $31,000 of proceeds received from the exercise of stock options, offset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payments of $0.2 million for our capital lease obligation.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78"/>
        <w:spacing w:after="0" w:line="257"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120" w:firstLine="478"/>
        <w:spacing w:after="0" w:line="286" w:lineRule="auto"/>
        <w:rPr>
          <w:sz w:val="20"/>
          <w:szCs w:val="20"/>
          <w:color w:val="auto"/>
        </w:rPr>
      </w:pPr>
      <w:r>
        <w:rPr>
          <w:rFonts w:ascii="Arial" w:cs="Arial" w:eastAsia="Arial" w:hAnsi="Arial"/>
          <w:sz w:val="17"/>
          <w:szCs w:val="17"/>
          <w:color w:val="auto"/>
        </w:rPr>
        <w:t>During the three months ended June 30, 2021, there were no material changes to our critical accounting policies and estimates from those described under the heading “Management’s Discussion and Analysis of Financial Condition and Results of Operations-Critical Accounting Policies and Estimates” on our Annual Report on Form 10-K filed with the Securities and Exchange Commission on March 16,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right="80" w:firstLine="478"/>
        <w:spacing w:after="0" w:line="259"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Arial" w:cs="Arial" w:eastAsia="Arial" w:hAnsi="Arial"/>
          <w:sz w:val="15"/>
          <w:szCs w:val="15"/>
          <w:color w:val="auto"/>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60" w:firstLine="478"/>
        <w:spacing w:after="0" w:line="277" w:lineRule="auto"/>
        <w:rPr>
          <w:sz w:val="20"/>
          <w:szCs w:val="20"/>
          <w:color w:val="auto"/>
        </w:rPr>
      </w:pPr>
      <w:r>
        <w:rPr>
          <w:rFonts w:ascii="Arial" w:cs="Arial" w:eastAsia="Arial" w:hAnsi="Arial"/>
          <w:sz w:val="18"/>
          <w:szCs w:val="18"/>
          <w:color w:val="auto"/>
        </w:rPr>
        <w:t>See Note 3 to our interim financial statements included elsewhere in this Quarterly Report on Form 10-Q for a description of recent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95" w:lineRule="exact"/>
        <w:rPr>
          <w:sz w:val="20"/>
          <w:szCs w:val="20"/>
          <w:color w:val="auto"/>
        </w:rPr>
      </w:pPr>
    </w:p>
    <w:p>
      <w:pPr>
        <w:ind w:right="220" w:firstLine="478"/>
        <w:spacing w:after="0" w:line="286"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w:t>
      </w:r>
    </w:p>
    <w:p>
      <w:pPr>
        <w:spacing w:after="0" w:line="1" w:lineRule="exact"/>
        <w:rPr>
          <w:sz w:val="20"/>
          <w:szCs w:val="20"/>
          <w:color w:val="auto"/>
        </w:rPr>
      </w:pPr>
    </w:p>
    <w:p>
      <w:pPr>
        <w:ind w:right="20" w:firstLine="8"/>
        <w:spacing w:after="0" w:line="255"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90" w:lineRule="exact"/>
        <w:rPr>
          <w:sz w:val="20"/>
          <w:szCs w:val="20"/>
          <w:color w:val="auto"/>
        </w:rPr>
      </w:pPr>
    </w:p>
    <w:p>
      <w:pPr>
        <w:ind w:right="240" w:firstLine="478"/>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47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w:t>
      </w:r>
    </w:p>
    <w:p>
      <w:pPr>
        <w:spacing w:after="0" w:line="121"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As of June 30, 2021,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June 30, 2021, the design and operation of our disclosure controls and procedures were effective at a reasonable assurance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478"/>
        <w:spacing w:after="0" w:line="342" w:lineRule="auto"/>
        <w:rPr>
          <w:sz w:val="20"/>
          <w:szCs w:val="20"/>
          <w:color w:val="auto"/>
        </w:rPr>
      </w:pPr>
      <w:r>
        <w:rPr>
          <w:rFonts w:ascii="Arial" w:cs="Arial" w:eastAsia="Arial" w:hAnsi="Arial"/>
          <w:sz w:val="16"/>
          <w:szCs w:val="16"/>
          <w:color w:val="auto"/>
        </w:rPr>
        <w:t>Management determined that, as of June 30, 2021,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41"/>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on Form 10-Q,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number of risks and uncertainties, including those immediately following this summary. Some of these risks are:</w:t>
      </w:r>
    </w:p>
    <w:p>
      <w:pPr>
        <w:spacing w:after="0" w:line="117" w:lineRule="exact"/>
        <w:rPr>
          <w:sz w:val="20"/>
          <w:szCs w:val="20"/>
          <w:color w:val="auto"/>
        </w:rPr>
      </w:pPr>
    </w:p>
    <w:p>
      <w:pPr>
        <w:ind w:left="820" w:right="80" w:hanging="407"/>
        <w:spacing w:after="0" w:line="263"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clinical-stage precision oncology company with a history of operating losses, and we may not achieve or sustain profitability. We anticipate that we will continue to incur losses for the foreseeable future. Our limited operating history may make it difficult for you to evaluate our success to date and to assess our future viability.</w:t>
      </w:r>
    </w:p>
    <w:p>
      <w:pPr>
        <w:spacing w:after="0" w:line="183" w:lineRule="exact"/>
        <w:rPr>
          <w:rFonts w:ascii="Arial" w:cs="Arial" w:eastAsia="Arial" w:hAnsi="Arial"/>
          <w:sz w:val="18"/>
          <w:szCs w:val="18"/>
          <w:color w:val="auto"/>
        </w:rPr>
      </w:pPr>
    </w:p>
    <w:p>
      <w:pPr>
        <w:ind w:left="820" w:right="300" w:hanging="407"/>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outbreak of the novel strain of coronavirus, SARS-CoV-2, which causes COVID-19, could adversely impact our business, including our clinical development activities and clinical trials.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need to raise additional funding before we can expect to become profitable from any potential future sales of our products.</w:t>
      </w:r>
    </w:p>
    <w:p>
      <w:pPr>
        <w:spacing w:after="0" w:line="279" w:lineRule="exact"/>
        <w:rPr>
          <w:rFonts w:ascii="Arial" w:cs="Arial" w:eastAsia="Arial" w:hAnsi="Arial"/>
          <w:sz w:val="18"/>
          <w:szCs w:val="18"/>
          <w:color w:val="auto"/>
        </w:rPr>
      </w:pPr>
    </w:p>
    <w:p>
      <w:pPr>
        <w:ind w:left="820" w:right="380" w:hanging="407"/>
        <w:spacing w:after="0" w:line="308"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146" w:lineRule="exact"/>
        <w:rPr>
          <w:rFonts w:ascii="Arial" w:cs="Arial" w:eastAsia="Arial" w:hAnsi="Arial"/>
          <w:sz w:val="17"/>
          <w:szCs w:val="17"/>
          <w:color w:val="auto"/>
        </w:rPr>
      </w:pPr>
    </w:p>
    <w:p>
      <w:pPr>
        <w:ind w:left="820" w:right="40" w:hanging="407"/>
        <w:spacing w:after="0" w:line="263"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83"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cause undesirable and unforeseen side effects, which could delay or prevent their advancement into clinical trials or regulatory approval, limit the commercial potential or result in significant negative consequences.</w:t>
      </w:r>
    </w:p>
    <w:p>
      <w:pPr>
        <w:spacing w:after="0" w:line="170"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 possibility that our competitors may achieve regulatory approval before us or develop therapies or technologies that are more advanced or effective than ours.</w:t>
      </w:r>
    </w:p>
    <w:p>
      <w:pPr>
        <w:spacing w:after="0" w:line="170" w:lineRule="exact"/>
        <w:rPr>
          <w:rFonts w:ascii="Arial" w:cs="Arial" w:eastAsia="Arial" w:hAnsi="Arial"/>
          <w:sz w:val="18"/>
          <w:szCs w:val="18"/>
          <w:color w:val="auto"/>
        </w:rPr>
      </w:pPr>
    </w:p>
    <w:p>
      <w:pPr>
        <w:ind w:left="840" w:hanging="414"/>
        <w:spacing w:after="0"/>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third-party manufacturers to produce clinical supply of our product candidates.</w:t>
      </w:r>
    </w:p>
    <w:p>
      <w:pPr>
        <w:spacing w:after="0" w:line="279" w:lineRule="exact"/>
        <w:rPr>
          <w:rFonts w:ascii="Arial" w:cs="Arial" w:eastAsia="Arial" w:hAnsi="Arial"/>
          <w:sz w:val="18"/>
          <w:szCs w:val="18"/>
          <w:color w:val="auto"/>
        </w:rPr>
      </w:pPr>
    </w:p>
    <w:p>
      <w:pPr>
        <w:ind w:left="840" w:right="100" w:hanging="414"/>
        <w:spacing w:after="0" w:line="259"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is not sufficiently broad, our competitors could develop and commercialize products and technology similar or identical to ours, and our ability to successfully commercialize our products and technology may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48" w:lineRule="exact"/>
        <w:rPr>
          <w:sz w:val="20"/>
          <w:szCs w:val="20"/>
          <w:color w:val="auto"/>
        </w:rPr>
      </w:pPr>
    </w:p>
    <w:p>
      <w:pPr>
        <w:ind w:left="420" w:right="160"/>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103" w:lineRule="exact"/>
        <w:rPr>
          <w:sz w:val="20"/>
          <w:szCs w:val="20"/>
          <w:color w:val="auto"/>
        </w:rPr>
      </w:pPr>
    </w:p>
    <w:p>
      <w:pPr>
        <w:ind w:right="20" w:firstLine="416"/>
        <w:spacing w:after="0" w:line="272" w:lineRule="auto"/>
        <w:rPr>
          <w:sz w:val="20"/>
          <w:szCs w:val="20"/>
          <w:color w:val="auto"/>
        </w:rPr>
      </w:pPr>
      <w:r>
        <w:rPr>
          <w:rFonts w:ascii="Arial" w:cs="Arial" w:eastAsia="Arial" w:hAnsi="Arial"/>
          <w:sz w:val="17"/>
          <w:szCs w:val="17"/>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and predictions about our future success or viability may not be as accurate as they could be if we had a longer operating history or a history of successfully developing and commercializing cancer therapies. For the six months June 30, 2021 and 2020, we reported a net loss of $48.2 million and $20.9 million, respectively. As of June 30, 2021, we had an accumulated deficit of $155.6 million. We expect to continue to incur significant research and development and other expenses related to our ongoing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140" w:firstLine="416"/>
        <w:spacing w:after="0" w:line="279" w:lineRule="auto"/>
        <w:rPr>
          <w:sz w:val="20"/>
          <w:szCs w:val="20"/>
          <w:color w:val="auto"/>
        </w:rPr>
      </w:pPr>
      <w:r>
        <w:rPr>
          <w:rFonts w:ascii="Arial" w:cs="Arial" w:eastAsia="Arial" w:hAnsi="Arial"/>
          <w:sz w:val="17"/>
          <w:szCs w:val="17"/>
          <w:color w:val="auto"/>
        </w:rPr>
        <w:t>Since our inception, we have focused substantially all of our efforts and financial resources on the research, preclinical and clinical development of our product candidates, PRT543, PRT811 and PRT1419, and our research efforts on other potential product candidates targeting Protein Arginine Methyltransferase 5, or PRMT5, Myeloid Cell Leukemia Sequence 1, or MCL1, Cyclin-dependent kinase 9, or CDK9, and Brahma homologue, or BRM, otherwise known as SMARCA2. As of June 30, 2021, our cash and cash equivalents were $343.1 million.</w:t>
      </w:r>
    </w:p>
    <w:p>
      <w:pPr>
        <w:spacing w:after="0" w:line="185"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expect to incur increasing levels of operating losses for the foreseeable future, particularly as we advance PRT543, PRT811 and PRT1419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planned expansion cohorts of PRT543 and PRT811, the ongoing Phase 1 clinical trial for oral PRT1419 and development and subsequent INDs of other future product candidates we may choose to pursue, including IV PRT1419, PRT2527, our CDK9 inhibitor, a SMARCA2 protein degrader and a kinase inhibitor. In addition, if we obtain marketing approval for PRT543, PRT811, PRT1419 or another product candidate, we will incur significant sales, marketing and outsourced manufacturing expenses in connection with the commercialization of PRT543, PRT811, PRT1419 or such other product candidate, respectively.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4"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or another product candidate. Our ability to generate revenue depends on a number of factors, including, but not limited to, our ability to:</w:t>
      </w:r>
    </w:p>
    <w:p>
      <w:pPr>
        <w:spacing w:after="0" w:line="92" w:lineRule="exact"/>
        <w:rPr>
          <w:sz w:val="20"/>
          <w:szCs w:val="20"/>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successful Phase 1 portions of PRT543, PRT811 and PRT1419 clinical trials;</w:t>
      </w:r>
    </w:p>
    <w:p>
      <w:pPr>
        <w:spacing w:after="0" w:line="130" w:lineRule="exact"/>
        <w:rPr>
          <w:rFonts w:ascii="Arial" w:cs="Arial" w:eastAsia="Arial" w:hAnsi="Arial"/>
          <w:sz w:val="18"/>
          <w:szCs w:val="18"/>
          <w:color w:val="auto"/>
        </w:rPr>
      </w:pPr>
    </w:p>
    <w:p>
      <w:pPr>
        <w:ind w:left="820" w:right="280" w:hanging="407"/>
        <w:spacing w:after="0" w:line="311"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solid tumors and hematological malignancies;</w:t>
      </w:r>
    </w:p>
    <w:p>
      <w:pPr>
        <w:spacing w:after="0" w:line="54" w:lineRule="exact"/>
        <w:rPr>
          <w:rFonts w:ascii="Arial" w:cs="Arial" w:eastAsia="Arial" w:hAnsi="Arial"/>
          <w:sz w:val="16"/>
          <w:szCs w:val="16"/>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44"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obtain favorable results from our clinical trials and apply for and obtain marketing approval for PRT543, PRT811 and PRT1419;</w:t>
      </w:r>
    </w:p>
    <w:p>
      <w:pPr>
        <w:spacing w:after="0" w:line="144"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manufacture or contract with others to manufacture PRT543, PRT811, PRT1419 and our other product candidates;</w:t>
      </w:r>
    </w:p>
    <w:p>
      <w:pPr>
        <w:spacing w:after="0" w:line="130" w:lineRule="exact"/>
        <w:rPr>
          <w:rFonts w:ascii="Arial" w:cs="Arial" w:eastAsia="Arial" w:hAnsi="Arial"/>
          <w:sz w:val="18"/>
          <w:szCs w:val="18"/>
          <w:color w:val="auto"/>
        </w:rPr>
      </w:pPr>
    </w:p>
    <w:p>
      <w:pPr>
        <w:ind w:left="820" w:right="200" w:hanging="407"/>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commercialize PRT543, PRT811, PRT1419, if approved, respectively, by building a sales force or entering into collaborations with third parties;</w:t>
      </w:r>
    </w:p>
    <w:p>
      <w:pPr>
        <w:spacing w:after="0" w:line="75"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 INDs for PRT2527 and the SMARCA2 protein degrader that are made effective by the U.S.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Food and Drug Administration, or the FDA;</w:t>
      </w:r>
    </w:p>
    <w:p>
      <w:pPr>
        <w:spacing w:after="0" w:line="130"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 and</w:t>
      </w:r>
    </w:p>
    <w:p>
      <w:pPr>
        <w:spacing w:after="0" w:line="144" w:lineRule="exact"/>
        <w:rPr>
          <w:rFonts w:ascii="Arial" w:cs="Arial" w:eastAsia="Arial" w:hAnsi="Arial"/>
          <w:sz w:val="18"/>
          <w:szCs w:val="18"/>
          <w:color w:val="auto"/>
        </w:rPr>
      </w:pPr>
    </w:p>
    <w:p>
      <w:pPr>
        <w:ind w:left="820" w:right="180" w:hanging="407"/>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market acceptance of PRT543, PRT811, PRT1419 and our other successful product candidates with the medical community and with third-party payors.</w:t>
      </w:r>
    </w:p>
    <w:p>
      <w:pPr>
        <w:spacing w:after="0" w:line="197" w:lineRule="exact"/>
        <w:rPr>
          <w:sz w:val="20"/>
          <w:szCs w:val="20"/>
          <w:color w:val="auto"/>
        </w:rPr>
      </w:pPr>
    </w:p>
    <w:p>
      <w:pPr>
        <w:ind w:right="180" w:firstLine="416"/>
        <w:spacing w:after="0" w:line="273"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ind w:right="100" w:firstLine="416"/>
        <w:spacing w:after="0" w:line="275"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6" w:lineRule="exact"/>
        <w:rPr>
          <w:sz w:val="20"/>
          <w:szCs w:val="20"/>
          <w:color w:val="auto"/>
        </w:rPr>
      </w:pPr>
    </w:p>
    <w:p>
      <w:pPr>
        <w:ind w:right="100" w:firstLine="416"/>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76"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1" w:lineRule="exact"/>
        <w:rPr>
          <w:sz w:val="20"/>
          <w:szCs w:val="20"/>
          <w:color w:val="auto"/>
        </w:rPr>
      </w:pPr>
    </w:p>
    <w:p>
      <w:pPr>
        <w:ind w:left="420" w:right="42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76"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advance our product candidates, PRT543, PRT811 and PRT1419, and other pipeline product candidates through clinical development, and seek to design additional product candidates from our discovery programs. We expect increased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85" w:lineRule="exact"/>
        <w:rPr>
          <w:sz w:val="20"/>
          <w:szCs w:val="20"/>
          <w:color w:val="auto"/>
        </w:rPr>
      </w:pPr>
    </w:p>
    <w:p>
      <w:pPr>
        <w:ind w:right="200" w:firstLine="416"/>
        <w:spacing w:after="0" w:line="279" w:lineRule="auto"/>
        <w:rPr>
          <w:sz w:val="20"/>
          <w:szCs w:val="20"/>
          <w:color w:val="auto"/>
        </w:rPr>
      </w:pPr>
      <w:r>
        <w:rPr>
          <w:rFonts w:ascii="Arial" w:cs="Arial" w:eastAsia="Arial" w:hAnsi="Arial"/>
          <w:sz w:val="17"/>
          <w:szCs w:val="17"/>
          <w:color w:val="auto"/>
        </w:rPr>
        <w:t>We believe that our existing cash and cash equivalents will enable us to fund our operating expenses, and capital expenditure requirements into mid-2023.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77"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progress, timing and results of preclinical studies and clinical trials for our current or any future product candidates;</w:t>
      </w:r>
    </w:p>
    <w:p>
      <w:pPr>
        <w:spacing w:after="0" w:line="117"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17" w:lineRule="exact"/>
        <w:rPr>
          <w:rFonts w:ascii="Arial" w:cs="Arial" w:eastAsia="Arial" w:hAnsi="Arial"/>
          <w:sz w:val="18"/>
          <w:szCs w:val="18"/>
          <w:color w:val="auto"/>
        </w:rPr>
      </w:pPr>
    </w:p>
    <w:p>
      <w:pPr>
        <w:ind w:left="820" w:right="42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820" w:right="68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62"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8"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820" w:right="60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and distribution capabilities;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17" w:lineRule="exact"/>
        <w:rPr>
          <w:rFonts w:ascii="Arial" w:cs="Arial" w:eastAsia="Arial" w:hAnsi="Arial"/>
          <w:sz w:val="18"/>
          <w:szCs w:val="18"/>
          <w:color w:val="auto"/>
        </w:rPr>
      </w:pPr>
    </w:p>
    <w:p>
      <w:pPr>
        <w:ind w:left="820" w:right="44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PRT543, PRT811, PRT1419, or PRT2527 if any are approved, or our other pipeline product candidates that receive marketing approval;</w:t>
      </w:r>
    </w:p>
    <w:p>
      <w:pPr>
        <w:spacing w:after="0" w:line="62" w:lineRule="exact"/>
        <w:rPr>
          <w:rFonts w:ascii="Arial" w:cs="Arial" w:eastAsia="Arial" w:hAnsi="Arial"/>
          <w:sz w:val="18"/>
          <w:szCs w:val="18"/>
          <w:color w:val="auto"/>
        </w:rPr>
      </w:pPr>
    </w:p>
    <w:p>
      <w:pPr>
        <w:ind w:left="820" w:right="480" w:hanging="407"/>
        <w:spacing w:after="0" w:line="342"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15" w:lineRule="exact"/>
        <w:rPr>
          <w:rFonts w:ascii="Arial" w:cs="Arial" w:eastAsia="Arial" w:hAnsi="Arial"/>
          <w:sz w:val="16"/>
          <w:szCs w:val="16"/>
          <w:color w:val="auto"/>
        </w:rPr>
      </w:pPr>
    </w:p>
    <w:p>
      <w:pPr>
        <w:ind w:left="820" w:right="8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62" w:lineRule="exact"/>
        <w:rPr>
          <w:rFonts w:ascii="Arial" w:cs="Arial" w:eastAsia="Arial" w:hAnsi="Arial"/>
          <w:sz w:val="18"/>
          <w:szCs w:val="18"/>
          <w:color w:val="auto"/>
        </w:rPr>
      </w:pPr>
    </w:p>
    <w:p>
      <w:pPr>
        <w:jc w:val="both"/>
        <w:ind w:left="820" w:right="60" w:hanging="407"/>
        <w:spacing w:after="0" w:line="311"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PRT543, PRT811, PRT1419, PRT2527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49" w:lineRule="exact"/>
        <w:rPr>
          <w:sz w:val="20"/>
          <w:szCs w:val="20"/>
          <w:color w:val="auto"/>
        </w:rPr>
      </w:pPr>
    </w:p>
    <w:p>
      <w:pPr>
        <w:ind w:right="100" w:firstLine="416"/>
        <w:spacing w:after="0" w:line="273" w:lineRule="auto"/>
        <w:rPr>
          <w:sz w:val="20"/>
          <w:szCs w:val="20"/>
          <w:color w:val="auto"/>
        </w:rPr>
      </w:pPr>
      <w:r>
        <w:rPr>
          <w:rFonts w:ascii="Arial" w:cs="Arial" w:eastAsia="Arial" w:hAnsi="Arial"/>
          <w:sz w:val="17"/>
          <w:szCs w:val="17"/>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72" w:lineRule="exact"/>
        <w:rPr>
          <w:sz w:val="20"/>
          <w:szCs w:val="20"/>
          <w:color w:val="auto"/>
        </w:rPr>
      </w:pPr>
    </w:p>
    <w:p>
      <w:pPr>
        <w:ind w:left="420" w:right="1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60" w:firstLine="416"/>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7" w:lineRule="exact"/>
        <w:rPr>
          <w:sz w:val="20"/>
          <w:szCs w:val="20"/>
          <w:color w:val="auto"/>
        </w:rPr>
      </w:pPr>
    </w:p>
    <w:p>
      <w:pPr>
        <w:ind w:right="60" w:firstLine="416"/>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Design and Development of our Product Candidates</w:t>
      </w:r>
    </w:p>
    <w:p>
      <w:pPr>
        <w:spacing w:after="0" w:line="121" w:lineRule="exact"/>
        <w:rPr>
          <w:sz w:val="20"/>
          <w:szCs w:val="20"/>
          <w:color w:val="auto"/>
        </w:rPr>
      </w:pPr>
    </w:p>
    <w:p>
      <w:pPr>
        <w:jc w:val="both"/>
        <w:ind w:left="420" w:right="60"/>
        <w:spacing w:after="0" w:line="311" w:lineRule="auto"/>
        <w:rPr>
          <w:sz w:val="20"/>
          <w:szCs w:val="20"/>
          <w:color w:val="auto"/>
        </w:rPr>
      </w:pPr>
      <w:r>
        <w:rPr>
          <w:rFonts w:ascii="Arial" w:cs="Arial" w:eastAsia="Arial" w:hAnsi="Arial"/>
          <w:sz w:val="16"/>
          <w:szCs w:val="16"/>
          <w:b w:val="1"/>
          <w:bCs w:val="1"/>
          <w:i w:val="1"/>
          <w:iCs w:val="1"/>
          <w:color w:val="auto"/>
        </w:rPr>
        <w:t>We are highly dependent on the success of our product candidates, PRT543, PRT811 and PRT1419, which are in early clinical development, and PRT2527, which is in preclinical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14"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Our future success is highly dependent on our ability to obtain regulatory approval for, and then successfully commercialize, our product candidates, PRT543, PRT811 and PRT1419. We are early in our development efforts and our lead product candidates, PRT543, PRT811 and PRT1419, are each currently in a Phase 1 clinical trial. Our other product candidates, including PRT2527, are in earlier stages of development. We currently have no products that are approved for sale in any jurisdiction. There can be no assurance that PRT543, PRT811, PRT1419, PRT2527 or our other product candidates in development will achieve success in their clinical trials or obtain regulatory approval.</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280" w:firstLine="416"/>
        <w:spacing w:after="0" w:line="286" w:lineRule="auto"/>
        <w:rPr>
          <w:sz w:val="20"/>
          <w:szCs w:val="20"/>
          <w:color w:val="auto"/>
        </w:rPr>
      </w:pPr>
      <w:r>
        <w:rPr>
          <w:rFonts w:ascii="Arial" w:cs="Arial" w:eastAsia="Arial" w:hAnsi="Arial"/>
          <w:sz w:val="17"/>
          <w:szCs w:val="17"/>
          <w:color w:val="auto"/>
        </w:rPr>
        <w:t>Our ability to generate product revenues, which we do not expect will occur for many years, if ever, will depend heavily on the successful development and eventual commercialization of PRT543, PRT811, PRT1419, PRT2527 or other product candidates in development. The success of our product candidates, including PRT543, PRT811, PRT1419 and PRT2527, will depend on several factors, including the following:</w:t>
      </w:r>
    </w:p>
    <w:p>
      <w:pPr>
        <w:spacing w:after="0" w:line="30"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INDs by the FDA or other similar clinical trial applications from foreign regulatory authorities for our future clinical trials for our pipeline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17"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w:t>
      </w:r>
    </w:p>
    <w:p>
      <w:pPr>
        <w:spacing w:after="0" w:line="3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ability, or that of our collaborators, to develop and obtain clearance or approval of companion diagnostics, on a timely basis, or at all;</w:t>
      </w:r>
    </w:p>
    <w:p>
      <w:pPr>
        <w:spacing w:after="0" w:line="102" w:lineRule="exact"/>
        <w:rPr>
          <w:sz w:val="20"/>
          <w:szCs w:val="20"/>
          <w:color w:val="auto"/>
        </w:rPr>
      </w:pPr>
    </w:p>
    <w:p>
      <w:pPr>
        <w:ind w:left="820" w:right="52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13" w:lineRule="exact"/>
        <w:rPr>
          <w:rFonts w:ascii="Arial" w:cs="Arial" w:eastAsia="Arial" w:hAnsi="Arial"/>
          <w:sz w:val="16"/>
          <w:szCs w:val="16"/>
          <w:color w:val="auto"/>
        </w:rPr>
      </w:pPr>
    </w:p>
    <w:p>
      <w:pPr>
        <w:ind w:left="820" w:right="14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w:t>
      </w:r>
    </w:p>
    <w:p>
      <w:pPr>
        <w:spacing w:after="0" w:line="117" w:lineRule="exact"/>
        <w:rPr>
          <w:rFonts w:ascii="Arial" w:cs="Arial" w:eastAsia="Arial" w:hAnsi="Arial"/>
          <w:sz w:val="18"/>
          <w:szCs w:val="18"/>
          <w:color w:val="auto"/>
        </w:rPr>
      </w:pPr>
    </w:p>
    <w:p>
      <w:pPr>
        <w:ind w:left="820" w:right="4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220" w:firstLine="416"/>
        <w:spacing w:after="0" w:line="301" w:lineRule="auto"/>
        <w:rPr>
          <w:sz w:val="20"/>
          <w:szCs w:val="20"/>
          <w:color w:val="auto"/>
        </w:rPr>
      </w:pPr>
      <w:r>
        <w:rPr>
          <w:rFonts w:ascii="Arial" w:cs="Arial" w:eastAsia="Arial" w:hAnsi="Arial"/>
          <w:sz w:val="16"/>
          <w:szCs w:val="16"/>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PRT543, PRT811 or PRT1419, vary adversely from our expectations.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Drug development involves a lengthy and expensive process, and clinical testing is uncertain as to the outcome.</w:t>
      </w:r>
    </w:p>
    <w:p>
      <w:pPr>
        <w:spacing w:after="0" w:line="117"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176" w:lineRule="exact"/>
        <w:rPr>
          <w:sz w:val="20"/>
          <w:szCs w:val="20"/>
          <w:color w:val="auto"/>
        </w:rPr>
      </w:pPr>
    </w:p>
    <w:p>
      <w:pPr>
        <w:ind w:right="120" w:firstLine="416"/>
        <w:spacing w:after="0" w:line="255" w:lineRule="auto"/>
        <w:rPr>
          <w:sz w:val="20"/>
          <w:szCs w:val="20"/>
          <w:color w:val="auto"/>
        </w:rPr>
      </w:pPr>
      <w:r>
        <w:rPr>
          <w:rFonts w:ascii="Arial" w:cs="Arial" w:eastAsia="Arial" w:hAnsi="Arial"/>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spacing w:after="0" w:line="254" w:lineRule="auto"/>
        <w:rPr>
          <w:sz w:val="20"/>
          <w:szCs w:val="20"/>
          <w:color w:val="auto"/>
        </w:rPr>
      </w:pPr>
      <w:r>
        <w:rPr>
          <w:rFonts w:ascii="Arial" w:cs="Arial" w:eastAsia="Arial" w:hAnsi="Arial"/>
          <w:sz w:val="18"/>
          <w:szCs w:val="18"/>
          <w:color w:val="auto"/>
        </w:rPr>
        <w:t>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286"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and/or commercialization of PRT543, PRT811, PRT1419, PRT2527 or our other product candidates.</w:t>
      </w:r>
    </w:p>
    <w:p>
      <w:pPr>
        <w:spacing w:after="0" w:line="62" w:lineRule="exact"/>
        <w:rPr>
          <w:sz w:val="20"/>
          <w:szCs w:val="20"/>
          <w:color w:val="auto"/>
        </w:rPr>
      </w:pPr>
    </w:p>
    <w:p>
      <w:pPr>
        <w:ind w:right="160" w:firstLine="416"/>
        <w:spacing w:after="0" w:line="263" w:lineRule="auto"/>
        <w:rPr>
          <w:sz w:val="20"/>
          <w:szCs w:val="20"/>
          <w:color w:val="auto"/>
        </w:rPr>
      </w:pPr>
      <w:r>
        <w:rPr>
          <w:rFonts w:ascii="Arial" w:cs="Arial" w:eastAsia="Arial" w:hAnsi="Arial"/>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84" w:lineRule="exact"/>
        <w:rPr>
          <w:sz w:val="20"/>
          <w:szCs w:val="20"/>
          <w:color w:val="auto"/>
        </w:rPr>
      </w:pPr>
    </w:p>
    <w:p>
      <w:pPr>
        <w:ind w:right="240" w:firstLine="416"/>
        <w:spacing w:after="0" w:line="277" w:lineRule="auto"/>
        <w:rPr>
          <w:sz w:val="20"/>
          <w:szCs w:val="20"/>
          <w:color w:val="auto"/>
        </w:rPr>
      </w:pPr>
      <w:r>
        <w:rPr>
          <w:rFonts w:ascii="Arial" w:cs="Arial" w:eastAsia="Arial" w:hAnsi="Arial"/>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70" w:lineRule="exact"/>
        <w:rPr>
          <w:sz w:val="20"/>
          <w:szCs w:val="20"/>
          <w:color w:val="auto"/>
        </w:rPr>
      </w:pPr>
    </w:p>
    <w:p>
      <w:pPr>
        <w:jc w:val="both"/>
        <w:ind w:right="80" w:firstLine="416"/>
        <w:spacing w:after="0" w:line="263" w:lineRule="auto"/>
        <w:rPr>
          <w:sz w:val="20"/>
          <w:szCs w:val="20"/>
          <w:color w:val="auto"/>
        </w:rPr>
      </w:pPr>
      <w:r>
        <w:rPr>
          <w:rFonts w:ascii="Arial" w:cs="Arial" w:eastAsia="Arial" w:hAnsi="Arial"/>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76" w:lineRule="exact"/>
        <w:rPr>
          <w:sz w:val="20"/>
          <w:szCs w:val="20"/>
          <w:color w:val="auto"/>
        </w:rPr>
      </w:pPr>
    </w:p>
    <w:p>
      <w:pPr>
        <w:ind w:left="820" w:right="54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20" w:right="18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 or with our recommended Phase 2 doses for any of our pipeline programs;</w:t>
      </w:r>
    </w:p>
    <w:p>
      <w:pPr>
        <w:spacing w:after="0" w:line="62" w:lineRule="exact"/>
        <w:rPr>
          <w:rFonts w:ascii="Arial" w:cs="Arial" w:eastAsia="Arial" w:hAnsi="Arial"/>
          <w:sz w:val="18"/>
          <w:szCs w:val="18"/>
          <w:color w:val="auto"/>
        </w:rPr>
      </w:pPr>
    </w:p>
    <w:p>
      <w:pPr>
        <w:ind w:left="820" w:right="64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62" w:lineRule="exact"/>
        <w:rPr>
          <w:rFonts w:ascii="Arial" w:cs="Arial" w:eastAsia="Arial" w:hAnsi="Arial"/>
          <w:sz w:val="18"/>
          <w:szCs w:val="18"/>
          <w:color w:val="auto"/>
        </w:rPr>
      </w:pPr>
    </w:p>
    <w:p>
      <w:pPr>
        <w:ind w:left="820" w:right="4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820" w:right="100" w:hanging="407"/>
        <w:spacing w:after="0" w:line="25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8" w:lineRule="exact"/>
        <w:rPr>
          <w:rFonts w:ascii="Arial" w:cs="Arial" w:eastAsia="Arial" w:hAnsi="Arial"/>
          <w:sz w:val="18"/>
          <w:szCs w:val="18"/>
          <w:color w:val="auto"/>
        </w:rPr>
      </w:pPr>
    </w:p>
    <w:p>
      <w:pPr>
        <w:ind w:left="820" w:right="16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for clinical trial participants from investigational and approved therapies may make it more difficult to enroll patients in our clinical trials;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difficulties in maintaining contact with patients after treatment, resulting in incomplete data;</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or third-party collaborators may fail to obtain regulatory approval of companion diagnostic tests, if required, on a timely basis, or at all;</w:t>
      </w:r>
    </w:p>
    <w:p>
      <w:pPr>
        <w:spacing w:after="0" w:line="128" w:lineRule="exact"/>
        <w:rPr>
          <w:rFonts w:ascii="Arial" w:cs="Arial" w:eastAsia="Arial" w:hAnsi="Arial"/>
          <w:sz w:val="17"/>
          <w:szCs w:val="17"/>
          <w:color w:val="auto"/>
        </w:rPr>
      </w:pPr>
    </w:p>
    <w:p>
      <w:pPr>
        <w:ind w:left="820" w:right="70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62"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62" w:lineRule="exact"/>
        <w:rPr>
          <w:rFonts w:ascii="Arial" w:cs="Arial" w:eastAsia="Arial" w:hAnsi="Arial"/>
          <w:sz w:val="18"/>
          <w:szCs w:val="18"/>
          <w:color w:val="auto"/>
        </w:rPr>
      </w:pPr>
    </w:p>
    <w:p>
      <w:pPr>
        <w:ind w:left="820" w:right="20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have undesirable or unexpected side effects or other unexpected characteristics, causing us or our investigators, regulators or IRBs/ECs to suspend or terminate the trials;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for our product candidates may be greater than we anticipate;</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17" w:lineRule="exact"/>
        <w:rPr>
          <w:rFonts w:ascii="Arial" w:cs="Arial" w:eastAsia="Arial" w:hAnsi="Arial"/>
          <w:sz w:val="18"/>
          <w:szCs w:val="18"/>
          <w:color w:val="auto"/>
        </w:rPr>
      </w:pPr>
    </w:p>
    <w:p>
      <w:pPr>
        <w:ind w:left="820" w:right="64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62"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70"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36"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24"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35"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60" w:lineRule="exact"/>
        <w:rPr>
          <w:sz w:val="20"/>
          <w:szCs w:val="20"/>
          <w:color w:val="auto"/>
        </w:rPr>
      </w:pPr>
    </w:p>
    <w:p>
      <w:pPr>
        <w:ind w:left="840" w:hanging="42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90" w:lineRule="exact"/>
        <w:rPr>
          <w:rFonts w:ascii="Arial" w:cs="Arial" w:eastAsia="Arial" w:hAnsi="Arial"/>
          <w:sz w:val="18"/>
          <w:szCs w:val="18"/>
          <w:color w:val="auto"/>
        </w:rPr>
      </w:pPr>
    </w:p>
    <w:p>
      <w:pPr>
        <w:ind w:left="840" w:right="100" w:hanging="427"/>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35" w:lineRule="exact"/>
        <w:rPr>
          <w:rFonts w:ascii="Arial" w:cs="Arial" w:eastAsia="Arial" w:hAnsi="Arial"/>
          <w:sz w:val="18"/>
          <w:szCs w:val="18"/>
          <w:color w:val="auto"/>
        </w:rPr>
      </w:pPr>
    </w:p>
    <w:p>
      <w:pPr>
        <w:ind w:left="840" w:hanging="42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90"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invasive procedures required to enroll patients and to obtain evidence of the product candidate’s performance during the clinical trial;</w:t>
      </w:r>
    </w:p>
    <w:p>
      <w:pPr>
        <w:spacing w:after="0" w:line="102" w:lineRule="exact"/>
        <w:rPr>
          <w:sz w:val="20"/>
          <w:szCs w:val="20"/>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9" w:name="page30"/>
    <w:bookmarkEnd w:id="29"/>
    <w:p>
      <w:pPr>
        <w:jc w:val="both"/>
        <w:ind w:right="520" w:firstLine="416"/>
        <w:spacing w:after="0" w:line="286"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7" w:lineRule="exact"/>
        <w:rPr>
          <w:sz w:val="20"/>
          <w:szCs w:val="20"/>
          <w:color w:val="auto"/>
        </w:rPr>
      </w:pPr>
    </w:p>
    <w:p>
      <w:pPr>
        <w:ind w:right="60" w:firstLine="416"/>
        <w:spacing w:after="0" w:line="308" w:lineRule="auto"/>
        <w:rPr>
          <w:sz w:val="20"/>
          <w:szCs w:val="20"/>
          <w:color w:val="auto"/>
        </w:rPr>
      </w:pPr>
      <w:r>
        <w:rPr>
          <w:rFonts w:ascii="Arial" w:cs="Arial" w:eastAsia="Arial" w:hAnsi="Arial"/>
          <w:sz w:val="17"/>
          <w:szCs w:val="17"/>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38" w:lineRule="exact"/>
        <w:rPr>
          <w:sz w:val="20"/>
          <w:szCs w:val="20"/>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clinical trials;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40" w:right="260" w:hanging="427"/>
        <w:spacing w:after="0" w:line="277"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17" w:lineRule="exact"/>
        <w:rPr>
          <w:rFonts w:ascii="Arial" w:cs="Arial" w:eastAsia="Arial" w:hAnsi="Arial"/>
          <w:sz w:val="18"/>
          <w:szCs w:val="18"/>
          <w:color w:val="auto"/>
        </w:rPr>
      </w:pPr>
    </w:p>
    <w:p>
      <w:pPr>
        <w:ind w:left="840" w:right="320" w:hanging="427"/>
        <w:spacing w:after="0" w:line="277"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840" w:right="400" w:hanging="427"/>
        <w:spacing w:after="0" w:line="263"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75" w:lineRule="exact"/>
        <w:rPr>
          <w:rFonts w:ascii="Arial" w:cs="Arial" w:eastAsia="Arial" w:hAnsi="Arial"/>
          <w:sz w:val="18"/>
          <w:szCs w:val="18"/>
          <w:color w:val="auto"/>
        </w:rPr>
      </w:pPr>
    </w:p>
    <w:p>
      <w:pPr>
        <w:ind w:left="840" w:right="420" w:hanging="427"/>
        <w:spacing w:after="0" w:line="277"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raw material supply or manufacturing capabilities domestically and abroad;</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840" w:right="200" w:hanging="427"/>
        <w:spacing w:after="0" w:line="277"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our</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clinical trials are conducted, which may result in unexpected costs, delays, or to discontinue the clinical trials altogether;</w:t>
      </w:r>
    </w:p>
    <w:p>
      <w:pPr>
        <w:spacing w:after="0" w:line="103" w:lineRule="exact"/>
        <w:rPr>
          <w:sz w:val="20"/>
          <w:szCs w:val="20"/>
          <w:color w:val="auto"/>
        </w:rPr>
      </w:pPr>
    </w:p>
    <w:p>
      <w:pPr>
        <w:ind w:left="840" w:right="260" w:hanging="427"/>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840" w:right="740" w:hanging="427"/>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regulatory authorities such as FDA or European Medicines Agency, or EMA, to accept data from clinical trials in affected geographies; and</w:t>
      </w:r>
    </w:p>
    <w:p>
      <w:pPr>
        <w:spacing w:after="0" w:line="62" w:lineRule="exact"/>
        <w:rPr>
          <w:rFonts w:ascii="Arial" w:cs="Arial" w:eastAsia="Arial" w:hAnsi="Arial"/>
          <w:sz w:val="18"/>
          <w:szCs w:val="18"/>
          <w:color w:val="auto"/>
        </w:rPr>
      </w:pPr>
    </w:p>
    <w:p>
      <w:pPr>
        <w:ind w:left="840" w:hanging="427"/>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0" w:lineRule="exact"/>
        <w:rPr>
          <w:sz w:val="20"/>
          <w:szCs w:val="20"/>
          <w:color w:val="auto"/>
        </w:rPr>
      </w:pPr>
    </w:p>
    <w:p>
      <w:pPr>
        <w:ind w:firstLine="416"/>
        <w:spacing w:after="0" w:line="291"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COVID-19 on our studies and current timelines. Measures we have taken in response to COVID-19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spacing w:after="0" w:line="291" w:lineRule="auto"/>
        <w:rPr>
          <w:sz w:val="20"/>
          <w:szCs w:val="20"/>
          <w:color w:val="auto"/>
        </w:rPr>
      </w:pPr>
      <w:r>
        <w:rPr>
          <w:rFonts w:ascii="Arial" w:cs="Arial" w:eastAsia="Arial" w:hAnsi="Arial"/>
          <w:sz w:val="16"/>
          <w:szCs w:val="16"/>
          <w:color w:val="auto"/>
        </w:rPr>
        <w:t>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15" w:lineRule="exact"/>
        <w:rPr>
          <w:sz w:val="20"/>
          <w:szCs w:val="20"/>
          <w:color w:val="auto"/>
        </w:rPr>
      </w:pPr>
    </w:p>
    <w:p>
      <w:pPr>
        <w:ind w:left="420" w:right="40"/>
        <w:spacing w:after="0" w:line="286"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PRT543, PRT811, PRT1419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219"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21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Additionally, due to the high mortality rates of the cancers for which we are initially pursuing development and the pretreated nature of many patients in our ongoing clinical trials of PRT543, PRT811 and PRT1419, a material percentage of patients in these clinical trials may die during a trial, which could impact development of PRT543, PRT811 and PRT1419,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205"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77"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8"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2" w:lineRule="exact"/>
        <w:rPr>
          <w:sz w:val="20"/>
          <w:szCs w:val="20"/>
          <w:color w:val="auto"/>
        </w:rPr>
      </w:pPr>
    </w:p>
    <w:p>
      <w:pPr>
        <w:ind w:left="840" w:hanging="427"/>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left="840" w:right="180" w:hanging="427"/>
        <w:spacing w:after="0" w:line="342" w:lineRule="auto"/>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840" w:right="80" w:hanging="427"/>
        <w:spacing w:after="0" w:line="277"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840" w:right="560" w:hanging="427"/>
        <w:spacing w:after="0" w:line="277"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920" w:firstLine="41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65" w:lineRule="exact"/>
        <w:rPr>
          <w:sz w:val="20"/>
          <w:szCs w:val="20"/>
          <w:color w:val="auto"/>
        </w:rPr>
      </w:pPr>
    </w:p>
    <w:p>
      <w:pPr>
        <w:ind w:left="420" w:right="320"/>
        <w:spacing w:after="0" w:line="342" w:lineRule="auto"/>
        <w:rPr>
          <w:sz w:val="20"/>
          <w:szCs w:val="20"/>
          <w:color w:val="auto"/>
        </w:rPr>
      </w:pPr>
      <w:r>
        <w:rPr>
          <w:rFonts w:ascii="Arial" w:cs="Arial" w:eastAsia="Arial" w:hAnsi="Arial"/>
          <w:sz w:val="16"/>
          <w:szCs w:val="16"/>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30"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or PRT1419, or any other product candidates may be harmed, which could harm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ind w:left="420" w:right="5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2"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successful in our efforts to design additional potential product candidates.</w:t>
      </w:r>
    </w:p>
    <w:p>
      <w:pPr>
        <w:spacing w:after="0" w:line="90" w:lineRule="exact"/>
        <w:rPr>
          <w:sz w:val="20"/>
          <w:szCs w:val="20"/>
          <w:color w:val="auto"/>
        </w:rPr>
      </w:pPr>
    </w:p>
    <w:p>
      <w:pPr>
        <w:ind w:right="20" w:firstLine="416"/>
        <w:spacing w:after="0" w:line="296" w:lineRule="auto"/>
        <w:rPr>
          <w:sz w:val="20"/>
          <w:szCs w:val="20"/>
          <w:color w:val="auto"/>
        </w:rPr>
      </w:pPr>
      <w:r>
        <w:rPr>
          <w:rFonts w:ascii="Arial" w:cs="Arial" w:eastAsia="Arial" w:hAnsi="Arial"/>
          <w:sz w:val="16"/>
          <w:szCs w:val="16"/>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26"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target selection methodology used may not be successful in identifying potential product candidates;</w:t>
      </w:r>
    </w:p>
    <w:p>
      <w:pPr>
        <w:spacing w:after="0" w:line="76"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are unlikely to be drugs that will obtain marketing approval or achieve market acceptance; or</w:t>
      </w:r>
    </w:p>
    <w:p>
      <w:pPr>
        <w:spacing w:after="0" w:line="62" w:lineRule="exact"/>
        <w:rPr>
          <w:sz w:val="20"/>
          <w:szCs w:val="20"/>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212"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420" w:right="540"/>
        <w:spacing w:after="0" w:line="342" w:lineRule="auto"/>
        <w:rPr>
          <w:sz w:val="20"/>
          <w:szCs w:val="20"/>
          <w:color w:val="auto"/>
        </w:rPr>
      </w:pPr>
      <w:r>
        <w:rPr>
          <w:rFonts w:ascii="Arial" w:cs="Arial" w:eastAsia="Arial" w:hAnsi="Arial"/>
          <w:sz w:val="16"/>
          <w:szCs w:val="16"/>
          <w:b w:val="1"/>
          <w:bCs w:val="1"/>
          <w:i w:val="1"/>
          <w:iCs w:val="1"/>
          <w:color w:val="auto"/>
        </w:rPr>
        <w:t>The development and commercialization of pharmaceutical products are subject to extensive regulation, and we may not obtain regulatory approvals for PRT543, PRT811, PRT1419, PRT2527 or any other product candidates, on a timely basis or at all.</w:t>
      </w:r>
    </w:p>
    <w:p>
      <w:pPr>
        <w:spacing w:after="0" w:line="16"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and PRT1419,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7"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ind w:right="20"/>
        <w:spacing w:after="0" w:line="301" w:lineRule="auto"/>
        <w:rPr>
          <w:sz w:val="20"/>
          <w:szCs w:val="20"/>
          <w:color w:val="auto"/>
        </w:rPr>
      </w:pPr>
      <w:r>
        <w:rPr>
          <w:rFonts w:ascii="Arial" w:cs="Arial" w:eastAsia="Arial" w:hAnsi="Arial"/>
          <w:sz w:val="16"/>
          <w:szCs w:val="16"/>
          <w:color w:val="auto"/>
        </w:rPr>
        <w:t>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or any other product candidate may not be predictive of the results of our later-stage clinical trials.</w:t>
      </w:r>
    </w:p>
    <w:p>
      <w:pPr>
        <w:spacing w:after="0" w:line="157"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FDA could delay, limit or deny approval of a product candidate for many reasons, including because the FDA:</w:t>
      </w:r>
    </w:p>
    <w:p>
      <w:pPr>
        <w:spacing w:after="0" w:line="117" w:lineRule="exact"/>
        <w:rPr>
          <w:sz w:val="20"/>
          <w:szCs w:val="20"/>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17" w:lineRule="exact"/>
        <w:rPr>
          <w:rFonts w:ascii="Arial" w:cs="Arial" w:eastAsia="Arial" w:hAnsi="Arial"/>
          <w:sz w:val="18"/>
          <w:szCs w:val="18"/>
          <w:color w:val="auto"/>
        </w:rPr>
      </w:pPr>
    </w:p>
    <w:p>
      <w:pPr>
        <w:ind w:left="840" w:right="540" w:hanging="427"/>
        <w:spacing w:after="0" w:line="277"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determines that the objective response rate, or ORR, and duration of response are not clinically meaningful;</w:t>
      </w:r>
    </w:p>
    <w:p>
      <w:pPr>
        <w:sectPr>
          <w:pgSz w:w="11900" w:h="16838" w:orient="portrait"/>
          <w:cols w:equalWidth="0" w:num="1">
            <w:col w:w="11220"/>
          </w:cols>
          <w:pgMar w:left="320" w:top="341" w:right="359" w:bottom="1440" w:gutter="0" w:footer="0" w:header="0"/>
        </w:sectPr>
      </w:pP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16" w:lineRule="exact"/>
        <w:rPr>
          <w:sz w:val="20"/>
          <w:szCs w:val="20"/>
          <w:color w:val="auto"/>
        </w:rPr>
      </w:pPr>
    </w:p>
    <w:p>
      <w:pPr>
        <w:sectPr>
          <w:pgSz w:w="11900" w:h="16838" w:orient="portrait"/>
          <w:cols w:equalWidth="0" w:num="2">
            <w:col w:w="480" w:space="360"/>
            <w:col w:w="10380"/>
          </w:cols>
          <w:pgMar w:left="320" w:top="341" w:right="359" w:bottom="1440" w:gutter="0" w:footer="0" w:header="0"/>
          <w:type w:val="continuous"/>
        </w:sect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17" w:lineRule="exact"/>
        <w:rPr>
          <w:rFonts w:ascii="Arial" w:cs="Arial" w:eastAsia="Arial" w:hAnsi="Arial"/>
          <w:sz w:val="18"/>
          <w:szCs w:val="18"/>
          <w:color w:val="auto"/>
        </w:rPr>
      </w:pPr>
    </w:p>
    <w:p>
      <w:pPr>
        <w:ind w:left="840" w:right="140" w:hanging="427"/>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determine that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840" w:right="460" w:hanging="427"/>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17" w:lineRule="exact"/>
        <w:rPr>
          <w:rFonts w:ascii="Arial" w:cs="Arial" w:eastAsia="Arial" w:hAnsi="Arial"/>
          <w:sz w:val="18"/>
          <w:szCs w:val="18"/>
          <w:color w:val="auto"/>
        </w:rPr>
      </w:pPr>
    </w:p>
    <w:p>
      <w:pPr>
        <w:ind w:left="840" w:right="160" w:hanging="427"/>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25" w:lineRule="exact"/>
        <w:rPr>
          <w:sz w:val="20"/>
          <w:szCs w:val="20"/>
          <w:color w:val="auto"/>
        </w:rPr>
      </w:pPr>
    </w:p>
    <w:p>
      <w:pPr>
        <w:ind w:right="580" w:firstLine="416"/>
        <w:spacing w:after="0" w:line="277"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70" w:lineRule="exact"/>
        <w:rPr>
          <w:sz w:val="20"/>
          <w:szCs w:val="20"/>
          <w:color w:val="auto"/>
        </w:rPr>
      </w:pPr>
    </w:p>
    <w:p>
      <w:pPr>
        <w:ind w:right="320" w:firstLine="416"/>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PRT543, PRT811 or PRT1419, our commercial prospects will be harmed and our ability to generate revenues will be materially impaired which would adversely affect our business, prospects, financial condition and results of operations.</w:t>
      </w:r>
    </w:p>
    <w:p>
      <w:pPr>
        <w:spacing w:after="0" w:line="278"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Under the FDA’s accelerated approval program,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34" w:name="page35"/>
    <w:bookmarkEnd w:id="34"/>
    <w:p>
      <w:pPr>
        <w:ind w:right="20" w:firstLine="416"/>
        <w:spacing w:after="0" w:line="293" w:lineRule="auto"/>
        <w:rPr>
          <w:sz w:val="20"/>
          <w:szCs w:val="20"/>
          <w:color w:val="auto"/>
        </w:rPr>
      </w:pPr>
      <w:r>
        <w:rPr>
          <w:rFonts w:ascii="Arial" w:cs="Arial" w:eastAsia="Arial" w:hAnsi="Arial"/>
          <w:sz w:val="16"/>
          <w:szCs w:val="16"/>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29" w:lineRule="exact"/>
        <w:rPr>
          <w:sz w:val="20"/>
          <w:szCs w:val="20"/>
          <w:color w:val="auto"/>
        </w:rPr>
      </w:pPr>
    </w:p>
    <w:p>
      <w:pPr>
        <w:ind w:left="820" w:hanging="407"/>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trial or trials required to verify the predicted clinical benefit of our product candidate fail to verify such benefit or do not demonstrate</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sufficient clinical benefit to justify the risks associated with the drug;</w:t>
      </w:r>
    </w:p>
    <w:p>
      <w:pPr>
        <w:spacing w:after="0" w:line="76" w:lineRule="exact"/>
        <w:rPr>
          <w:sz w:val="20"/>
          <w:szCs w:val="20"/>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266" w:lineRule="exact"/>
        <w:rPr>
          <w:sz w:val="20"/>
          <w:szCs w:val="20"/>
          <w:color w:val="auto"/>
        </w:rPr>
      </w:pPr>
    </w:p>
    <w:p>
      <w:pPr>
        <w:ind w:left="420"/>
        <w:spacing w:after="0" w:line="263"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49" w:lineRule="exact"/>
        <w:rPr>
          <w:sz w:val="20"/>
          <w:szCs w:val="20"/>
          <w:color w:val="auto"/>
        </w:rPr>
      </w:pPr>
    </w:p>
    <w:p>
      <w:pPr>
        <w:ind w:right="140" w:firstLine="416"/>
        <w:spacing w:after="0" w:line="253" w:lineRule="auto"/>
        <w:rPr>
          <w:sz w:val="20"/>
          <w:szCs w:val="20"/>
          <w:color w:val="auto"/>
        </w:rPr>
      </w:pPr>
      <w:r>
        <w:rPr>
          <w:rFonts w:ascii="Arial" w:cs="Arial" w:eastAsia="Arial" w:hAnsi="Arial"/>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04" w:lineRule="exact"/>
        <w:rPr>
          <w:sz w:val="20"/>
          <w:szCs w:val="20"/>
          <w:color w:val="auto"/>
        </w:rPr>
      </w:pPr>
    </w:p>
    <w:p>
      <w:pPr>
        <w:ind w:right="300" w:firstLine="416"/>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8"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66" w:lineRule="exact"/>
        <w:rPr>
          <w:sz w:val="20"/>
          <w:szCs w:val="20"/>
          <w:color w:val="auto"/>
        </w:rPr>
      </w:pPr>
    </w:p>
    <w:p>
      <w:pPr>
        <w:ind w:right="120" w:firstLine="416"/>
        <w:spacing w:after="0" w:line="269" w:lineRule="auto"/>
        <w:rPr>
          <w:sz w:val="20"/>
          <w:szCs w:val="20"/>
          <w:color w:val="auto"/>
        </w:rPr>
      </w:pPr>
      <w:r>
        <w:rPr>
          <w:rFonts w:ascii="Arial" w:cs="Arial" w:eastAsia="Arial" w:hAnsi="Arial"/>
          <w:sz w:val="17"/>
          <w:szCs w:val="17"/>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 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left="420" w:right="240"/>
        <w:spacing w:after="0" w:line="375" w:lineRule="auto"/>
        <w:rPr>
          <w:sz w:val="20"/>
          <w:szCs w:val="20"/>
          <w:color w:val="auto"/>
        </w:rPr>
      </w:pPr>
      <w:r>
        <w:rPr>
          <w:rFonts w:ascii="Arial" w:cs="Arial" w:eastAsia="Arial" w:hAnsi="Arial"/>
          <w:sz w:val="15"/>
          <w:szCs w:val="15"/>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1"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77"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72" w:lineRule="exact"/>
        <w:rPr>
          <w:sz w:val="20"/>
          <w:szCs w:val="20"/>
          <w:color w:val="auto"/>
        </w:rPr>
      </w:pPr>
    </w:p>
    <w:p>
      <w:pPr>
        <w:ind w:left="420" w:right="10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6" w:lineRule="exact"/>
        <w:rPr>
          <w:sz w:val="20"/>
          <w:szCs w:val="20"/>
          <w:color w:val="auto"/>
        </w:rPr>
      </w:pPr>
    </w:p>
    <w:p>
      <w:pPr>
        <w:ind w:right="160" w:firstLine="416"/>
        <w:spacing w:after="0" w:line="259"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214" w:lineRule="exact"/>
        <w:rPr>
          <w:sz w:val="20"/>
          <w:szCs w:val="20"/>
          <w:color w:val="auto"/>
        </w:rPr>
      </w:pPr>
    </w:p>
    <w:p>
      <w:pPr>
        <w:jc w:val="both"/>
        <w:ind w:firstLine="416"/>
        <w:spacing w:after="0" w:line="296"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88" w:lineRule="exact"/>
        <w:rPr>
          <w:sz w:val="20"/>
          <w:szCs w:val="20"/>
          <w:color w:val="auto"/>
        </w:rPr>
      </w:pPr>
    </w:p>
    <w:p>
      <w:pPr>
        <w:ind w:right="220" w:firstLine="416"/>
        <w:spacing w:after="0" w:line="259"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214"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6" w:name="page37"/>
    <w:bookmarkEnd w:id="36"/>
    <w:p>
      <w:pPr>
        <w:ind w:left="420"/>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40" w:lineRule="exact"/>
        <w:rPr>
          <w:sz w:val="20"/>
          <w:szCs w:val="20"/>
          <w:color w:val="auto"/>
        </w:rPr>
      </w:pPr>
    </w:p>
    <w:p>
      <w:pPr>
        <w:ind w:right="20" w:firstLine="416"/>
        <w:spacing w:after="0" w:line="273"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72" w:lineRule="exact"/>
        <w:rPr>
          <w:sz w:val="20"/>
          <w:szCs w:val="20"/>
          <w:color w:val="auto"/>
        </w:rPr>
      </w:pPr>
    </w:p>
    <w:p>
      <w:pPr>
        <w:ind w:left="420" w:right="22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firstLine="416"/>
        <w:spacing w:after="0" w:line="279" w:lineRule="auto"/>
        <w:rPr>
          <w:sz w:val="20"/>
          <w:szCs w:val="20"/>
          <w:color w:val="auto"/>
        </w:rPr>
      </w:pPr>
      <w:r>
        <w:rPr>
          <w:rFonts w:ascii="Arial" w:cs="Arial" w:eastAsia="Arial" w:hAnsi="Arial"/>
          <w:sz w:val="17"/>
          <w:szCs w:val="17"/>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71" w:lineRule="exact"/>
        <w:rPr>
          <w:sz w:val="20"/>
          <w:szCs w:val="20"/>
          <w:color w:val="auto"/>
        </w:rPr>
      </w:pPr>
    </w:p>
    <w:p>
      <w:pPr>
        <w:ind w:right="140" w:firstLine="416"/>
        <w:spacing w:after="0" w:line="263" w:lineRule="auto"/>
        <w:rPr>
          <w:sz w:val="20"/>
          <w:szCs w:val="20"/>
          <w:color w:val="auto"/>
        </w:rPr>
      </w:pPr>
      <w:r>
        <w:rPr>
          <w:rFonts w:ascii="Arial" w:cs="Arial" w:eastAsia="Arial" w:hAnsi="Arial"/>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57" w:lineRule="exact"/>
        <w:rPr>
          <w:sz w:val="20"/>
          <w:szCs w:val="20"/>
          <w:color w:val="auto"/>
        </w:rPr>
      </w:pPr>
    </w:p>
    <w:p>
      <w:pPr>
        <w:ind w:right="180" w:firstLine="416"/>
        <w:spacing w:after="0" w:line="25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60" w:lineRule="exact"/>
        <w:rPr>
          <w:sz w:val="20"/>
          <w:szCs w:val="20"/>
          <w:color w:val="auto"/>
        </w:rPr>
      </w:pPr>
    </w:p>
    <w:p>
      <w:pPr>
        <w:ind w:right="220" w:firstLine="416"/>
        <w:spacing w:after="0" w:line="301" w:lineRule="auto"/>
        <w:rPr>
          <w:sz w:val="20"/>
          <w:szCs w:val="20"/>
          <w:color w:val="auto"/>
        </w:rPr>
      </w:pPr>
      <w:r>
        <w:rPr>
          <w:rFonts w:ascii="Arial" w:cs="Arial" w:eastAsia="Arial" w:hAnsi="Arial"/>
          <w:sz w:val="16"/>
          <w:szCs w:val="16"/>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30"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 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44" w:lineRule="exact"/>
        <w:rPr>
          <w:sz w:val="20"/>
          <w:szCs w:val="20"/>
          <w:color w:val="auto"/>
        </w:rPr>
      </w:pPr>
    </w:p>
    <w:p>
      <w:pPr>
        <w:ind w:left="420" w:right="180"/>
        <w:spacing w:after="0" w:line="338" w:lineRule="auto"/>
        <w:rPr>
          <w:sz w:val="20"/>
          <w:szCs w:val="20"/>
          <w:color w:val="auto"/>
        </w:rPr>
      </w:pPr>
      <w:r>
        <w:rPr>
          <w:rFonts w:ascii="Arial" w:cs="Arial" w:eastAsia="Arial" w:hAnsi="Arial"/>
          <w:sz w:val="15"/>
          <w:szCs w:val="15"/>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ind w:right="180" w:firstLine="416"/>
        <w:spacing w:after="0" w:line="255"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37" w:name="page38"/>
    <w:bookmarkEnd w:id="37"/>
    <w:p>
      <w:pPr>
        <w:ind w:firstLine="416"/>
        <w:spacing w:after="0" w:line="271"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43" w:lineRule="exact"/>
        <w:rPr>
          <w:sz w:val="20"/>
          <w:szCs w:val="20"/>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63"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3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3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700" w:firstLine="416"/>
        <w:spacing w:after="0" w:line="30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68" w:lineRule="exact"/>
        <w:rPr>
          <w:sz w:val="20"/>
          <w:szCs w:val="20"/>
          <w:color w:val="auto"/>
        </w:rPr>
      </w:pPr>
    </w:p>
    <w:p>
      <w:pPr>
        <w:ind w:left="420" w:right="40"/>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27" w:lineRule="exact"/>
        <w:rPr>
          <w:sz w:val="20"/>
          <w:szCs w:val="20"/>
          <w:color w:val="auto"/>
        </w:rPr>
      </w:pPr>
    </w:p>
    <w:p>
      <w:pPr>
        <w:ind w:firstLine="416"/>
        <w:spacing w:after="0" w:line="296"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40" w:lineRule="exact"/>
        <w:rPr>
          <w:sz w:val="20"/>
          <w:szCs w:val="20"/>
          <w:color w:val="auto"/>
        </w:rPr>
      </w:pPr>
    </w:p>
    <w:p>
      <w:pPr>
        <w:ind w:left="820" w:right="60" w:hanging="407"/>
        <w:spacing w:after="0" w:line="259"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65" w:lineRule="exact"/>
        <w:rPr>
          <w:rFonts w:ascii="Arial" w:cs="Arial" w:eastAsia="Arial" w:hAnsi="Arial"/>
          <w:sz w:val="18"/>
          <w:szCs w:val="18"/>
          <w:color w:val="auto"/>
        </w:rPr>
      </w:pPr>
    </w:p>
    <w:p>
      <w:pPr>
        <w:ind w:left="820" w:hanging="407"/>
        <w:spacing w:after="0" w:line="25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8" w:name="page39"/>
    <w:bookmarkEnd w:id="38"/>
    <w:p>
      <w:pPr>
        <w:jc w:val="both"/>
        <w:ind w:left="820" w:right="60" w:hanging="407"/>
        <w:spacing w:after="0" w:line="301"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9" w:lineRule="exact"/>
        <w:rPr>
          <w:rFonts w:ascii="Arial" w:cs="Arial" w:eastAsia="Arial" w:hAnsi="Arial"/>
          <w:sz w:val="16"/>
          <w:szCs w:val="16"/>
          <w:color w:val="auto"/>
        </w:rPr>
      </w:pPr>
    </w:p>
    <w:p>
      <w:pPr>
        <w:ind w:left="820" w:right="500" w:hanging="407"/>
        <w:spacing w:after="0" w:line="301"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49" w:lineRule="exact"/>
        <w:rPr>
          <w:rFonts w:ascii="Arial" w:cs="Arial" w:eastAsia="Arial" w:hAnsi="Arial"/>
          <w:sz w:val="16"/>
          <w:szCs w:val="16"/>
          <w:color w:val="auto"/>
        </w:rPr>
      </w:pPr>
    </w:p>
    <w:p>
      <w:pPr>
        <w:ind w:left="820" w:right="120" w:hanging="407"/>
        <w:spacing w:after="0" w:line="25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83" w:lineRule="exact"/>
        <w:rPr>
          <w:rFonts w:ascii="Arial" w:cs="Arial" w:eastAsia="Arial" w:hAnsi="Arial"/>
          <w:sz w:val="18"/>
          <w:szCs w:val="18"/>
          <w:color w:val="auto"/>
        </w:rPr>
      </w:pPr>
    </w:p>
    <w:p>
      <w:pPr>
        <w:ind w:left="820" w:right="80" w:hanging="407"/>
        <w:spacing w:after="0" w:line="290"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right="40" w:firstLine="416"/>
        <w:spacing w:after="0" w:line="28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7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2" w:lineRule="exact"/>
        <w:rPr>
          <w:sz w:val="20"/>
          <w:szCs w:val="20"/>
          <w:color w:val="auto"/>
        </w:rPr>
      </w:pPr>
    </w:p>
    <w:p>
      <w:pPr>
        <w:ind w:right="140" w:firstLine="416"/>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4" w:lineRule="exact"/>
        <w:rPr>
          <w:sz w:val="20"/>
          <w:szCs w:val="20"/>
          <w:color w:val="auto"/>
        </w:rPr>
      </w:pPr>
    </w:p>
    <w:p>
      <w:pPr>
        <w:ind w:right="280" w:firstLine="416"/>
        <w:spacing w:after="0" w:line="263" w:lineRule="auto"/>
        <w:rPr>
          <w:sz w:val="20"/>
          <w:szCs w:val="20"/>
          <w:color w:val="auto"/>
        </w:rPr>
      </w:pPr>
      <w:r>
        <w:rPr>
          <w:rFonts w:ascii="Arial" w:cs="Arial" w:eastAsia="Arial" w:hAnsi="Arial"/>
          <w:sz w:val="18"/>
          <w:szCs w:val="18"/>
          <w:color w:val="auto"/>
        </w:rPr>
        <w:t>For example, he ACA was enacted,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products;</w:t>
      </w:r>
    </w:p>
    <w:p>
      <w:pPr>
        <w:spacing w:after="0" w:line="128" w:lineRule="exact"/>
        <w:rPr>
          <w:rFonts w:ascii="Arial" w:cs="Arial" w:eastAsia="Arial" w:hAnsi="Arial"/>
          <w:sz w:val="17"/>
          <w:szCs w:val="17"/>
          <w:color w:val="auto"/>
        </w:rPr>
      </w:pPr>
    </w:p>
    <w:p>
      <w:pPr>
        <w:ind w:left="840" w:right="160" w:hanging="427"/>
        <w:spacing w:after="0" w:line="263"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840" w:right="540" w:hanging="427"/>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840" w:right="440" w:hanging="427"/>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840" w:right="300" w:hanging="427"/>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 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requirements to report financial arrangements with physicians, as defined by such law, and teaching hospitals;</w:t>
      </w:r>
    </w:p>
    <w:p>
      <w:pPr>
        <w:spacing w:after="0" w:line="117" w:lineRule="exact"/>
        <w:rPr>
          <w:sz w:val="20"/>
          <w:szCs w:val="20"/>
          <w:color w:val="auto"/>
        </w:rPr>
      </w:pPr>
    </w:p>
    <w:p>
      <w:pPr>
        <w:ind w:left="840" w:hanging="427"/>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40" w:hanging="427"/>
        <w:spacing w:after="0" w:line="277"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40" w:firstLine="416"/>
        <w:spacing w:after="0" w:line="254" w:lineRule="auto"/>
        <w:rPr>
          <w:sz w:val="20"/>
          <w:szCs w:val="20"/>
          <w:color w:val="auto"/>
        </w:rPr>
      </w:pPr>
      <w:r>
        <w:rPr>
          <w:rFonts w:ascii="Arial" w:cs="Arial" w:eastAsia="Arial" w:hAnsi="Arial"/>
          <w:sz w:val="18"/>
          <w:szCs w:val="18"/>
          <w:color w:val="auto"/>
        </w:rPr>
        <w:t>There have been legislative and judicial efforts to repeal or replace certain aspects of the ACA, including measures taken during the Trump administration.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It is unclear how such litigation and other efforts to repeal and replace the ACA will impact the ACA and our business.</w:t>
      </w:r>
    </w:p>
    <w:p>
      <w:pPr>
        <w:spacing w:after="0" w:line="195" w:lineRule="exact"/>
        <w:rPr>
          <w:sz w:val="20"/>
          <w:szCs w:val="20"/>
          <w:color w:val="auto"/>
        </w:rPr>
      </w:pPr>
    </w:p>
    <w:p>
      <w:pPr>
        <w:ind w:right="20" w:firstLine="416"/>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Consolidated Appropriations Act, 2021 extended the suspension of the 2% Medicare sequester through March 31, 2021.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72" w:lineRule="exact"/>
        <w:rPr>
          <w:sz w:val="20"/>
          <w:szCs w:val="20"/>
          <w:color w:val="auto"/>
        </w:rPr>
      </w:pPr>
    </w:p>
    <w:p>
      <w:pPr>
        <w:ind w:right="100" w:firstLine="416"/>
        <w:spacing w:after="0" w:line="273" w:lineRule="auto"/>
        <w:rPr>
          <w:sz w:val="20"/>
          <w:szCs w:val="20"/>
          <w:color w:val="auto"/>
        </w:rPr>
      </w:pPr>
      <w:r>
        <w:rPr>
          <w:rFonts w:ascii="Arial" w:cs="Arial" w:eastAsia="Arial" w:hAnsi="Arial"/>
          <w:sz w:val="17"/>
          <w:szCs w:val="17"/>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issued budget proposals for fiscal year 2021 includes a $135 billion allowance to support legislative proposals seeking to reduce drug prices, increase competition, lower out-of-pocket drug costs for patients, and increase patient access to lower-cost generic and biosimilar drugs.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0" w:name="page41"/>
    <w:bookmarkEnd w:id="40"/>
    <w:p>
      <w:pPr>
        <w:ind w:right="60" w:firstLine="416"/>
        <w:spacing w:after="0" w:line="288" w:lineRule="auto"/>
        <w:rPr>
          <w:sz w:val="20"/>
          <w:szCs w:val="20"/>
          <w:color w:val="auto"/>
        </w:rPr>
      </w:pPr>
      <w:r>
        <w:rPr>
          <w:rFonts w:ascii="Arial" w:cs="Arial" w:eastAsia="Arial" w:hAnsi="Arial"/>
          <w:sz w:val="16"/>
          <w:szCs w:val="16"/>
          <w:color w:val="auto"/>
        </w:rPr>
        <w:t>In particular,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On July 9, 2021, President Biden issued an executive order supporting the importation of drugs from Canada as an effort to reduce prescription drug costs, requesting that the Department of Health and Human Services develop a plan to address drug pricing by the end of the summer of 2021 and encouraging the Federal Trade Commission to use its rulemaking authority to combat unfair anticompetitive conduct related to the introduction of generic drugs and biosimilars to the market. It is unclear whether this executive order or something similar will be implemented by the Biden Administration.</w:t>
      </w:r>
    </w:p>
    <w:p>
      <w:pPr>
        <w:spacing w:after="0" w:line="2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Centers for Medicare and Medicaid Services, or CMS also published an interim final rule that establishes a Most Favored Nation, or MFN, Model for Medicare Part B drug payment. This regulation would substantially change the drug reimbursement landscape as it bases Medicare Part B payment for 50 selected drugs on prices in foreign countries instead of average sales price, or ASP, and establishes a fixed add-on payment in place of the current 6 percent (4.3 percent after sequestration) of ASP. The MFN drug payment amount is expected to be lower than the current ASP-based payment limit because U.S. drug prices are generally the highest in the world. On December 28, 2020, the United States District Court in Northern California issued a nationwide preliminary injunction against implementation of the interim final rule, and it faces uncertain prospects for implementation.</w:t>
      </w:r>
    </w:p>
    <w:p>
      <w:pPr>
        <w:spacing w:after="0" w:line="212" w:lineRule="exact"/>
        <w:rPr>
          <w:sz w:val="20"/>
          <w:szCs w:val="20"/>
          <w:color w:val="auto"/>
        </w:rPr>
      </w:pPr>
    </w:p>
    <w:p>
      <w:pPr>
        <w:ind w:right="540" w:firstLine="416"/>
        <w:spacing w:after="0" w:line="311" w:lineRule="auto"/>
        <w:rPr>
          <w:sz w:val="20"/>
          <w:szCs w:val="20"/>
          <w:color w:val="auto"/>
        </w:rPr>
      </w:pPr>
      <w:r>
        <w:rPr>
          <w:rFonts w:ascii="Arial" w:cs="Arial" w:eastAsia="Arial" w:hAnsi="Arial"/>
          <w:sz w:val="16"/>
          <w:szCs w:val="16"/>
          <w:color w:val="auto"/>
        </w:rPr>
        <w:t>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right="20" w:firstLine="416"/>
        <w:spacing w:after="0" w:line="286"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92" w:lineRule="exact"/>
        <w:rPr>
          <w:sz w:val="20"/>
          <w:szCs w:val="20"/>
          <w:color w:val="auto"/>
        </w:rPr>
      </w:pPr>
    </w:p>
    <w:p>
      <w:pPr>
        <w:ind w:right="300" w:firstLine="416"/>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to address the COVID-19 pandemic.</w:t>
      </w:r>
    </w:p>
    <w:p>
      <w:pPr>
        <w:spacing w:after="0" w:line="34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Governments outside of the United States tend to impose strict price controls, which may adversely affect our revenues, if any.</w:t>
      </w:r>
    </w:p>
    <w:p>
      <w:pPr>
        <w:spacing w:after="0" w:line="142" w:lineRule="exact"/>
        <w:rPr>
          <w:sz w:val="20"/>
          <w:szCs w:val="20"/>
          <w:color w:val="auto"/>
        </w:rPr>
      </w:pPr>
    </w:p>
    <w:p>
      <w:pPr>
        <w:ind w:right="80" w:firstLine="416"/>
        <w:spacing w:after="0" w:line="286" w:lineRule="auto"/>
        <w:rPr>
          <w:sz w:val="20"/>
          <w:szCs w:val="20"/>
          <w:color w:val="auto"/>
        </w:rPr>
      </w:pPr>
      <w:r>
        <w:rPr>
          <w:rFonts w:ascii="Arial" w:cs="Arial" w:eastAsia="Arial" w:hAnsi="Arial"/>
          <w:sz w:val="16"/>
          <w:szCs w:val="16"/>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left="420" w:right="240"/>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49"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54"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31" w:lineRule="exact"/>
        <w:rPr>
          <w:sz w:val="20"/>
          <w:szCs w:val="20"/>
          <w:color w:val="auto"/>
        </w:rPr>
      </w:pPr>
    </w:p>
    <w:p>
      <w:pPr>
        <w:ind w:right="140" w:firstLine="416"/>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47"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24"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5"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37" w:lineRule="exact"/>
        <w:rPr>
          <w:sz w:val="20"/>
          <w:szCs w:val="20"/>
          <w:color w:val="auto"/>
        </w:rPr>
      </w:pPr>
    </w:p>
    <w:p>
      <w:pPr>
        <w:ind w:right="320" w:firstLine="416"/>
        <w:spacing w:after="0" w:line="279"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1" w:lineRule="exact"/>
        <w:rPr>
          <w:sz w:val="20"/>
          <w:szCs w:val="20"/>
          <w:color w:val="auto"/>
        </w:rPr>
      </w:pPr>
    </w:p>
    <w:p>
      <w:pPr>
        <w:ind w:right="160" w:firstLine="416"/>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65" w:lineRule="exact"/>
        <w:rPr>
          <w:sz w:val="20"/>
          <w:szCs w:val="20"/>
          <w:color w:val="auto"/>
        </w:rPr>
      </w:pPr>
    </w:p>
    <w:p>
      <w:pPr>
        <w:jc w:val="both"/>
        <w:ind w:right="220" w:firstLine="416"/>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jc w:val="both"/>
        <w:ind w:right="300" w:firstLine="416"/>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60" w:lineRule="exact"/>
        <w:rPr>
          <w:sz w:val="20"/>
          <w:szCs w:val="20"/>
          <w:color w:val="auto"/>
        </w:rPr>
      </w:pPr>
    </w:p>
    <w:p>
      <w:pPr>
        <w:ind w:left="420" w:right="3000"/>
        <w:spacing w:after="0" w:line="375" w:lineRule="auto"/>
        <w:rPr>
          <w:sz w:val="20"/>
          <w:szCs w:val="20"/>
          <w:color w:val="auto"/>
        </w:rPr>
      </w:pPr>
      <w:r>
        <w:rPr>
          <w:rFonts w:ascii="Arial" w:cs="Arial" w:eastAsia="Arial" w:hAnsi="Arial"/>
          <w:sz w:val="15"/>
          <w:szCs w:val="15"/>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1"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1" w:lineRule="exact"/>
        <w:rPr>
          <w:sz w:val="20"/>
          <w:szCs w:val="20"/>
          <w:color w:val="auto"/>
        </w:rPr>
      </w:pPr>
    </w:p>
    <w:p>
      <w:pPr>
        <w:ind w:right="100" w:firstLine="416"/>
        <w:spacing w:after="0" w:line="342" w:lineRule="auto"/>
        <w:rPr>
          <w:sz w:val="20"/>
          <w:szCs w:val="20"/>
          <w:color w:val="auto"/>
        </w:rPr>
      </w:pPr>
      <w:r>
        <w:rPr>
          <w:rFonts w:ascii="Arial" w:cs="Arial" w:eastAsia="Arial" w:hAnsi="Arial"/>
          <w:sz w:val="16"/>
          <w:szCs w:val="16"/>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20" w:right="80"/>
        <w:spacing w:after="0" w:line="301"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9" w:lineRule="exact"/>
        <w:rPr>
          <w:sz w:val="20"/>
          <w:szCs w:val="20"/>
          <w:color w:val="auto"/>
        </w:rPr>
      </w:pPr>
    </w:p>
    <w:p>
      <w:pPr>
        <w:ind w:right="20" w:firstLine="416"/>
        <w:spacing w:after="0" w:line="286" w:lineRule="auto"/>
        <w:rPr>
          <w:sz w:val="20"/>
          <w:szCs w:val="20"/>
          <w:color w:val="auto"/>
        </w:rPr>
      </w:pPr>
      <w:r>
        <w:rPr>
          <w:rFonts w:ascii="Arial" w:cs="Arial" w:eastAsia="Arial" w:hAnsi="Arial"/>
          <w:sz w:val="16"/>
          <w:szCs w:val="16"/>
          <w:color w:val="auto"/>
        </w:rPr>
        <w:t>We do not have the ability to independently conduct all aspects of our preclinical testing or clinical trials ourselves. As a result, we are dependent on third parties to conduct our ongoing and planned clinical trials of PRT543, PRT811 and PRT1419,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71" w:lineRule="exact"/>
        <w:rPr>
          <w:sz w:val="20"/>
          <w:szCs w:val="20"/>
          <w:color w:val="auto"/>
        </w:rPr>
      </w:pPr>
    </w:p>
    <w:p>
      <w:pPr>
        <w:ind w:right="80" w:firstLine="416"/>
        <w:spacing w:after="0" w:line="273"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ind w:right="200" w:firstLine="416"/>
        <w:spacing w:after="0" w:line="275"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or any other product candidates and will not be able to, or may be delayed in our efforts to, successfully commercialize our products.</w:t>
      </w:r>
    </w:p>
    <w:p>
      <w:pPr>
        <w:spacing w:after="0" w:line="271" w:lineRule="exact"/>
        <w:rPr>
          <w:sz w:val="20"/>
          <w:szCs w:val="20"/>
          <w:color w:val="auto"/>
        </w:rPr>
      </w:pPr>
    </w:p>
    <w:p>
      <w:pPr>
        <w:ind w:left="420" w:right="120"/>
        <w:spacing w:after="0" w:line="275"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8"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95" w:lineRule="exact"/>
        <w:rPr>
          <w:sz w:val="20"/>
          <w:szCs w:val="20"/>
          <w:color w:val="auto"/>
        </w:rPr>
      </w:pPr>
    </w:p>
    <w:p>
      <w:pPr>
        <w:ind w:right="800" w:firstLine="416"/>
        <w:spacing w:after="0" w:line="308" w:lineRule="auto"/>
        <w:rPr>
          <w:sz w:val="20"/>
          <w:szCs w:val="20"/>
          <w:color w:val="auto"/>
        </w:rPr>
      </w:pPr>
      <w:r>
        <w:rPr>
          <w:rFonts w:ascii="Arial" w:cs="Arial" w:eastAsia="Arial" w:hAnsi="Arial"/>
          <w:sz w:val="17"/>
          <w:szCs w:val="17"/>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17" w:lineRule="exact"/>
        <w:rPr>
          <w:rFonts w:ascii="Arial" w:cs="Arial" w:eastAsia="Arial" w:hAnsi="Arial"/>
          <w:sz w:val="18"/>
          <w:szCs w:val="18"/>
          <w:color w:val="auto"/>
        </w:rPr>
      </w:pPr>
    </w:p>
    <w:p>
      <w:pPr>
        <w:ind w:left="840" w:right="40" w:hanging="427"/>
        <w:spacing w:after="0" w:line="263"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5"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left="840" w:hanging="427"/>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25"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76" w:lineRule="exact"/>
        <w:rPr>
          <w:sz w:val="20"/>
          <w:szCs w:val="20"/>
          <w:color w:val="auto"/>
        </w:rPr>
      </w:pPr>
    </w:p>
    <w:p>
      <w:pPr>
        <w:ind w:right="380" w:firstLine="416"/>
        <w:spacing w:after="0" w:line="279" w:lineRule="auto"/>
        <w:rPr>
          <w:sz w:val="20"/>
          <w:szCs w:val="20"/>
          <w:color w:val="auto"/>
        </w:rPr>
      </w:pPr>
      <w:r>
        <w:rPr>
          <w:rFonts w:ascii="Arial" w:cs="Arial" w:eastAsia="Arial" w:hAnsi="Arial"/>
          <w:sz w:val="17"/>
          <w:szCs w:val="17"/>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firstLine="416"/>
        <w:spacing w:after="0" w:line="288"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6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8" w:lineRule="exact"/>
        <w:rPr>
          <w:sz w:val="20"/>
          <w:szCs w:val="20"/>
          <w:color w:val="auto"/>
        </w:rPr>
      </w:pPr>
    </w:p>
    <w:p>
      <w:pPr>
        <w:ind w:right="120" w:firstLine="416"/>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2"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spacing w:after="0" w:line="178" w:lineRule="exact"/>
        <w:rPr>
          <w:sz w:val="20"/>
          <w:szCs w:val="20"/>
          <w:color w:val="auto"/>
        </w:rPr>
      </w:pPr>
    </w:p>
    <w:p>
      <w:pPr>
        <w:ind w:right="60" w:firstLine="416"/>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41" w:lineRule="exact"/>
        <w:rPr>
          <w:sz w:val="20"/>
          <w:szCs w:val="20"/>
          <w:color w:val="auto"/>
        </w:rPr>
      </w:pPr>
    </w:p>
    <w:p>
      <w:pPr>
        <w:ind w:left="420" w:right="80"/>
        <w:spacing w:after="0" w:line="308"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ind w:right="160" w:firstLine="416"/>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40" w:firstLine="416"/>
        <w:spacing w:after="0" w:line="279"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36" w:lineRule="exact"/>
        <w:rPr>
          <w:sz w:val="20"/>
          <w:szCs w:val="20"/>
          <w:color w:val="auto"/>
        </w:rPr>
      </w:pPr>
    </w:p>
    <w:p>
      <w:pPr>
        <w:ind w:left="820" w:right="500" w:hanging="407"/>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ectPr>
          <w:pgSz w:w="11900" w:h="16838" w:orient="portrait"/>
          <w:cols w:equalWidth="0" w:num="1">
            <w:col w:w="11220"/>
          </w:cols>
          <w:pgMar w:left="320" w:top="557" w:right="359" w:bottom="1440" w:gutter="0" w:footer="0" w:header="0"/>
        </w:sectPr>
      </w:pPr>
    </w:p>
    <w:p>
      <w:pPr>
        <w:spacing w:after="0" w:line="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52" w:lineRule="exact"/>
        <w:rPr>
          <w:sz w:val="20"/>
          <w:szCs w:val="20"/>
          <w:color w:val="auto"/>
        </w:rPr>
      </w:pPr>
    </w:p>
    <w:p>
      <w:pPr>
        <w:sectPr>
          <w:pgSz w:w="11900" w:h="16838" w:orient="portrait"/>
          <w:cols w:equalWidth="0" w:num="2">
            <w:col w:w="480" w:space="340"/>
            <w:col w:w="10400"/>
          </w:cols>
          <w:pgMar w:left="320" w:top="557" w:right="359" w:bottom="1440" w:gutter="0" w:footer="0" w:header="0"/>
          <w:type w:val="continuous"/>
        </w:sectPr>
      </w:pPr>
    </w:p>
    <w:p>
      <w:pPr>
        <w:ind w:left="820" w:right="44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8"/>
          <w:szCs w:val="18"/>
          <w:color w:val="auto"/>
        </w:rPr>
      </w:pPr>
    </w:p>
    <w:p>
      <w:pPr>
        <w:ind w:left="820" w:right="60" w:hanging="407"/>
        <w:spacing w:after="0" w:line="263"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48" w:lineRule="exact"/>
        <w:rPr>
          <w:rFonts w:ascii="Arial" w:cs="Arial" w:eastAsia="Arial" w:hAnsi="Arial"/>
          <w:sz w:val="18"/>
          <w:szCs w:val="18"/>
          <w:color w:val="auto"/>
        </w:rPr>
      </w:pPr>
    </w:p>
    <w:p>
      <w:pPr>
        <w:ind w:left="820" w:right="66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35" w:lineRule="exact"/>
        <w:rPr>
          <w:rFonts w:ascii="Arial" w:cs="Arial" w:eastAsia="Arial" w:hAnsi="Arial"/>
          <w:sz w:val="18"/>
          <w:szCs w:val="18"/>
          <w:color w:val="auto"/>
        </w:rPr>
      </w:pPr>
    </w:p>
    <w:p>
      <w:pPr>
        <w:ind w:left="820" w:hanging="407"/>
        <w:spacing w:after="0" w:line="311"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3" w:lineRule="exact"/>
        <w:rPr>
          <w:rFonts w:ascii="Arial" w:cs="Arial" w:eastAsia="Arial" w:hAnsi="Arial"/>
          <w:sz w:val="16"/>
          <w:szCs w:val="16"/>
          <w:color w:val="auto"/>
        </w:rPr>
      </w:pPr>
    </w:p>
    <w:p>
      <w:pPr>
        <w:ind w:left="820" w:right="220" w:hanging="407"/>
        <w:spacing w:after="0" w:line="263"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48" w:lineRule="exact"/>
        <w:rPr>
          <w:rFonts w:ascii="Arial" w:cs="Arial" w:eastAsia="Arial" w:hAnsi="Arial"/>
          <w:sz w:val="18"/>
          <w:szCs w:val="18"/>
          <w:color w:val="auto"/>
        </w:rPr>
      </w:pPr>
    </w:p>
    <w:p>
      <w:pPr>
        <w:ind w:left="820" w:right="68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 and</w:t>
      </w:r>
    </w:p>
    <w:p>
      <w:pPr>
        <w:spacing w:after="0" w:line="113" w:lineRule="exact"/>
        <w:rPr>
          <w:rFonts w:ascii="Arial" w:cs="Arial" w:eastAsia="Arial" w:hAnsi="Arial"/>
          <w:sz w:val="16"/>
          <w:szCs w:val="16"/>
          <w:color w:val="auto"/>
        </w:rPr>
      </w:pPr>
    </w:p>
    <w:p>
      <w:pPr>
        <w:ind w:left="820" w:right="12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43" w:lineRule="exact"/>
        <w:rPr>
          <w:sz w:val="20"/>
          <w:szCs w:val="20"/>
          <w:color w:val="auto"/>
        </w:rPr>
      </w:pPr>
    </w:p>
    <w:p>
      <w:pPr>
        <w:ind w:right="360" w:firstLine="416"/>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420" w:right="180"/>
        <w:spacing w:after="0" w:line="286"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30" w:lineRule="exact"/>
        <w:rPr>
          <w:sz w:val="20"/>
          <w:szCs w:val="20"/>
          <w:color w:val="auto"/>
        </w:rPr>
      </w:pPr>
    </w:p>
    <w:p>
      <w:pPr>
        <w:ind w:right="40" w:firstLine="416"/>
        <w:spacing w:after="0" w:line="254" w:lineRule="auto"/>
        <w:rPr>
          <w:sz w:val="20"/>
          <w:szCs w:val="20"/>
          <w:color w:val="auto"/>
        </w:rPr>
      </w:pPr>
      <w:r>
        <w:rPr>
          <w:rFonts w:ascii="Arial" w:cs="Arial" w:eastAsia="Arial" w:hAnsi="Arial"/>
          <w:sz w:val="18"/>
          <w:szCs w:val="18"/>
          <w:color w:val="auto"/>
        </w:rPr>
        <w:t>The total addressable market opportunity for PRT543, PRT811, PRT1419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bookmarkStart w:id="46" w:name="page47"/>
    <w:bookmarkEnd w:id="46"/>
    <w:p>
      <w:pPr>
        <w:ind w:left="42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5" w:lineRule="exact"/>
        <w:rPr>
          <w:sz w:val="20"/>
          <w:szCs w:val="20"/>
          <w:color w:val="auto"/>
        </w:rPr>
      </w:pPr>
    </w:p>
    <w:p>
      <w:pPr>
        <w:ind w:right="140" w:firstLine="416"/>
        <w:spacing w:after="0" w:line="296" w:lineRule="auto"/>
        <w:rPr>
          <w:sz w:val="20"/>
          <w:szCs w:val="20"/>
          <w:color w:val="auto"/>
        </w:rPr>
      </w:pPr>
      <w:r>
        <w:rPr>
          <w:rFonts w:ascii="Arial" w:cs="Arial" w:eastAsia="Arial" w:hAnsi="Arial"/>
          <w:sz w:val="16"/>
          <w:szCs w:val="16"/>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6" w:lineRule="exact"/>
        <w:rPr>
          <w:sz w:val="20"/>
          <w:szCs w:val="20"/>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acceptance of our product candidates as front-line treatment for various indications;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06" w:lineRule="exact"/>
        <w:rPr>
          <w:sz w:val="20"/>
          <w:szCs w:val="20"/>
          <w:color w:val="auto"/>
        </w:rPr>
      </w:pPr>
    </w:p>
    <w:p>
      <w:pPr>
        <w:jc w:val="both"/>
        <w:ind w:left="420" w:right="14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30" w:lineRule="exact"/>
        <w:rPr>
          <w:sz w:val="20"/>
          <w:szCs w:val="20"/>
          <w:color w:val="auto"/>
        </w:rPr>
      </w:pPr>
    </w:p>
    <w:p>
      <w:pPr>
        <w:ind w:right="120" w:firstLine="416"/>
        <w:spacing w:after="0" w:line="263" w:lineRule="auto"/>
        <w:rPr>
          <w:sz w:val="20"/>
          <w:szCs w:val="20"/>
          <w:color w:val="auto"/>
        </w:rPr>
      </w:pPr>
      <w:r>
        <w:rPr>
          <w:rFonts w:ascii="Arial" w:cs="Arial" w:eastAsia="Arial" w:hAnsi="Arial"/>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84" w:lineRule="exact"/>
        <w:rPr>
          <w:sz w:val="20"/>
          <w:szCs w:val="20"/>
          <w:color w:val="auto"/>
        </w:rPr>
      </w:pPr>
    </w:p>
    <w:p>
      <w:pPr>
        <w:ind w:right="20" w:firstLine="416"/>
        <w:spacing w:after="0" w:line="301" w:lineRule="auto"/>
        <w:rPr>
          <w:sz w:val="20"/>
          <w:szCs w:val="20"/>
          <w:color w:val="auto"/>
        </w:rPr>
      </w:pPr>
      <w:r>
        <w:rPr>
          <w:rFonts w:ascii="Arial" w:cs="Arial" w:eastAsia="Arial" w:hAnsi="Arial"/>
          <w:sz w:val="16"/>
          <w:szCs w:val="16"/>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40" w:hanging="427"/>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raise financing necessary to build our commercialization infrastructure;</w:t>
      </w:r>
    </w:p>
    <w:p>
      <w:pPr>
        <w:spacing w:after="0" w:line="117" w:lineRule="exact"/>
        <w:rPr>
          <w:rFonts w:ascii="Arial" w:cs="Arial" w:eastAsia="Arial" w:hAnsi="Arial"/>
          <w:sz w:val="18"/>
          <w:szCs w:val="18"/>
          <w:color w:val="auto"/>
        </w:rPr>
      </w:pPr>
    </w:p>
    <w:p>
      <w:pPr>
        <w:ind w:left="840" w:right="320" w:hanging="427"/>
        <w:spacing w:after="0" w:line="277"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third-party payor coverage and reimbursement in any geography;</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7" w:name="page48"/>
    <w:bookmarkEnd w:id="47"/>
    <w:p>
      <w:pPr>
        <w:ind w:left="840" w:right="340" w:hanging="427"/>
        <w:spacing w:after="0" w:line="277"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72" w:lineRule="exact"/>
        <w:rPr>
          <w:sz w:val="20"/>
          <w:szCs w:val="20"/>
          <w:color w:val="auto"/>
        </w:rPr>
      </w:pPr>
    </w:p>
    <w:p>
      <w:pPr>
        <w:ind w:left="420" w:right="3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firstLine="416"/>
        <w:spacing w:after="0" w:line="269" w:lineRule="auto"/>
        <w:rPr>
          <w:sz w:val="20"/>
          <w:szCs w:val="20"/>
          <w:color w:val="auto"/>
        </w:rPr>
      </w:pPr>
      <w:r>
        <w:rPr>
          <w:rFonts w:ascii="Arial" w:cs="Arial" w:eastAsia="Arial" w:hAnsi="Arial"/>
          <w:sz w:val="17"/>
          <w:szCs w:val="17"/>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Black Diamond Therapeutics, Inc., Constellation Pharmaceuticals, Inc., Kronos Bio, Inc., Repare Therapeutics Inc., Revolution Medicines, Inc., Relay Therapeutics, Inc., and Zentalis Pharmaceuticals, LLC. In addition, we may face competition from companies pursuing the development of product candidates that are based on targeting pathways of adaptive resistance, including Amgen Inc., or Amgen, AbbVie Inc., or AbbVie, AstraZeneca PLC, or AstraZeneca, GlaxoSmithKline plc, or GlaxoSmithKline, Johnson &amp; Johnson, Pfizer Inc., or Pfizer, Vincerx Pharma , or Vincerx, and Novartis International AG, or Novartis.</w:t>
      </w:r>
    </w:p>
    <w:p>
      <w:pPr>
        <w:spacing w:after="0" w:line="185"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Specifically, with respect to our lead product candidates, we expect that our current product candidates PRT543 and PRT811 will compete against other PRMT5 inhibitors which are currently in clinical development, including those of GlaxoSmithKline (GSK3326595), Johnson &amp; Johnson (JNJ-64619178) and Pfizer (PF-06939999). Development efforts and clinical results of these other product candidates may be unsuccessful, which could result in a negative perception of PRMT5 inhibitors, for instance, and negatively impact the regulatory approval process of our product candidates, which would have a material and adverse effect on our business. For our product candidate PRT1419, other companies are developing MCL1 inhibitors with monotherapy and/or combination trials ongoing, including Amgen (AMG176), AstraZeneca (AZD5991) and Novartis (MIK665). For our preclinical CDK9 program, AstraZeneca, Vincerx and Kronos Bio have CDK9 programs in Phase 1 clinical trials.</w:t>
      </w:r>
    </w:p>
    <w:p>
      <w:pPr>
        <w:spacing w:after="0" w:line="177"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firstLine="416"/>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59"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20" w:firstLine="416"/>
        <w:spacing w:after="0" w:line="253" w:lineRule="auto"/>
        <w:rPr>
          <w:sz w:val="20"/>
          <w:szCs w:val="20"/>
          <w:color w:val="auto"/>
        </w:rPr>
      </w:pPr>
      <w:r>
        <w:rPr>
          <w:rFonts w:ascii="Arial" w:cs="Arial" w:eastAsia="Arial" w:hAnsi="Arial"/>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 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94" w:lineRule="exact"/>
        <w:rPr>
          <w:sz w:val="20"/>
          <w:szCs w:val="20"/>
          <w:color w:val="auto"/>
        </w:rPr>
      </w:pPr>
    </w:p>
    <w:p>
      <w:pPr>
        <w:ind w:right="120" w:firstLine="416"/>
        <w:spacing w:after="0" w:line="255" w:lineRule="auto"/>
        <w:rPr>
          <w:sz w:val="20"/>
          <w:szCs w:val="20"/>
          <w:color w:val="auto"/>
        </w:rPr>
      </w:pPr>
      <w:r>
        <w:rPr>
          <w:rFonts w:ascii="Arial" w:cs="Arial" w:eastAsia="Arial" w:hAnsi="Arial"/>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92" w:lineRule="exact"/>
        <w:rPr>
          <w:sz w:val="20"/>
          <w:szCs w:val="20"/>
          <w:color w:val="auto"/>
        </w:rPr>
      </w:pPr>
    </w:p>
    <w:p>
      <w:pPr>
        <w:ind w:right="80" w:firstLine="416"/>
        <w:spacing w:after="0" w:line="290" w:lineRule="auto"/>
        <w:rPr>
          <w:sz w:val="20"/>
          <w:szCs w:val="20"/>
          <w:color w:val="auto"/>
        </w:rPr>
      </w:pPr>
      <w:r>
        <w:rPr>
          <w:rFonts w:ascii="Arial" w:cs="Arial" w:eastAsia="Arial" w:hAnsi="Arial"/>
          <w:sz w:val="16"/>
          <w:szCs w:val="16"/>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65"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8"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right="120"/>
        <w:spacing w:after="0" w:line="259" w:lineRule="auto"/>
        <w:rPr>
          <w:sz w:val="20"/>
          <w:szCs w:val="20"/>
          <w:color w:val="auto"/>
        </w:rPr>
      </w:pPr>
      <w:r>
        <w:rPr>
          <w:rFonts w:ascii="Arial" w:cs="Arial" w:eastAsia="Arial" w:hAnsi="Arial"/>
          <w:sz w:val="18"/>
          <w:szCs w:val="18"/>
          <w:color w:val="auto"/>
        </w:rPr>
        <w:t>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ind w:right="240" w:firstLine="416"/>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41" w:lineRule="exact"/>
        <w:rPr>
          <w:sz w:val="20"/>
          <w:szCs w:val="20"/>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and to attract, retain and motivate qualified personnel and manage our human capital.</w:t>
      </w:r>
    </w:p>
    <w:p>
      <w:pPr>
        <w:spacing w:after="0" w:line="62"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8" w:lineRule="exact"/>
        <w:rPr>
          <w:sz w:val="20"/>
          <w:szCs w:val="20"/>
          <w:color w:val="auto"/>
        </w:rPr>
      </w:pPr>
    </w:p>
    <w:p>
      <w:pPr>
        <w:ind w:right="80" w:firstLine="416"/>
        <w:spacing w:after="0" w:line="289" w:lineRule="auto"/>
        <w:rPr>
          <w:sz w:val="20"/>
          <w:szCs w:val="20"/>
          <w:color w:val="auto"/>
        </w:rPr>
      </w:pPr>
      <w:r>
        <w:rPr>
          <w:rFonts w:ascii="Arial" w:cs="Arial" w:eastAsia="Arial" w:hAnsi="Arial"/>
          <w:sz w:val="16"/>
          <w:szCs w:val="16"/>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0" w:name="page51"/>
    <w:bookmarkEnd w:id="50"/>
    <w:p>
      <w:pPr>
        <w:ind w:left="420" w:right="60"/>
        <w:spacing w:after="0" w:line="308"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1" w:lineRule="exact"/>
        <w:rPr>
          <w:sz w:val="20"/>
          <w:szCs w:val="20"/>
          <w:color w:val="auto"/>
        </w:rPr>
      </w:pPr>
    </w:p>
    <w:p>
      <w:pPr>
        <w:ind w:right="100" w:firstLine="416"/>
        <w:spacing w:after="0" w:line="254" w:lineRule="auto"/>
        <w:rPr>
          <w:sz w:val="20"/>
          <w:szCs w:val="20"/>
          <w:color w:val="auto"/>
        </w:rPr>
      </w:pPr>
      <w:r>
        <w:rPr>
          <w:rFonts w:ascii="Arial" w:cs="Arial" w:eastAsia="Arial" w:hAnsi="Arial"/>
          <w:sz w:val="18"/>
          <w:szCs w:val="18"/>
          <w:color w:val="auto"/>
        </w:rPr>
        <w:t>As of June 30, 2021, we had 100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51" w:lineRule="exact"/>
        <w:rPr>
          <w:sz w:val="20"/>
          <w:szCs w:val="20"/>
          <w:color w:val="auto"/>
        </w:rPr>
      </w:pPr>
    </w:p>
    <w:p>
      <w:pPr>
        <w:ind w:right="120" w:firstLine="416"/>
        <w:spacing w:after="0" w:line="290"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and PRT1419,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25"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PRT543, PRT811 or PRT1419, our other pipeline product candidates or any future product candidates and, accordingly, may not achieve our research, development and commercialization goals.</w:t>
      </w:r>
    </w:p>
    <w:p>
      <w:pPr>
        <w:spacing w:after="0" w:line="224" w:lineRule="exact"/>
        <w:rPr>
          <w:sz w:val="20"/>
          <w:szCs w:val="20"/>
          <w:color w:val="auto"/>
        </w:rPr>
      </w:pPr>
    </w:p>
    <w:p>
      <w:pPr>
        <w:ind w:left="420" w:right="6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11"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51" w:lineRule="exact"/>
        <w:rPr>
          <w:sz w:val="20"/>
          <w:szCs w:val="20"/>
          <w:color w:val="auto"/>
        </w:rPr>
      </w:pPr>
    </w:p>
    <w:p>
      <w:pPr>
        <w:ind w:firstLine="416"/>
        <w:spacing w:after="0" w:line="253"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51" w:name="page52"/>
    <w:bookmarkEnd w:id="51"/>
    <w:p>
      <w:pPr>
        <w:ind w:left="420" w:right="140"/>
        <w:spacing w:after="0" w:line="279" w:lineRule="auto"/>
        <w:rPr>
          <w:sz w:val="20"/>
          <w:szCs w:val="20"/>
          <w:color w:val="auto"/>
        </w:rPr>
      </w:pPr>
      <w:r>
        <w:rPr>
          <w:rFonts w:ascii="Arial" w:cs="Arial" w:eastAsia="Arial" w:hAnsi="Arial"/>
          <w:sz w:val="17"/>
          <w:szCs w:val="17"/>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63"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1" w:lineRule="exact"/>
        <w:rPr>
          <w:sz w:val="20"/>
          <w:szCs w:val="20"/>
          <w:color w:val="auto"/>
        </w:rPr>
      </w:pPr>
    </w:p>
    <w:p>
      <w:pPr>
        <w:ind w:firstLine="416"/>
        <w:spacing w:after="0" w:line="284" w:lineRule="auto"/>
        <w:rPr>
          <w:sz w:val="20"/>
          <w:szCs w:val="20"/>
          <w:color w:val="auto"/>
        </w:rPr>
      </w:pPr>
      <w:r>
        <w:rPr>
          <w:rFonts w:ascii="Arial" w:cs="Arial" w:eastAsia="Arial" w:hAnsi="Arial"/>
          <w:sz w:val="16"/>
          <w:szCs w:val="16"/>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337"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spacing w:after="0" w:line="272" w:lineRule="auto"/>
        <w:rPr>
          <w:sz w:val="20"/>
          <w:szCs w:val="20"/>
          <w:color w:val="auto"/>
        </w:rPr>
      </w:pPr>
      <w:r>
        <w:rPr>
          <w:rFonts w:ascii="Arial" w:cs="Arial" w:eastAsia="Arial" w:hAnsi="Arial"/>
          <w:sz w:val="17"/>
          <w:szCs w:val="17"/>
          <w:color w:val="auto"/>
        </w:rPr>
        <w:t>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1" w:lineRule="exact"/>
        <w:rPr>
          <w:sz w:val="20"/>
          <w:szCs w:val="20"/>
          <w:color w:val="auto"/>
        </w:rPr>
      </w:pPr>
    </w:p>
    <w:p>
      <w:pPr>
        <w:ind w:left="420" w:right="120"/>
        <w:spacing w:after="0" w:line="325"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right="100" w:firstLine="416"/>
        <w:spacing w:after="0" w:line="271"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24" w:lineRule="exact"/>
        <w:rPr>
          <w:sz w:val="20"/>
          <w:szCs w:val="20"/>
          <w:color w:val="auto"/>
        </w:rPr>
      </w:pPr>
    </w:p>
    <w:p>
      <w:pPr>
        <w:ind w:right="40" w:firstLine="416"/>
        <w:spacing w:after="0" w:line="284" w:lineRule="auto"/>
        <w:rPr>
          <w:sz w:val="20"/>
          <w:szCs w:val="20"/>
          <w:color w:val="auto"/>
        </w:rPr>
      </w:pPr>
      <w:r>
        <w:rPr>
          <w:rFonts w:ascii="Arial" w:cs="Arial" w:eastAsia="Arial" w:hAnsi="Arial"/>
          <w:sz w:val="16"/>
          <w:szCs w:val="16"/>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200" w:lineRule="exact"/>
        <w:rPr>
          <w:sz w:val="20"/>
          <w:szCs w:val="20"/>
          <w:color w:val="auto"/>
        </w:rPr>
      </w:pPr>
    </w:p>
    <w:p>
      <w:pPr>
        <w:spacing w:after="0" w:line="216" w:lineRule="exact"/>
        <w:rPr>
          <w:sz w:val="20"/>
          <w:szCs w:val="20"/>
          <w:color w:val="auto"/>
        </w:rPr>
      </w:pPr>
    </w:p>
    <w:p>
      <w:pPr>
        <w:ind w:right="160" w:firstLine="416"/>
        <w:spacing w:after="0" w:line="254" w:lineRule="auto"/>
        <w:rPr>
          <w:sz w:val="20"/>
          <w:szCs w:val="20"/>
          <w:color w:val="auto"/>
        </w:rPr>
      </w:pPr>
      <w:r>
        <w:rPr>
          <w:rFonts w:ascii="Arial" w:cs="Arial" w:eastAsia="Arial" w:hAnsi="Arial"/>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including the GDPR, after which the GDPR will be converted into United Kingdom law. Beginning in 2021, the United Kingdom became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40" w:firstLine="416"/>
        <w:spacing w:after="0" w:line="286" w:lineRule="auto"/>
        <w:rPr>
          <w:sz w:val="20"/>
          <w:szCs w:val="20"/>
          <w:color w:val="auto"/>
        </w:rPr>
      </w:pPr>
      <w:r>
        <w:rPr>
          <w:rFonts w:ascii="Arial" w:cs="Arial" w:eastAsia="Arial" w:hAnsi="Arial"/>
          <w:sz w:val="16"/>
          <w:szCs w:val="16"/>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(the “CPRA”), which expands upon the CCPA, was passed in the recent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w:t>
      </w:r>
    </w:p>
    <w:p>
      <w:pPr>
        <w:spacing w:after="0" w:line="171"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6"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40" w:firstLine="416"/>
        <w:spacing w:after="0" w:line="285" w:lineRule="auto"/>
        <w:rPr>
          <w:sz w:val="20"/>
          <w:szCs w:val="20"/>
          <w:color w:val="auto"/>
        </w:rPr>
      </w:pPr>
      <w:r>
        <w:rPr>
          <w:rFonts w:ascii="Arial" w:cs="Arial" w:eastAsia="Arial" w:hAnsi="Arial"/>
          <w:sz w:val="16"/>
          <w:szCs w:val="16"/>
          <w:color w:val="auto"/>
        </w:rPr>
        <w:t>Our company is located in Delaware. 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left="420" w:right="5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5" w:lineRule="exact"/>
        <w:rPr>
          <w:sz w:val="20"/>
          <w:szCs w:val="20"/>
          <w:color w:val="auto"/>
        </w:rPr>
      </w:pPr>
    </w:p>
    <w:p>
      <w:pPr>
        <w:ind w:right="20" w:firstLine="416"/>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90" w:lineRule="exact"/>
        <w:rPr>
          <w:sz w:val="20"/>
          <w:szCs w:val="20"/>
          <w:color w:val="auto"/>
        </w:rPr>
      </w:pPr>
    </w:p>
    <w:p>
      <w:pPr>
        <w:ind w:firstLine="416"/>
        <w:spacing w:after="0" w:line="285"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320" w:lineRule="exact"/>
        <w:rPr>
          <w:sz w:val="20"/>
          <w:szCs w:val="20"/>
          <w:color w:val="auto"/>
        </w:rPr>
      </w:pPr>
    </w:p>
    <w:p>
      <w:pPr>
        <w:ind w:left="420" w:right="66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35"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4" w:lineRule="exact"/>
        <w:rPr>
          <w:sz w:val="20"/>
          <w:szCs w:val="20"/>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840" w:right="140" w:hanging="427"/>
        <w:spacing w:after="0" w:line="277"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55" w:name="page56"/>
    <w:bookmarkEnd w:id="55"/>
    <w:p>
      <w:pPr>
        <w:ind w:left="840" w:hanging="42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40" w:lineRule="exact"/>
        <w:rPr>
          <w:rFonts w:ascii="Arial" w:cs="Arial" w:eastAsia="Arial" w:hAnsi="Arial"/>
          <w:sz w:val="16"/>
          <w:szCs w:val="16"/>
          <w:color w:val="auto"/>
        </w:rPr>
      </w:pPr>
    </w:p>
    <w:p>
      <w:pPr>
        <w:ind w:left="840" w:hanging="427"/>
        <w:spacing w:after="0"/>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140" w:lineRule="exact"/>
        <w:rPr>
          <w:rFonts w:ascii="Arial" w:cs="Arial" w:eastAsia="Arial" w:hAnsi="Arial"/>
          <w:sz w:val="16"/>
          <w:szCs w:val="16"/>
          <w:color w:val="auto"/>
        </w:rPr>
      </w:pPr>
    </w:p>
    <w:p>
      <w:pPr>
        <w:ind w:left="840" w:hanging="42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portfolio of investments may be subject to market, interest and credit risk that may reduce its value.</w:t>
      </w:r>
    </w:p>
    <w:p>
      <w:pPr>
        <w:spacing w:after="0" w:line="11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420" w:right="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6"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and PRT1419,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95" w:lineRule="exact"/>
        <w:rPr>
          <w:sz w:val="20"/>
          <w:szCs w:val="20"/>
          <w:color w:val="auto"/>
        </w:rPr>
      </w:pPr>
    </w:p>
    <w:p>
      <w:pPr>
        <w:ind w:right="420" w:firstLine="416"/>
        <w:spacing w:after="0" w:line="259" w:lineRule="auto"/>
        <w:rPr>
          <w:sz w:val="20"/>
          <w:szCs w:val="20"/>
          <w:color w:val="auto"/>
        </w:rPr>
      </w:pPr>
      <w:r>
        <w:rPr>
          <w:rFonts w:ascii="Arial" w:cs="Arial" w:eastAsia="Arial" w:hAnsi="Arial"/>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abroad relating to PRT543 and PRT811.</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204"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 is expected to expire no earlier than August 9, 2038, and one issued U.S. patent covering PRT811 that is expected to expire no earlier than March 14, 2039. We do not yet have issued patents on all of our product candidates.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6" w:name="page57"/>
    <w:bookmarkEnd w:id="56"/>
    <w:p>
      <w:pPr>
        <w:ind w:firstLine="416"/>
        <w:spacing w:after="0" w:line="269" w:lineRule="auto"/>
        <w:rPr>
          <w:sz w:val="20"/>
          <w:szCs w:val="20"/>
          <w:color w:val="auto"/>
        </w:rPr>
      </w:pPr>
      <w:r>
        <w:rPr>
          <w:rFonts w:ascii="Arial" w:cs="Arial" w:eastAsia="Arial" w:hAnsi="Arial"/>
          <w:sz w:val="17"/>
          <w:szCs w:val="17"/>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179"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6"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right="160" w:firstLine="416"/>
        <w:spacing w:after="0" w:line="275"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76"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spacing w:after="0" w:line="257" w:lineRule="auto"/>
        <w:rPr>
          <w:sz w:val="20"/>
          <w:szCs w:val="20"/>
          <w:color w:val="auto"/>
        </w:rPr>
      </w:pPr>
      <w:r>
        <w:rPr>
          <w:rFonts w:ascii="Arial" w:cs="Arial" w:eastAsia="Arial" w:hAnsi="Arial"/>
          <w:sz w:val="18"/>
          <w:szCs w:val="18"/>
          <w:color w:val="auto"/>
        </w:rPr>
        <w:t>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195" w:lineRule="exact"/>
        <w:rPr>
          <w:sz w:val="20"/>
          <w:szCs w:val="20"/>
          <w:color w:val="auto"/>
        </w:rPr>
      </w:pPr>
    </w:p>
    <w:p>
      <w:pPr>
        <w:ind w:left="420" w:right="46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22" w:lineRule="exact"/>
        <w:rPr>
          <w:sz w:val="20"/>
          <w:szCs w:val="20"/>
          <w:color w:val="auto"/>
        </w:rPr>
      </w:pPr>
    </w:p>
    <w:p>
      <w:pPr>
        <w:ind w:right="20" w:firstLine="416"/>
        <w:spacing w:after="0" w:line="268"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66"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59"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35" w:lineRule="exact"/>
        <w:rPr>
          <w:sz w:val="20"/>
          <w:szCs w:val="20"/>
          <w:color w:val="auto"/>
        </w:rPr>
      </w:pPr>
    </w:p>
    <w:p>
      <w:pPr>
        <w:ind w:right="180" w:firstLine="416"/>
        <w:spacing w:after="0" w:line="257" w:lineRule="auto"/>
        <w:rPr>
          <w:sz w:val="20"/>
          <w:szCs w:val="20"/>
          <w:color w:val="auto"/>
        </w:rPr>
      </w:pPr>
      <w:r>
        <w:rPr>
          <w:rFonts w:ascii="Arial" w:cs="Arial" w:eastAsia="Arial" w:hAnsi="Arial"/>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8" w:name="page59"/>
    <w:bookmarkEnd w:id="58"/>
    <w:p>
      <w:pPr>
        <w:ind w:right="280" w:firstLine="416"/>
        <w:spacing w:after="0" w:line="275" w:lineRule="auto"/>
        <w:rPr>
          <w:sz w:val="20"/>
          <w:szCs w:val="20"/>
          <w:color w:val="auto"/>
        </w:rPr>
      </w:pPr>
      <w:r>
        <w:rPr>
          <w:rFonts w:ascii="Arial" w:cs="Arial" w:eastAsia="Arial" w:hAnsi="Arial"/>
          <w:sz w:val="17"/>
          <w:szCs w:val="17"/>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76" w:lineRule="exact"/>
        <w:rPr>
          <w:sz w:val="20"/>
          <w:szCs w:val="20"/>
          <w:color w:val="auto"/>
        </w:rPr>
      </w:pPr>
    </w:p>
    <w:p>
      <w:pPr>
        <w:ind w:firstLine="416"/>
        <w:spacing w:after="0" w:line="287" w:lineRule="auto"/>
        <w:rPr>
          <w:sz w:val="20"/>
          <w:szCs w:val="20"/>
          <w:color w:val="auto"/>
        </w:rPr>
      </w:pPr>
      <w:r>
        <w:rPr>
          <w:rFonts w:ascii="Arial" w:cs="Arial" w:eastAsia="Arial" w:hAnsi="Arial"/>
          <w:sz w:val="16"/>
          <w:szCs w:val="16"/>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8"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05"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effectively protect or enforce our intellectual property and proprietary rights throughout the world.</w:t>
      </w:r>
    </w:p>
    <w:p>
      <w:pPr>
        <w:spacing w:after="0" w:line="131"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20" w:firstLine="416"/>
        <w:spacing w:after="0" w:line="285" w:lineRule="auto"/>
        <w:rPr>
          <w:sz w:val="20"/>
          <w:szCs w:val="20"/>
          <w:color w:val="auto"/>
        </w:rPr>
      </w:pPr>
      <w:r>
        <w:rPr>
          <w:rFonts w:ascii="Arial" w:cs="Arial" w:eastAsia="Arial" w:hAnsi="Arial"/>
          <w:sz w:val="16"/>
          <w:szCs w:val="16"/>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225" w:lineRule="exact"/>
        <w:rPr>
          <w:sz w:val="20"/>
          <w:szCs w:val="20"/>
          <w:color w:val="auto"/>
        </w:rPr>
      </w:pPr>
    </w:p>
    <w:p>
      <w:pPr>
        <w:ind w:left="420" w:right="40"/>
        <w:spacing w:after="0" w:line="342" w:lineRule="auto"/>
        <w:rPr>
          <w:sz w:val="20"/>
          <w:szCs w:val="20"/>
          <w:color w:val="auto"/>
        </w:rPr>
      </w:pPr>
      <w:r>
        <w:rPr>
          <w:rFonts w:ascii="Arial" w:cs="Arial" w:eastAsia="Arial" w:hAnsi="Arial"/>
          <w:sz w:val="16"/>
          <w:szCs w:val="16"/>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6"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92"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5"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80"/>
        <w:spacing w:after="0" w:line="301" w:lineRule="auto"/>
        <w:rPr>
          <w:sz w:val="20"/>
          <w:szCs w:val="20"/>
          <w:color w:val="auto"/>
        </w:rPr>
      </w:pPr>
      <w:r>
        <w:rPr>
          <w:rFonts w:ascii="Arial" w:cs="Arial" w:eastAsia="Arial" w:hAnsi="Arial"/>
          <w:sz w:val="16"/>
          <w:szCs w:val="16"/>
          <w:color w:val="auto"/>
        </w:rPr>
        <w:t>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57" w:lineRule="exact"/>
        <w:rPr>
          <w:sz w:val="20"/>
          <w:szCs w:val="20"/>
          <w:color w:val="auto"/>
        </w:rPr>
      </w:pPr>
    </w:p>
    <w:p>
      <w:pPr>
        <w:ind w:right="140" w:firstLine="416"/>
        <w:spacing w:after="0" w:line="288" w:lineRule="auto"/>
        <w:rPr>
          <w:sz w:val="20"/>
          <w:szCs w:val="20"/>
          <w:color w:val="auto"/>
        </w:rPr>
      </w:pPr>
      <w:r>
        <w:rPr>
          <w:rFonts w:ascii="Arial" w:cs="Arial" w:eastAsia="Arial" w:hAnsi="Arial"/>
          <w:sz w:val="16"/>
          <w:szCs w:val="16"/>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63"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2" w:lineRule="exact"/>
        <w:rPr>
          <w:sz w:val="20"/>
          <w:szCs w:val="20"/>
          <w:color w:val="auto"/>
        </w:rPr>
      </w:pPr>
    </w:p>
    <w:p>
      <w:pPr>
        <w:ind w:right="40" w:firstLine="416"/>
        <w:spacing w:after="0" w:line="288" w:lineRule="auto"/>
        <w:rPr>
          <w:sz w:val="20"/>
          <w:szCs w:val="20"/>
          <w:color w:val="auto"/>
        </w:rPr>
      </w:pPr>
      <w:r>
        <w:rPr>
          <w:rFonts w:ascii="Arial" w:cs="Arial" w:eastAsia="Arial" w:hAnsi="Arial"/>
          <w:sz w:val="16"/>
          <w:szCs w:val="16"/>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68" w:lineRule="exact"/>
        <w:rPr>
          <w:sz w:val="20"/>
          <w:szCs w:val="20"/>
          <w:color w:val="auto"/>
        </w:rPr>
      </w:pPr>
    </w:p>
    <w:p>
      <w:pPr>
        <w:ind w:firstLine="416"/>
        <w:spacing w:after="0" w:line="287" w:lineRule="auto"/>
        <w:rPr>
          <w:sz w:val="20"/>
          <w:szCs w:val="20"/>
          <w:color w:val="auto"/>
        </w:rPr>
      </w:pPr>
      <w:r>
        <w:rPr>
          <w:rFonts w:ascii="Arial" w:cs="Arial" w:eastAsia="Arial" w:hAnsi="Arial"/>
          <w:sz w:val="16"/>
          <w:szCs w:val="16"/>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Rights to improvements to our product candidates may be held by third parties.</w:t>
      </w:r>
    </w:p>
    <w:p>
      <w:pPr>
        <w:spacing w:after="0" w:line="117"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line="269" w:lineRule="auto"/>
        <w:rPr>
          <w:sz w:val="20"/>
          <w:szCs w:val="20"/>
          <w:color w:val="auto"/>
        </w:rPr>
      </w:pPr>
      <w:r>
        <w:rPr>
          <w:rFonts w:ascii="Arial" w:cs="Arial" w:eastAsia="Arial" w:hAnsi="Arial"/>
          <w:sz w:val="17"/>
          <w:szCs w:val="17"/>
          <w:color w:val="auto"/>
        </w:rPr>
        <w:t>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 of our patents may be inadequate to protect our competitive position on our products.</w:t>
      </w:r>
    </w:p>
    <w:p>
      <w:pPr>
        <w:spacing w:after="0" w:line="117" w:lineRule="exact"/>
        <w:rPr>
          <w:sz w:val="20"/>
          <w:szCs w:val="20"/>
          <w:color w:val="auto"/>
        </w:rPr>
      </w:pPr>
    </w:p>
    <w:p>
      <w:pPr>
        <w:ind w:right="60" w:firstLine="416"/>
        <w:spacing w:after="0" w:line="267"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 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83" w:lineRule="exact"/>
        <w:rPr>
          <w:sz w:val="20"/>
          <w:szCs w:val="20"/>
          <w:color w:val="auto"/>
        </w:rPr>
      </w:pPr>
    </w:p>
    <w:p>
      <w:pPr>
        <w:ind w:left="420" w:right="2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6" w:lineRule="exact"/>
        <w:rPr>
          <w:sz w:val="20"/>
          <w:szCs w:val="20"/>
          <w:color w:val="auto"/>
        </w:rPr>
      </w:pPr>
    </w:p>
    <w:p>
      <w:pPr>
        <w:ind w:right="20" w:firstLine="416"/>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2" w:name="page63"/>
    <w:bookmarkEnd w:id="62"/>
    <w:p>
      <w:pPr>
        <w:ind w:left="420" w:right="40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62"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20" w:right="16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62"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20" w:right="10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8" w:lineRule="exact"/>
        <w:rPr>
          <w:rFonts w:ascii="Arial" w:cs="Arial" w:eastAsia="Arial" w:hAnsi="Arial"/>
          <w:sz w:val="18"/>
          <w:szCs w:val="18"/>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44" w:lineRule="exact"/>
        <w:rPr>
          <w:rFonts w:ascii="Arial" w:cs="Arial" w:eastAsia="Arial" w:hAnsi="Arial"/>
          <w:sz w:val="18"/>
          <w:szCs w:val="18"/>
          <w:color w:val="auto"/>
        </w:rPr>
      </w:pPr>
    </w:p>
    <w:p>
      <w:pPr>
        <w:ind w:left="820" w:right="10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89" w:lineRule="exact"/>
        <w:rPr>
          <w:rFonts w:ascii="Arial" w:cs="Arial" w:eastAsia="Arial" w:hAnsi="Arial"/>
          <w:sz w:val="18"/>
          <w:szCs w:val="18"/>
          <w:color w:val="auto"/>
        </w:rPr>
      </w:pPr>
    </w:p>
    <w:p>
      <w:pPr>
        <w:ind w:left="820" w:right="40" w:hanging="407"/>
        <w:spacing w:after="0" w:line="308" w:lineRule="auto"/>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1" w:lineRule="exact"/>
        <w:rPr>
          <w:rFonts w:ascii="Arial" w:cs="Arial" w:eastAsia="Arial" w:hAnsi="Arial"/>
          <w:sz w:val="17"/>
          <w:szCs w:val="17"/>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44" w:lineRule="exact"/>
        <w:rPr>
          <w:rFonts w:ascii="Arial" w:cs="Arial" w:eastAsia="Arial" w:hAnsi="Arial"/>
          <w:sz w:val="18"/>
          <w:szCs w:val="18"/>
          <w:color w:val="auto"/>
        </w:rPr>
      </w:pPr>
    </w:p>
    <w:p>
      <w:pPr>
        <w:ind w:left="820" w:right="28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 how, and a third party may subsequently file a patent covering such intellectual property.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4"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35" w:lineRule="exact"/>
        <w:rPr>
          <w:sz w:val="20"/>
          <w:szCs w:val="20"/>
          <w:color w:val="auto"/>
        </w:rPr>
      </w:pPr>
    </w:p>
    <w:p>
      <w:pPr>
        <w:ind w:right="100" w:firstLine="416"/>
        <w:spacing w:after="0" w:line="255"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52"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35"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35" w:lineRule="exact"/>
        <w:rPr>
          <w:sz w:val="20"/>
          <w:szCs w:val="20"/>
          <w:color w:val="auto"/>
        </w:rPr>
      </w:pPr>
    </w:p>
    <w:p>
      <w:pPr>
        <w:ind w:left="820" w:right="460" w:hanging="407"/>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3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future preclinical or clinical trials or funding support by us, or future collaborators or licensing partners;</w:t>
      </w:r>
    </w:p>
    <w:p>
      <w:pPr>
        <w:spacing w:after="0" w:line="35"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01" w:lineRule="exact"/>
        <w:rPr>
          <w:rFonts w:ascii="Arial" w:cs="Arial" w:eastAsia="Arial" w:hAnsi="Arial"/>
          <w:sz w:val="17"/>
          <w:szCs w:val="17"/>
          <w:color w:val="auto"/>
        </w:rPr>
      </w:pPr>
    </w:p>
    <w:p>
      <w:pPr>
        <w:ind w:left="820" w:hanging="407"/>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90"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35" w:lineRule="exact"/>
        <w:rPr>
          <w:rFonts w:ascii="Arial" w:cs="Arial" w:eastAsia="Arial" w:hAnsi="Arial"/>
          <w:sz w:val="18"/>
          <w:szCs w:val="18"/>
          <w:color w:val="auto"/>
        </w:rPr>
      </w:pPr>
    </w:p>
    <w:p>
      <w:pPr>
        <w:ind w:left="820" w:right="520" w:hanging="407"/>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recent COVID-19 pandemic.</w:t>
      </w:r>
    </w:p>
    <w:p>
      <w:pPr>
        <w:spacing w:after="0" w:line="23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4" w:name="page65"/>
    <w:bookmarkEnd w:id="64"/>
    <w:p>
      <w:pPr>
        <w:ind w:left="420"/>
        <w:spacing w:after="0"/>
        <w:rPr>
          <w:sz w:val="20"/>
          <w:szCs w:val="20"/>
          <w:color w:val="auto"/>
        </w:rPr>
      </w:pPr>
      <w:r>
        <w:rPr>
          <w:rFonts w:ascii="Arial" w:cs="Arial" w:eastAsia="Arial" w:hAnsi="Arial"/>
          <w:sz w:val="15"/>
          <w:szCs w:val="15"/>
          <w:b w:val="1"/>
          <w:bCs w:val="1"/>
          <w:i w:val="1"/>
          <w:iCs w:val="1"/>
          <w:color w:val="auto"/>
        </w:rPr>
        <w:t>The market price of our common stock is likely to be highly volatile, which could result in substantial losses for purchasers of our common stock.</w:t>
      </w:r>
    </w:p>
    <w:p>
      <w:pPr>
        <w:spacing w:after="0" w:line="152"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The market price of our common stock has been highly volatile since our initial public offering, or IPO, and has ranged from $23.69 to $95.38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Quarterly Report on Form 10-Q and the following:</w:t>
      </w:r>
    </w:p>
    <w:p>
      <w:pPr>
        <w:spacing w:after="0" w:line="80" w:lineRule="exact"/>
        <w:rPr>
          <w:sz w:val="20"/>
          <w:szCs w:val="20"/>
          <w:color w:val="auto"/>
        </w:rPr>
      </w:pPr>
    </w:p>
    <w:p>
      <w:pPr>
        <w:ind w:left="820" w:right="14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enrollment or results of clinical trials of our product candidates, or those of our competitors or our future collaborators, or changes in the development status of our product candidates;</w:t>
      </w:r>
    </w:p>
    <w:p>
      <w:pPr>
        <w:spacing w:after="0" w:line="62" w:lineRule="exact"/>
        <w:rPr>
          <w:rFonts w:ascii="Arial" w:cs="Arial" w:eastAsia="Arial" w:hAnsi="Arial"/>
          <w:sz w:val="18"/>
          <w:szCs w:val="18"/>
          <w:color w:val="auto"/>
        </w:rPr>
      </w:pPr>
    </w:p>
    <w:p>
      <w:pPr>
        <w:ind w:left="820" w:right="22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820" w:right="28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sz w:val="20"/>
          <w:szCs w:val="20"/>
          <w:color w:val="auto"/>
        </w:rPr>
      </w:pPr>
    </w:p>
    <w:p>
      <w:pPr>
        <w:ind w:left="420" w:right="180"/>
        <w:spacing w:after="0" w:line="375" w:lineRule="auto"/>
        <w:rPr>
          <w:sz w:val="20"/>
          <w:szCs w:val="20"/>
          <w:color w:val="auto"/>
        </w:rPr>
      </w:pPr>
      <w:r>
        <w:rPr>
          <w:rFonts w:ascii="Arial" w:cs="Arial" w:eastAsia="Arial" w:hAnsi="Arial"/>
          <w:sz w:val="18"/>
          <w:szCs w:val="18"/>
          <w:color w:val="auto"/>
        </w:rPr>
        <w:t>• actions taken by regulatory agencies with respect to our products, clinical studies, manufacturing process or sales and marketing terms; • actual or anticipated variations in our financial results or those of companies that are perceived to be similar to us;</w:t>
      </w:r>
    </w:p>
    <w:p>
      <w:pPr>
        <w:spacing w:after="0" w:line="1" w:lineRule="exact"/>
        <w:rPr>
          <w:sz w:val="20"/>
          <w:szCs w:val="20"/>
          <w:color w:val="auto"/>
        </w:rPr>
      </w:pPr>
    </w:p>
    <w:p>
      <w:pPr>
        <w:ind w:left="820" w:hanging="407"/>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developments concerning any future collaborations, including but not limited to those with development and commercialization partners;</w:t>
      </w:r>
    </w:p>
    <w:p>
      <w:pPr>
        <w:spacing w:after="0" w:line="128" w:lineRule="exact"/>
        <w:rPr>
          <w:rFonts w:ascii="Arial" w:cs="Arial" w:eastAsia="Arial" w:hAnsi="Arial"/>
          <w:sz w:val="17"/>
          <w:szCs w:val="17"/>
          <w:color w:val="auto"/>
        </w:rPr>
      </w:pPr>
    </w:p>
    <w:p>
      <w:pPr>
        <w:ind w:left="820" w:hanging="407"/>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7" w:lineRule="exact"/>
        <w:rPr>
          <w:sz w:val="20"/>
          <w:szCs w:val="20"/>
          <w:color w:val="auto"/>
        </w:rPr>
      </w:pPr>
    </w:p>
    <w:p>
      <w:pPr>
        <w:ind w:left="820" w:right="80" w:hanging="407"/>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9" w:lineRule="exact"/>
        <w:rPr>
          <w:sz w:val="20"/>
          <w:szCs w:val="20"/>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our common stock by us, insiders or our stockholders;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 such as the recent COVID-19 pandemic.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120" w:firstLine="416"/>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47" w:lineRule="exact"/>
        <w:rPr>
          <w:sz w:val="20"/>
          <w:szCs w:val="20"/>
          <w:color w:val="auto"/>
        </w:rPr>
      </w:pPr>
    </w:p>
    <w:p>
      <w:pPr>
        <w:ind w:left="420" w:right="4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firstLine="416"/>
        <w:spacing w:after="0" w:line="263" w:lineRule="auto"/>
        <w:rPr>
          <w:sz w:val="20"/>
          <w:szCs w:val="20"/>
          <w:color w:val="auto"/>
        </w:rPr>
      </w:pPr>
      <w:r>
        <w:rPr>
          <w:rFonts w:ascii="Arial" w:cs="Arial" w:eastAsia="Arial" w:hAnsi="Arial"/>
          <w:sz w:val="18"/>
          <w:szCs w:val="18"/>
          <w:color w:val="auto"/>
        </w:rPr>
        <w:t>As of June 30, 2021,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184" w:lineRule="exact"/>
        <w:rPr>
          <w:sz w:val="20"/>
          <w:szCs w:val="20"/>
          <w:color w:val="auto"/>
        </w:rPr>
      </w:pPr>
    </w:p>
    <w:p>
      <w:pPr>
        <w:ind w:right="100" w:firstLine="416"/>
        <w:spacing w:after="0" w:line="293" w:lineRule="auto"/>
        <w:rPr>
          <w:sz w:val="20"/>
          <w:szCs w:val="20"/>
          <w:color w:val="auto"/>
        </w:rPr>
      </w:pPr>
      <w:r>
        <w:rPr>
          <w:rFonts w:ascii="Arial" w:cs="Arial" w:eastAsia="Arial" w:hAnsi="Arial"/>
          <w:sz w:val="16"/>
          <w:szCs w:val="16"/>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83"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2" w:lineRule="exact"/>
        <w:rPr>
          <w:sz w:val="20"/>
          <w:szCs w:val="20"/>
          <w:color w:val="auto"/>
        </w:rPr>
      </w:pPr>
    </w:p>
    <w:p>
      <w:pPr>
        <w:ind w:right="60" w:firstLine="416"/>
        <w:spacing w:after="0" w:line="269" w:lineRule="auto"/>
        <w:rPr>
          <w:sz w:val="20"/>
          <w:szCs w:val="20"/>
          <w:color w:val="auto"/>
        </w:rPr>
      </w:pPr>
      <w:r>
        <w:rPr>
          <w:rFonts w:ascii="Arial" w:cs="Arial" w:eastAsia="Arial" w:hAnsi="Arial"/>
          <w:sz w:val="17"/>
          <w:szCs w:val="17"/>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June 30, 2021, the common stock will have 100% of the voting power, but if the holders of non-voting common stock were to convert all of their shares into common stock, the prior common stock would have 75.8% of the voting power, and the former non-voting common stock would represent 24.2%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73" w:lineRule="exact"/>
        <w:rPr>
          <w:sz w:val="20"/>
          <w:szCs w:val="20"/>
          <w:color w:val="auto"/>
        </w:rPr>
      </w:pPr>
    </w:p>
    <w:p>
      <w:pPr>
        <w:ind w:left="420" w:right="4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ind w:right="80" w:firstLine="416"/>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Quarterly Report on Form 10-Q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Quarterly Report on Form 10-Q.</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6" w:name="page67"/>
    <w:bookmarkEnd w:id="66"/>
    <w:p>
      <w:pPr>
        <w:ind w:firstLine="416"/>
        <w:spacing w:after="0" w:line="269" w:lineRule="auto"/>
        <w:rPr>
          <w:sz w:val="20"/>
          <w:szCs w:val="20"/>
          <w:color w:val="auto"/>
        </w:rPr>
      </w:pPr>
      <w:r>
        <w:rPr>
          <w:rFonts w:ascii="Arial" w:cs="Arial" w:eastAsia="Arial" w:hAnsi="Arial"/>
          <w:sz w:val="17"/>
          <w:szCs w:val="17"/>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Quarterly Report on Form 10-Q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2"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5" w:lineRule="exact"/>
        <w:rPr>
          <w:sz w:val="20"/>
          <w:szCs w:val="20"/>
          <w:color w:val="auto"/>
        </w:rPr>
      </w:pPr>
    </w:p>
    <w:p>
      <w:pPr>
        <w:ind w:right="60" w:firstLine="416"/>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73" w:lineRule="exact"/>
        <w:rPr>
          <w:sz w:val="20"/>
          <w:szCs w:val="20"/>
          <w:color w:val="auto"/>
        </w:rPr>
      </w:pPr>
    </w:p>
    <w:p>
      <w:pPr>
        <w:ind w:left="420" w:right="10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38" w:lineRule="exact"/>
        <w:rPr>
          <w:sz w:val="20"/>
          <w:szCs w:val="20"/>
          <w:color w:val="auto"/>
        </w:rPr>
      </w:pPr>
    </w:p>
    <w:p>
      <w:pPr>
        <w:ind w:right="60" w:firstLine="416"/>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49" w:lineRule="exact"/>
        <w:rPr>
          <w:sz w:val="20"/>
          <w:szCs w:val="20"/>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90"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authorize the issuance of “blank check” preferred stock that our board could use to implement a stockholder rights plan;</w:t>
      </w:r>
    </w:p>
    <w:p>
      <w:pPr>
        <w:spacing w:after="0" w:line="90" w:lineRule="exact"/>
        <w:rPr>
          <w:sz w:val="20"/>
          <w:szCs w:val="20"/>
          <w:color w:val="auto"/>
        </w:rPr>
      </w:pPr>
    </w:p>
    <w:p>
      <w:pPr>
        <w:ind w:left="820" w:hanging="407"/>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820" w:right="460" w:hanging="407"/>
        <w:spacing w:after="0" w:line="277"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right="20" w:firstLine="416"/>
        <w:spacing w:after="0" w:line="26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65" w:lineRule="exact"/>
        <w:rPr>
          <w:sz w:val="20"/>
          <w:szCs w:val="20"/>
          <w:color w:val="auto"/>
        </w:rPr>
      </w:pPr>
    </w:p>
    <w:p>
      <w:pPr>
        <w:ind w:left="420" w:right="100"/>
        <w:spacing w:after="0" w:line="356" w:lineRule="auto"/>
        <w:rPr>
          <w:sz w:val="20"/>
          <w:szCs w:val="20"/>
          <w:color w:val="auto"/>
        </w:rPr>
      </w:pPr>
      <w:r>
        <w:rPr>
          <w:rFonts w:ascii="Arial" w:cs="Arial" w:eastAsia="Arial" w:hAnsi="Arial"/>
          <w:sz w:val="15"/>
          <w:szCs w:val="15"/>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1"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49" w:lineRule="exact"/>
        <w:rPr>
          <w:sz w:val="20"/>
          <w:szCs w:val="20"/>
          <w:color w:val="auto"/>
        </w:rPr>
      </w:pPr>
    </w:p>
    <w:p>
      <w:pPr>
        <w:ind w:right="60" w:firstLine="416"/>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30"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194" w:lineRule="exact"/>
        <w:rPr>
          <w:sz w:val="20"/>
          <w:szCs w:val="20"/>
          <w:color w:val="auto"/>
        </w:rPr>
      </w:pPr>
    </w:p>
    <w:p>
      <w:pPr>
        <w:ind w:right="300" w:firstLine="416"/>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14"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2"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8" w:name="page69"/>
    <w:bookmarkEnd w:id="68"/>
    <w:p>
      <w:pPr>
        <w:ind w:right="60"/>
        <w:spacing w:after="0" w:line="273" w:lineRule="auto"/>
        <w:rPr>
          <w:sz w:val="20"/>
          <w:szCs w:val="20"/>
          <w:color w:val="auto"/>
        </w:rPr>
      </w:pPr>
      <w:r>
        <w:rPr>
          <w:rFonts w:ascii="Arial" w:cs="Arial" w:eastAsia="Arial" w:hAnsi="Arial"/>
          <w:sz w:val="17"/>
          <w:szCs w:val="17"/>
          <w:color w:val="auto"/>
        </w:rPr>
        <w:t>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4"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are not currently required to comply with the SEC’s rules that implement Section 404 of the Sarbanes- 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the Nasdaq Global Select Market.</w:t>
      </w:r>
    </w:p>
    <w:p>
      <w:pPr>
        <w:spacing w:after="0" w:line="276"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320" w:firstLine="416"/>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420" w:right="7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60" w:firstLine="416"/>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9" w:name="page70"/>
    <w:bookmarkEnd w:id="69"/>
    <w:p>
      <w:pPr>
        <w:ind w:firstLine="416"/>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160" w:firstLine="416"/>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firstLine="478"/>
        <w:spacing w:after="0" w:line="291" w:lineRule="auto"/>
        <w:rPr>
          <w:sz w:val="20"/>
          <w:szCs w:val="20"/>
          <w:color w:val="auto"/>
        </w:rPr>
      </w:pPr>
      <w:r>
        <w:rPr>
          <w:rFonts w:ascii="Arial" w:cs="Arial" w:eastAsia="Arial" w:hAnsi="Arial"/>
          <w:sz w:val="16"/>
          <w:szCs w:val="16"/>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66" w:lineRule="exact"/>
        <w:rPr>
          <w:sz w:val="20"/>
          <w:szCs w:val="20"/>
          <w:color w:val="auto"/>
        </w:rPr>
      </w:pPr>
    </w:p>
    <w:p>
      <w:pPr>
        <w:ind w:right="540" w:firstLine="47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00" w:type="dxa"/>
            <w:vAlign w:val="bottom"/>
            <w:gridSpan w:val="9"/>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Form</w:t>
            </w: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2000" w:type="dxa"/>
            <w:vAlign w:val="bottom"/>
          </w:tcPr>
          <w:p>
            <w:pPr>
              <w:ind w:left="180"/>
              <w:spacing w:after="0"/>
              <w:rPr>
                <w:sz w:val="20"/>
                <w:szCs w:val="20"/>
                <w:color w:val="auto"/>
              </w:rPr>
            </w:pPr>
            <w:r>
              <w:rPr>
                <w:rFonts w:ascii="Arial" w:cs="Arial" w:eastAsia="Arial" w:hAnsi="Arial"/>
                <w:sz w:val="14"/>
                <w:szCs w:val="14"/>
                <w:b w:val="1"/>
                <w:bCs w:val="1"/>
                <w:color w:val="auto"/>
              </w:rPr>
              <w:t>Exhibit No.  Exhibit Filing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gridSpan w:val="9"/>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160" w:type="dxa"/>
            <w:vAlign w:val="bottom"/>
            <w:tcBorders>
              <w:bottom w:val="single" w:sz="8" w:color="0000EE"/>
            </w:tcBorders>
            <w:gridSpan w:val="5"/>
          </w:tcPr>
          <w:p>
            <w:pPr>
              <w:spacing w:after="0" w:line="182"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Principal Executive Officer Pursuant to Rules 13a-14(a)</w:t>
              </w:r>
            </w:hyperlink>
          </w:p>
        </w:tc>
        <w:tc>
          <w:tcPr>
            <w:tcW w:w="320" w:type="dxa"/>
            <w:vAlign w:val="bottom"/>
            <w:gridSpan w:val="5"/>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00" w:type="dxa"/>
            <w:vAlign w:val="bottom"/>
            <w:gridSpan w:val="11"/>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and 15d-14(a) under the Securities Exchange Act of 1934, as Adopted</w:t>
              </w:r>
            </w:hyperlink>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Pursuant to Section 302 of the Sarbanes-Oxley Act of 2002.</w:t>
              </w:r>
            </w:hyperlink>
          </w:p>
        </w:tc>
        <w:tc>
          <w:tcPr>
            <w:tcW w:w="720" w:type="dxa"/>
            <w:vAlign w:val="bottom"/>
            <w:tcBorders>
              <w:top w:val="single" w:sz="8" w:color="0000EE"/>
            </w:tcBorders>
          </w:tcPr>
          <w:p>
            <w:pPr>
              <w:spacing w:after="0"/>
              <w:rPr>
                <w:sz w:val="17"/>
                <w:szCs w:val="17"/>
                <w:color w:val="auto"/>
              </w:rPr>
            </w:pPr>
          </w:p>
        </w:tc>
        <w:tc>
          <w:tcPr>
            <w:tcW w:w="4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54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Principal Financial Officer Pursuant to Rules 13a-14(a) and</w:t>
              </w:r>
            </w:hyperlink>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15d-14(a) under the Securities Exchange Act of 1934, as Adopted Pursuant</w:t>
              </w:r>
            </w:hyperlink>
          </w:p>
        </w:tc>
        <w:tc>
          <w:tcPr>
            <w:tcW w:w="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to Section 302 of the Sarbanes-Oxley Act of 2002.</w:t>
              </w:r>
            </w:hyperlink>
          </w:p>
        </w:tc>
        <w:tc>
          <w:tcPr>
            <w:tcW w:w="186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53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Principal Executive Officer Pursuant to 18 U.S.C. Section</w:t>
              </w:r>
            </w:hyperlink>
          </w:p>
        </w:tc>
        <w:tc>
          <w:tcPr>
            <w:tcW w:w="18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1350, as Adopted Pursuant to Section 906 of the Sarbanes-Oxley Act of</w:t>
              </w:r>
            </w:hyperlink>
          </w:p>
        </w:tc>
        <w:tc>
          <w:tcPr>
            <w:tcW w:w="3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3"/>
          </w:tcPr>
          <w:p>
            <w:pPr>
              <w:ind w:left="80"/>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2002.</w:t>
              </w:r>
            </w:hyperlink>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5500" w:type="dxa"/>
            <w:vAlign w:val="bottom"/>
            <w:gridSpan w:val="11"/>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Certification of Principal Financial Officer Pursuant to 18 U.S.C. Section</w:t>
              </w:r>
            </w:hyperlink>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1350, as Adopted Pursuant to Section 906 of the Sarbanes-Oxley Act of</w:t>
              </w:r>
            </w:hyperlink>
          </w:p>
        </w:tc>
        <w:tc>
          <w:tcPr>
            <w:tcW w:w="80" w:type="dxa"/>
            <w:vAlign w:val="bottom"/>
            <w:tcBorders>
              <w:top w:val="single" w:sz="8" w:color="0000EE"/>
            </w:tcBorders>
          </w:tcPr>
          <w:p>
            <w:pPr>
              <w:spacing w:after="0"/>
              <w:rPr>
                <w:sz w:val="17"/>
                <w:szCs w:val="17"/>
                <w:color w:val="auto"/>
              </w:rPr>
            </w:pPr>
          </w:p>
        </w:tc>
        <w:tc>
          <w:tcPr>
            <w:tcW w:w="2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3"/>
          </w:tcPr>
          <w:p>
            <w:pPr>
              <w:ind w:left="80"/>
              <w:spacing w:after="0" w:line="196" w:lineRule="exact"/>
              <w:rPr>
                <w:rFonts w:ascii="Arial" w:cs="Arial" w:eastAsia="Arial" w:hAnsi="Arial"/>
                <w:sz w:val="18"/>
                <w:szCs w:val="18"/>
                <w:color w:val="0000EE"/>
                <w:w w:val="84"/>
              </w:rPr>
            </w:pPr>
            <w:hyperlink w:anchor="page76">
              <w:r>
                <w:rPr>
                  <w:rFonts w:ascii="Arial" w:cs="Arial" w:eastAsia="Arial" w:hAnsi="Arial"/>
                  <w:sz w:val="18"/>
                  <w:szCs w:val="18"/>
                  <w:color w:val="0000EE"/>
                  <w:w w:val="84"/>
                </w:rPr>
                <w:t>2002.</w:t>
              </w:r>
            </w:hyperlink>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1"/>
                <w:szCs w:val="21"/>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w w:val="92"/>
              </w:rPr>
              <w:t>Cover Page Interactive Data File (formatted as Inline XBRL and contained</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in Exhibit 101)</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certifications furnished in Exhibits 32.1 and 32.2 hereto are deemed to accompany this Form 10-Q and are not deemed “filed” for purposes of</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Arial" w:cs="Arial" w:eastAsia="Arial" w:hAnsi="Arial"/>
          <w:sz w:val="18"/>
          <w:szCs w:val="18"/>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1860"/>
              <w:spacing w:after="0"/>
              <w:rPr>
                <w:sz w:val="20"/>
                <w:szCs w:val="20"/>
                <w:color w:val="auto"/>
              </w:rPr>
            </w:pPr>
            <w:r>
              <w:rPr>
                <w:rFonts w:ascii="Arial" w:cs="Arial" w:eastAsia="Arial" w:hAnsi="Arial"/>
                <w:sz w:val="18"/>
                <w:szCs w:val="18"/>
                <w:color w:val="auto"/>
              </w:rPr>
              <w:t>Prelude Therapeutics Incorporated</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August 12, 2021</w:t>
            </w:r>
          </w:p>
        </w:tc>
        <w:tc>
          <w:tcPr>
            <w:tcW w:w="2140" w:type="dxa"/>
            <w:vAlign w:val="bottom"/>
          </w:tcPr>
          <w:p>
            <w:pPr>
              <w:ind w:left="1860"/>
              <w:spacing w:after="0"/>
              <w:rPr>
                <w:sz w:val="20"/>
                <w:szCs w:val="20"/>
                <w:color w:val="auto"/>
              </w:rPr>
            </w:pPr>
            <w:r>
              <w:rPr>
                <w:rFonts w:ascii="Arial" w:cs="Arial" w:eastAsia="Arial" w:hAnsi="Arial"/>
                <w:sz w:val="18"/>
                <w:szCs w:val="18"/>
                <w:color w:val="auto"/>
                <w:w w:val="99"/>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Vaddi</w:t>
            </w:r>
          </w:p>
        </w:tc>
      </w:tr>
      <w:tr>
        <w:trPr>
          <w:trHeight w:val="218"/>
        </w:trPr>
        <w:tc>
          <w:tcPr>
            <w:tcW w:w="3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Krishna Vaddi, PhD</w:t>
            </w:r>
          </w:p>
        </w:tc>
      </w:tr>
      <w:tr>
        <w:trPr>
          <w:trHeight w:val="229"/>
        </w:trPr>
        <w:tc>
          <w:tcPr>
            <w:tcW w:w="35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3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August 12, 2021</w:t>
            </w:r>
          </w:p>
        </w:tc>
        <w:tc>
          <w:tcPr>
            <w:tcW w:w="2140" w:type="dxa"/>
            <w:vAlign w:val="bottom"/>
          </w:tcPr>
          <w:p>
            <w:pPr>
              <w:ind w:left="1860"/>
              <w:spacing w:after="0"/>
              <w:rPr>
                <w:sz w:val="20"/>
                <w:szCs w:val="20"/>
                <w:color w:val="auto"/>
              </w:rPr>
            </w:pPr>
            <w:r>
              <w:rPr>
                <w:rFonts w:ascii="Arial" w:cs="Arial" w:eastAsia="Arial" w:hAnsi="Arial"/>
                <w:sz w:val="18"/>
                <w:szCs w:val="18"/>
                <w:color w:val="auto"/>
                <w:w w:val="99"/>
              </w:rPr>
              <w:t>By:</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 Brian Piper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0</wp:posOffset>
            </wp:positionV>
            <wp:extent cx="35572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18"/>
          <w:szCs w:val="18"/>
          <w:b w:val="1"/>
          <w:bCs w:val="1"/>
          <w:color w:val="auto"/>
        </w:rPr>
        <w:t>Brian Piper, M.B.A.</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55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Krishna Vaddi, certify that:</w:t>
      </w:r>
    </w:p>
    <w:p>
      <w:pPr>
        <w:spacing w:after="0" w:line="225"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12, 2021</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Vaddi</w:t>
            </w:r>
          </w:p>
        </w:tc>
      </w:tr>
      <w:tr>
        <w:trPr>
          <w:trHeight w:val="222"/>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Piper, certify that:</w:t>
      </w:r>
    </w:p>
    <w:p>
      <w:pPr>
        <w:spacing w:after="0" w:line="225"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12, 2021</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Piper</w:t>
            </w:r>
          </w:p>
        </w:tc>
      </w:tr>
      <w:tr>
        <w:trPr>
          <w:trHeight w:val="222"/>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Brian Piper, M.B.A.</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and Financial Officer)</w:t>
            </w:r>
          </w:p>
        </w:tc>
      </w:tr>
    </w:tbl>
    <w:p>
      <w:pPr>
        <w:sectPr>
          <w:pgSz w:w="11900" w:h="16838" w:orient="portrait"/>
          <w:cols w:equalWidth="0" w:num="1">
            <w:col w:w="11240"/>
          </w:cols>
          <w:pgMar w:left="320" w:top="35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Krishna Vaddi, Chief Executive Officer of Prelude Therapeutics Incorporated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000" w:right="64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August 12, 2021</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16"/>
        </w:trPr>
        <w:tc>
          <w:tcPr>
            <w:tcW w:w="3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ectPr>
          <w:pgSz w:w="11900" w:h="16838" w:orient="portrait"/>
          <w:cols w:equalWidth="0" w:num="1">
            <w:col w:w="11240"/>
          </w:cols>
          <w:pgMar w:left="320" w:top="35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Brian Piper, Chief Financial Officer of Prelude Therapeutics Incorporated (the “Company”), do hereby certify, pursuant to 18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000" w:right="64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12, 2021</w:t>
            </w:r>
          </w:p>
        </w:tc>
        <w:tc>
          <w:tcPr>
            <w:tcW w:w="2200" w:type="dxa"/>
            <w:vAlign w:val="bottom"/>
          </w:tcPr>
          <w:p>
            <w:pPr>
              <w:ind w:left="1920"/>
              <w:spacing w:after="0"/>
              <w:rPr>
                <w:sz w:val="20"/>
                <w:szCs w:val="20"/>
                <w:color w:val="auto"/>
              </w:rPr>
            </w:pPr>
            <w:r>
              <w:rPr>
                <w:rFonts w:ascii="Arial" w:cs="Arial" w:eastAsia="Arial" w:hAnsi="Arial"/>
                <w:sz w:val="18"/>
                <w:szCs w:val="18"/>
                <w:color w:val="auto"/>
                <w:w w:val="99"/>
              </w:rPr>
              <w:t>By:</w:t>
            </w: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Piper</w:t>
            </w:r>
          </w:p>
        </w:tc>
      </w:tr>
      <w:tr>
        <w:trPr>
          <w:trHeight w:val="222"/>
        </w:trPr>
        <w:tc>
          <w:tcPr>
            <w:tcW w:w="3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Brian Piper, M.B.A.</w:t>
            </w:r>
          </w:p>
        </w:tc>
      </w:tr>
      <w:tr>
        <w:trPr>
          <w:trHeight w:val="216"/>
        </w:trPr>
        <w:tc>
          <w:tcPr>
            <w:tcW w:w="3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Accounting and Finance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7"/>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lowerRoman"/>
      <w:start w:val="3"/>
    </w:lvl>
  </w:abstractNum>
  <w:abstractNum w:abstractNumId="8">
    <w:nsid w:val="4516DDE9"/>
    <w:multiLevelType w:val="hybridMultilevel"/>
    <w:lvl w:ilvl="0">
      <w:lvlJc w:val="left"/>
      <w:lvlText w:val="•"/>
      <w:numFmt w:val="bullet"/>
      <w:start w:val="1"/>
    </w:lvl>
    <w:lvl w:ilvl="1">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2021-08-12T09:41:01Z</dcterms:created>
  <dcterms:modified xsi:type="dcterms:W3CDTF">2021-08-12T09:41:01Z</dcterms:modified>
</cp:coreProperties>
</file>