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3820" w:right="1580" w:hanging="3799"/>
        <w:spacing w:after="0" w:line="226" w:lineRule="auto"/>
        <w:tabs>
          <w:tab w:leader="none" w:pos="49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87" w:lineRule="exact"/>
        <w:rPr>
          <w:sz w:val="24"/>
          <w:szCs w:val="24"/>
          <w:color w:val="auto"/>
        </w:rPr>
      </w:pPr>
    </w:p>
    <w:p>
      <w:pPr>
        <w:sectPr>
          <w:pgSz w:w="11900" w:h="16838" w:orient="portrait"/>
          <w:cols w:equalWidth="0" w:num="2">
            <w:col w:w="7220" w:space="720"/>
            <w:col w:w="3300"/>
          </w:cols>
          <w:pgMar w:left="320" w:top="974" w:right="339" w:bottom="1440" w:gutter="0" w:footer="0" w:header="0"/>
          <w:type w:val="continuous"/>
        </w:sectPr>
      </w:pPr>
    </w:p>
    <w:tbl>
      <w:tblPr>
        <w:tblLayout w:type="fixed"/>
        <w:tblInd w:w="1760" w:type="dxa"/>
        <w:tblCellMar>
          <w:top w:w="0" w:type="dxa"/>
          <w:left w:w="0" w:type="dxa"/>
          <w:bottom w:w="0" w:type="dxa"/>
          <w:right w:w="0" w:type="dxa"/>
        </w:tblCellMar>
      </w:tblPr>
      <w:tr>
        <w:trPr>
          <w:trHeight w:val="230"/>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20" w:type="dxa"/>
            <w:vAlign w:val="bottom"/>
          </w:tcPr>
          <w:p>
            <w:pPr>
              <w:spacing w:after="0"/>
              <w:rPr>
                <w:sz w:val="19"/>
                <w:szCs w:val="19"/>
                <w:color w:val="auto"/>
              </w:rPr>
            </w:pPr>
          </w:p>
        </w:tc>
      </w:tr>
      <w:tr>
        <w:trPr>
          <w:trHeight w:val="232"/>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72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19805</w:t>
            </w:r>
          </w:p>
        </w:tc>
      </w:tr>
      <w:tr>
        <w:trPr>
          <w:trHeight w:val="166"/>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47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10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480"/>
        <w:spacing w:after="0" w:line="184" w:lineRule="exact"/>
        <w:tabs>
          <w:tab w:leader="none" w:pos="8020" w:val="left"/>
          <w:tab w:leader="none" w:pos="87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April 30, 2025, the registrant had 56,460,481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60" w:type="dxa"/>
            <w:vAlign w:val="bottom"/>
            <w:gridSpan w:val="17"/>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and Comprehensive Loss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Changes in Stockholders’ Equity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Interim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4"/>
                <w:szCs w:val="14"/>
                <w:color w:val="auto"/>
              </w:rPr>
              <w:t>(unaudited)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40,269</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12,474</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121,140</w:t>
            </w: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135,895</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6,767</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28,699</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141,260</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175,515</w:t>
            </w:r>
          </w:p>
        </w:tc>
      </w:tr>
      <w:tr>
        <w:trPr>
          <w:trHeight w:val="197"/>
        </w:trPr>
        <w:tc>
          <w:tcPr>
            <w:tcW w:w="7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7,732</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15,209</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w:t>
            </w: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liability</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25,641</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Pr>
          <w:p>
            <w:pPr>
              <w:spacing w:after="0"/>
              <w:rPr>
                <w:sz w:val="18"/>
                <w:szCs w:val="18"/>
                <w:color w:val="auto"/>
              </w:rPr>
            </w:pPr>
          </w:p>
        </w:tc>
      </w:tr>
      <w:tr>
        <w:trPr>
          <w:trHeight w:val="20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44,056</w:t>
            </w:r>
          </w:p>
        </w:tc>
      </w:tr>
      <w:tr>
        <w:trPr>
          <w:trHeight w:val="210"/>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Commitments (Note 8)</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Voting common stock, $0.0001 par value: 487,149,741 shares authorized; 43,604,202 and</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42,298,859 shares issued and outstanding at March 31, 2025 and December 31, 2024, respectively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12,850,259 shares authorized; 12,850,259 shares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at both March 31, 2025 and December 31, 2024</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714,982</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(615,648)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(583,563)</w:t>
            </w:r>
          </w:p>
        </w:tc>
      </w:tr>
      <w:tr>
        <w:trPr>
          <w:trHeight w:val="210"/>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141,260</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175,515</w:t>
            </w:r>
          </w:p>
        </w:tc>
      </w:tr>
      <w:tr>
        <w:trPr>
          <w:trHeight w:val="20"/>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-3814445</wp:posOffset>
            </wp:positionV>
            <wp:extent cx="76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-3814445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-2973705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-2957195</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-2957195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-2125345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-1559560</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00" w:type="dxa"/>
            <w:vAlign w:val="bottom"/>
          </w:tcPr>
          <w:p>
            <w:pPr>
              <w:spacing w:after="0"/>
              <w:rPr>
                <w:sz w:val="15"/>
                <w:szCs w:val="15"/>
                <w:color w:val="auto"/>
              </w:rPr>
            </w:pPr>
          </w:p>
        </w:tc>
        <w:tc>
          <w:tcPr>
            <w:tcW w:w="35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32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(34,606)</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(34,343)</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(32,085)</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(31,431)</w:t>
            </w:r>
          </w:p>
        </w:tc>
        <w:tc>
          <w:tcPr>
            <w:tcW w:w="0" w:type="dxa"/>
            <w:vAlign w:val="bottom"/>
          </w:tcPr>
          <w:p>
            <w:pPr>
              <w:spacing w:after="0"/>
              <w:rPr>
                <w:sz w:val="1"/>
                <w:szCs w:val="1"/>
                <w:color w:val="auto"/>
              </w:rPr>
            </w:pPr>
          </w:p>
        </w:tc>
      </w:tr>
      <w:tr>
        <w:trPr>
          <w:trHeight w:val="197"/>
        </w:trPr>
        <w:tc>
          <w:tcPr>
            <w:tcW w:w="73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178"/>
        </w:trPr>
        <w:tc>
          <w:tcPr>
            <w:tcW w:w="73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75,986,281</w:t>
            </w:r>
          </w:p>
        </w:tc>
        <w:tc>
          <w:tcPr>
            <w:tcW w:w="3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75,735,954</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(32,085)</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(31,431)</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4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(32,108)</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(31,889)</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-1756410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-1756410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-1182370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-1165225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-882015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-864870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0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vMerge w:val="restart"/>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0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(583,56</w:t>
            </w:r>
          </w:p>
        </w:tc>
        <w:tc>
          <w:tcPr>
            <w:tcW w:w="20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42,298,859</w:t>
            </w:r>
          </w:p>
        </w:tc>
        <w:tc>
          <w:tcPr>
            <w:tcW w:w="6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$ 714,982</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 RSUs, net of 3,859 shares withheld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1,299,827</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(32,085)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191"/>
        </w:trPr>
        <w:tc>
          <w:tcPr>
            <w:tcW w:w="30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(615,64</w:t>
            </w:r>
          </w:p>
        </w:tc>
        <w:tc>
          <w:tcPr>
            <w:tcW w:w="20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43,604,202</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$ 718,809</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tcBorders>
              <w:top w:val="single" w:sz="8" w:color="auto"/>
            </w:tcBorders>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8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20" w:type="dxa"/>
            <w:vAlign w:val="bottom"/>
          </w:tcPr>
          <w:p>
            <w:pPr>
              <w:spacing w:after="0"/>
              <w:rPr>
                <w:sz w:val="12"/>
                <w:szCs w:val="12"/>
                <w:color w:val="auto"/>
              </w:rPr>
            </w:pPr>
          </w:p>
        </w:tc>
        <w:tc>
          <w:tcPr>
            <w:tcW w:w="1920" w:type="dxa"/>
            <w:vAlign w:val="bottom"/>
            <w:gridSpan w:val="4"/>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92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42,063,99</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 (456,390)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RSUs, net of 4,285 shares withheld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(31,431)</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(31,431)</w:t>
            </w:r>
          </w:p>
        </w:tc>
        <w:tc>
          <w:tcPr>
            <w:tcW w:w="0" w:type="dxa"/>
            <w:vAlign w:val="bottom"/>
          </w:tcPr>
          <w:p>
            <w:pPr>
              <w:spacing w:after="0"/>
              <w:rPr>
                <w:sz w:val="1"/>
                <w:szCs w:val="1"/>
                <w:color w:val="auto"/>
              </w:rPr>
            </w:pPr>
          </w:p>
        </w:tc>
      </w:tr>
      <w:tr>
        <w:trPr>
          <w:trHeight w:val="191"/>
        </w:trPr>
        <w:tc>
          <w:tcPr>
            <w:tcW w:w="28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42,071,50</w:t>
            </w: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698,785</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(487,821)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-290830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-290830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-290830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-290830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-290830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-290830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-290830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31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(32,085)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(31,431)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(5,692)</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(34,231)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(31,791)</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(9,463)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in accounts payable and accrued expenses and other current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-2459355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-2459355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-1902460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-1902460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-1053465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-770890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precision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The Company follows the provisions of Financial Accounting Standards Board (“FASB”) Accounting Standards Codification (“ASC”) 205-40, Presentation of Financial Statements—Going Concern, which requires management to assess the Company’s ability to continue as a going concern within one year after the date the financial statements are issued. Since its inception, the Company has incurred operating losses and had an accumulated deficit of $615.6 million as of March 31, 2025. The Company has no product revenue to date and devotes its efforts to research and development. The Company anticipates incurring additional losses until such time, if ever, that it can generate significant sales of its product candidates currently in development.</w:t>
      </w:r>
    </w:p>
    <w:p>
      <w:pPr>
        <w:spacing w:after="0" w:line="183"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At March 31, 2025, the Company had cash, cash equivalents, restricted cash and marketable securities totaling $103.1 million. Absent additional funding, the Company believes that its cash, cash equivalents, restricted cash and marketable securities will not be sufficient to fund its operating expenses and capital expenditure requirements for at least the next twelve months from the filing date of this Quarterly Report on Form 10-Q. As a result, substantial doubt exists about our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related to the recoverability and classification of recorded asset amounts or the amounts and classification of liabilities that might result from the outcome of the uncertainties described above.</w:t>
      </w:r>
    </w:p>
    <w:p>
      <w:pPr>
        <w:spacing w:after="0" w:line="18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The complete summary of significant accounting policies included in the Company’s financial statements for the year ended December 31, 2024 can be found in “Note 3. Summary of significant accounting policies” of the Company’s Annual Report on Form 10-K filed with the Securities and Exchange Commission (the “SEC”) on March 10, 2025.</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months ended March 31, 2025 are not necessarily indicative of the results that may be expected for the year ending December 31, 2025. The accompanying unaudited interim financial statements should be read in conjunction with the annual audited financial statements and related notes as of and for the year ended December 31, 2024 found in the Company's Annual Report on Form 10-K filed with the SEC on March 10, 2025. Any reference in these notes to applicable guidance is meant to refer to GAAP as found in the Accounting Standards Codification (“ASC”) and Accounting Standards Updates (“ASU”) of the Financial Accounting Standards Board (“FASB”).</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March 31, 2025 and December 31, 2024.</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("CODM") is its Chief Executive Officer. The Company views and manages its operations as a single operating segment.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for the benefit of the landlord in connection with the Company’s Chestnut Run Lease. See Note 8 for further details.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40,269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12,474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4,044</w:t>
            </w:r>
          </w:p>
        </w:tc>
      </w:tr>
      <w:tr>
        <w:trPr>
          <w:trHeight w:val="20"/>
        </w:trPr>
        <w:tc>
          <w:tcPr>
            <w:tcW w:w="7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44,313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16,518</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(“U.S.”) government debt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6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5"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176"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Diluted net loss per share of common stock includes the effect, if any, from the potential exercise of securities, such as stock options, and the effect from unvested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w:t>
      </w:r>
    </w:p>
    <w:p>
      <w:pPr>
        <w:spacing w:after="0" w:line="183"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28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160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384,875</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93,125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16,639,068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14,737,740</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249,570</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17,273,513</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14,881,806</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We will remain an emerging growth company until the earlier to occur of (a) the last day of the fiscal year (i) following the fifth anniversary of the completion of our initial public offering (i.e. December 31, 2025), (ii) in which we have total annual gross revenues of at least $1.235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 As a result, these unaudited interim financial statements may not be comparable to companies that comply with the new or revised accounting pronouncements as of public company effective dates.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7"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ASU 2023-09 requires enhanced income tax disclosures related to the rate reconciliation and income taxes paid information. For public business entities, the amendments in this ASU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10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58,793</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58,805</w:t>
            </w:r>
          </w:p>
        </w:tc>
        <w:tc>
          <w:tcPr>
            <w:tcW w:w="100" w:type="dxa"/>
            <w:vAlign w:val="bottom"/>
            <w:shd w:val="clear" w:color="auto" w:fill="CFF0FC"/>
          </w:tcPr>
          <w:p>
            <w:pPr>
              <w:spacing w:after="0"/>
              <w:rPr>
                <w:sz w:val="21"/>
                <w:szCs w:val="21"/>
                <w:color w:val="auto"/>
              </w:rPr>
            </w:pPr>
          </w:p>
        </w:tc>
      </w:tr>
      <w:tr>
        <w:trPr>
          <w:trHeight w:val="197"/>
        </w:trPr>
        <w:tc>
          <w:tcPr>
            <w:tcW w:w="292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10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121,105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shd w:val="clear" w:color="auto" w:fill="CFF0FC"/>
          </w:tcPr>
          <w:p>
            <w:pPr>
              <w:spacing w:after="0"/>
              <w:rPr>
                <w:sz w:val="19"/>
                <w:szCs w:val="19"/>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-882015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-864870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-882015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-864870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-882015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-864870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10 months or less. As of March 31, 2025, the Company had 17 securities with a total fair market value of $31.2 million in an unrealized loss position. The Company believes any unrealized losses associated with the decline in value of its securities is temporary and is primarily related to market factors. Furthermore, the Company believes it is more likely than not that it will be able to hold its marketable securities to maturity. Therefore, the Company anticipates a full recovery of the amortized cost basis of its marketable securities at maturity and an allowance for credit losses was not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220"/>
        <w:spacing w:after="0" w:line="282" w:lineRule="auto"/>
        <w:rPr>
          <w:sz w:val="20"/>
          <w:szCs w:val="20"/>
          <w:color w:val="auto"/>
        </w:rPr>
      </w:pPr>
      <w:r>
        <w:rPr>
          <w:rFonts w:ascii="Times New Roman" w:cs="Times New Roman" w:eastAsia="Times New Roman" w:hAnsi="Times New Roman"/>
          <w:sz w:val="18"/>
          <w:szCs w:val="18"/>
          <w:color w:val="auto"/>
        </w:rPr>
        <w:t>follows the provisions of ASC 820, Fair Value Measurement, for financial assets and liabilities measured on a recurring basis. The guidance requires fair value measurements be classified and disclosed in one of the following three categories:</w:t>
      </w:r>
    </w:p>
    <w:p>
      <w:pPr>
        <w:spacing w:after="0" w:line="52"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60,791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4"/>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4"/>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3,857</w:t>
            </w:r>
          </w:p>
        </w:tc>
        <w:tc>
          <w:tcPr>
            <w:tcW w:w="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9,022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11,303</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-4893945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-4893945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-4893945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-4045585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-4045585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-4045585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-2914015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-2914015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-2622550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-2605405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-2622550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-2605405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-2622550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-2605405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March 31, 2025, there was $400.0 million remaining under the 2024 Shelf Registration statement.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the shelf registration statement filed in November 2021 (the “2021 Shelf Registration Statement"), the Company entered into an Open Market Sales Agreement (the "Sales Agreement") with Jefferies LLC, as the sales agent, pursuant to which the Company may offer and sell shares of its common stock having an aggregate offering amount of up to $75.0 million. In November 2024, the 2021 Shelf Registration Statement expired with respect to the shares to be sold under the Sales Agreement. Accordingly, the Company will need to register the $75.0 million of common stock that may be issued and sold pursuant to the Sales Agreement on a subsequent registration statement before any future sales are permitted. The Company will pay Jefferies LLC a commission rate of up to 3.0% of the aggregate gross proceeds from the sale of any shares of common stock pursuant to the Sales Agreement. At March 31, 2025, there was $75.0 million remaining under the Sales Agreement.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right="440" w:firstLine="47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2023, the Company sold pre-funded warrants to purchase 12,895,256 shares of voting common stock at a price of $5.7499 per pre-funded warrant and during the fourth quarter of 2023 the Company sold pre-funded warrants to purchase 7,936,759 shares of voting common stock at a price of $3.1499 per pre-funded warrant.</w:t>
      </w:r>
    </w:p>
    <w:p>
      <w:pPr>
        <w:spacing w:after="0" w:line="68"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represented the per share offering price for the common stock, minus the $0.0001 per share exercise price of such pre-funded warrant.</w:t>
      </w:r>
    </w:p>
    <w:p>
      <w:pPr>
        <w:spacing w:after="0" w:line="5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79"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There were 1,300,000 pre-funded warrants exercised during the three months ended March 31, 2025. The Company did not conduct any financings during the three months ended March 31, 2025 and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0" w:firstLine="479"/>
        <w:spacing w:after="0" w:line="256"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 approximately 81,000 rentable square feet and has an initial term of 162 months with 3 five-year extension options and certain expansion rights. Neither the option to extend nor the expansion rights were recognized as part of the Company's measurement of the right-of-use ("ROU") asset and operating lease liability as of March 31, 2025. Under the terms of the Chestnut Run Lease, the landlord provided an allowance towards the cost of completing tenant improvements for the premises. The Company concluded that the improvements resulting from both the landlord's build-out and the tenant improvements are the landlord's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assets for accounting purposes. Costs incurred by the Company related to tenant improvements in excess of the landlord's allowance were treated as prepaid rent and increased the right-of-use asset on the commencement date.</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April 2024, the Company entered into a 12 month finance lease for equipment.</w:t>
      </w:r>
    </w:p>
    <w:p>
      <w:pPr>
        <w:spacing w:after="0" w:line="225"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Our operating lease costs for each of the three months ended March 31, 2025 and 2024 were $1.1 million. Supplemental balance sheet and other information related to our operating and finance leases as of March 31, 2025 and December 31, 2024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3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20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leased assets</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28,807</w:t>
            </w:r>
          </w:p>
        </w:tc>
        <w:tc>
          <w:tcPr>
            <w:tcW w:w="20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Current liabilities, operating lease</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p>
        </w:tc>
        <w:tc>
          <w:tcPr>
            <w:tcW w:w="31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11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 finance lease liability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FF0FC"/>
          </w:tcPr>
          <w:p>
            <w:pPr>
              <w:spacing w:after="0"/>
              <w:rPr>
                <w:sz w:val="21"/>
                <w:szCs w:val="21"/>
                <w:color w:val="auto"/>
              </w:rPr>
            </w:pPr>
          </w:p>
        </w:tc>
        <w:tc>
          <w:tcPr>
            <w:tcW w:w="30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2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4"/>
        </w:trPr>
        <w:tc>
          <w:tcPr>
            <w:tcW w:w="32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740" w:type="dxa"/>
            <w:vAlign w:val="bottom"/>
            <w:gridSpan w:val="12"/>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three months ended March 31, 2025 and 2024 were as follows:</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20" w:type="dxa"/>
            <w:vAlign w:val="bottom"/>
            <w:gridSpan w:val="9"/>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60" w:type="dxa"/>
            <w:vAlign w:val="bottom"/>
          </w:tcPr>
          <w:p>
            <w:pPr>
              <w:spacing w:after="0"/>
              <w:rPr>
                <w:sz w:val="24"/>
                <w:szCs w:val="24"/>
                <w:color w:val="auto"/>
              </w:rPr>
            </w:pPr>
          </w:p>
        </w:tc>
        <w:tc>
          <w:tcPr>
            <w:tcW w:w="3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-4817110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-4817110</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-3539490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-3522345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-3539490</wp:posOffset>
            </wp:positionV>
            <wp:extent cx="111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-3522345</wp:posOffset>
            </wp:positionV>
            <wp:extent cx="111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Future minimum annual lease payments for operating and finance lease at March 31, 2025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4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40,810</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(22,943)</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FF0FC"/>
            </w:tcBorders>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-462280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accompanying balance sheet as restricted cash as of March 31, 2025. The security deposit may be reduced to $0.5 million over time in accordance with the terms of the Chestnut Run Lease. The Company expects the letter of credit to be reduced to $3.2 million in 2025.</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key personnel providing for compensation and severance in certain circumstances, as defined in the respective employment agreements.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8" w:lineRule="exact"/>
        <w:rPr>
          <w:sz w:val="20"/>
          <w:szCs w:val="20"/>
          <w:color w:val="auto"/>
        </w:rPr>
      </w:pPr>
    </w:p>
    <w:p>
      <w:pPr>
        <w:ind w:right="26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each of the three months ended March 31, 2025 and 2024, the Company made matching contributions of $0.2 million.</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oncology medicines for up to five programs. Under the terms of the agreement, AbCellera will lead manufacturing activities and the Company will lead clinical development and global commercialization, subject to AbCellera’s option to co-promote any resulting commercial products in the United States. If, at any point one party in the collaboration opts-out of future co-development cost sharing, that party will be entitled to a royalty from commercialization of the collaboration target, dependent on the proportion of their co-development contributions compared to the total development costs of a target as defined within the agreement. The Company concluded that the agreement with AbCellera will be accounted for under the scope of ASC 808, Collaborative Arrangements, as both parties will actively participate in joint operating activities and are exposed to significant risks and rewards. Under ASC 808, certain transactions between collaborative arrangement participants should follow the accounting for revenue under ASC 606, Revenue from Contracts with Customers, when the collaborative arrangement participant is a customer for a distinct good or service. The Company determined that co-development arrangement as defined in our agreement with AbCellera does not meet the definition of a customer as defined by ASC 606. As a result, these activities will be accounted for as research and development costs. Costs related to the AbCellera collaboration were not material for the three months ended March 31, 2025 and 2024.</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included a near term $4.0 million payment upon the earlier of 180 days following the effective date of the license agreement or the execution of a quality agreement between the parties pursuant to which the Company transferred title to certain quantities of Active Pharmaceutical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480"/>
        <w:spacing w:after="0" w:line="282" w:lineRule="auto"/>
        <w:rPr>
          <w:sz w:val="20"/>
          <w:szCs w:val="20"/>
          <w:color w:val="auto"/>
        </w:rPr>
      </w:pPr>
      <w:r>
        <w:rPr>
          <w:rFonts w:ascii="Times New Roman" w:cs="Times New Roman" w:eastAsia="Times New Roman" w:hAnsi="Times New Roman"/>
          <w:sz w:val="18"/>
          <w:szCs w:val="18"/>
          <w:color w:val="auto"/>
        </w:rPr>
        <w:t>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160" w:lineRule="exact"/>
        <w:rPr>
          <w:sz w:val="20"/>
          <w:szCs w:val="20"/>
          <w:color w:val="auto"/>
        </w:rPr>
      </w:pPr>
    </w:p>
    <w:p>
      <w:pPr>
        <w:ind w:right="40" w:firstLine="524"/>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the license agreement with Pathos in accordance with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xml:space="preserve"> and concluded that Pathos is a customer. The license agreement with Pathos including the transfer of the following goods or services: (i) exclusive license to PRT811, (ii) transfer of licensed know-how and materials (i.e. datasets, regulatory and manufacturing documents, etc.), (iii) participation in a Joint Communication Committee ("JCC"), and (iv) execution of a quality agreement pursuant to which the Company transferred title to certain API. The Company evaluated all of the promised goods or services within the contract and determined which goods and services were separate performance obligations. The Company determined that Pathos could not benefit from the license separately from the related know-how and materials, accordingly they represent one combined performance obligation. The execution of a quality agreement pursuant to which the Company transferred title to certain API was identified as a separate performance obligation. The Company also determined the participation in the JCC is immaterial in the context of the license agreement as the Company has no decision-making ability through its participation in the JCC.</w:t>
      </w:r>
    </w:p>
    <w:p>
      <w:pPr>
        <w:spacing w:after="0" w:line="190"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satisfied both performance obligations in the second half of 2024. There was no revenue recognized in the statement of operations for the three months ended March 31, 2025 and 2024.</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29" w:lineRule="exact"/>
        <w:rPr>
          <w:sz w:val="20"/>
          <w:szCs w:val="20"/>
          <w:color w:val="auto"/>
        </w:rPr>
      </w:pPr>
    </w:p>
    <w:p>
      <w:pPr>
        <w:ind w:right="5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clinical research organizations ("CROs") to assist in the performance of research and development activities. Expenditures to CROs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Segments</w:t>
      </w:r>
    </w:p>
    <w:p>
      <w:pPr>
        <w:spacing w:after="0" w:line="229" w:lineRule="exact"/>
        <w:rPr>
          <w:sz w:val="20"/>
          <w:szCs w:val="20"/>
          <w:color w:val="auto"/>
        </w:rPr>
      </w:pPr>
    </w:p>
    <w:p>
      <w:pPr>
        <w:jc w:val="both"/>
        <w:ind w:right="320" w:firstLine="479"/>
        <w:spacing w:after="0" w:line="266" w:lineRule="auto"/>
        <w:rPr>
          <w:sz w:val="20"/>
          <w:szCs w:val="20"/>
          <w:color w:val="auto"/>
        </w:rPr>
      </w:pPr>
      <w:r>
        <w:rPr>
          <w:rFonts w:ascii="Times New Roman" w:cs="Times New Roman" w:eastAsia="Times New Roman" w:hAnsi="Times New Roman"/>
          <w:sz w:val="18"/>
          <w:szCs w:val="18"/>
          <w:color w:val="auto"/>
        </w:rPr>
        <w:t>The Company currently operates as one operating business segment focused on developing innovative medicines in areas of high unmet need for cancer patients. The Company's determination that it operates as a single segment is consistent with the financial information regularly reviewed by the CODM for purposes of evaluating performance, allocating resources, and planning and forecasting for future periods.</w:t>
      </w:r>
    </w:p>
    <w:p>
      <w:pPr>
        <w:spacing w:after="0" w:line="176" w:lineRule="exact"/>
        <w:rPr>
          <w:sz w:val="20"/>
          <w:szCs w:val="20"/>
          <w:color w:val="auto"/>
        </w:rPr>
      </w:pPr>
    </w:p>
    <w:p>
      <w:pPr>
        <w:ind w:right="440" w:firstLine="479"/>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loss, which is reported on the statement of operations and comprehensive loss as net loss. The measure of segment assets is reported on the balance sheet as total assets.</w:t>
      </w:r>
    </w:p>
    <w:p>
      <w:pPr>
        <w:spacing w:after="0" w:line="176"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To date, the Company has not recognized any revenue from product sales, and the Company does not expect to generate any revenue in the foreseeable future. Net loss is used to monitor budget versus actual results. Monitoring budgeted versus actual results is used in assessing performance of the segment and to make decisions about the allocation of resources, along with cash forecast models.</w:t>
      </w:r>
    </w:p>
    <w:p>
      <w:pPr>
        <w:spacing w:after="0" w:line="176" w:lineRule="exact"/>
        <w:rPr>
          <w:sz w:val="20"/>
          <w:szCs w:val="20"/>
          <w:color w:val="auto"/>
        </w:rPr>
      </w:pPr>
    </w:p>
    <w:p>
      <w:pPr>
        <w:ind w:right="260" w:firstLine="479"/>
        <w:spacing w:after="0" w:line="257" w:lineRule="auto"/>
        <w:rPr>
          <w:sz w:val="20"/>
          <w:szCs w:val="20"/>
          <w:color w:val="auto"/>
        </w:rPr>
      </w:pPr>
      <w:r>
        <w:rPr>
          <w:rFonts w:ascii="Times New Roman" w:cs="Times New Roman" w:eastAsia="Times New Roman" w:hAnsi="Times New Roman"/>
          <w:sz w:val="18"/>
          <w:szCs w:val="18"/>
          <w:color w:val="auto"/>
        </w:rPr>
        <w:t>The following tables summarizes the significant expense categories regularly reviewed by the CODM for the three months ended March 31, 2025 and 2024:</w:t>
      </w:r>
    </w:p>
    <w:tbl>
      <w:tblPr>
        <w:tblLayout w:type="fixed"/>
        <w:tblInd w:w="0" w:type="dxa"/>
        <w:tblCellMar>
          <w:top w:w="0" w:type="dxa"/>
          <w:left w:w="0" w:type="dxa"/>
          <w:bottom w:w="0" w:type="dxa"/>
          <w:right w:w="0" w:type="dxa"/>
        </w:tblCellMar>
      </w:tblPr>
      <w:tr>
        <w:trPr>
          <w:trHeight w:val="156"/>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40" w:type="dxa"/>
            <w:vAlign w:val="bottom"/>
            <w:gridSpan w:val="6"/>
          </w:tcPr>
          <w:p>
            <w:pPr>
              <w:jc w:val="right"/>
              <w:ind w:right="8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vMerge w:val="continue"/>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PRT3789</w:t>
            </w:r>
          </w:p>
        </w:tc>
        <w:tc>
          <w:tcPr>
            <w:tcW w:w="374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PRT7732</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Discovery programs</w:t>
            </w:r>
          </w:p>
        </w:tc>
        <w:tc>
          <w:tcPr>
            <w:tcW w:w="3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3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60" w:type="dxa"/>
            <w:vAlign w:val="bottom"/>
            <w:gridSpan w:val="2"/>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(34,343)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74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(32,085)</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(31,431)</w:t>
            </w:r>
          </w:p>
        </w:tc>
        <w:tc>
          <w:tcPr>
            <w:tcW w:w="0" w:type="dxa"/>
            <w:vAlign w:val="bottom"/>
          </w:tcPr>
          <w:p>
            <w:pPr>
              <w:spacing w:after="0"/>
              <w:rPr>
                <w:sz w:val="1"/>
                <w:szCs w:val="1"/>
                <w:color w:val="auto"/>
              </w:rPr>
            </w:pPr>
          </w:p>
        </w:tc>
      </w:tr>
      <w:tr>
        <w:trPr>
          <w:trHeight w:val="629"/>
        </w:trPr>
        <w:tc>
          <w:tcPr>
            <w:tcW w:w="436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jc w:val="right"/>
              <w:ind w:right="17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-1799590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-1508125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March 31, 2025, 5,414,154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2025, 2,757,455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5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3,328,000</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(901,470)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16,639,068</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8,822,674</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w:t>
            </w: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March 31, 2025, the aggregate intrinsic value of both outstanding options and exercisable options was $6 thousand.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2025 under the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$0.31</w:t>
            </w:r>
          </w:p>
        </w:tc>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$1.66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3,583,944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290,444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5,073,952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2,390,279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$4.67</w:t>
            </w:r>
          </w:p>
        </w:tc>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$10.34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3,815,463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2,298,502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$10.35 - $88.98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4,165,709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3,843,449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 w:type="dxa"/>
            <w:vAlign w:val="bottom"/>
            <w:tcBorders>
              <w:bottom w:val="single" w:sz="8" w:color="CFF0FC"/>
            </w:tcBorders>
            <w:shd w:val="clear" w:color="auto" w:fill="CFF0FC"/>
          </w:tcPr>
          <w:p>
            <w:pPr>
              <w:spacing w:after="0"/>
              <w:rPr>
                <w:sz w:val="21"/>
                <w:szCs w:val="21"/>
                <w:color w:val="auto"/>
              </w:rPr>
            </w:pPr>
          </w:p>
        </w:tc>
        <w:tc>
          <w:tcPr>
            <w:tcW w:w="45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16,639,068</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8,822,674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-25400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$1.11 and $3.40 per option for the three months ended March 31, 2025 and 2024, respectively. The Company recorded stock-based compensation expense of $3.7 million and $5.3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right="4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2025 and 2024, respectively, related to stock options. As of March 31, 2025, the total unrecognized compensation expense related to unvested stock option awards was $20.5 million, which the Company expects to recognize over a weighted-average period of 2.18 years.</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6"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86.50%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85.12%</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FF0FC"/>
          </w:tcPr>
          <w:p>
            <w:pPr>
              <w:spacing w:after="0"/>
              <w:rPr>
                <w:sz w:val="18"/>
                <w:szCs w:val="18"/>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6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349,500</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(9,375)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March 31, 2025</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384,875</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479"/>
        <w:spacing w:after="0" w:line="312" w:lineRule="auto"/>
        <w:rPr>
          <w:sz w:val="20"/>
          <w:szCs w:val="20"/>
          <w:color w:val="auto"/>
        </w:rPr>
      </w:pPr>
      <w:r>
        <w:rPr>
          <w:rFonts w:ascii="Times New Roman" w:cs="Times New Roman" w:eastAsia="Times New Roman" w:hAnsi="Times New Roman"/>
          <w:sz w:val="17"/>
          <w:szCs w:val="17"/>
          <w:color w:val="auto"/>
        </w:rPr>
        <w:t>The Company recorded stock-based compensation expense of $0.1 million for both the three months ended March 31, 2025 and 2024, related to RSUs. At March 31, 2025, the total unrecognized expense related to the RSUs was $0.5 million, which the Company expects to recognize over 2.92 years.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March 31, 2025, had 2,527,061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2025, 551,491 shares were added to the ESPP.</w:t>
      </w:r>
    </w:p>
    <w:p>
      <w:pPr>
        <w:spacing w:after="0" w:line="187"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$40 thousand and $60 thousand, respectively, for the three months ended March 31, 2025 and 2024 related to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March 10, 2025, or our 2024 Annual Report on Form 10-K. These forward-looking statements may include, but are not limited to, statements regarding our future results of operations and financial position, our ability to develop our clinical candidates, inflation and interest rate risk, a potential recession, a potential temporary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p>
    <w:p>
      <w:pPr>
        <w:spacing w:after="0" w:line="185" w:lineRule="exact"/>
        <w:rPr>
          <w:sz w:val="20"/>
          <w:szCs w:val="20"/>
          <w:color w:val="auto"/>
        </w:rPr>
      </w:pPr>
    </w:p>
    <w:p>
      <w:pPr>
        <w:ind w:right="30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Prelude is a clinical-stage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creating a wholly-owned, internally developed pipeline. We also are working with our partner AbCellera Biologics Incorporated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2" w:lineRule="exact"/>
        <w:rPr>
          <w:sz w:val="20"/>
          <w:szCs w:val="20"/>
          <w:color w:val="auto"/>
        </w:rPr>
      </w:pPr>
    </w:p>
    <w:p>
      <w:pPr>
        <w:ind w:right="760" w:firstLine="479"/>
        <w:spacing w:after="0" w:line="282"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w:t>
      </w:r>
    </w:p>
    <w:p>
      <w:pPr>
        <w:spacing w:after="0" w:line="54"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Our novel, first-in-class SMARCA2 degrader compounds represent our best opportunities for demonstrating clinical proof-of-concept in 2025 and advancing into potential Phase 2/3 registration studies.</w:t>
      </w:r>
    </w:p>
    <w:p>
      <w:pPr>
        <w:spacing w:after="0" w:line="54" w:lineRule="exact"/>
        <w:rPr>
          <w:sz w:val="20"/>
          <w:szCs w:val="20"/>
          <w:color w:val="auto"/>
        </w:rPr>
      </w:pPr>
    </w:p>
    <w:p>
      <w:pPr>
        <w:ind w:right="220" w:firstLine="479"/>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or NSCLC, patients in the United States including many other tumor types with the SMARCA4 mutation.</w:t>
      </w:r>
    </w:p>
    <w:p>
      <w:pPr>
        <w:spacing w:after="0" w:line="79"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Patients with SMARCA4 mutated cancer have a poor clinical prognosis. We believe this represents an area of high unmet medical need. Therefore, mutated or deleted SMARCA4 cancers provide a potential biomarker to select those patients most likely to respond to treatment with a highly selective SMARCA2 degrader.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9" w:name="page20"/>
    <w:bookmarkEnd w:id="19"/>
    <w:p>
      <w:pPr>
        <w:ind w:firstLine="479"/>
        <w:spacing w:after="0" w:line="261" w:lineRule="auto"/>
        <w:rPr>
          <w:sz w:val="20"/>
          <w:szCs w:val="20"/>
          <w:color w:val="auto"/>
        </w:rPr>
      </w:pPr>
      <w:r>
        <w:rPr>
          <w:rFonts w:ascii="Times New Roman" w:cs="Times New Roman" w:eastAsia="Times New Roman" w:hAnsi="Times New Roman"/>
          <w:sz w:val="18"/>
          <w:szCs w:val="18"/>
          <w:color w:val="auto"/>
        </w:rPr>
        <w:t>PRT3789 is in Phase 1 clinical development in patients with biomarker selected SMARCA4-mutated cancers. We have completed enrollment of monotherapy dose escalation at the 665 mg once weekly IV dose and have selected 500 mg once weekly as the recommended Phase 2 dose. In addition, we have completed dose escalation in the combination of PRT3789 with docetaxel and we are nearing completion of backfill cohorts. Updated data from the trial is expected to be presented at a major medical meeting in the second half of 2025.</w:t>
      </w:r>
    </w:p>
    <w:p>
      <w:pPr>
        <w:spacing w:after="0" w:line="72" w:lineRule="exact"/>
        <w:rPr>
          <w:sz w:val="20"/>
          <w:szCs w:val="20"/>
          <w:color w:val="auto"/>
        </w:rPr>
      </w:pPr>
    </w:p>
    <w:p>
      <w:pPr>
        <w:ind w:right="600" w:firstLine="479"/>
        <w:spacing w:after="0" w:line="282" w:lineRule="auto"/>
        <w:rPr>
          <w:sz w:val="20"/>
          <w:szCs w:val="20"/>
          <w:color w:val="auto"/>
        </w:rPr>
      </w:pPr>
      <w:r>
        <w:rPr>
          <w:rFonts w:ascii="Times New Roman" w:cs="Times New Roman" w:eastAsia="Times New Roman" w:hAnsi="Times New Roman"/>
          <w:sz w:val="18"/>
          <w:szCs w:val="18"/>
          <w:color w:val="auto"/>
        </w:rPr>
        <w:t>We are enrolling patients in a Phase 2 clinical trial evaluating PRT3789 in combination with KEYTRUDA (pembrolizumab) in patients with SMARCA4-mutated cancers, per the previously announced collaboration with Merck (known as MSD outside of the US and Canada).</w:t>
      </w:r>
    </w:p>
    <w:p>
      <w:pPr>
        <w:spacing w:after="0" w:line="54" w:lineRule="exact"/>
        <w:rPr>
          <w:sz w:val="20"/>
          <w:szCs w:val="20"/>
          <w:color w:val="auto"/>
        </w:rPr>
      </w:pPr>
    </w:p>
    <w:p>
      <w:pPr>
        <w:ind w:right="180" w:firstLine="479"/>
        <w:spacing w:after="0" w:line="255" w:lineRule="auto"/>
        <w:rPr>
          <w:sz w:val="20"/>
          <w:szCs w:val="20"/>
          <w:color w:val="auto"/>
        </w:rPr>
      </w:pPr>
      <w:r>
        <w:rPr>
          <w:rFonts w:ascii="Times New Roman" w:cs="Times New Roman" w:eastAsia="Times New Roman" w:hAnsi="Times New Roman"/>
          <w:sz w:val="18"/>
          <w:szCs w:val="18"/>
          <w:color w:val="auto"/>
        </w:rPr>
        <w:t>Our discovery team has identified a series of potent, selective and orally bioavailable SMARCA2 degraders. In July 2024, we received IND clearance for the lead oral molecule, PRT7732. PRT7732 is &gt;1000-fold selective for SMARCA2 vs. SMARCA4 and demonstrates robust activity in SMARCA4 deficient cancer models both as monotherapy and in combination with docetaxel at well-tolerated doses. PRT7732 demonstrates good oral bioavailability and half-life suitable for once daily oral dosing. In the fourth quarter of 2024, the we initiated and enrolled the first patients in a phase 1 multi-dose escalation trial of PRT7732 (NCT06560645) in biomarker selected SMARCA4 mutated cancers. Enrollment has advanced rapidly and we are currently enrolling patients in the fifth dose escalation cohort (60 mg once daily). We expect to provide an initial first-in-human data update at a major medical meeting in the second half of 2025.</w:t>
      </w:r>
    </w:p>
    <w:p>
      <w:pPr>
        <w:spacing w:after="0" w:line="81"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we and AbCellera will jointly discover, develop, and commercialize products emerging from the collaboration. AbCellera will lead manufacturing activities and we will lead clinical development and global commercialization, subject to AbCellera’s option to co-promote any resulting commercial products in the United States.</w:t>
      </w:r>
    </w:p>
    <w:p>
      <w:pPr>
        <w:spacing w:after="0" w:line="8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Outside of the AbCellera collaboration, we have discovered and optimized a number of pre-clinical precision payloads. We disclosed first data at the 36th EORTC-NCI-AACR Symposium describing preclinical proof-of-concept using a novel, potent SMARCA2/4 dual degrader as a “Precision Payload” conjugated to multiple antibodies. Prelude’s SMARCA2/4 dual degraders have shown picomolar potency with potential for increased efficacy, selectivity and improved therapeutic index. Precision ADCs have potential to expand the reach of SMARCA degrader technology to cancers without SMARCA4 mutations.</w:t>
      </w:r>
    </w:p>
    <w:p>
      <w:pPr>
        <w:spacing w:after="0" w:line="75"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We have discovered and are developing a series of selective and orally bioavailable KAT6A degraders. Optimized lead compounds are advancing to candidate nomination in the second quarter of 2025 with intent to file an IND in 2026. KAT6 is a clinically validated target with promising activity in breast cancer and other solid tumors. We recently presented preclinical data from this program at the American Association for Cancer Research (AACR) 2025 Annual Meeting. We intend to develop this program to IND and are open to development with a partner.</w:t>
      </w:r>
    </w:p>
    <w:p>
      <w:pPr>
        <w:spacing w:after="0" w:line="72"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Our CDK9 candidate, PRT2527, is a potent and highly selective CDK9 inhibitor that has the potential to avoid off-target toxicities observed with other less selective CDK9 inhibitors. We presented interim phase 1 results of the dose-escalation study as part of a poster session at the 66th American Society of Hematology Annual Meeting (ASH) in the fourth quarter of 2024. PRT2527 demonstrated activity across a range of relapsed/refractory lymphoid malignancies, including patients who received prior CAR-T therapy. We also announced that we intend to seek a partner for any future continued advancement of PRT2527, as a result of our strategic focus on the SMARCA2 degrader development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Delisting Notice</w:t>
      </w:r>
    </w:p>
    <w:p>
      <w:pPr>
        <w:spacing w:after="0" w:line="121" w:lineRule="exact"/>
        <w:rPr>
          <w:sz w:val="20"/>
          <w:szCs w:val="20"/>
          <w:color w:val="auto"/>
        </w:rPr>
      </w:pPr>
    </w:p>
    <w:p>
      <w:pPr>
        <w:jc w:val="both"/>
        <w:ind w:right="140" w:firstLine="479"/>
        <w:spacing w:after="0" w:line="261" w:lineRule="auto"/>
        <w:rPr>
          <w:sz w:val="20"/>
          <w:szCs w:val="20"/>
          <w:color w:val="auto"/>
        </w:rPr>
      </w:pPr>
      <w:r>
        <w:rPr>
          <w:rFonts w:ascii="Times New Roman" w:cs="Times New Roman" w:eastAsia="Times New Roman" w:hAnsi="Times New Roman"/>
          <w:sz w:val="18"/>
          <w:szCs w:val="18"/>
          <w:color w:val="auto"/>
        </w:rPr>
        <w:t>On March 27, 2025, the Company received a letter (the “Bid Price Notice”) from the Listing Qualifications staff (the “Staff”) of The Nasdaq Stock Market LLC (“Nasdaq”) indicating that, based upon the closing bid price of the Company’s common stock for the prior 30 consecutive business days, the Company was not in compliance with the requirement to maintain a minimum bid price of $1.00 per share for continued listing on Nasdaq, as set forth in Nasdaq Listing Rule 5550(a)(2) (the “Minimum Bid Price Requirement”).</w:t>
      </w:r>
    </w:p>
    <w:p>
      <w:pPr>
        <w:spacing w:after="0" w:line="72" w:lineRule="exact"/>
        <w:rPr>
          <w:sz w:val="20"/>
          <w:szCs w:val="20"/>
          <w:color w:val="auto"/>
        </w:rPr>
      </w:pPr>
    </w:p>
    <w:p>
      <w:pPr>
        <w:ind w:right="600" w:firstLine="479"/>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the Company’s common stock on Nasdaq, and, therefore, the Company’s listing remains fully effective.</w:t>
      </w:r>
    </w:p>
    <w:p>
      <w:pPr>
        <w:spacing w:after="0" w:line="54"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an initial compliance period of 180 calendar days, or until September 23, 2025, in which to regain compliance with the deficiency. In order to regain compliance with the Minimum Bid Price Requirement, the closing bid price of the common stock must be at least $1.00 per share for a minimum of ten consecutive business days during this 180-day period. If the Company does not regain compliance with this requirement by September 23, 2025, the Company may be eligible for an additional 180 calendar day compliance period provided that (i) the Company meets all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360"/>
        <w:spacing w:after="0" w:line="282" w:lineRule="auto"/>
        <w:rPr>
          <w:sz w:val="20"/>
          <w:szCs w:val="20"/>
          <w:color w:val="auto"/>
        </w:rPr>
      </w:pPr>
      <w:r>
        <w:rPr>
          <w:rFonts w:ascii="Times New Roman" w:cs="Times New Roman" w:eastAsia="Times New Roman" w:hAnsi="Times New Roman"/>
          <w:sz w:val="18"/>
          <w:szCs w:val="18"/>
          <w:color w:val="auto"/>
        </w:rPr>
        <w:t>other continued listing standards and (ii) the Company provides written notice to Nasdaq of its intention to cure the deficiency during the second grace period, generally by effecting a reverse stock split, if necessary.</w:t>
      </w:r>
    </w:p>
    <w:p>
      <w:pPr>
        <w:spacing w:after="0" w:line="54" w:lineRule="exact"/>
        <w:rPr>
          <w:sz w:val="20"/>
          <w:szCs w:val="20"/>
          <w:color w:val="auto"/>
        </w:rPr>
      </w:pPr>
    </w:p>
    <w:p>
      <w:pPr>
        <w:ind w:right="460" w:firstLine="479"/>
        <w:spacing w:after="0" w:line="266" w:lineRule="auto"/>
        <w:rPr>
          <w:sz w:val="20"/>
          <w:szCs w:val="20"/>
          <w:color w:val="auto"/>
        </w:rPr>
      </w:pPr>
      <w:r>
        <w:rPr>
          <w:rFonts w:ascii="Times New Roman" w:cs="Times New Roman" w:eastAsia="Times New Roman" w:hAnsi="Times New Roman"/>
          <w:sz w:val="18"/>
          <w:szCs w:val="18"/>
          <w:color w:val="auto"/>
        </w:rPr>
        <w:t>If the Company does not regain compliance within the allotted compliance period(s), including any extensions that may be granted by Nasdaq, Nasdaq will provide notice that the Common Stock will be subject to delisting. At that time, the Company may appeal the Staff’s determination to a Nasdaq Hearings Panel.</w:t>
      </w:r>
    </w:p>
    <w:p>
      <w:pPr>
        <w:spacing w:after="0" w:line="68" w:lineRule="exact"/>
        <w:rPr>
          <w:sz w:val="20"/>
          <w:szCs w:val="20"/>
          <w:color w:val="auto"/>
        </w:rPr>
      </w:pPr>
    </w:p>
    <w:p>
      <w:pPr>
        <w:ind w:right="40" w:firstLine="479"/>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closing bid price of the common stock and consider its available options to resolve the noncompliance with the Minimum Bid Price Requirement.</w:t>
      </w:r>
    </w:p>
    <w:p>
      <w:pPr>
        <w:spacing w:after="0" w:line="54" w:lineRule="exact"/>
        <w:rPr>
          <w:sz w:val="20"/>
          <w:szCs w:val="20"/>
          <w:color w:val="auto"/>
        </w:rPr>
      </w:pPr>
    </w:p>
    <w:p>
      <w:pPr>
        <w:ind w:right="320" w:firstLine="479"/>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Bid Price Requirement or will otherwise be in compliance with other Nasdaq listing criteria.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$32.1 million and $31.4 million for the three months ended March 31, 2025 and 2024, respectively. As of March 31, 2025, we had an accumulated deficit of $615.6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4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over the next several years related to personnel costs, including stock-based compensation, clinical trials, including later-stage clinical trials, for current and future product candidates and preparing regulatory filings for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280" w:firstLine="478"/>
        <w:spacing w:after="0" w:line="256"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 in the future to support our continued research and development activities and potential commercialization efforts. These expenses will likely include costs related to the hiring of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6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09"/>
        </w:trPr>
        <w:tc>
          <w:tcPr>
            <w:tcW w:w="380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(34,343)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(32,085)</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(31,431)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628"/>
        </w:trPr>
        <w:tc>
          <w:tcPr>
            <w:tcW w:w="3800" w:type="dxa"/>
            <w:vAlign w:val="bottom"/>
            <w:tcBorders>
              <w:top w:val="single" w:sz="8" w:color="CFF0FC"/>
            </w:tcBorders>
          </w:tcPr>
          <w:p>
            <w:pPr>
              <w:spacing w:after="0"/>
              <w:rPr>
                <w:sz w:val="24"/>
                <w:szCs w:val="24"/>
                <w:color w:val="auto"/>
              </w:rPr>
            </w:pPr>
          </w:p>
        </w:tc>
        <w:tc>
          <w:tcPr>
            <w:tcW w:w="282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-1508125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-1508125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-933450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-916305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120" w:firstLine="479"/>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increased from $27.4 million for the three months ended March 31, 2024 to $28.8 million for the three months ended March 31, 2025. Included in research and development expenses for the three months ended March 31, 2025, was $2.3 million of non-cash expense related to stock-based compensation expense, including employee stock options, compared to $3.0 million for the three months ended March 31, 2024.</w:t>
      </w:r>
    </w:p>
    <w:p>
      <w:pPr>
        <w:spacing w:after="0" w:line="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increased primarily due to an increase in expense related to our SMARCA2 clinical trials. Research and development expenses may fluctuate from period to period depending upon the stage of certain projects and the level of preclinical and clinical trial-related activities.</w:t>
      </w:r>
    </w:p>
    <w:p>
      <w:pPr>
        <w:spacing w:after="0" w:line="181" w:lineRule="exact"/>
        <w:rPr>
          <w:sz w:val="20"/>
          <w:szCs w:val="20"/>
          <w:color w:val="auto"/>
        </w:rPr>
      </w:pPr>
    </w:p>
    <w:p>
      <w:pPr>
        <w:ind w:right="660" w:firstLine="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PRT7732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from $6.9 million for the three months ended March 31, 2024 to $5.8 million for the three months ended March 31, 2025. The decrease was primarily driven by a decrease in non-cash expense related to stock-based compensation expense. Included in general and administrative expenses for the three months ended March 31, 2025, was $1.6 million of non-cash expense related to stock-based compensation expense compared to $2.5 million for the three months ended March 31, 2024, due to the tapering off of the vesting period of prior granted options and lower valuation on more recent grants due to the decrease in our stock price.</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right="280" w:firstLine="478"/>
        <w:spacing w:after="0" w:line="266" w:lineRule="auto"/>
        <w:rPr>
          <w:sz w:val="20"/>
          <w:szCs w:val="20"/>
          <w:color w:val="auto"/>
        </w:rPr>
      </w:pPr>
      <w:r>
        <w:rPr>
          <w:rFonts w:ascii="Times New Roman" w:cs="Times New Roman" w:eastAsia="Times New Roman" w:hAnsi="Times New Roman"/>
          <w:sz w:val="18"/>
          <w:szCs w:val="18"/>
          <w:color w:val="auto"/>
        </w:rPr>
        <w:t>Other income, net decreased from $2.9 million for the three months ended March 31, 2024, to $2.5 million for the three months ended March 31, 2025 primarily due to lower income earned our investments due to lower balances offset by the receipt and recognition of research and development tax credits.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our inception, we have not recognized any product revenue and have incurred operating losses and negative cash flows from our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yet commercialized any product and we do not expect to generate revenue from sales of any products for several years, if at all.</w:t>
      </w:r>
    </w:p>
    <w:p>
      <w:pPr>
        <w:spacing w:after="0" w:line="207"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At March 31, 2025 the Company had cash, cash equivalents, restricted cash and marketable securities totaling $103.1 million. Absent additional funding, the Company believes that its cash, cash equivalents, restricted cash and marketable securities will not be sufficient fund its operating expenses and capital expenditure requirements for at least the next twelve months from the filing date of this Quarterly Report on Form 10-Q. As a result, substantial doubt exists about our ability to continue as a going concern.</w:t>
      </w:r>
    </w:p>
    <w:p>
      <w:pPr>
        <w:spacing w:after="0" w:line="180"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the sale of convertible preferred stock, common stock, and pre-funded warrants. 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March 31, 2025 there was $400 million remaining under the 2024 Shelf Registration Statement.</w:t>
      </w:r>
    </w:p>
    <w:p>
      <w:pPr>
        <w:spacing w:after="0" w:line="72"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our shelf registration statement previously filed in November 2021 (the “2021 Shelf Registration Statement"), we entered into an Open Market Sales Agreement (the "Sales Agreement") with Jefferies LLC, as the sales agent, pursuant to which we may offer and sell shares of our common stock having an aggregate offering amount of up to $75.0 million. We will pay Jefferies LLC a commission rate of up to 3.0% of the aggregate gross proceeds from the sale of any shares of common stock pursuant to the Sales Agreement. In November 2024, the 2021 Shelf Registration Statement expired with respect to the shares to be sold under the Sales Agreement. Accordingly, we expect to file a prospectus supplement to the 2024 Shelf Registration Statement in order to continue to allow us to access the Sales Agreement. We have $75.0 million remaining under the Sales Agreement as of March 31, 2025.</w:t>
      </w:r>
    </w:p>
    <w:p>
      <w:pPr>
        <w:spacing w:after="0" w:line="18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60"/>
        <w:spacing w:after="0" w:line="256" w:lineRule="auto"/>
        <w:rPr>
          <w:sz w:val="20"/>
          <w:szCs w:val="20"/>
          <w:color w:val="auto"/>
        </w:rPr>
      </w:pPr>
      <w:r>
        <w:rPr>
          <w:rFonts w:ascii="Times New Roman" w:cs="Times New Roman" w:eastAsia="Times New Roman" w:hAnsi="Times New Roman"/>
          <w:sz w:val="18"/>
          <w:szCs w:val="18"/>
          <w:color w:val="auto"/>
        </w:rPr>
        <w:t>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(34,231)</w:t>
            </w: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(31,791)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18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479"/>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2025, we used $34.2 million of cash in operating activities. Cash used in operating activities reflected our net loss of $32.1 million and a $6.9 million net increase in our operating assets and liabilities offset by noncash charges of $4.7 million, which primarily consisted of stock-based compensation. The primary use of cash was to fund our operations related to the development of our product candidates.</w:t>
      </w:r>
    </w:p>
    <w:p>
      <w:pPr>
        <w:spacing w:after="0" w:line="158" w:lineRule="exact"/>
        <w:rPr>
          <w:sz w:val="20"/>
          <w:szCs w:val="20"/>
          <w:color w:val="auto"/>
        </w:rPr>
      </w:pPr>
    </w:p>
    <w:p>
      <w:pPr>
        <w:ind w:right="100" w:firstLine="479"/>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2024, we used $31.8 million of cash in operating activities. Cash used in operating activities reflected our net loss of $31.4 million and a $5.2 million net increase in our operating assets and liabilities, offset by noncash charges of $4.8 million, which primarily consisted of stock-based compensation. The primary use of cash was to fund our operations related to the development of our product candidates.</w:t>
      </w:r>
    </w:p>
    <w:p>
      <w:pPr>
        <w:spacing w:after="0" w:line="3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20" w:firstLine="47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of $62.2 million consisted primarily of $71.7 million in proceeds from maturities of marketable securities, partially offset by $9.5 million in purchases of marketable securities. During the three months ended March 31, 2024, net cash used in investing activities of $31.2 million consisted primarily of $37.0 million in proceeds from maturities of marketable securities, partially offset by $5.5 million in purchases of marketable securities.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three months ended March 31, 2025 net cash used in financing activities was primarily for principal payments on our finance lease.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there were no other material changes to our critical accounting policies and estimates from those described under the heading “Management’s Discussion and Analysis of Financial Condition and Results of Operations-Critical Accounting Estimates” in our 2024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380" w:firstLine="479"/>
        <w:spacing w:after="0" w:line="26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400"/>
        <w:spacing w:after="0" w:line="261" w:lineRule="auto"/>
        <w:rPr>
          <w:sz w:val="20"/>
          <w:szCs w:val="20"/>
          <w:color w:val="auto"/>
        </w:rPr>
      </w:pPr>
      <w:r>
        <w:rPr>
          <w:rFonts w:ascii="Times New Roman" w:cs="Times New Roman" w:eastAsia="Times New Roman" w:hAnsi="Times New Roman"/>
          <w:sz w:val="18"/>
          <w:szCs w:val="18"/>
          <w:color w:val="auto"/>
        </w:rPr>
        <w:t>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initial public offering (i.e. December 31, 2025), (ii) in which we have total annual gross revenues of at least $1.235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remain a smaller reporting company once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 with respect to the period ending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As of March 31, 2025,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2025,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March 31, 2025,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7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your decision to invest in shares of our common stock, you should carefully consider the risks and uncertainties described under Part I, Item 1A, “Risk Factors” in our 2024 Annual Report on Form 10-K filed with the Securities and Exchange Commission on March 10, 2025 in addition to the risk factor below.</w:t>
      </w:r>
    </w:p>
    <w:p>
      <w:pPr>
        <w:spacing w:after="0" w:line="64" w:lineRule="exact"/>
        <w:rPr>
          <w:sz w:val="20"/>
          <w:szCs w:val="20"/>
          <w:color w:val="auto"/>
        </w:rPr>
      </w:pPr>
    </w:p>
    <w:p>
      <w:pPr>
        <w:ind w:right="28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the continued listing requirements of the Nasdaq Capital Market, our common stock could be delisted, which could affect our common stock's market price and liquidity and reduce our ability to raise capital.</w:t>
      </w:r>
    </w:p>
    <w:p>
      <w:pPr>
        <w:spacing w:after="0" w:line="51" w:lineRule="exact"/>
        <w:rPr>
          <w:sz w:val="20"/>
          <w:szCs w:val="20"/>
          <w:color w:val="auto"/>
        </w:rPr>
      </w:pPr>
    </w:p>
    <w:p>
      <w:pPr>
        <w:jc w:val="both"/>
        <w:ind w:right="100" w:firstLine="479"/>
        <w:spacing w:after="0" w:line="266" w:lineRule="auto"/>
        <w:rPr>
          <w:sz w:val="20"/>
          <w:szCs w:val="20"/>
          <w:color w:val="auto"/>
        </w:rPr>
      </w:pPr>
      <w:r>
        <w:rPr>
          <w:rFonts w:ascii="Times New Roman" w:cs="Times New Roman" w:eastAsia="Times New Roman" w:hAnsi="Times New Roman"/>
          <w:sz w:val="18"/>
          <w:szCs w:val="18"/>
          <w:color w:val="auto"/>
        </w:rPr>
        <w:t>Our common stock is listed on Nasdaq, which imposes continued listing requirements with respect to issuers whose securities are listed on Nasdaq. If we fail to satisfy the continued listing standards, such as, for example, Nasdaq’s Minimum Bid Price Requirement, Nasdaq may issue a non-compliance letter or initiate delisting proceedings.</w:t>
      </w:r>
    </w:p>
    <w:p>
      <w:pPr>
        <w:spacing w:after="0" w:line="68" w:lineRule="exact"/>
        <w:rPr>
          <w:sz w:val="20"/>
          <w:szCs w:val="20"/>
          <w:color w:val="auto"/>
        </w:rPr>
      </w:pPr>
    </w:p>
    <w:p>
      <w:pPr>
        <w:ind w:right="180" w:firstLine="479"/>
        <w:spacing w:after="0" w:line="266" w:lineRule="auto"/>
        <w:rPr>
          <w:sz w:val="20"/>
          <w:szCs w:val="20"/>
          <w:color w:val="auto"/>
        </w:rPr>
      </w:pPr>
      <w:r>
        <w:rPr>
          <w:rFonts w:ascii="Times New Roman" w:cs="Times New Roman" w:eastAsia="Times New Roman" w:hAnsi="Times New Roman"/>
          <w:sz w:val="18"/>
          <w:szCs w:val="18"/>
          <w:color w:val="auto"/>
        </w:rPr>
        <w:t>As previously disclosed, on March 27, 2025, we received such a letter from the Staff notifying us that based upon the closing bid price of the Company’s common stock, for the prior 30 consecutive business days, the Company was not in compliance with the requirement to maintain a minimum bid price of $1.00 per share for continued listing on Nasdaq, as set forth in Nasdaq Listing Rule 5550(a)(2).</w:t>
      </w:r>
    </w:p>
    <w:p>
      <w:pPr>
        <w:spacing w:after="0" w:line="176"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an initial compliance period of 180 calendar days, or until September 23, 2025, in which to regain compliance with the deficiency. In order to regain compliance with the Minimum Bid Price Requirement, the closing bid price of the Common Stock must be at least $1.00 per share for a minimum of ten consecutive business days during this 180-day period. If the Company does not regain compliance with this requirement by September 23, 2025, the Company may be eligible for an additional 180 calendar day compliance period provided that (i) the Company meets all other continued listing standards and (ii) the Company provides written notice to Nasdaq of its intention to cure the deficiency during the second grace period, by effecting a reverse stock split, if necessary.</w:t>
      </w:r>
    </w:p>
    <w:p>
      <w:pPr>
        <w:spacing w:after="0" w:line="187"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If the Company does not regain compliance within the allotted compliance period(s), including any extensions that may be granted by Nasdaq, Nasdaq will provide notice that the common stock will be subject to delisting. At that time, the Company may appeal the Staff’s determination to a Nasdaq Hearings Panel.</w:t>
      </w:r>
    </w:p>
    <w:p>
      <w:pPr>
        <w:spacing w:after="0" w:line="176" w:lineRule="exact"/>
        <w:rPr>
          <w:sz w:val="20"/>
          <w:szCs w:val="20"/>
          <w:color w:val="auto"/>
        </w:rPr>
      </w:pPr>
    </w:p>
    <w:p>
      <w:pPr>
        <w:jc w:val="both"/>
        <w:ind w:right="220" w:firstLine="479"/>
        <w:spacing w:after="0" w:line="266" w:lineRule="auto"/>
        <w:rPr>
          <w:sz w:val="20"/>
          <w:szCs w:val="20"/>
          <w:color w:val="auto"/>
        </w:rPr>
      </w:pPr>
      <w:r>
        <w:rPr>
          <w:rFonts w:ascii="Times New Roman" w:cs="Times New Roman" w:eastAsia="Times New Roman" w:hAnsi="Times New Roman"/>
          <w:sz w:val="18"/>
          <w:szCs w:val="18"/>
          <w:color w:val="auto"/>
        </w:rPr>
        <w:t>If we are unable to maintain compliance with the continued listing requirements of Nasdaq, our common stock could be delisted, making it more difficult to buy or sell our securities and to obtain accurate quotations, and the price of our securities could suffer a material decline. Delisting could also impair our ability to raise capital.</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contain a statement regarding a substantial doubt about the Company’s ability to continue as a going concern.</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We had no revenue during the three months ended March 31, 2025. Our primary uses of cash are to fund our planned clinical trials, research and development expenditures and for operating expenses. Cash used to fund operating expenses is based on the assumption that we will continue as a going concern, which contemplates the realization of assets and liquidation of liabilities in the normal course of business. We face certain risks and uncertainties that are present in many emerging pharmaceutical companies regarding product development, limited working capital, recurring losses and negative cash flow from operations, future profitability, ability to obtain future capital, protection of patents, technologies and property rights, competition, navigating the domestic and major foreign markets’ regulatory and clinical environment, recruiting and retaining key personnel, dependence on third party manufacturing organizations, third party collaboration and licensing agreements, lack of sales and marketing activities. We currently have no customers or pharmaceutical products to sell or distribute. Absent additional funding, we believe that our cash, cash equivalents, and marketable securities will not be sufficient to fund our operating expenses and capital expenditure requirements for at least the next twelve months from the filing date of this Quarterly Report on Form 10-Q. These risks and other factors raise substantial doubt about our ability to continue as a going concern.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7" w:name="page28"/>
    <w:bookmarkEnd w:id="27"/>
    <w:p>
      <w:pPr>
        <w:ind w:firstLine="524"/>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obtain the necessary financing to meet our obligations and repay our liabilities arising from the ordinary course of business operations when they become due. The substantial doubt about our ability to continue as a going concern may affect the price of our common stock, may impact our relationship with third parties with whom we do business and may impact our ability to raise additional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40" w:type="dxa"/>
            <w:vAlign w:val="bottom"/>
            <w:gridSpan w:val="6"/>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gridSpan w:val="6"/>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5"/>
                <w:szCs w:val="15"/>
                <w:color w:val="auto"/>
              </w:rPr>
            </w:pPr>
          </w:p>
        </w:tc>
        <w:tc>
          <w:tcPr>
            <w:tcW w:w="5200" w:type="dxa"/>
            <w:vAlign w:val="bottom"/>
            <w:tcBorders>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w:t>
            </w:r>
          </w:p>
        </w:tc>
        <w:tc>
          <w:tcPr>
            <w:tcW w:w="2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Documents</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7"/>
        </w:trPr>
        <w:tc>
          <w:tcPr>
            <w:tcW w:w="3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20"/>
        </w:trPr>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7"/>
        </w:trPr>
        <w:tc>
          <w:tcPr>
            <w:tcW w:w="3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Bryant Lim</w:t>
            </w:r>
          </w:p>
        </w:tc>
      </w:tr>
      <w:tr>
        <w:trPr>
          <w:trHeight w:val="238"/>
        </w:trPr>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9"/>
        </w:trPr>
        <w:tc>
          <w:tcPr>
            <w:tcW w:w="3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Bryant Lim</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4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4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4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4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3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r>
      <w:tr>
        <w:trPr>
          <w:trHeight w:val="189"/>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4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2025-05-06T15:52:19Z</dcterms:created>
  <dcterms:modified xsi:type="dcterms:W3CDTF">2025-05-06T15:52:19Z</dcterms:modified>
</cp:coreProperties>
</file>