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February 15, 2024</w:t>
      </w:r>
    </w:p>
    <w:p>
      <w:pPr>
        <w:spacing w:after="0" w:line="6" w:lineRule="exact"/>
        <w:rPr>
          <w:sz w:val="24"/>
          <w:szCs w:val="24"/>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30480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73660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139"/>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161290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PRELUDE THERAPEUTICS INCORPORATED</w:t>
      </w:r>
    </w:p>
    <w:p>
      <w:pPr>
        <w:spacing w:after="0" w:line="1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147955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0" w:lineRule="exact"/>
        <w:rPr>
          <w:sz w:val="24"/>
          <w:szCs w:val="24"/>
          <w:color w:val="auto"/>
        </w:rPr>
      </w:pPr>
    </w:p>
    <w:tbl>
      <w:tblPr>
        <w:tblLayout w:type="fixed"/>
        <w:tblInd w:w="2140" w:type="dxa"/>
        <w:tblCellMar>
          <w:top w:w="0" w:type="dxa"/>
          <w:left w:w="0" w:type="dxa"/>
          <w:bottom w:w="0" w:type="dxa"/>
          <w:right w:w="0" w:type="dxa"/>
        </w:tblCellMar>
      </w:tblPr>
      <w:tr>
        <w:trPr>
          <w:trHeight w:val="163"/>
        </w:trPr>
        <w:tc>
          <w:tcPr>
            <w:tcW w:w="3700" w:type="dxa"/>
            <w:vAlign w:val="bottom"/>
          </w:tcPr>
          <w:p>
            <w:pPr>
              <w:jc w:val="center"/>
              <w:ind w:right="213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080" w:type="dxa"/>
            <w:vAlign w:val="bottom"/>
          </w:tcPr>
          <w:p>
            <w:pPr>
              <w:jc w:val="center"/>
              <w:ind w:left="2097"/>
              <w:spacing w:after="0"/>
              <w:rPr>
                <w:sz w:val="20"/>
                <w:szCs w:val="20"/>
                <w:color w:val="auto"/>
              </w:rPr>
            </w:pPr>
            <w:r>
              <w:rPr>
                <w:rFonts w:ascii="Times New Roman" w:cs="Times New Roman" w:eastAsia="Times New Roman" w:hAnsi="Times New Roman"/>
                <w:sz w:val="14"/>
                <w:szCs w:val="14"/>
                <w:b w:val="1"/>
                <w:bCs w:val="1"/>
                <w:color w:val="auto"/>
              </w:rPr>
              <w:t>81-1384762</w:t>
            </w:r>
          </w:p>
        </w:tc>
      </w:tr>
      <w:tr>
        <w:trPr>
          <w:trHeight w:val="135"/>
        </w:trPr>
        <w:tc>
          <w:tcPr>
            <w:tcW w:w="3700" w:type="dxa"/>
            <w:vAlign w:val="bottom"/>
          </w:tcPr>
          <w:p>
            <w:pPr>
              <w:jc w:val="center"/>
              <w:ind w:right="2137"/>
              <w:spacing w:after="0" w:line="135" w:lineRule="exact"/>
              <w:rPr>
                <w:sz w:val="20"/>
                <w:szCs w:val="20"/>
                <w:color w:val="auto"/>
              </w:rPr>
            </w:pPr>
            <w:r>
              <w:rPr>
                <w:rFonts w:ascii="Times New Roman" w:cs="Times New Roman" w:eastAsia="Times New Roman" w:hAnsi="Times New Roman"/>
                <w:sz w:val="12"/>
                <w:szCs w:val="12"/>
                <w:b w:val="1"/>
                <w:bCs w:val="1"/>
                <w:color w:val="auto"/>
                <w:w w:val="97"/>
              </w:rPr>
              <w:t>(State or other jurisdiction of</w:t>
            </w:r>
          </w:p>
        </w:tc>
        <w:tc>
          <w:tcPr>
            <w:tcW w:w="3080" w:type="dxa"/>
            <w:vAlign w:val="bottom"/>
          </w:tcPr>
          <w:p>
            <w:pPr>
              <w:jc w:val="center"/>
              <w:ind w:left="2097"/>
              <w:spacing w:after="0" w:line="135" w:lineRule="exact"/>
              <w:rPr>
                <w:sz w:val="20"/>
                <w:szCs w:val="20"/>
                <w:color w:val="auto"/>
              </w:rPr>
            </w:pPr>
            <w:r>
              <w:rPr>
                <w:rFonts w:ascii="Times New Roman" w:cs="Times New Roman" w:eastAsia="Times New Roman" w:hAnsi="Times New Roman"/>
                <w:sz w:val="12"/>
                <w:szCs w:val="12"/>
                <w:b w:val="1"/>
                <w:bCs w:val="1"/>
                <w:color w:val="auto"/>
                <w:w w:val="97"/>
              </w:rPr>
              <w:t>(IRS Employer</w:t>
            </w:r>
          </w:p>
        </w:tc>
      </w:tr>
      <w:tr>
        <w:trPr>
          <w:trHeight w:val="152"/>
        </w:trPr>
        <w:tc>
          <w:tcPr>
            <w:tcW w:w="3700" w:type="dxa"/>
            <w:vAlign w:val="bottom"/>
          </w:tcPr>
          <w:p>
            <w:pPr>
              <w:jc w:val="center"/>
              <w:ind w:right="2117"/>
              <w:spacing w:after="0"/>
              <w:rPr>
                <w:sz w:val="20"/>
                <w:szCs w:val="20"/>
                <w:color w:val="auto"/>
              </w:rPr>
            </w:pPr>
            <w:r>
              <w:rPr>
                <w:rFonts w:ascii="Times New Roman" w:cs="Times New Roman" w:eastAsia="Times New Roman" w:hAnsi="Times New Roman"/>
                <w:sz w:val="12"/>
                <w:szCs w:val="12"/>
                <w:b w:val="1"/>
                <w:bCs w:val="1"/>
                <w:color w:val="auto"/>
                <w:w w:val="96"/>
              </w:rPr>
              <w:t>incorporation or organization)</w:t>
            </w:r>
          </w:p>
        </w:tc>
        <w:tc>
          <w:tcPr>
            <w:tcW w:w="3080" w:type="dxa"/>
            <w:vAlign w:val="bottom"/>
          </w:tcPr>
          <w:p>
            <w:pPr>
              <w:jc w:val="center"/>
              <w:ind w:left="2097"/>
              <w:spacing w:after="0"/>
              <w:rPr>
                <w:sz w:val="20"/>
                <w:szCs w:val="20"/>
                <w:color w:val="auto"/>
              </w:rPr>
            </w:pPr>
            <w:r>
              <w:rPr>
                <w:rFonts w:ascii="Times New Roman" w:cs="Times New Roman" w:eastAsia="Times New Roman" w:hAnsi="Times New Roman"/>
                <w:sz w:val="12"/>
                <w:szCs w:val="12"/>
                <w:b w:val="1"/>
                <w:bCs w:val="1"/>
                <w:color w:val="auto"/>
                <w:w w:val="97"/>
              </w:rPr>
              <w:t>Identification No.)</w:t>
            </w:r>
          </w:p>
        </w:tc>
      </w:tr>
    </w:tbl>
    <w:p>
      <w:pPr>
        <w:spacing w:after="0" w:line="9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175 Innovation Boulevard</w:t>
      </w:r>
    </w:p>
    <w:p>
      <w:pPr>
        <w:jc w:val="center"/>
        <w:ind w:right="-139"/>
        <w:spacing w:after="0" w:line="229" w:lineRule="auto"/>
        <w:rPr>
          <w:sz w:val="20"/>
          <w:szCs w:val="20"/>
          <w:color w:val="auto"/>
        </w:rPr>
      </w:pPr>
      <w:r>
        <w:rPr>
          <w:rFonts w:ascii="Times New Roman" w:cs="Times New Roman" w:eastAsia="Times New Roman" w:hAnsi="Times New Roman"/>
          <w:sz w:val="14"/>
          <w:szCs w:val="14"/>
          <w:b w:val="1"/>
          <w:bCs w:val="1"/>
          <w:color w:val="auto"/>
        </w:rPr>
        <w:t>Wilmington, Delaware 19805</w:t>
      </w:r>
    </w:p>
    <w:p>
      <w:pPr>
        <w:jc w:val="center"/>
        <w:ind w:right="-139"/>
        <w:spacing w:after="0" w:line="237" w:lineRule="auto"/>
        <w:rPr>
          <w:sz w:val="20"/>
          <w:szCs w:val="20"/>
          <w:color w:val="auto"/>
        </w:rPr>
      </w:pPr>
      <w:r>
        <w:rPr>
          <w:rFonts w:ascii="Times New Roman" w:cs="Times New Roman" w:eastAsia="Times New Roman" w:hAnsi="Times New Roman"/>
          <w:sz w:val="14"/>
          <w:szCs w:val="14"/>
          <w:b w:val="1"/>
          <w:bCs w:val="1"/>
          <w:color w:val="auto"/>
        </w:rPr>
        <w:t>(302) 467-1280</w:t>
      </w: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Krishna Vaddi, Ph.D.</w:t>
      </w:r>
    </w:p>
    <w:p>
      <w:pPr>
        <w:jc w:val="center"/>
        <w:ind w:right="-139"/>
        <w:spacing w:after="0" w:line="229"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Prelude Therapeutics Incorporated</w:t>
      </w:r>
    </w:p>
    <w:p>
      <w:pPr>
        <w:jc w:val="center"/>
        <w:ind w:right="-139"/>
        <w:spacing w:after="0" w:line="222" w:lineRule="auto"/>
        <w:rPr>
          <w:sz w:val="20"/>
          <w:szCs w:val="20"/>
          <w:color w:val="auto"/>
        </w:rPr>
      </w:pPr>
      <w:r>
        <w:rPr>
          <w:rFonts w:ascii="Times New Roman" w:cs="Times New Roman" w:eastAsia="Times New Roman" w:hAnsi="Times New Roman"/>
          <w:sz w:val="14"/>
          <w:szCs w:val="14"/>
          <w:b w:val="1"/>
          <w:bCs w:val="1"/>
          <w:color w:val="auto"/>
        </w:rPr>
        <w:t>175 Innovation Boulevard</w:t>
      </w:r>
    </w:p>
    <w:p>
      <w:pPr>
        <w:jc w:val="center"/>
        <w:ind w:right="-139"/>
        <w:spacing w:after="0" w:line="221" w:lineRule="auto"/>
        <w:rPr>
          <w:sz w:val="20"/>
          <w:szCs w:val="20"/>
          <w:color w:val="auto"/>
        </w:rPr>
      </w:pPr>
      <w:r>
        <w:rPr>
          <w:rFonts w:ascii="Times New Roman" w:cs="Times New Roman" w:eastAsia="Times New Roman" w:hAnsi="Times New Roman"/>
          <w:sz w:val="14"/>
          <w:szCs w:val="14"/>
          <w:b w:val="1"/>
          <w:bCs w:val="1"/>
          <w:color w:val="auto"/>
        </w:rPr>
        <w:t>Wilmington, Delaware 19805</w:t>
      </w:r>
    </w:p>
    <w:p>
      <w:pPr>
        <w:jc w:val="center"/>
        <w:ind w:right="-139"/>
        <w:spacing w:after="0" w:line="237" w:lineRule="auto"/>
        <w:rPr>
          <w:sz w:val="20"/>
          <w:szCs w:val="20"/>
          <w:color w:val="auto"/>
        </w:rPr>
      </w:pPr>
      <w:r>
        <w:rPr>
          <w:rFonts w:ascii="Times New Roman" w:cs="Times New Roman" w:eastAsia="Times New Roman" w:hAnsi="Times New Roman"/>
          <w:sz w:val="14"/>
          <w:szCs w:val="14"/>
          <w:b w:val="1"/>
          <w:bCs w:val="1"/>
          <w:color w:val="auto"/>
        </w:rPr>
        <w:t>(302) 467-1280</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From time to time after the effective date of this registration statement.</w:t>
      </w:r>
    </w:p>
    <w:p>
      <w:pPr>
        <w:spacing w:after="0" w:line="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(Approximate date of commencement of proposed sale to the public)</w:t>
      </w:r>
    </w:p>
    <w:p>
      <w:pPr>
        <w:spacing w:after="0" w:line="78" w:lineRule="exact"/>
        <w:rPr>
          <w:sz w:val="24"/>
          <w:szCs w:val="24"/>
          <w:color w:val="auto"/>
        </w:rPr>
      </w:pPr>
    </w:p>
    <w:p>
      <w:pPr>
        <w:ind w:left="56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40" w:lineRule="exact"/>
        <w:rPr>
          <w:sz w:val="24"/>
          <w:szCs w:val="24"/>
          <w:color w:val="auto"/>
        </w:rPr>
      </w:pPr>
    </w:p>
    <w:p>
      <w:pPr>
        <w:ind w:left="120" w:right="28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56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10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earliest effective registration statement for the same offering: </w:t>
      </w:r>
      <w:r>
        <w:rPr>
          <w:rFonts w:ascii="MS PGothic" w:cs="MS PGothic" w:eastAsia="MS PGothic" w:hAnsi="MS PGothic"/>
          <w:sz w:val="14"/>
          <w:szCs w:val="14"/>
          <w:color w:val="auto"/>
        </w:rPr>
        <w:t>☐</w:t>
      </w:r>
    </w:p>
    <w:p>
      <w:pPr>
        <w:spacing w:after="0" w:line="60" w:lineRule="exact"/>
        <w:rPr>
          <w:sz w:val="24"/>
          <w:szCs w:val="24"/>
          <w:color w:val="auto"/>
        </w:rPr>
      </w:pPr>
    </w:p>
    <w:p>
      <w:pPr>
        <w:ind w:left="1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120" w:right="12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 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6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w:t>
      </w:r>
    </w:p>
    <w:p>
      <w:pPr>
        <w:spacing w:after="0" w:line="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See the definitions of “large accelerated filer,” “accelerated filer,” “smaller reporting company,” and “emerging growth company” in Rule 12b-2 of the Exchange Act. (Check one):</w:t>
      </w:r>
    </w:p>
    <w:p>
      <w:pPr>
        <w:spacing w:after="0" w:line="75"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5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5180" w:type="dxa"/>
            <w:vAlign w:val="bottom"/>
          </w:tcPr>
          <w:p>
            <w:pPr>
              <w:ind w:left="3300"/>
              <w:spacing w:after="0"/>
              <w:rPr>
                <w:sz w:val="20"/>
                <w:szCs w:val="20"/>
                <w:color w:val="auto"/>
              </w:rPr>
            </w:pPr>
            <w:r>
              <w:rPr>
                <w:rFonts w:ascii="Times New Roman" w:cs="Times New Roman" w:eastAsia="Times New Roman" w:hAnsi="Times New Roman"/>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0" w:lineRule="exact"/>
        <w:rPr>
          <w:sz w:val="24"/>
          <w:szCs w:val="24"/>
          <w:color w:val="auto"/>
        </w:rPr>
      </w:pPr>
    </w:p>
    <w:p>
      <w:pPr>
        <w:ind w:left="120" w:right="560" w:firstLine="44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1" w:lineRule="exact"/>
        <w:rPr>
          <w:sz w:val="24"/>
          <w:szCs w:val="24"/>
          <w:color w:val="auto"/>
        </w:rPr>
      </w:pPr>
    </w:p>
    <w:p>
      <w:pPr>
        <w:ind w:left="120" w:right="120" w:firstLine="440"/>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99695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26"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The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0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FF4338"/>
        </w:rPr>
        <w:t>SUBJECT TO COMPLETION, DATED FEBRUARY 15, 2024</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173990</wp:posOffset>
            </wp:positionV>
            <wp:extent cx="1894205"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942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Prelude Therapeutics Incorporated</w:t>
      </w:r>
    </w:p>
    <w:p>
      <w:pPr>
        <w:spacing w:after="0" w:line="17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5"/>
          <w:szCs w:val="25"/>
          <w:b w:val="1"/>
          <w:bCs w:val="1"/>
          <w:color w:val="auto"/>
        </w:rPr>
        <w:t>7,936,759 shares of Common Stock</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relates to the offer and resale from time to time of up to 7,936,759 shares of our voting common stock, $0.0001 par value per share, or common stock, under this prospectus by the selling stockholders identified in the “Selling Stockholders” section of this prospectus or their permitted transferees, pledgees, donees or other successors in interest. The selling stockholders or their permitted transferees, pledgees, donees or other successors in interest may offer, sell or distribute the shares of common stock in a number of different ways and at varying prices. We provide more information about how the selling stockholders may sell the shares of common stock in the section of this prospectus titled “Plan of Distribution.” We will not receive any of the proceeds from the sale of our common stock by the selling stockholders. We have paid or will pay the fees and expenses incident to the registration of the shares of common stock for sale by the selling stockholders. The selling stockholders will bear all commissions, discounts, brokerage fees and similar expenses, if any, attributable to their sales of shares of our common stock.</w:t>
      </w:r>
    </w:p>
    <w:p>
      <w:pPr>
        <w:spacing w:after="0" w:line="11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information incorporated, or deemed to be incorporated, by reference in this prospectus, and any applicable prospectus supplement and related free writing prospectus carefully before you invest.</w:t>
      </w:r>
    </w:p>
    <w:p>
      <w:pPr>
        <w:spacing w:after="0" w:line="9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“PRLD.” On February 14, 2024, the last reported sales price for our common stock was $3.38 per share. The applicable prospectus supplement and any related free writing prospectus will contain information, where applicable, as to any other listing on The Nasdaq Global Select Market or any securities market or exchange of the shares of common stock covered by the prospectus supplement and any related free writing prospectus.</w:t>
      </w:r>
    </w:p>
    <w:p>
      <w:pPr>
        <w:spacing w:after="0" w:line="11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are currently an “emerging growth company” and a “smaller reporting company” as defined under U.S. federal securities laws and, as such, have elected to comply with reduced public company reporting requirements. See “Prospectus Summary – Implications of Being an Emerging Growth Company and Smaller Reporting Company.” This prospectus complies with the requirements that apply to an issuer that is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151130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8" w:lineRule="exact"/>
        <w:rPr>
          <w:sz w:val="20"/>
          <w:szCs w:val="20"/>
          <w:color w:val="auto"/>
        </w:rPr>
      </w:pPr>
    </w:p>
    <w:p>
      <w:pPr>
        <w:ind w:left="120"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An investment in our shares of common stock involves a high degree of risk. You should carefully consider the information under the heading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8 of this prospectus before investing in our shares of common stock.</w:t>
      </w:r>
    </w:p>
    <w:p>
      <w:pPr>
        <w:spacing w:after="0" w:line="7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registration statement to which this prospectus relates registers the resale of a substantial number of our shares of common stock by the selling stockholders. Sales in the public market of a large number of shares of our common stock, or the perception in the market that holders of a large number of shares of our common stock intend to sell shares, could reduce the market price of our common stock.</w:t>
      </w:r>
    </w:p>
    <w:p>
      <w:pPr>
        <w:spacing w:after="0" w:line="104"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11000"/>
          </w:cols>
          <w:pgMar w:left="320" w:top="455"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0" w:type="dxa"/>
            <w:vAlign w:val="bottom"/>
          </w:tcPr>
          <w:p>
            <w:pPr>
              <w:spacing w:after="0"/>
              <w:rPr>
                <w:sz w:val="1"/>
                <w:szCs w:val="1"/>
                <w:color w:val="auto"/>
              </w:rPr>
            </w:pPr>
          </w:p>
        </w:tc>
      </w:tr>
      <w:tr>
        <w:trPr>
          <w:trHeight w:val="392"/>
        </w:trPr>
        <w:tc>
          <w:tcPr>
            <w:tcW w:w="43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6340" w:type="dxa"/>
            <w:vAlign w:val="bottom"/>
          </w:tcPr>
          <w:p>
            <w:pPr>
              <w:spacing w:after="0"/>
              <w:rPr>
                <w:sz w:val="24"/>
                <w:szCs w:val="24"/>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4320" w:type="dxa"/>
            <w:vAlign w:val="bottom"/>
            <w:gridSpan w:val="14"/>
            <w:vMerge w:val="continue"/>
          </w:tcPr>
          <w:p>
            <w:pPr>
              <w:spacing w:after="0"/>
              <w:rPr>
                <w:sz w:val="14"/>
                <w:szCs w:val="14"/>
                <w:color w:val="auto"/>
              </w:rPr>
            </w:pPr>
          </w:p>
        </w:tc>
        <w:tc>
          <w:tcPr>
            <w:tcW w:w="6340" w:type="dxa"/>
            <w:vAlign w:val="bottom"/>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100" w:type="dxa"/>
            <w:vAlign w:val="bottom"/>
            <w:gridSpan w:val="5"/>
          </w:tcPr>
          <w:p>
            <w:pPr>
              <w:spacing w:after="0"/>
              <w:rPr>
                <w:sz w:val="17"/>
                <w:szCs w:val="17"/>
                <w:color w:val="auto"/>
              </w:rPr>
            </w:pP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800" w:type="dxa"/>
            <w:vAlign w:val="bottom"/>
            <w:tcBorders>
              <w:top w:val="single" w:sz="8" w:color="0000EE"/>
            </w:tcBorders>
            <w:gridSpan w:val="4"/>
          </w:tcPr>
          <w:p>
            <w:pPr>
              <w:spacing w:after="0"/>
              <w:rPr>
                <w:sz w:val="17"/>
                <w:szCs w:val="17"/>
                <w:color w:val="auto"/>
              </w:rPr>
            </w:pPr>
          </w:p>
        </w:tc>
        <w:tc>
          <w:tcPr>
            <w:tcW w:w="2240" w:type="dxa"/>
            <w:vAlign w:val="bottom"/>
            <w:gridSpan w:val="7"/>
          </w:tcPr>
          <w:p>
            <w:pPr>
              <w:spacing w:after="0"/>
              <w:rPr>
                <w:sz w:val="17"/>
                <w:szCs w:val="17"/>
                <w:color w:val="auto"/>
              </w:rPr>
            </w:pP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43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INFORMATION REFERENCE</w:t>
            </w:r>
          </w:p>
        </w:tc>
        <w:tc>
          <w:tcPr>
            <w:tcW w:w="240" w:type="dxa"/>
            <w:vAlign w:val="bottom"/>
          </w:tcPr>
          <w:p>
            <w:pPr>
              <w:spacing w:after="0"/>
              <w:rPr>
                <w:sz w:val="17"/>
                <w:szCs w:val="17"/>
                <w:color w:val="auto"/>
              </w:rPr>
            </w:pP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2740" w:type="dxa"/>
            <w:vAlign w:val="bottom"/>
            <w:gridSpan w:val="9"/>
          </w:tcPr>
          <w:p>
            <w:pPr>
              <w:spacing w:after="0"/>
              <w:rPr>
                <w:sz w:val="17"/>
                <w:szCs w:val="17"/>
                <w:color w:val="auto"/>
              </w:rPr>
            </w:pP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43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22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120" w:type="dxa"/>
            <w:vAlign w:val="bottom"/>
            <w:gridSpan w:val="6"/>
          </w:tcPr>
          <w:p>
            <w:pPr>
              <w:spacing w:after="0"/>
              <w:rPr>
                <w:sz w:val="17"/>
                <w:szCs w:val="17"/>
                <w:color w:val="auto"/>
              </w:rPr>
            </w:pP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6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1040" w:type="dxa"/>
            <w:vAlign w:val="bottom"/>
            <w:tcBorders>
              <w:top w:val="single" w:sz="8" w:color="0000EE"/>
            </w:tcBorders>
            <w:gridSpan w:val="6"/>
          </w:tcPr>
          <w:p>
            <w:pPr>
              <w:spacing w:after="0"/>
              <w:rPr>
                <w:sz w:val="17"/>
                <w:szCs w:val="17"/>
                <w:color w:val="auto"/>
              </w:rPr>
            </w:pPr>
          </w:p>
        </w:tc>
        <w:tc>
          <w:tcPr>
            <w:tcW w:w="1820" w:type="dxa"/>
            <w:vAlign w:val="bottom"/>
            <w:gridSpan w:val="4"/>
          </w:tcPr>
          <w:p>
            <w:pPr>
              <w:spacing w:after="0"/>
              <w:rPr>
                <w:sz w:val="17"/>
                <w:szCs w:val="17"/>
                <w:color w:val="auto"/>
              </w:rPr>
            </w:pP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43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666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S-3 that we filed with the Securities and Exchange Commission, or the SEC, using a “shelf” registration process. Under this shelf registration process, from time to time, the selling stockholders may sell up to 7,936,759 shares of our common stock from time to time in one or more offerings as described in this prospectus. We have provided to you in this prospectus a general description of the shares of our common stock that the selling stockholders may offer. Each time the selling stockholders offer shares of our common stock under this prospectus, the selling stockholders will provide a prospectus supplement to the extent required, or if appropriate, a post-effective amendment to the registration statement of which this prospectus is part that will contain specific information about the terms of the offering. Any prospectus supplement may also add, update or change information contained in this prospectus or in documents we have incorporated by reference into this prospectus. To the extent there is a conflict between the information contained in this prospectus and the prospectus supplement, you should rely on the information in the prospectus supplement; provided that, if any statement in one of these documents is inconsistent with a statement in another document having a later date - for example, a document incorporated by reference in this prospectus or any prospectus supplement - the statement in the document having the later date modifies or supersedes the earlier statement. This prospectus, together with any applicable prospectus supplements and the documents incorporated by reference into this prospectus, includes all material information relating to this offering. You should carefully read both this prospectus and any appliable prospectus supplement together with the additional information described under the headings “Where You Can Find More Information” and “Incorporation of Information by Reference” before buying any shares of our common stock in this offering.</w:t>
      </w:r>
    </w:p>
    <w:p>
      <w:pPr>
        <w:spacing w:after="0" w:line="18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or any applicable prospectus supplement. Neither we nor the selling stockholders have authorized anyone to give you any information or to make any representation other than the information and representations contained in or incorporated by reference into this prospectus or any applicable prospectus supplement. We and the selling stockholders take no responsibility for, and can provide no assurance as to the reliability of, any other information others may give you. If different information is given or different representations are made, you may not rely on that information or those representations as having been authorized by us or the selling stockholders. You may not imply from the delivery of this prospectus and any applicable prospectus supplement, nor from a sale made under this prospectus and any applicable prospectus supplement, that our affairs are unchanged since the date of this prospectus and any applicable prospectus supplement or that the information contained in any document incorporated by reference is accurate as of any date other than the date of the document incorporated by reference, regardless of the time of delivery of this prospectus and any applicable prospectus supplement or any sale of shares of our common stock. This prospectus and any applicable prospectus supplement may only be used where it is legal to sell shares of our common stock.</w:t>
      </w:r>
    </w:p>
    <w:p>
      <w:pPr>
        <w:spacing w:after="0" w:line="190"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PROSPECTUS MAY NOT BE USED TO OFFER AND SELL SECURITIES UNLESS IT IS ACCOMPANIED BY A PROSPECTUS SUPPLEMENT TO THE EXTENT SUCH PROSPECTUS SUPPLEMENT IS REQUIRED.</w:t>
      </w:r>
    </w:p>
    <w:p>
      <w:pPr>
        <w:spacing w:after="0" w:line="15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terms “Prelude,” “Prelude Therapeutics,” the “Company,” “we,” “us,” and “our” refer to Prelude Therapeutics Incorporated, a Delaware corporation.</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“Where You Can Find More Information” and “Incorporation of Information by Reference.”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36" w:lineRule="auto"/>
        <w:rPr>
          <w:sz w:val="20"/>
          <w:szCs w:val="20"/>
          <w:color w:val="auto"/>
        </w:rPr>
      </w:pPr>
      <w:r>
        <w:rPr>
          <w:rFonts w:ascii="Times New Roman" w:cs="Times New Roman" w:eastAsia="Times New Roman" w:hAnsi="Times New Roman"/>
          <w:sz w:val="18"/>
          <w:szCs w:val="18"/>
          <w:color w:val="auto"/>
        </w:rPr>
        <w:t xml:space="preserve">This document contains or incorporates by reference documents containing references to trademarks, service marks and trade names owned by us or belonging to other entities. Solely for convenience, trademarks, service marks and trade names referred to in this document may appear without the ®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we or the applicable licensor will not assert, to the fullest extent under applicable law, our or its rights to these trademarks, service marks and trade names. The Company does not intend its use or display of other companies’ trademarks, service marks or trade names to imply a relationship with, or endorsement or sponsorship of it by, any other companies. All trademarks, service marks and trade names included in this document are the property of their respective owners.</w:t>
      </w:r>
    </w:p>
    <w:p>
      <w:pPr>
        <w:spacing w:after="0" w:line="1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84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484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in other parts of this prospectus or incorporated by reference into this prospectus. This summary may not contain all the information that you should consider before investing in shares of our common stock. You should read the entire prospectus and the information incorporated by reference in this prospectus carefully, including “Risk Factors” and the financial data and related notes and other information incorporated by reference, before making an investment decision. See “Forward-Looking Statements.”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Prelude Therapeutics Incorporated (“Prelude”) is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validated by our steady progress in creating a wholly owned, internally developed pipeline. We also began work with our partner AbCellera Biologics, Inc.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194"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18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summarizes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our objective is to generate proof-of-concept clinical data to guide our future regulatory pathways to approval. Our SMARCA2 molecule is a unique, first-in-class protein degrader, targeting specific patient populations. Our CDK9 inhibitor is selective and potent,</w:t>
      </w:r>
    </w:p>
    <w:p>
      <w:pPr>
        <w:spacing w:after="0" w:line="28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320" w:top="455"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59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with a potentially superior safety profile over first-generation CDK9 inhibitors. Our next generation CDK4/6 inhibitor is specifically designed to be brain and tissue penetrant.</w:t>
      </w:r>
    </w:p>
    <w:p>
      <w:pPr>
        <w:spacing w:after="0" w:line="162" w:lineRule="exact"/>
        <w:rPr>
          <w:sz w:val="20"/>
          <w:szCs w:val="20"/>
          <w:color w:val="auto"/>
        </w:rPr>
      </w:pPr>
    </w:p>
    <w:p>
      <w:pPr>
        <w:ind w:left="300" w:right="100" w:firstLine="426"/>
        <w:spacing w:after="0" w:line="258" w:lineRule="auto"/>
        <w:rPr>
          <w:sz w:val="20"/>
          <w:szCs w:val="20"/>
          <w:color w:val="auto"/>
        </w:rPr>
      </w:pPr>
      <w:r>
        <w:rPr>
          <w:rFonts w:ascii="Times New Roman" w:cs="Times New Roman" w:eastAsia="Times New Roman" w:hAnsi="Times New Roman"/>
          <w:sz w:val="18"/>
          <w:szCs w:val="18"/>
          <w:color w:val="auto"/>
        </w:rPr>
        <w:t>Our novel, first-in-class SMARCA2 degrader compounds and our potent, highly selective and potentially best-in-class CDK9 inhibitor represent our best opportunities for demonstrating clinical proof-of-concept in 2024 and advancing into potential Phase 2/3 registration studies. In 2023 we also announced a global partnership with AbCellera that will allow us to combine our small molecules and degraders expertise with their antibody expertise to develop precision antibody drug conjugates. We also intend to explore continued clinical development with external partners for our CDK4/6.</w:t>
      </w:r>
    </w:p>
    <w:p>
      <w:pPr>
        <w:spacing w:after="0" w:line="183"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PRT3789 is a first-in-class, highly selective degrader of SMARCA2 protein, which along with SMARCA4, controls gene regulation through chromatin remodeling. Cancer cells with SMARCA4 mutations are dependent on SMARCA2 for their growth and survival and selectively degrading SMARCA2 induces cell death in cancer cells while sparing normal cells in preclinical models. PRT3789 has been shown to be efficacious and well tolerated in multiple preclinical models of SMARCA4 deleted/mutated cancers as monotherapy and in combination with standards of care therapies. We believe a selective SMARCA2 degrader has the potential to be of benefit in up to 10% of Non-Small Cell Lung cancer, or NSCLC, patients in the United States including many other tumor types with the SMARCA4 mutation.</w:t>
      </w:r>
    </w:p>
    <w:p>
      <w:pPr>
        <w:spacing w:after="0" w:line="187" w:lineRule="exact"/>
        <w:rPr>
          <w:sz w:val="20"/>
          <w:szCs w:val="20"/>
          <w:color w:val="auto"/>
        </w:rPr>
      </w:pPr>
    </w:p>
    <w:p>
      <w:pPr>
        <w:jc w:val="both"/>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Patients with SMARCA4 mutations or deletions have poor clinical outcomes and limited treatment options. Therefore, mutated or deleted SMARCA4 cancers provide a potential biomarker to select those patients most likely to respond to treatment with a highly selective SMARCA2 degrader.</w:t>
      </w:r>
    </w:p>
    <w:p>
      <w:pPr>
        <w:spacing w:after="0" w:line="176"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PRT3789 is currently in Phase 1 clinical development in biomarker selected SMARCA4 mutant patients. To date, PRT3789 has completed the fifth dose escalation cohort and demonstrated selective, potent and dose dependent degradation of SMARCA2 with an acceptable safety profile. Based on PK/PD and safety data to date, the Company expects to conclude monotherapy dose escalation in the middle of 2024 and identify recommended phase 2 doses. In addition, enrollment of patients into back-fill cohorts enriched for NSCLC and SMARCA4 loss-of-function mutations has been initiated. Objectives for this first Phase 1 clinical trial are to establish the safety and tolerability profile of PRT3789 as both monotherapy and in combination with docetaxel, evaluate efficacy, pharmacokinetics and pharmacodynamics and determine a dose and potential indications for advancement into a registrational clinical trial. We expect to present initial data in the second half of 2024 from patients currently enrolled in the Phase 1 trial.</w:t>
      </w:r>
    </w:p>
    <w:p>
      <w:pPr>
        <w:spacing w:after="0" w:line="192"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Our discovery team has identified a series of highly selective and orally bioavailable SMARCA2 degraders. The lead oral molecule, PRT7732, is currently in investigational new drug (IND) enabling studies and on track to enter Phase 1 clinical development in the second half of 2024. PRT7732 is structurally distinct from PRT3789 and in addition, may provide clinically meaningful differences, more patient-friendly dosing and may have utility in earlier lines of therapy.</w:t>
      </w:r>
    </w:p>
    <w:p>
      <w:pPr>
        <w:spacing w:after="0" w:line="180" w:lineRule="exact"/>
        <w:rPr>
          <w:sz w:val="20"/>
          <w:szCs w:val="20"/>
          <w:color w:val="auto"/>
        </w:rPr>
      </w:pPr>
    </w:p>
    <w:p>
      <w:pPr>
        <w:ind w:left="300" w:right="180" w:firstLine="426"/>
        <w:spacing w:after="0" w:line="255" w:lineRule="auto"/>
        <w:rPr>
          <w:sz w:val="20"/>
          <w:szCs w:val="20"/>
          <w:color w:val="auto"/>
        </w:rPr>
      </w:pPr>
      <w:r>
        <w:rPr>
          <w:rFonts w:ascii="Times New Roman" w:cs="Times New Roman" w:eastAsia="Times New Roman" w:hAnsi="Times New Roman"/>
          <w:sz w:val="18"/>
          <w:szCs w:val="18"/>
          <w:color w:val="auto"/>
        </w:rPr>
        <w:t>As one of our first precision ADC programs, Prelude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beyond those targeted by our SMARCA2 selective degraders, we believe that these precision ADCs have the potential to extend the therapeutic utility of this class. The partnership includes up to five precision ADC targets. Under the terms of the agreement, Prelude and AbCellera will jointly discover, develop, and commercialize products emerging from the collaboration. AbCellera will lead manufacturing activities and Prelude will lead clinical development and global commercialization, subject to AbCellera’s option to co-promote any resulting commercial products in the United States.</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21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Our CDK9 candidate, PRT2527, is designed to be a potent and selective CDK9 inhibitor. We believe PRT2527 has the potential to avoid off-target toxicities, achieve substantial clinical activity and to become the best-in-class CDK9 inhibitor for hematologic malignancies.</w:t>
      </w:r>
    </w:p>
    <w:p>
      <w:pPr>
        <w:spacing w:after="0" w:line="162"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w:t>
      </w:r>
    </w:p>
    <w:p>
      <w:pPr>
        <w:spacing w:after="0" w:line="176"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 PRT2527 has completed a Phase 1 multi-dose escalation study (NCT05159518) in patients with solid tumors. In this study, PRT2527 was shown to achieve high levels of target inhibition and the potential to be better tolerated than existing CDK9 inhibitors, specifically, managing neutropenia and an absence of meaningful gastrointestinal events or hepatotoxicity.</w:t>
      </w:r>
    </w:p>
    <w:p>
      <w:pPr>
        <w:spacing w:after="0" w:line="187"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The observed dose-dependent downregulation of MYC and MCL1 mRNA expression, CDK9 transcriptional targets, was consistent with the degree of target engagement required for preclinical efficacy. As predicted by the preclinical models, 12 mg/m2 QW dosing showed optimal target inhibition and has been selected as the optimal dose. The overall safety profile observed in this study supports further development of PRT2527 in hematologic malignancies (NCT05665530). In this study, PRT2527 is advancing in monotherapy hematological indications, such as B-cell malignancies and acute myeloid leukemia (AML), and it has initiated the combination with zanubrutinib in B-cell malignancies. We expect to complete the monotherapy dose escalation in B-cell malignancies in the middle of 2024. A second cohort of patients with AML is expected to initiate in the first half of 2024 in monotherapy.</w:t>
      </w:r>
    </w:p>
    <w:p>
      <w:pPr>
        <w:spacing w:after="0" w:line="189"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MCL1 candidate, PRT1419, was designed to be a potent and selective inhibitor of the anti-apoptotic protein, MCL1. We concluded Phase 1 development of PRT1419 and established a confirmation dose in hematological malignancies. Based on the potential to address the intended patient population with the CDK9 inhibitor which potently inhibits MCL-1, we decided to prioritize our CDK9 inhibitor, PRT2527, and to discontinue development of PRT1419.</w:t>
      </w:r>
    </w:p>
    <w:p>
      <w:pPr>
        <w:spacing w:after="0" w:line="180"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PRT3645 is a brain and tissue penetrant molecule that potently targets CDK4/6 with a biased selectivity for CDK4. A Phase 1 multi-dose escalation clinical trial of PRT3645 is underway with the objective of establishing a biologically active dose confirmation. At the 2023 AACR-NCI-EORTC International Conference on Molecular Targets and Cancer Therapeutics, we presented data, showing that treatment with PRT3645 was associated with a substantial decrease in pRb and Ki67 expression, indicating a high level of target engagement at the doses evaluated. Also, PRT3645 was generally well tolerated in the initial three dose cohorts of patients with no clinically meaningful gastrointestinal, hematologic or neurological events reported to date, leveraging its enhanced selectivity profile. We intend to complete the dose escalation portion of the Phase 1 clinical trial of PRT3645 this year and following its completion, to explore continued clinical development with external partners.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We were formed under the laws of the State of Delaware in February 2016. Our principal executive offices are located at 175 Innovation Boulevard, Wilmington, Delaware, 19805, and our telephone number is (302) 467-1280. Our website address is www.preludetx.com. The information contained on, or that can be accessed</w:t>
      </w:r>
    </w:p>
    <w:p>
      <w:pPr>
        <w:spacing w:after="0" w:line="28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0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through, our website is not part of, and is not incorporated by reference into, this prospectus. Investors should not rely on any such information in deciding whether to purchase shares of our common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Shares of Common Stock That May Be Offered</w:t>
      </w:r>
    </w:p>
    <w:p>
      <w:pPr>
        <w:spacing w:after="0" w:line="121"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With this prospectus, the selling stockholders may offer and sell up to 7,936,759 shares of our common stock from time to time in one or more offerings as described in this prospectus. Each time the selling stockholders offer shares of our common stock with this prospectus, we will provide offerees with a prospectus supplement that will contain the specific terms of the shares of our common stock being offered, to the extent such prospectus supplement is required.</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Implications of Being an Emerging Growth Company and Smaller Reporting Company</w:t>
      </w:r>
    </w:p>
    <w:p>
      <w:pPr>
        <w:spacing w:after="0" w:line="121" w:lineRule="exact"/>
        <w:rPr>
          <w:sz w:val="20"/>
          <w:szCs w:val="20"/>
          <w:color w:val="auto"/>
        </w:rPr>
      </w:pPr>
    </w:p>
    <w:p>
      <w:pPr>
        <w:ind w:left="300" w:right="280" w:firstLine="426"/>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Rule 405 of the Securities Act of 1933, as amended, or the Securities Act. An emerging growth company may take advantage of relief from certain reporting requirements and other burdens that are otherwise applicable generally to public companies. These provisions include:</w:t>
      </w:r>
    </w:p>
    <w:p>
      <w:pPr>
        <w:spacing w:after="0" w:line="81" w:lineRule="exact"/>
        <w:rPr>
          <w:sz w:val="20"/>
          <w:szCs w:val="20"/>
          <w:color w:val="auto"/>
        </w:rPr>
      </w:pPr>
    </w:p>
    <w:p>
      <w:pPr>
        <w:ind w:left="1240" w:right="64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 Oxley Act of 2002, as amended;</w:t>
      </w:r>
    </w:p>
    <w:p>
      <w:pPr>
        <w:spacing w:after="0" w:line="67" w:lineRule="exact"/>
        <w:rPr>
          <w:rFonts w:ascii="Times New Roman" w:cs="Times New Roman" w:eastAsia="Times New Roman" w:hAnsi="Times New Roman"/>
          <w:sz w:val="18"/>
          <w:szCs w:val="18"/>
          <w:color w:val="auto"/>
        </w:rPr>
      </w:pPr>
    </w:p>
    <w:p>
      <w:pPr>
        <w:ind w:left="1240" w:right="720" w:hanging="415"/>
        <w:spacing w:after="0" w:line="312" w:lineRule="auto"/>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about our executive compensation arrangements in our periodic reports, proxy statements and registration statements, including an exemption from complying with new pay versus performance disclosure requirements; and</w:t>
      </w:r>
    </w:p>
    <w:p>
      <w:pPr>
        <w:spacing w:after="0" w:line="45" w:lineRule="exact"/>
        <w:rPr>
          <w:rFonts w:ascii="Times New Roman" w:cs="Times New Roman" w:eastAsia="Times New Roman" w:hAnsi="Times New Roman"/>
          <w:sz w:val="17"/>
          <w:szCs w:val="17"/>
          <w:color w:val="auto"/>
        </w:rPr>
      </w:pPr>
    </w:p>
    <w:p>
      <w:pPr>
        <w:ind w:left="1240" w:right="960" w:hanging="415"/>
        <w:spacing w:after="0" w:line="282" w:lineRule="auto"/>
        <w:tabs>
          <w:tab w:leader="none" w:pos="12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w:t>
      </w:r>
    </w:p>
    <w:p>
      <w:pPr>
        <w:spacing w:after="0" w:line="162"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In addition,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Any decision to opt out of the extended transition period for complying with new or revised accounting standards is irrevocable. We have elected to use this extended transition period.</w:t>
      </w:r>
    </w:p>
    <w:p>
      <w:pPr>
        <w:spacing w:after="0" w:line="180" w:lineRule="exact"/>
        <w:rPr>
          <w:sz w:val="20"/>
          <w:szCs w:val="20"/>
          <w:color w:val="auto"/>
        </w:rPr>
      </w:pPr>
    </w:p>
    <w:p>
      <w:pPr>
        <w:ind w:left="300" w:right="260" w:firstLine="426"/>
        <w:spacing w:after="0" w:line="272" w:lineRule="auto"/>
        <w:rPr>
          <w:sz w:val="20"/>
          <w:szCs w:val="20"/>
          <w:color w:val="auto"/>
        </w:rPr>
      </w:pPr>
      <w:r>
        <w:rPr>
          <w:rFonts w:ascii="Times New Roman" w:cs="Times New Roman" w:eastAsia="Times New Roman" w:hAnsi="Times New Roman"/>
          <w:sz w:val="17"/>
          <w:szCs w:val="17"/>
          <w:color w:val="auto"/>
        </w:rPr>
        <w:t>We will cease to be an emerging growth company upon the earliest of (1) the end of the fiscal year following the fifth anniversary of our initial public offering (i.e. December 31, 2025); (2) the last day of the fiscal year during which our annual gross revenues are $1.235 billion or more; (3) the date on which we have, during the previous three-year period, issued more than $1.0 billion in non-convertible debt securities; and</w:t>
      </w:r>
    </w:p>
    <w:p>
      <w:pPr>
        <w:spacing w:after="0" w:line="2" w:lineRule="exact"/>
        <w:rPr>
          <w:sz w:val="20"/>
          <w:szCs w:val="20"/>
          <w:color w:val="auto"/>
        </w:rPr>
      </w:pPr>
    </w:p>
    <w:p>
      <w:pPr>
        <w:ind w:left="300" w:right="260" w:hanging="2"/>
        <w:spacing w:after="0" w:line="260" w:lineRule="auto"/>
        <w:tabs>
          <w:tab w:leader="none" w:pos="5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any fiscal year in which the market value of our common stock held by non-affiliates exceeded $700.0 million as of the end of the second quarter of that fiscal year. We may choose to take advantage of some or all of these reduced reporting burdens.</w:t>
      </w:r>
    </w:p>
    <w:p>
      <w:pPr>
        <w:spacing w:after="0" w:line="18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In addition, we are also a “smaller reporting company,” as defined in Rule 405 under the Securities Act. We may continue to be a smaller reporting company in any given year if either (i) the market value of our stock held by non-affiliates is less than $250 million as of June 30 in the most recently completed fiscal year or (ii) our annual revenue is less than $100 million during the most recently completed fiscal year and the market value of our stock held by non-affiliates is less than $700 million as of June 30 in the most recently completed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584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2584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840"/>
          </w:cols>
          <w:pgMar w:left="320" w:top="455" w:right="739" w:bottom="1440" w:gutter="0" w:footer="0" w:header="0"/>
        </w:sectPr>
      </w:pPr>
    </w:p>
    <w:p>
      <w:pPr>
        <w:spacing w:after="0" w:line="256"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Common stock registered for sale by Selling Stockholders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Up to 7,936,759 shares of our common stock that are issuable upon the exercise of certain pre-funded warrants.</w:t>
      </w:r>
    </w:p>
    <w:p>
      <w:pPr>
        <w:spacing w:after="0" w:line="162" w:lineRule="exact"/>
        <w:rPr>
          <w:sz w:val="20"/>
          <w:szCs w:val="20"/>
          <w:color w:val="auto"/>
        </w:rPr>
      </w:pPr>
    </w:p>
    <w:p>
      <w:pPr>
        <w:sectPr>
          <w:pgSz w:w="11900" w:h="16838" w:orient="portrait"/>
          <w:cols w:equalWidth="0" w:num="2">
            <w:col w:w="3520" w:space="300"/>
            <w:col w:w="702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Terms of the Offering</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selling stockholders will determine when and how they will dispose of the shares of common stock registered for resale under this prospectus.</w:t>
      </w:r>
    </w:p>
    <w:p>
      <w:pPr>
        <w:spacing w:after="0" w:line="162" w:lineRule="exact"/>
        <w:rPr>
          <w:sz w:val="20"/>
          <w:szCs w:val="20"/>
          <w:color w:val="auto"/>
        </w:rPr>
      </w:pPr>
    </w:p>
    <w:p>
      <w:pPr>
        <w:sectPr>
          <w:pgSz w:w="11900" w:h="16838" w:orient="portrait"/>
          <w:cols w:equalWidth="0" w:num="2">
            <w:col w:w="3100" w:space="720"/>
            <w:col w:w="702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ind w:right="660"/>
        <w:spacing w:after="0" w:line="282"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the selling stockholders.</w:t>
      </w:r>
    </w:p>
    <w:p>
      <w:pPr>
        <w:spacing w:after="0" w:line="162" w:lineRule="exact"/>
        <w:rPr>
          <w:sz w:val="20"/>
          <w:szCs w:val="20"/>
          <w:color w:val="auto"/>
        </w:rPr>
      </w:pPr>
    </w:p>
    <w:p>
      <w:pPr>
        <w:sectPr>
          <w:pgSz w:w="11900" w:h="16838" w:orient="portrait"/>
          <w:cols w:equalWidth="0" w:num="2">
            <w:col w:w="3100" w:space="720"/>
            <w:col w:w="702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420"/>
        <w:spacing w:after="0" w:line="282" w:lineRule="auto"/>
        <w:rPr>
          <w:sz w:val="20"/>
          <w:szCs w:val="20"/>
          <w:color w:val="auto"/>
        </w:rPr>
      </w:pPr>
      <w:r>
        <w:rPr>
          <w:rFonts w:ascii="Times New Roman" w:cs="Times New Roman" w:eastAsia="Times New Roman" w:hAnsi="Times New Roman"/>
          <w:sz w:val="18"/>
          <w:szCs w:val="18"/>
          <w:color w:val="auto"/>
        </w:rPr>
        <w:t>Before investing in our shares of common stock, you should carefully read and consider the information set forth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ectPr>
          <w:pgSz w:w="11900" w:h="16838" w:orient="portrait"/>
          <w:cols w:equalWidth="0" w:num="2">
            <w:col w:w="3100" w:space="720"/>
            <w:col w:w="7020"/>
          </w:cols>
          <w:pgMar w:left="320" w:top="455" w:right="7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Nasdaq ticker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“PRLD”</w:t>
      </w:r>
    </w:p>
    <w:p>
      <w:pPr>
        <w:spacing w:after="0" w:line="200" w:lineRule="exact"/>
        <w:rPr>
          <w:sz w:val="20"/>
          <w:szCs w:val="20"/>
          <w:color w:val="auto"/>
        </w:rPr>
      </w:pPr>
    </w:p>
    <w:p>
      <w:pPr>
        <w:sectPr>
          <w:pgSz w:w="11900" w:h="16838" w:orient="portrait"/>
          <w:cols w:equalWidth="0" w:num="2">
            <w:col w:w="3100" w:space="720"/>
            <w:col w:w="7020"/>
          </w:cols>
          <w:pgMar w:left="320" w:top="455" w:right="739" w:bottom="1440" w:gutter="0" w:footer="0" w:header="0"/>
          <w:type w:val="continuous"/>
        </w:sectPr>
      </w:pPr>
    </w:p>
    <w:p>
      <w:pPr>
        <w:spacing w:after="0" w:line="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For additional information concerning the offering, see the section of this prospectus titled “Plan of Distribution.”</w:t>
      </w:r>
    </w:p>
    <w:p>
      <w:pPr>
        <w:spacing w:after="0" w:line="3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40"/>
          </w:cols>
          <w:pgMar w:left="320" w:top="455" w:right="7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investment in our shares of common stock involves a high degree of risk. Before deciding whether to invest in our common stock, you should carefully consider the risks, uncertainties and assumptions discussed under the heading “Risk Factors,” in our Annual Report on Form 10-K for our most recently completed fiscal year, in any Quarterly Reports on Form 10-Q that have been filed since our most recent Annual Report on Form 10-K and in any other documents that we file (not furnish) with the SEC in the future, together with all of the other information appearing or incorporated by reference in this prospectus. See “Where You Can Find More Information” and “Incorporation of Information By Reference.” In addition, any prospectus supplement relating to an offering of our shares of common stock pursuant to this prospectus may contain a discussion of further risks applicable to an investment in our shares of common stock, which you should carefully consider prior to making a decision about investing in our shares of common stock. The risks and uncertainties we have described are not the only ones we face. Additional risks and uncertainties not presently known to us or that we currently deem immaterial may also affect our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any accompanying prospectus supplement and the documents incorporated by reference herein and therein contain “forward-looking statements” within the meaning of the Private Securities Litigation Reform Act of 1995. These forward-looking statements involve a number of risks and uncertainties. We caution readers that any forward-looking statement is not a guarantee of future performance and that actual results could differ materially from those contained in the forward-looking statement. These statements are based on current expectations of future events.</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Such statements include, but are not limited to, statements regarding expectations and intentions, costs and expenses, outcome of contingencies, financial condition, results of operations, liquidity, objectives of management, debt financing, our future results of operations and financial position, business strategies, market size, potential growth opportunities, clinical development activities, efficacy and safety profile of our product candidates, timing and results of our pre-clinical studies and clinical trials, the receipt and timing of potential regulatory designations, our ability to maintain and recognize the benefits of certain designations received by product candidates, the achievement of clinical and commercial milestones, the advancement of our technologies and our proprietary product candidates, the successful achievement of the goals of our collaborations, the advancement of the product candidates that are the subjects of these collaborations, the approvals and commercialization of product candidates and other statements that are not historical facts. You can find many of these statements by looking for words like “believes,” “expects,” “anticipates,” “estimates,” “may,” “might,” “should,” “will,” “could,” “plan,” “intend,” “project,” “seek” or similar expressions in this prospectus, in any accompanying prospectus supplement, in documents incorporated by reference into this prospectus or any accompanying prospectus supplement or any free writing prospectus. We intend that such forward-looking statements be subject to the safe harbors created thereby.</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forward-looking statements are based on the current beliefs and expectations of our management and are subject to significant risks and uncertainties. If underlying assumptions prove inaccurate or unknown risks or uncertainties materialize, actual results may differ materially from current expectations and projections. Factors that might cause such a difference include those discussed in our Annual Report on Form 10-K for the most recently completed fiscal year, in any Quarterly Reports on Form 10-Q that have been filed since our most recent Annual Report on Form 10-K and in any other documents that we file (not furnish) to the SEC, as well as those discussed in this prospectus, any accompany prospectus supplement, the documents incorporated by reference into this prospectus or any accompanying prospectus supplement and any free writing prospectus. You are cautioned not to place undue reliance on these forward-looking statements, which speak only as of the date of this prospectus or the applicable prospectus supplement or, in the case of documents referred to or incorporated by reference, the date of those documents.</w:t>
      </w:r>
    </w:p>
    <w:p>
      <w:pPr>
        <w:spacing w:after="0" w:line="19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All subsequent written or oral forward-looking statements attributable to us or any person acting on our behalf are expressly qualified in their entirety by the cautionary statements contained or referred to in this section. We do not undertake any obligation to release publicly any revisions to these forward-looking statements to reflect events or circumstances after the date of this prospectus or to reflect the occurrence of unanticipated events, except as may be required under applicable U.S. securities law. If we do update one or more forward-looking statements, no inference should be drawn that we will make additional updates with respect to those or other forward-looking statements.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with respect to the shares of common stock offered hereby. This prospectus, which constitutes a part of the registration statement, does not contain all of the information set forth in the registration statement, the exhibits filed therewith or the documents incorporated by reference therein. For further information about us and the shares of common stock offered hereby, reference is made to the registration statement, the exhibits filed therewith and the documents incorporated by reference therein.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informational requirements of the Securities Exchange Act of 1934, as amended, or the Exchange Act, and we are required to file annual, quarterly and other reports, proxy statements and other information with the SEC. The SEC maintains an Internet site (http://www.sec.gov) that contains reports, proxy and information statements, and various other information about us. You may access, free of charge, our annual reports on Form 10-K, quarterly reports on Form 10-Q, current reports on Form 8-K and any amendments to those reports filed or furnished pursuant to Section 13(a) or 15(d) of the Exchange Act as soon as reasonably practicable after each such report is electronically filed with, or furnished to, the SEC.</w:t>
      </w:r>
    </w:p>
    <w:p>
      <w:pPr>
        <w:spacing w:after="0" w:line="187"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on our website at http://www.preludetx.com. However, the information on our website is not a part of this prospectus and is not incorporated by reference into this prospectus. We have included our website address in this prospectus solely as an inactive textual reference.</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320" w:top="455" w:right="5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INFORMATION BY REFERENCE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and any prospectus supplement information that we file with the SEC, which means that we can disclose important information to you by referring you to those other documents filed with the SEC. Any information referenced in this way is considered part of this prospectus. Any subsequent information filed with the SEC will automatically be deemed to update and supersede the information either contained, or incorporated by reference, into this prospectus, and will be considered part of this prospectus from the date those documents are filed. The information incorporated by reference is an important part of this prospectus.</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incorporate by reference in this prospectus the documents listed below that have been previously filed with the SEC as well as any filings made by us with the SEC under Section 13(a), 13(c), 14, or 15(d) of the Exchange Act from the initial filing of the registration statement of which this prospectus forms a part until the termination or completion of the offering of the shares of our common stock described in this prospectus:</w:t>
      </w:r>
    </w:p>
    <w:p>
      <w:pPr>
        <w:spacing w:after="0" w:line="8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 filed with the SEC on February 15, 2024;</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4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September 16, 2020 under Section 12(b) of the Exchange Act, including any amendment or report filed for the purpose of updating such description, including </w:t>
      </w:r>
      <w:hyperlink r:id="rId41">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2023; and</w:t>
      </w:r>
    </w:p>
    <w:p>
      <w:pPr>
        <w:spacing w:after="0" w:line="81" w:lineRule="exact"/>
        <w:rPr>
          <w:rFonts w:ascii="Times New Roman" w:cs="Times New Roman" w:eastAsia="Times New Roman" w:hAnsi="Times New Roman"/>
          <w:sz w:val="18"/>
          <w:szCs w:val="18"/>
          <w:color w:val="0000EE"/>
        </w:rPr>
      </w:pPr>
    </w:p>
    <w:p>
      <w:pPr>
        <w:ind w:left="1080" w:right="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we make with the SEC pursuant to the Exchange Act after the date of the initial registration statement, of which this prospectus is a part, and prior to the effectiveness of the registration statement.</w:t>
      </w:r>
    </w:p>
    <w:p>
      <w:pPr>
        <w:spacing w:after="0" w:line="162" w:lineRule="exact"/>
        <w:rPr>
          <w:rFonts w:ascii="Times New Roman" w:cs="Times New Roman" w:eastAsia="Times New Roman" w:hAnsi="Times New Roman"/>
          <w:sz w:val="18"/>
          <w:szCs w:val="18"/>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under Item 9.01, is not incorporated by reference in this prospectus or any prospectus supplement.</w:t>
      </w:r>
    </w:p>
    <w:p>
      <w:pPr>
        <w:spacing w:after="0" w:line="162" w:lineRule="exact"/>
        <w:rPr>
          <w:rFonts w:ascii="Times New Roman" w:cs="Times New Roman" w:eastAsia="Times New Roman" w:hAnsi="Times New Roman"/>
          <w:sz w:val="18"/>
          <w:szCs w:val="18"/>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such documents that has been incorporated herein by reference (other than exhibits to such documents unless such exhibits are specifically incorporated by reference into the documents that this prospectus incorporates). Written or oral requests for copies should be directed to Prelude Therapeutics Incorporated, 175 Innovation Boulevard, Wilmington, Delaware, 19805, and our telephone number is (302) 467-1280. See the section of this prospectus entitled “Where You Can Find More Information” for information concerning how to obtain copies of materials that we file with the SEC.</w:t>
      </w:r>
    </w:p>
    <w:p>
      <w:pPr>
        <w:spacing w:after="0" w:line="183" w:lineRule="exact"/>
        <w:rPr>
          <w:rFonts w:ascii="Times New Roman" w:cs="Times New Roman" w:eastAsia="Times New Roman" w:hAnsi="Times New Roman"/>
          <w:sz w:val="18"/>
          <w:szCs w:val="18"/>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this prospectus, or in a document, all or a portion of which is incorporated by reference, shall be modified or superseded for purposes of this prospectus to the extent that a statement contained in this prospectus, any prospectus supplement or any document incorporated by reference modifies or supersedes such statement. Any such statement so modified or superseded shall not, except as so modified or superseded, constitute a part of this prospectus.</w:t>
      </w:r>
    </w:p>
    <w:p>
      <w:pPr>
        <w:spacing w:after="0" w:line="112"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proceeds from the sale of the shares of common stock offered pursuant to this prospectus are solely for the accounts of the selling stockholders. Accordingly, we will not receive any of the proceeds from the sale of the shares of common stock offered by this prospectus. See “Selling Stockholders” and “Plan of Distribution” below.</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stockholders will pay any underwriting discounts and commissions and expenses incurred by the selling stockholders for brokerage, accounting, tax or legal services or any other expenses incurred by the selling stockholders in disposing of the shares of common stock. We will bear the costs, fees and expenses incurred in effecting the registration of the shares of common stock covered by this prospectus, including all registration and filing fees, listing fees and fees and expenses of our counsel and our independent registered public accounting firm.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relates to the resale by the selling stockholders from time to time of up to 7,936,759 shares of our common stock pursuant to certain agreements between the Company and the selling stockholders, which provide the selling stockholders with certain registration rights. We are required to file this registration statement in accordance with our obligations set forth in the Registration Rights Agreement as more fully described in “Material Relationships with Selling Stockholders — Registration Rights Agreement.” The selling stockholders may from time to time offer and sell some, all or none of their shares of common stock set forth below pursuant to this prospectus and any accompanying prospectus supplement. As used in this prospectus, the term “selling stockholders” includes the persons listed in the table below, together with any additional selling stockholders listed in any subsequent amendment to this prospectus, and their pledgees, donees, transferees, distributees, assignees, successors, designees and others who later come to hold any of the selling stockholders’ interests in the common stock.</w:t>
      </w:r>
    </w:p>
    <w:p>
      <w:pPr>
        <w:spacing w:after="0" w:line="192"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Except as set forth in the footnotes below, the following table sets forth, based on written representations from the selling stockholders, certain information as of the date hereof regarding the beneficial ownership of our common stock by the selling stockholders and the shares of common stock being offered by the selling stockholders. The applicable percentage ownership of common stock is based on 54,920,594 shares of common stock and non-voting common stock outstanding as of February 1, 2024. Information with respect to shares of common stock owned beneficially after the offering assumes the sale of all of the shares of common stock held by the selling stockholders or that may be acquired upon exercise of other securities.</w:t>
      </w:r>
    </w:p>
    <w:p>
      <w:pPr>
        <w:spacing w:after="0" w:line="168"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stockholders have sole voting and investment power with respect to all shares of common stock that they beneficially own, subject to applicable community property laws. Except as otherwise described below, based on the information provided to us by the selling stockholders, no selling stockholder is a broker-dealer or an affiliate of a broker dealer.</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Holders of our common stock have no conversion rights. Holders of our non-voting common stock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amended and restated certificate of incorporation, or the Non-Voting Common Stock Beneficial Ownership Limitation. However, the Non-Voting Common Stock Beneficial Ownership Limitation may be increased (not to exceed 19.99%) or decreased to any other percentage designated by such holder of non-voting common stock upon 61 days’ notice to us. Holders of our pre-funded warrants have the right to exercise such pre-funded warrants for shares of our common stock, provided that as a result of such exercise, such holder, together with its affiliates and any members of a Schedule 13(d) group with such holder, would not beneficially own in excess of 4.99% of our common stock immediately following such exercise, or the Pre-Funded Warrant Beneficial Ownership Limitation, however, the Pre-Funded Warrant Beneficial Ownership Limitation may be increased (not to exceed 19.99%) or decreased to any other percentage designated by such holder upon 61 days’ notice to us.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stockholders and upon information known to us.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Please see the section titled “Plan of Distribution” for further information regarding the selling stockholders’ method of distributing these shares.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0" w:type="dxa"/>
            <w:vAlign w:val="bottom"/>
          </w:tcPr>
          <w:p>
            <w:pPr>
              <w:spacing w:after="0"/>
              <w:rPr>
                <w:sz w:val="1"/>
                <w:szCs w:val="1"/>
                <w:color w:val="auto"/>
              </w:rPr>
            </w:pPr>
          </w:p>
        </w:tc>
      </w:tr>
      <w:tr>
        <w:trPr>
          <w:trHeight w:val="160"/>
        </w:trPr>
        <w:tc>
          <w:tcPr>
            <w:tcW w:w="176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74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before the</w:t>
            </w:r>
          </w:p>
        </w:tc>
        <w:tc>
          <w:tcPr>
            <w:tcW w:w="15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360" w:type="dxa"/>
            <w:vAlign w:val="bottom"/>
            <w:gridSpan w:val="2"/>
          </w:tcPr>
          <w:p>
            <w:pPr>
              <w:jc w:val="center"/>
              <w:ind w:left="366"/>
              <w:spacing w:after="0" w:line="160" w:lineRule="exact"/>
              <w:rPr>
                <w:sz w:val="20"/>
                <w:szCs w:val="20"/>
                <w:color w:val="auto"/>
              </w:rPr>
            </w:pPr>
            <w:r>
              <w:rPr>
                <w:rFonts w:ascii="Times New Roman" w:cs="Times New Roman" w:eastAsia="Times New Roman" w:hAnsi="Times New Roman"/>
                <w:sz w:val="14"/>
                <w:szCs w:val="14"/>
                <w:b w:val="1"/>
                <w:bCs w:val="1"/>
                <w:color w:val="auto"/>
              </w:rPr>
              <w:t>after the</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7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5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of common stock</w:t>
            </w:r>
          </w:p>
        </w:tc>
        <w:tc>
          <w:tcPr>
            <w:tcW w:w="1360" w:type="dxa"/>
            <w:vAlign w:val="bottom"/>
            <w:gridSpan w:val="2"/>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76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2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60" w:type="dxa"/>
            <w:vAlign w:val="bottom"/>
          </w:tcPr>
          <w:p>
            <w:pPr>
              <w:spacing w:after="0"/>
              <w:rPr>
                <w:sz w:val="10"/>
                <w:szCs w:val="10"/>
                <w:color w:val="auto"/>
              </w:rPr>
            </w:pPr>
          </w:p>
        </w:tc>
        <w:tc>
          <w:tcPr>
            <w:tcW w:w="156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being offered by</w:t>
            </w:r>
          </w:p>
        </w:tc>
        <w:tc>
          <w:tcPr>
            <w:tcW w:w="136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stockholders</w:t>
            </w:r>
          </w:p>
        </w:tc>
        <w:tc>
          <w:tcPr>
            <w:tcW w:w="3940" w:type="dxa"/>
            <w:vAlign w:val="bottom"/>
            <w:vMerge w:val="restart"/>
          </w:tcPr>
          <w:p>
            <w:pPr>
              <w:spacing w:after="0"/>
              <w:rPr>
                <w:sz w:val="12"/>
                <w:szCs w:val="12"/>
                <w:color w:val="auto"/>
              </w:rPr>
            </w:pPr>
          </w:p>
        </w:tc>
        <w:tc>
          <w:tcPr>
            <w:tcW w:w="17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of common</w:t>
            </w:r>
          </w:p>
        </w:tc>
        <w:tc>
          <w:tcPr>
            <w:tcW w:w="15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selling</w:t>
            </w:r>
          </w:p>
        </w:tc>
        <w:tc>
          <w:tcPr>
            <w:tcW w:w="136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440" w:type="dxa"/>
            <w:vAlign w:val="bottom"/>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60" w:type="dxa"/>
            <w:vAlign w:val="bottom"/>
            <w:tcBorders>
              <w:bottom w:val="single" w:sz="8" w:color="auto"/>
            </w:tcBorders>
            <w:vMerge w:val="continue"/>
          </w:tcPr>
          <w:p>
            <w:pPr>
              <w:spacing w:after="0"/>
              <w:rPr>
                <w:sz w:val="13"/>
                <w:szCs w:val="13"/>
                <w:color w:val="auto"/>
              </w:rPr>
            </w:pPr>
          </w:p>
        </w:tc>
        <w:tc>
          <w:tcPr>
            <w:tcW w:w="3940" w:type="dxa"/>
            <w:vAlign w:val="bottom"/>
            <w:vMerge w:val="continue"/>
          </w:tcPr>
          <w:p>
            <w:pPr>
              <w:spacing w:after="0"/>
              <w:rPr>
                <w:sz w:val="13"/>
                <w:szCs w:val="13"/>
                <w:color w:val="auto"/>
              </w:rPr>
            </w:pPr>
          </w:p>
        </w:tc>
        <w:tc>
          <w:tcPr>
            <w:tcW w:w="174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stock</w:t>
            </w:r>
          </w:p>
        </w:tc>
        <w:tc>
          <w:tcPr>
            <w:tcW w:w="156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3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Baker Bros. Advisors LP and Affiliates(1)</w:t>
            </w:r>
          </w:p>
        </w:tc>
        <w:tc>
          <w:tcPr>
            <w:tcW w:w="12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00" w:type="dxa"/>
            <w:vAlign w:val="bottom"/>
            <w:gridSpan w:val="2"/>
            <w:vMerge w:val="continue"/>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10,222,968</w:t>
            </w:r>
          </w:p>
        </w:tc>
        <w:tc>
          <w:tcPr>
            <w:tcW w:w="460" w:type="dxa"/>
            <w:vAlign w:val="bottom"/>
            <w:vMerge w:val="continue"/>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7,936,759</w:t>
            </w:r>
          </w:p>
        </w:tc>
        <w:tc>
          <w:tcPr>
            <w:tcW w:w="46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10,222,968</w:t>
            </w:r>
          </w:p>
        </w:tc>
        <w:tc>
          <w:tcPr>
            <w:tcW w:w="46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18.61%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0" w:hanging="424"/>
        <w:spacing w:after="0" w:line="251"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“Beneficial ownership before the offering” and “Beneficial ownership after the offering” consist of (i) 870,873 shares of common stock held by 667, L.P., or 667, (ii) 9,247,763 shares of common stock held by Baker Brothers Life Sciences, L.P., or Baker Brothers Life Sciences, and, together with 667, the Baker Funds, (iii) 5,188 shares of common stock held by Baker Bros. Advisors LP, or BBA, (iv) 41,500 shares of common stock issuable upon exercise of stock options held by Dr. Kelvin M. Neu, or the Neu Stock Options, and (v) 57,644 shares of common stock issuable upon exercise of stock options held by Julian C. Baker, or the Baker Stock Options. In addition, 667 holds 630,658 shares of non-voting common stock and pre-funded warrants to purchase 1,563,672 shares of common stock and Baker Brothers Life Sciences holds 6,539,415 shares of non-voting common stock and pre-funded warrants to purchase 17,968,343 shares of common stock. The rights of the Baker Funds to convert the shares of non-voting common stock held by them into common stock are subject to the Non-Voting Common Stock Beneficial Ownership Limitation and the rights of the Baker Funds to exercise the pre-funded warrants held by them for common stock are subject to the Pre-Funded Warrant Beneficial Ownership Limitation, accordingly the shares reported under “Beneficial ownership before the offering” and “Beneficial ownership after the offering” do not include any shares of common stock that may be acquired upon conversion of such shares of non-voting common stock or upon exercise of such pre-funded warrants. The shares of common stock registered hereby underlie pre-funded warrants acquired in a December 2023 private placement, or the December 2023 Private Placement, and consist of: (i) 593,452 shares of common stock underlying unexercised pre-funded warrants held by 667 and (ii) 7,343,307 shares of common stock underlying unexercised pre-funded warrants held by Baker Brothers Life Sciences. These pre-funded warrants acquired in the December 2023 Private Placement are subject to the Pre-Funded Warrant Beneficial Ownership Limitation, however the number of shares reported under “Number of shares of common stock being offered by selling stockholders” does not give effect to the Pre-Funded Warrant Beneficial Ownership Limitation. BBA is the management company and investment advisor to Baker Brothers Life Sciences and 667 and has sole voting and investment power with respect to the securities directly held by Baker Brothers Life Sciences and 667 and sole voting and investment power over the Neu Stock Options and the Baker Stock Options and the shares of common stock issuable upon exercise thereof. Baker Bros. Advisors (GP) LLC, or the GP, is the sole general partner of BBA. Julian C. Baker and Felix J. Baker are managing members of the GP. Julian C. Baker, Felix J. Baker, the GP and BBA may be deemed to be beneficial owners of the securities directly held by Baker Brothers Life Sciences and 667 and Julian C. Baker, Felix J. Baker and the GP may be deemed to be beneficial owners of the securities directly held or beneficially owned by BBA. Julian C. Baker, Felix J. Baker, the GP and BBA disclaim beneficial ownership of all securities held by Baker Brothers Life Sciences, 667, BBA, Dr. Kelvin M. Neu and Julian C. Baker except to the extent of their direct or indirect pecuniary interest therein. Julian C. Baker is also a member of the Company’s board of directors. The address for each of Julian C. Baker, Felix J. Baker, the GP, BBA and the Baker Funds is c/o Baker Bros. Advisors LP, 860 Washington Street, 3rd Floor, New York, NY 10014.</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Relationships with Selling Stockholders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Below is a description of the material relationships in the past three years between the Company or any of its predecessors or affiliates and the selling stockholders.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Board Membership</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Julian Baker, a member of our board of directors, is affiliated with Baker Bros. Advisors LP and its affiliates.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May 2023 Underwritten Public Offering</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May 2023, the Company sold in an underwritten public offering 6,761,200 shares of its common stock and non-voting common stock, comprised of (i) 5,312,978 shares of its common stock and (ii) 1,448,222 shares of its non-voting common stock, at a price of $5.75 per share, and to certain investors in lieu of common stock, the Company sold pre-funded warrants to purchase 12,895,256 shares of common stock at a price of $5.7499 per pre-funded warrant. The Baker Funds purchased 1,448,222 shares of the Company’s non-voting common stock and pre-funded warrants to purchase 11,595,256 shares of common stock in the offering.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December 2023 Private Placement</w:t>
      </w:r>
    </w:p>
    <w:p>
      <w:pPr>
        <w:spacing w:after="0" w:line="119"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December 2023, the Company entered into a securities purchase agreement with the Baker Funds, pursuant to which the Company sold in a private placement pre-funded warrants to purchase up to 7,936,759 shares of the Company’s common stock at a price of $3.1499 per warrant with an exercise price of $0.0001 per share.</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u w:val="single" w:color="auto"/>
          <w:color w:val="auto"/>
        </w:rPr>
        <w:t>Registration Rights Agreement</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December 2023 Private Placement, the Company and the Baker Funds entered into an Amended and Restated Registration Rights Agreement, dated as of December 11, 2023, or the Baker Registration Rights Agreement, providing for the registration for resale of the shares of common stock underlying the pre-funded warrants sold in the December 2023 Private Placement.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80" w:firstLine="440"/>
        <w:spacing w:after="0" w:line="257" w:lineRule="auto"/>
        <w:rPr>
          <w:sz w:val="20"/>
          <w:szCs w:val="20"/>
          <w:color w:val="auto"/>
        </w:rPr>
      </w:pPr>
      <w:r>
        <w:rPr>
          <w:rFonts w:ascii="Times New Roman" w:cs="Times New Roman" w:eastAsia="Times New Roman" w:hAnsi="Times New Roman"/>
          <w:sz w:val="18"/>
          <w:szCs w:val="18"/>
          <w:color w:val="auto"/>
        </w:rPr>
        <w:t>The selling stockholders may, from time to time, offer and sell up to 7,936,759 shares in the aggregate of our common stock, which we refer to as the Selling Stockholders Shares, under this prospectus. The selling stockholders may, from time to time, sell, transfer or otherwise dispose of any or all of the Selling Stockholders Shares on any stock exchange, market or trading facility on which our common stock is traded or in private transactions.</w:t>
      </w:r>
    </w:p>
    <w:p>
      <w:pPr>
        <w:spacing w:after="0" w:line="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These dispositions may be at fixed prices, at prevailing market prices at the time of sale, at prices related to the prevailing market price, at varying prices determined at the time of sale, or at negotiated prices. To the extent any of the selling stockholders gift, pledge, grant a security interest in, distribute or otherwise transfer their Selling Stockholder Shares, such donees, pledgees, transferees or other successors-in-interest may offer and sell the shares from time to time under this prospectus, provided that this prospectus has been amended under applicable provisions of the Securities Act to include the names of such donees, pledgees, transferees or other successors-in-interest as selling stockholders under this prospectus and such other information as may be necessary or required.</w:t>
      </w:r>
    </w:p>
    <w:p>
      <w:pPr>
        <w:spacing w:after="0" w:line="19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will act independently of us in making decisions with respect to the timing, manner and size of each sale. They may use any one or more of the following methods when disposing of the Selling Stockholder Shares:</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broker-dealer solicits purchasers;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a broker-dealer will attempt to sell the shares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or through market makers or into an existing market for the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entered into after the effective date of the registration statement of which this prospectus is a part;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 after the effective date of the registration statement of which this prospectus is a part;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distribution of the shares by any selling stockholders to its partners, members or shareholders;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broker-dealers that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Selling Stockholder Shares, the selling stockholders may enter into hedging transactions with broker-dealers or other financial institutions, which may in turn engage in short sales of the shares in the course of hedging the positions they assume. The selling stockholders may also sell the Selling Stockholder Shares short and deliver these shares to close out their short positions, or loan or pledge the Selling Stockholder Shares to broker dealers that in turn may sell these shares. The selling stockholders may also enter into options or other transactions with broker-dealers or other financial institutions or the creation of one or more derivative securities which require the delivery to such broker-dealer or other financial institution of the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Selling Stockholder Shares, which, subject to the amendment or supplement of this prospectus or the registration statement of which this prospectus forms a part to reflect such transaction and any other information necessary or required, such broker-dealer or other financial institution may resell pursuant to this registration statement.</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stockholders from the sale of the Selling Stockholder Shares will be the purchase price less discounts or commissions, if any. Each of the selling stockholders reserves the right to accept and, together with their agents from time to time, to reject, in whole or in part, any proposed purchase of its Selling Stockholder Shares to be made directly or through agents. We will not receive any of the proceeds from the sale of the Selling Stockholder Shares.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stockholders also may resell all or a portion of the Selling Stockholder Shares in open market transactions in reliance upon Rule 144 under the Securities Act, provided that they meet the criteria and conform to the requirements of that rule.</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selling stockholders and any broker-dealers that act in connection with the sale of the Selling Stockholder Shares may be deemed to be “underwriters” within the meaning of Section 2(11) of the Securities Act in connection with such sales, and any commissions received by such broker-dealers and any profit on the resale of the securities sold by them while acting as principals may be deemed to be underwriting discounts or commissions under the Securities Act. In the event that any selling stockholder is deemed to be an “underwriter” within the meaning of Section 2(11) of the Securities Act, the selling stockholder will be subject to the prospectus delivery requirements of the Securities Act. The selling stockholders may indemnify any broker-dealer that participates in transactions involving the sale of the Selling Stockholder Shares against certain liabilities, including liabilities arising under the Securities Act. To the extent required, the Selling Stockholder Shares to be sold, the names of the selling stockholders, the offering price, the names of any agents, dealers or underwriters, any commissions or discounts with respect to a particular offering, the method of distribution, and any other terms and conditions of the offering of such shares will be set forth in an accompanying prospectus supplement or, if appropriate, an amendment to the registration statement of which this prospectus forms a part.</w:t>
      </w:r>
    </w:p>
    <w:p>
      <w:pPr>
        <w:spacing w:after="0" w:line="194"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To comply with the securities laws of some states, if applicable, the Selling Stockholder Shares may be sold in these jurisdictions only through registered or licensed brokers or dealers. In addition, in some states the Selling Stockholder Shares may not be sold unless they have been registered or qualified for sale or an exemption from registration or qualification requirements is available and is complied with.</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anti-manipulation rules of Regulation M under the Exchange Act may apply to sales of the Selling Stockholder Shares in the market and to the activities of the selling stockholders and their affiliates. These rules may limit the timing of purchases and sales of the Selling Stockholder Shares by such selling stockholders. Regulation M may also restrict the ability of any person engaged in the distribution of the Selling Stockholder Shares to engage in market-making activities with respect to the shares. All of the foregoing may affect the marketability of the Selling Stockholder Shares and the ability of any person or entity to engage in market-making activities with respect to the Selling Stockholder Shares.</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Baker Registration Rights Agreement, we have agreed to bear all expenses in connection with the registration of the Selling Stockholder Shares. The selling stockholders have agreed to bear all underwriting discounts, selling commissions, and share transfer taxes applicable to the sale of the Selling Stockholder Shares, and fees and disbursements of counsel for the selling stockholders, other than the fees and disbursements of one counsel for the selling stockholders, which we have agreed to pay in an amount not to exceed $50,000. We have also agreed to indemnify the selling stockholders against certain liabilities, including liabilities for violations of the Securities Act, Exchange Act and state securities laws and liabilities relating to this prospectus and the registration statement of which it forms a part, including amendments and supplements.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can be no assurance that any selling stockholder will sell any or all of the Selling Stockholder Shares.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description summarizes the most important terms of our capital stock, our amended and restated certificate of incorporation and our amended and restated bylaws. Because it is only a summary, it does not contain all the information that may be important to you. For a complete description, you should refer to our amended and restated certificate of incorporation and amended and restated bylaws, which are included as exhibits to the registration statement of which this prospectus forms a part, and to the applicable provisions of Delaware law.</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487,149,741 shares of common stock, $0.0001 par value per share, 12,850,259 shares of non-voting common stock, $0.0001 par value per share, and 10,000,000 shares of undesignated preferred stock, $0.0001 par value per share. Our board of directors is authorized, without stockholder approval, to issue additional shares of our capital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 and Non-Voting Common Stock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Holders of our common stock have no conversion rights, while holders of our non-voting common stock have the right to convert each share of our non-voting common stock into one share of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amended and restated certificate of incorporation. However, this ownership limitation may be increased (not to exceed 19.99%) or decreased to any other percentage designated by such holder of non-voting common stock upon 61 days’ notice to 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our common stock and our non-voting common stock are entitled to receive dividends out of funds legally available if our board of directors, in its discretion, determines to issue dividends and then only at the times and in the amounts that our board of directors may determine.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non-voting common stock are not entitled to any votes per share of non-voting common stock, including for the election of directors. We have not provided for cumulative voting for the election of directors in our amended and restated certificate of incorporation, which means that holders of a majority of the shares of our common stock are able to elect all of our directors. Our amended and restated certificate of incorporation established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Neither our common stock nor our non-voting common stock is entitled to preemptive rights, and neither is subject to conversion, redemption or sinking fund provisions.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our common stock and our non-voting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had no shares of preferred stock outstanding as of December 31, 2023.</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is also able to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the Company and might adversely affect the market price of our common stock and the voting and other rights of the holders of our common stock. We have no current plan to issue any shares of preferred stock.</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we had outstanding options to purchase an aggregate 11,990,772 shares of our common stock, with a weighted average exercise price of $10.63.</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May 2023 Pre-Funded Warrants</w:t>
      </w:r>
    </w:p>
    <w:p>
      <w:pPr>
        <w:spacing w:after="0" w:line="121"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On May 18, 2023, we entered into an underwriting agreement with Morgan Stanley &amp; Co. LLC as representative of the underwriters named therein pursuant to which we issued and sold in a public offering, among other securities, pre-funded warrants to purchase 12,895,256 shares of our common stock at a price of $5.7499 per pre-funded warrant with an exercise price of $0.0001 per share.</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pre-funded warrant is immediately exercisable and will not expire. Under the terms of the pre-funded warrants, we may not effect the exercise of any such pre-funded warrant, and a holder will not be entitled to exercise any portion of any pre-funded warrant,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for purposes of Section 13(d) or Section 16 of the Exchange Act would exceed 4.99% of the number of shares of common stock outstanding immediately after giving effect to the exercise (the “Maximum Percentage”), as such percentage ownership is calculated in accordance with Section 13(d) of the Exchange Act and the applicable regulations of the Securities and Exchange Commission (the “SEC”). A holder may reset the Maximum Percentage to a higher percentage (not to exceed 19.99%), effective 61 days after written notice to us, or a lower percentage, effective immediately upon written notice to us. Any such increase or decrease will apply only to that holder and not to any other holder of the pre-funded warrant.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December 2023 Pre-Funded Warrants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December 11, 2023, we entered into a securities purchase agreement with certain institutional accredited investors, pursuant to which we agreed to issue and sell to in a private placement pre-funded warrants to purchase up to 7,936,759 shares of the our common stock at a price of $3.1499 per pre-funded warrant with an exercise price of $0.0001 per share.</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pre-funded warrant is immediately exercisable and will not expire. Under the terms of the pre-funded warrants, we may not effect the exercise of any such pre-funded warrant, and a holder will not be entitled to exercise any portion of any pre-funded warrant, if, upon giving effect to such exercise, the aggregate number of shares of common stock beneficially owned by the holder (together with its affiliates), other persons acting or who could be deemed to be acting as a group together with the holder or any of the holder’s affiliates, and any other persons whose beneficial ownership of common stock would or could be aggregated with the holder’s or any of the holder’s affiliates for purposes of Section 13(d) or Section 16 of the Exchange Act would exceed the Maximum Percentage, as such percentage ownership is calculated in accordance with Section 13(d) of the Exchange Act and the applicable regulations of the SEC. A holder may reset the Maximum Percentage to a higher percentage (not to exceed 19.99%), effective 61 days after written notice to us, or a lower percentage, effective immediately upon written notice to us. Any such increase or decrease will apply only to that holder and not to any other holder of the pre-funded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2023, certain holders of shares of our common stock, non-voting common stock and pre-funded warrants are entitled to rights with respect to the registration of our common stock under the Securities Act as described below. We refer to these shares collectively as registrable securities. These rights are provided under the terms of the investors rights agreement between us and the holders of these shares, or the IRA, which was entered into in connection with our redeemable convertible preferred stock financings prior to our IPO and under the terms of our registration rights agreements, or the Post-IPO RRAs, between us and with certain of our stockholders, or the RRA Investors.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Since March 23, 2021, if the holders of not less than 50% of the then-outstanding registrable securities may request the registration under the Securities Act of any registrable securities, if the anticipated aggregate offering price, net of selling expenses, would exceed $10.0 million, we are obligated to provide notice of such request to all holders of registration rights and, as soon as practicable and in any event within 60 days,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period of not more than 90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holders of at least 25% of the then-outstanding registrable securities can request that we register all or part of their shares on Form S-3 if we are eligible to file a registration statement on Form S-3 and if the aggregate price to the public of the shares offered, net of selling expenses, is at least $5.0 million. The stockholders may only require us to effect two registration statements on Form S-3 in a 12-month period. We may postpone taking action with respect to such filing not more than once during any 12-month period for a period of not more than 90 days, if after receiving a request for registration, we furnish to the holders requesting such registration a</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certificate signed by our Chief Executive Officer stating that, in the good faith judgment of our board of directors, it would be materially detrimental to us and our stockholders; provided that we may not register any securities for our own account or that of any other stockholder during such 90-day period other than under certain circumstances.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If we register any of our securities for public sale in cash, holders of then-outstanding registrable securities or their permitted transferees will have the right to include their registrable securities in the registration statement. However, this right does not apply to a registration relating to any of our employee benefit plans, a corporate reorganization or transaction under Rule 145 of the Securities Act, a registration that requires information that is not substantially the same as the information required to be included in a registration statement covering the sale of the registrable securities, or a registration in which the only common stock being registered is common stock issuable upon conversion of debt securities that are also being registered or issuable upon the exercise of warrants. In an underwritten offering, if the total number of securities requested by stockholders to be included in the offering exceeds the number of securities to be sold (other than by us) that the underwriters determine in their reasonable discretion is compatible with the success of the offering, then we will be required to include only that number of securities that the underwriters and us, in our sole discretion, determine will not jeopardize the success of the offering. If the underwriters determine that less than all the registrable securities requested to be registered can be included in the offering, the number of registrable shares to be registered will be allocated (i) first, among holders of our preferred stock, in proportion to the amount of common stock issued or issuable upon conversion of the preferred stock owned by each such holder to be included in such offering, and (ii) second, among all other holders of our registrable securities, in proportion to the amount of other registrable securities owned by each such holder. However, (i) the number of shares issued or issuable upon conversion of the preferred stock, to be registered by the holders of our preferred stock, cannot be reduced unless all other securities (other than as offered by us) are first excluded entirely, and (ii) the number of shares to be registered by holders of all other registrable securities cannot be reduced unless all other securities (other than as offered by us and the shares of common stock issued or issuable on conversion of our preferred stock) are first entirely excluded. The number of registrable securities included in the offering may not be reduced below 25% of the total number of securities included in such offering, except for in connection with an initial public offering, in which case the underwriters may exclude these holders entirely.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 Rights</w:t>
      </w:r>
    </w:p>
    <w:p>
      <w:pPr>
        <w:spacing w:after="0" w:line="121" w:lineRule="exact"/>
        <w:rPr>
          <w:sz w:val="20"/>
          <w:szCs w:val="20"/>
          <w:color w:val="auto"/>
        </w:rPr>
      </w:pPr>
    </w:p>
    <w:p>
      <w:pPr>
        <w:jc w:val="both"/>
        <w:ind w:left="120" w:right="860" w:firstLine="440"/>
        <w:spacing w:after="0" w:line="312" w:lineRule="auto"/>
        <w:rPr>
          <w:sz w:val="20"/>
          <w:szCs w:val="20"/>
          <w:color w:val="auto"/>
        </w:rPr>
      </w:pPr>
      <w:r>
        <w:rPr>
          <w:rFonts w:ascii="Times New Roman" w:cs="Times New Roman" w:eastAsia="Times New Roman" w:hAnsi="Times New Roman"/>
          <w:sz w:val="17"/>
          <w:szCs w:val="17"/>
          <w:color w:val="auto"/>
        </w:rPr>
        <w:t>We generally will pay all expenses, other than underwriting discounts and selling commissions incurred in connection with each of the registrations described above, including the reasonable fees and disbursements, not to exceed $15,000, of one counsel for the selling holders.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Expiration of Registration Rights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registration rights described above will expire, with respect to any particular holder of these rights, on the earliest to occur of (a) at such time that all of the holder’s registrable securities can be sold without limitation in any three-month period without registration in compliance with Rule 144 or a similar exemption under the Securities Act and (b) at such time that our common stock is trading on a national securities exchange and all of the holder’s registrable securities can be sold during a three-month period without registration.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Agreements</w:t>
      </w:r>
    </w:p>
    <w:p>
      <w:pPr>
        <w:spacing w:after="0" w:line="121" w:lineRule="exact"/>
        <w:rPr>
          <w:sz w:val="20"/>
          <w:szCs w:val="20"/>
          <w:color w:val="auto"/>
        </w:rPr>
      </w:pPr>
    </w:p>
    <w:p>
      <w:pPr>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Pursuant to the Post-IPO RRAs between us and each of Baker Brothers and its affiliates, OrbiMed and its affiliates and Krishna Vaddi and his affiliated entities, the RRA Investors are entitled to rights with respect to the registration of their shares under the Securities Act that supplement such rights as described above held by the RRA Investors under the IRA. These registration rights include the right to demand that we file with the SEC a</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Form S-3 registration statement (except if we are not then eligible to register for resale the registrable securities on Form S-3, in which case, such registration shall be on another appropriate form in accordance with the Securities Act) covering the registration of their registrable securities for resale, subject to certain conditions, as well as rights to be permitted an aggregate of five underwritten public offerings between the RRA Investors during the term of the Post-IPO RRA, subject to a limitation of an aggregate of two underwritten public offerings per calendar year, to effect the sale of their common stock for sale. The RRA Investors also have piggy-back rights to participate in registrations demanded by any of the other RRA Investors. The Post-IPO RRAs require us to pay expenses relating to such registrations and indemnify these holders against certain liabilities. Our registration obligations under this registration rights agreement would continue in effect until the earliest of (i) December 20, 2030, (ii) when the applicable registrable securities have been resold by the holders pursuant to an effective registration statement, (iii) when the applicable registrable securities have been resold pursuant to Rule 144 or (iv) when the applicable registrable securities may be resold pursuant to Rule 144 without limitations as to volume or manner of sale.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2023 Amended and Restated Registration Rights Agreement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our issuance of the December 2023 Pre-Funded Warrants, we amended and restated our registration rights agreement with Baker Brothers and its affiliates, pursuant to which we granted Baker Brothers and its affiliates certain demand, piggyback and resale shelf registration rights with respect to the shares of our common stock underlying the pre-funded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provisions of Delaware General Corporation Law, or DGCL, our amended and restated certificate of incorporation and our amended and restated bylaws could have the effect of delaying, deferring or discouraging another person from acquiring control of the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81" w:lineRule="exact"/>
        <w:rPr>
          <w:sz w:val="20"/>
          <w:szCs w:val="20"/>
          <w:color w:val="auto"/>
        </w:rPr>
      </w:pPr>
    </w:p>
    <w:p>
      <w:pPr>
        <w:ind w:left="1080" w:right="3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80" w:hanging="424"/>
        <w:spacing w:after="0" w:line="25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Effects of Certain Provisions of Our Amended and Restated Certificate of Incorporation and Amended and Restated Bylaws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include a number of provisions that could deter hostile takeovers or delay or prevent changes in control of the Company, including the following:</w:t>
      </w:r>
    </w:p>
    <w:p>
      <w:pPr>
        <w:spacing w:after="0" w:line="187" w:lineRule="exact"/>
        <w:rPr>
          <w:sz w:val="20"/>
          <w:szCs w:val="20"/>
          <w:color w:val="auto"/>
        </w:rPr>
      </w:pPr>
    </w:p>
    <w:p>
      <w:pPr>
        <w:ind w:left="1080" w:right="40" w:hanging="424"/>
        <w:spacing w:after="0" w:line="257"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of Directors Vacancies</w:t>
      </w:r>
      <w:r>
        <w:rPr>
          <w:rFonts w:ascii="Times New Roman" w:cs="Times New Roman" w:eastAsia="Times New Roman" w:hAnsi="Times New Roman"/>
          <w:sz w:val="18"/>
          <w:szCs w:val="18"/>
          <w:color w:val="auto"/>
        </w:rPr>
        <w:t>. Our amended and restated certificate of incorporation and amended and restated bylaws authorizes only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to fill 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8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Classified Board</w:t>
      </w:r>
      <w:r>
        <w:rPr>
          <w:rFonts w:ascii="Times New Roman" w:cs="Times New Roman" w:eastAsia="Times New Roman" w:hAnsi="Times New Roman"/>
          <w:sz w:val="18"/>
          <w:szCs w:val="18"/>
          <w:color w:val="auto"/>
        </w:rPr>
        <w:t>. Our amended and restated certificate of incorporation and amended and restated bylaws provide that our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is classified into three 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85" w:lineRule="exact"/>
        <w:rPr>
          <w:rFonts w:ascii="Times New Roman" w:cs="Times New Roman" w:eastAsia="Times New Roman" w:hAnsi="Times New Roman"/>
          <w:sz w:val="18"/>
          <w:szCs w:val="18"/>
          <w:color w:val="auto"/>
        </w:rPr>
      </w:pPr>
    </w:p>
    <w:p>
      <w:pPr>
        <w:ind w:left="1080" w:right="40" w:hanging="424"/>
        <w:spacing w:after="0" w:line="255"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Action; Special Meetings of Stockholders</w:t>
      </w:r>
      <w:r>
        <w:rPr>
          <w:rFonts w:ascii="Times New Roman" w:cs="Times New Roman" w:eastAsia="Times New Roman" w:hAnsi="Times New Roman"/>
          <w:sz w:val="18"/>
          <w:szCs w:val="18"/>
          <w:color w:val="auto"/>
        </w:rPr>
        <w:t>. Our amended and restated certificate of incorporation provide that our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not take action by written consent, but may only take action at annual or special meetings of our stockholders. As a result, a holder controlling a majority of our capital stock would not be able to amend our amended and restated bylaws or remove directors without holding a meeting of our stockholders called in accordance with our amended and restated bylaws. Further, our amended and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90" w:lineRule="exact"/>
        <w:rPr>
          <w:rFonts w:ascii="Times New Roman" w:cs="Times New Roman" w:eastAsia="Times New Roman" w:hAnsi="Times New Roman"/>
          <w:sz w:val="18"/>
          <w:szCs w:val="18"/>
          <w:color w:val="auto"/>
        </w:rPr>
      </w:pPr>
    </w:p>
    <w:p>
      <w:pPr>
        <w:ind w:left="1080" w:right="80" w:hanging="424"/>
        <w:spacing w:after="0" w:line="25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r>
        <w:rPr>
          <w:rFonts w:ascii="Times New Roman" w:cs="Times New Roman" w:eastAsia="Times New Roman" w:hAnsi="Times New Roman"/>
          <w:sz w:val="18"/>
          <w:szCs w:val="18"/>
          <w:color w:val="auto"/>
        </w:rPr>
        <w:t>. Our amended and restated bylaws provide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procedures for stockholders seeking to bring business before our annual meeting of stockholders or to nominate candidates for election as directors at our annual meeting of stockholders. Our amended and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the Company.</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7"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Cumulative Voting</w:t>
      </w:r>
      <w:r>
        <w:rPr>
          <w:rFonts w:ascii="Times New Roman" w:cs="Times New Roman" w:eastAsia="Times New Roman" w:hAnsi="Times New Roman"/>
          <w:sz w:val="18"/>
          <w:szCs w:val="18"/>
          <w:color w:val="auto"/>
        </w:rPr>
        <w:t>. The DGCL provides that stockholders are not entitled to the right to cumulate votes in the election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unless a corporation’s certificate of incorporation provides otherwise. Our amended and restated certificate of incorporation and amended and restated bylaws do not provide for cumulative voting.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080" w:hanging="424"/>
        <w:spacing w:after="0" w:line="284"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Directors Removed Only for Cause</w:t>
      </w:r>
      <w:r>
        <w:rPr>
          <w:rFonts w:ascii="Times New Roman" w:cs="Times New Roman" w:eastAsia="Times New Roman" w:hAnsi="Times New Roman"/>
          <w:sz w:val="18"/>
          <w:szCs w:val="18"/>
          <w:color w:val="auto"/>
        </w:rPr>
        <w:t>. Our amended and restated certificate of incorporation provides that stockholders may remove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only for cause and only by the affirmative vote of the holders of at least two-thirds of our outstanding common stock.</w:t>
      </w:r>
    </w:p>
    <w:p>
      <w:pPr>
        <w:spacing w:after="0" w:line="63" w:lineRule="exact"/>
        <w:rPr>
          <w:rFonts w:ascii="Times New Roman" w:cs="Times New Roman" w:eastAsia="Times New Roman" w:hAnsi="Times New Roman"/>
          <w:sz w:val="18"/>
          <w:szCs w:val="18"/>
          <w:color w:val="auto"/>
        </w:rPr>
      </w:pPr>
    </w:p>
    <w:p>
      <w:pPr>
        <w:ind w:left="1080" w:right="20" w:hanging="424"/>
        <w:spacing w:after="0" w:line="284"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 of Charter Provisions</w:t>
      </w:r>
      <w:r>
        <w:rPr>
          <w:rFonts w:ascii="Times New Roman" w:cs="Times New Roman" w:eastAsia="Times New Roman" w:hAnsi="Times New Roman"/>
          <w:sz w:val="18"/>
          <w:szCs w:val="18"/>
          <w:color w:val="auto"/>
        </w:rPr>
        <w:t>. Any amendment of the above provisions in our amended and restated certificate of incorporation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approval by holders of at least two-thirds of our outstanding common stock.</w:t>
      </w:r>
    </w:p>
    <w:p>
      <w:pPr>
        <w:spacing w:after="0" w:line="63"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Issuance of Undesignated Preferred Stock</w:t>
      </w:r>
      <w:r>
        <w:rPr>
          <w:rFonts w:ascii="Times New Roman" w:cs="Times New Roman" w:eastAsia="Times New Roman" w:hAnsi="Times New Roman"/>
          <w:sz w:val="18"/>
          <w:szCs w:val="18"/>
          <w:color w:val="auto"/>
        </w:rPr>
        <w:t>. Our board of directors has the authority, without further action by the stockholders, to issue 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Choice of Forum</w:t>
      </w:r>
      <w:r>
        <w:rPr>
          <w:rFonts w:ascii="Times New Roman" w:cs="Times New Roman" w:eastAsia="Times New Roman" w:hAnsi="Times New Roman"/>
          <w:sz w:val="18"/>
          <w:szCs w:val="18"/>
          <w:color w:val="auto"/>
        </w:rPr>
        <w:t>. Our amended and restated certificate of incorporation provides that, to the fullest extent permitted by law, the Court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Chancery of the State of Delaware will be the exclusive forum for any derivative action or proceeding brought on our behalf; any action asserting a breach of fiduciary duty; any action asserting a claim against us arising pursuant to the DGCL, our amended and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amended and restated bylaws also provide that the federal district courts of the United States of America will,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and non-voting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Nasdaq Global Select Market Listing</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“PRLD.” The non-voting common stock is not listed for trading on any securities exchange and we do not plan to list the non-voting common stock on any securities exchange.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Fenwick &amp; West LLP, Seattle, Washington, will issue an opinion about certain legal matters with respect to the securities. Any underwriters, selling stockholders or agents will be advised about legal matters relating to any offering by their own counsel.</w:t>
      </w:r>
    </w:p>
    <w:p>
      <w:pPr>
        <w:spacing w:after="0" w:line="9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660"/>
          </w:cols>
          <w:pgMar w:left="320" w:top="455" w:right="9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included in our Annual Report on Form 10-K for the year ended December 31, 2023,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200" w:lineRule="exact"/>
        <w:rPr>
          <w:sz w:val="20"/>
          <w:szCs w:val="20"/>
          <w:color w:val="auto"/>
        </w:rPr>
      </w:pPr>
    </w:p>
    <w:p>
      <w:pPr>
        <w:spacing w:after="0" w:line="27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320" w:top="455" w:right="6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1106805</wp:posOffset>
            </wp:positionV>
            <wp:extent cx="1894205" cy="651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894205" cy="65151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5"/>
          <w:szCs w:val="25"/>
          <w:b w:val="1"/>
          <w:bCs w:val="1"/>
          <w:color w:val="auto"/>
        </w:rPr>
        <w:t>7,936,759 Shares of Common Stock 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1421765</wp:posOffset>
            </wp:positionV>
            <wp:extent cx="1474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2591435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2694305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Other Expenses of Issuance and Distribution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estimated expenses in connection with the issuance and distribution of the shares of common stock being registered hereby.</w:t>
      </w:r>
    </w:p>
    <w:p>
      <w:pPr>
        <w:sectPr>
          <w:pgSz w:w="11900" w:h="16838" w:orient="portrait"/>
          <w:cols w:equalWidth="0" w:num="1">
            <w:col w:w="11100"/>
          </w:cols>
          <w:pgMar w:left="320" w:top="455" w:right="479" w:bottom="1440" w:gutter="0" w:footer="0" w:header="0"/>
        </w:sectPr>
      </w:pPr>
    </w:p>
    <w:p>
      <w:pPr>
        <w:spacing w:after="0" w:line="3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Printing and engraving*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699516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Miscellaneous expenses*</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b w:val="1"/>
          <w:bCs w:val="1"/>
          <w:u w:val="single" w:color="auto"/>
          <w:color w:val="auto"/>
        </w:rPr>
        <w:t>Amount to be Paid</w:t>
      </w:r>
    </w:p>
    <w:p>
      <w:pPr>
        <w:spacing w:after="0" w:line="27" w:lineRule="exact"/>
        <w:rPr>
          <w:sz w:val="20"/>
          <w:szCs w:val="20"/>
          <w:color w:val="auto"/>
        </w:rPr>
      </w:pPr>
    </w:p>
    <w:p>
      <w:pPr>
        <w:ind w:left="523" w:hanging="523"/>
        <w:spacing w:after="0"/>
        <w:tabs>
          <w:tab w:leader="none" w:pos="52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3,315.25</w:t>
      </w:r>
    </w:p>
    <w:p>
      <w:pPr>
        <w:spacing w:after="0" w:line="7" w:lineRule="exact"/>
        <w:rPr>
          <w:rFonts w:ascii="Times New Roman" w:cs="Times New Roman" w:eastAsia="Times New Roman" w:hAnsi="Times New Roman"/>
          <w:sz w:val="18"/>
          <w:szCs w:val="18"/>
          <w:color w:val="auto"/>
        </w:rPr>
      </w:pPr>
    </w:p>
    <w:p>
      <w:pPr>
        <w:ind w:left="10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06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ind w:left="1063" w:hanging="1063"/>
        <w:spacing w:after="0"/>
        <w:tabs>
          <w:tab w:leader="none" w:pos="106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372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7372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97" w:space="720"/>
            <w:col w:w="1183"/>
          </w:cols>
          <w:pgMar w:left="320" w:top="455" w:right="479" w:bottom="1440" w:gutter="0" w:footer="0" w:header="0"/>
          <w:type w:val="continuous"/>
        </w:sectPr>
      </w:pPr>
    </w:p>
    <w:p>
      <w:pPr>
        <w:spacing w:after="0" w:line="66" w:lineRule="exact"/>
        <w:rPr>
          <w:sz w:val="20"/>
          <w:szCs w:val="20"/>
          <w:color w:val="auto"/>
        </w:rPr>
      </w:pPr>
    </w:p>
    <w:p>
      <w:pPr>
        <w:ind w:left="340" w:hanging="224"/>
        <w:spacing w:after="0" w:line="261"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SEC registration fee, estimated expenses are not presently known. The foregoing sets forth the general categories of expenses that we anticipate we will incur in connection with the offering of shares of common stock under this registration statement on Form S-3. To the extent required, any applicable prospectus supplement will set forth the estimated aggregate amount of expenses payable in respect of any offering of shares of common stock under the registration statement.</w:t>
      </w:r>
    </w:p>
    <w:p>
      <w:pPr>
        <w:spacing w:after="0" w:line="85" w:lineRule="exact"/>
        <w:rPr>
          <w:sz w:val="20"/>
          <w:szCs w:val="20"/>
          <w:color w:val="auto"/>
        </w:rPr>
      </w:pPr>
    </w:p>
    <w:p>
      <w:pPr>
        <w:ind w:left="340" w:right="140" w:hanging="224"/>
        <w:spacing w:after="0" w:line="266"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concessions, commissions and similar selling expenses attributable to the sale of shares of our common stock covered by this prospectus will be borne by the selling stockholders. We will pay all expenses (other than discounts, concessions, commissions and similar selling expenses) relating to the registration of the shares with the SEC, as estimated in the table above.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Indemnification of Directors and Officers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As permitted by the Delaware General Corporation Law, the registrant’s amended and restated certificate of incorporation contains a provision that eliminates, to the fullest extent permitted by law, the personal liability of a directors and officers for monetary damages resulting from breach of his or her fiduciary duties as a director or officer, except for liability:</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or officer’s duty of loyalty to the registrant or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(regarding unlawful dividends, stock purchases or redemptions);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00"/>
          </w:cols>
          <w:pgMar w:left="320" w:top="455" w:right="47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permitted by the Delaware General Corporation Law, the registrant’s amended and restated bylaws provide that:</w:t>
      </w:r>
    </w:p>
    <w:p>
      <w:pPr>
        <w:spacing w:after="0" w:line="131" w:lineRule="exact"/>
        <w:rPr>
          <w:sz w:val="20"/>
          <w:szCs w:val="20"/>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indemnify its directors and officers to the fullest extent permitted by the Delaware General Corporation Law, subject to certain very limited exceptions;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may indemnify its other employees and agents as set forth in the Delaware General Corporation Law;</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 is required to advance expenses, as incurred, to its directors and officers in connection with a legal proceeding to the fullest extent permitted by the Delaware General Corporation Law, subject to certain very limited exceptions;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the amended and restated bylaws are not exclusive.</w:t>
      </w:r>
    </w:p>
    <w:p>
      <w:pPr>
        <w:spacing w:after="0" w:line="22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registrant has entered, and intends to continue to enter, into indemnification agreements with each of its directors and executive officers to provide these directors and executive officers additional contractual assurances regarding the scope of the indemnification set forth in the registrant’s amended and restated certificate of incorporation and amended and restated bylaws and to provide additional procedural protections. At present, there is no pending litigation or proceeding involving a director or executive officer of the registrant for which indemnification is sought. The indemnification provisions in the registrant’s amended and restated certificate of incorporation, amended and restated bylaws and the indemnification agreements entered into or to be entered into between the registrant and each of its directors and executive officers may be sufficiently broad to permit indemnification of the registrant’s directors and executive officers for liabilities arising under the Securities Act.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registrant currently carries liability insurance for its directors and officers.</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Exhibits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exhibits listed below are filed (except where otherwise indicated) as part of this registration statement.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2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580" w:type="dxa"/>
            <w:vAlign w:val="bottom"/>
            <w:gridSpan w:val="11"/>
            <w:vMerge w:val="restart"/>
          </w:tcPr>
          <w:p>
            <w:pPr>
              <w:ind w:left="96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7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8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6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0" w:type="dxa"/>
            <w:vAlign w:val="bottom"/>
          </w:tcPr>
          <w:p>
            <w:pPr>
              <w:spacing w:after="0"/>
              <w:rPr>
                <w:sz w:val="1"/>
                <w:szCs w:val="1"/>
                <w:color w:val="auto"/>
              </w:rPr>
            </w:pPr>
          </w:p>
        </w:tc>
      </w:tr>
      <w:tr>
        <w:trPr>
          <w:trHeight w:val="173"/>
        </w:trPr>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580" w:type="dxa"/>
            <w:vAlign w:val="bottom"/>
            <w:gridSpan w:val="11"/>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69"/>
        </w:trPr>
        <w:tc>
          <w:tcPr>
            <w:tcW w:w="5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top w:val="single" w:sz="8" w:color="auto"/>
            </w:tcBorders>
            <w:gridSpan w:val="11"/>
          </w:tcPr>
          <w:p>
            <w:pPr>
              <w:spacing w:after="0" w:line="169"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Amended and Restated Certificate of Incorporation</w:t>
              </w:r>
            </w:hyperlink>
          </w:p>
        </w:tc>
        <w:tc>
          <w:tcPr>
            <w:tcW w:w="200" w:type="dxa"/>
            <w:vAlign w:val="bottom"/>
          </w:tcPr>
          <w:p>
            <w:pPr>
              <w:spacing w:after="0"/>
              <w:rPr>
                <w:sz w:val="14"/>
                <w:szCs w:val="14"/>
                <w:color w:val="auto"/>
              </w:rPr>
            </w:pPr>
          </w:p>
        </w:tc>
        <w:tc>
          <w:tcPr>
            <w:tcW w:w="5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10-Q</w:t>
            </w:r>
          </w:p>
        </w:tc>
        <w:tc>
          <w:tcPr>
            <w:tcW w:w="260" w:type="dxa"/>
            <w:vAlign w:val="bottom"/>
          </w:tcPr>
          <w:p>
            <w:pPr>
              <w:spacing w:after="0"/>
              <w:rPr>
                <w:sz w:val="14"/>
                <w:szCs w:val="14"/>
                <w:color w:val="auto"/>
              </w:rPr>
            </w:pPr>
          </w:p>
        </w:tc>
        <w:tc>
          <w:tcPr>
            <w:tcW w:w="9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001-39527</w:t>
            </w:r>
          </w:p>
        </w:tc>
        <w:tc>
          <w:tcPr>
            <w:tcW w:w="280" w:type="dxa"/>
            <w:vAlign w:val="bottom"/>
          </w:tcPr>
          <w:p>
            <w:pPr>
              <w:spacing w:after="0"/>
              <w:rPr>
                <w:sz w:val="14"/>
                <w:szCs w:val="14"/>
                <w:color w:val="auto"/>
              </w:rPr>
            </w:pPr>
          </w:p>
        </w:tc>
        <w:tc>
          <w:tcPr>
            <w:tcW w:w="4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4"/>
                <w:szCs w:val="14"/>
                <w:color w:val="auto"/>
              </w:rPr>
            </w:pPr>
          </w:p>
        </w:tc>
        <w:tc>
          <w:tcPr>
            <w:tcW w:w="9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8/3/2023</w:t>
            </w: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368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Amended and Restated Bylaws</w:t>
              </w:r>
            </w:hyperlink>
          </w:p>
        </w:tc>
        <w:tc>
          <w:tcPr>
            <w:tcW w:w="1800" w:type="dxa"/>
            <w:vAlign w:val="bottom"/>
            <w:gridSpan w:val="6"/>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10-Q</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001-39527</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1/23/2023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24"/>
                <w:szCs w:val="24"/>
                <w:color w:val="auto"/>
              </w:rPr>
            </w:pPr>
          </w:p>
        </w:tc>
        <w:tc>
          <w:tcPr>
            <w:tcW w:w="25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of Common Stock Certificate</w:t>
              </w:r>
            </w:hyperlink>
          </w:p>
        </w:tc>
        <w:tc>
          <w:tcPr>
            <w:tcW w:w="2920" w:type="dxa"/>
            <w:vAlign w:val="bottom"/>
            <w:gridSpan w:val="8"/>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333-248628</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9/16/2020</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40" w:type="dxa"/>
            <w:vAlign w:val="bottom"/>
          </w:tcPr>
          <w:p>
            <w:pPr>
              <w:spacing w:after="0"/>
              <w:rPr>
                <w:sz w:val="24"/>
                <w:szCs w:val="24"/>
                <w:color w:val="auto"/>
              </w:rPr>
            </w:pPr>
          </w:p>
        </w:tc>
        <w:tc>
          <w:tcPr>
            <w:tcW w:w="51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Amended and Restated Investors’ Rights Agreement, dated August 21,</w:t>
              </w:r>
            </w:hyperlink>
          </w:p>
        </w:tc>
        <w:tc>
          <w:tcPr>
            <w:tcW w:w="32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80" w:type="dxa"/>
            <w:vAlign w:val="bottom"/>
            <w:gridSpan w:val="13"/>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2020, by and among Prelude Therapeutics Incorporated and certain of its</w:t>
              </w:r>
            </w:hyperlink>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4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stockholders</w:t>
              </w:r>
            </w:hyperlink>
          </w:p>
        </w:tc>
        <w:tc>
          <w:tcPr>
            <w:tcW w:w="240" w:type="dxa"/>
            <w:vAlign w:val="bottom"/>
            <w:gridSpan w:val="2"/>
          </w:tcPr>
          <w:p>
            <w:pPr>
              <w:spacing w:after="0"/>
              <w:rPr>
                <w:sz w:val="17"/>
                <w:szCs w:val="17"/>
                <w:color w:val="auto"/>
              </w:rPr>
            </w:pPr>
          </w:p>
        </w:tc>
        <w:tc>
          <w:tcPr>
            <w:tcW w:w="7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333-248628</w:t>
            </w:r>
          </w:p>
        </w:tc>
        <w:tc>
          <w:tcPr>
            <w:tcW w:w="7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1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9/04/2020</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24"/>
                <w:szCs w:val="24"/>
                <w:color w:val="auto"/>
              </w:rPr>
            </w:pPr>
          </w:p>
        </w:tc>
        <w:tc>
          <w:tcPr>
            <w:tcW w:w="48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Amended and Restated Registration Rights Agreement, dated as of</w:t>
              </w:r>
            </w:hyperlink>
          </w:p>
        </w:tc>
        <w:tc>
          <w:tcPr>
            <w:tcW w:w="66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1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December 11, 2023, by and among Prelude Therapeutics Incorporated,</w:t>
              </w:r>
            </w:hyperlink>
          </w:p>
        </w:tc>
        <w:tc>
          <w:tcPr>
            <w:tcW w:w="3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80">
              <w:r>
                <w:rPr>
                  <w:rFonts w:ascii="Times New Roman" w:cs="Times New Roman" w:eastAsia="Times New Roman" w:hAnsi="Times New Roman"/>
                  <w:sz w:val="18"/>
                  <w:szCs w:val="18"/>
                  <w:color w:val="0000EE"/>
                  <w:w w:val="98"/>
                </w:rPr>
                <w:t>667, L.P., and Baker Brothers Life Sciences, L.P.</w:t>
              </w:r>
            </w:hyperlink>
          </w:p>
        </w:tc>
        <w:tc>
          <w:tcPr>
            <w:tcW w:w="1960" w:type="dxa"/>
            <w:vAlign w:val="bottom"/>
            <w:gridSpan w:val="7"/>
          </w:tcPr>
          <w:p>
            <w:pPr>
              <w:spacing w:after="0"/>
              <w:rPr>
                <w:sz w:val="17"/>
                <w:szCs w:val="17"/>
                <w:color w:val="auto"/>
              </w:rPr>
            </w:pPr>
          </w:p>
        </w:tc>
        <w:tc>
          <w:tcPr>
            <w:tcW w:w="76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333-251874</w:t>
            </w:r>
          </w:p>
        </w:tc>
        <w:tc>
          <w:tcPr>
            <w:tcW w:w="74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18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2/15/2024</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tcPr>
          <w:p>
            <w:pPr>
              <w:spacing w:after="0"/>
              <w:rPr>
                <w:sz w:val="24"/>
                <w:szCs w:val="24"/>
                <w:color w:val="auto"/>
              </w:rPr>
            </w:pPr>
          </w:p>
        </w:tc>
        <w:tc>
          <w:tcPr>
            <w:tcW w:w="5480" w:type="dxa"/>
            <w:vAlign w:val="bottom"/>
            <w:gridSpan w:val="13"/>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Form of Pre-Funded Warrant</w:t>
              </w:r>
            </w:hyperlink>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8-K</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001-39527</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12/11/2023</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6"/>
          </w:tcPr>
          <w:p>
            <w:pPr>
              <w:ind w:left="720"/>
              <w:spacing w:after="0"/>
              <w:rPr>
                <w:sz w:val="20"/>
                <w:szCs w:val="20"/>
                <w:color w:val="auto"/>
              </w:rPr>
            </w:pPr>
            <w:r>
              <w:rPr>
                <w:rFonts w:ascii="Times New Roman" w:cs="Times New Roman" w:eastAsia="Times New Roman" w:hAnsi="Times New Roman"/>
                <w:sz w:val="18"/>
                <w:szCs w:val="18"/>
                <w:color w:val="auto"/>
              </w:rPr>
              <w:t>II-2</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20" w:type="dxa"/>
            <w:vAlign w:val="bottom"/>
            <w:gridSpan w:val="2"/>
            <w:vMerge w:val="continue"/>
          </w:tcPr>
          <w:p>
            <w:pPr>
              <w:spacing w:after="0"/>
              <w:rPr>
                <w:sz w:val="10"/>
                <w:szCs w:val="10"/>
                <w:color w:val="auto"/>
              </w:rPr>
            </w:pPr>
          </w:p>
        </w:tc>
        <w:tc>
          <w:tcPr>
            <w:tcW w:w="4960" w:type="dxa"/>
            <w:vAlign w:val="bottom"/>
            <w:gridSpan w:val="7"/>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220" w:type="dxa"/>
            <w:vAlign w:val="bottom"/>
            <w:vMerge w:val="restart"/>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60" w:type="dxa"/>
            <w:vAlign w:val="bottom"/>
            <w:vMerge w:val="restart"/>
          </w:tcPr>
          <w:p>
            <w:pPr>
              <w:spacing w:after="0"/>
              <w:rPr>
                <w:sz w:val="10"/>
                <w:szCs w:val="10"/>
                <w:color w:val="auto"/>
              </w:rPr>
            </w:pPr>
          </w:p>
        </w:tc>
        <w:tc>
          <w:tcPr>
            <w:tcW w:w="9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80" w:type="dxa"/>
            <w:vAlign w:val="bottom"/>
            <w:vMerge w:val="restart"/>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vMerge w:val="restart"/>
          </w:tcPr>
          <w:p>
            <w:pPr>
              <w:spacing w:after="0"/>
              <w:rPr>
                <w:sz w:val="10"/>
                <w:szCs w:val="10"/>
                <w:color w:val="auto"/>
              </w:rPr>
            </w:pPr>
          </w:p>
        </w:tc>
        <w:tc>
          <w:tcPr>
            <w:tcW w:w="940" w:type="dxa"/>
            <w:vAlign w:val="bottom"/>
            <w:vMerge w:val="restart"/>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280" w:type="dxa"/>
            <w:vAlign w:val="bottom"/>
            <w:vMerge w:val="restart"/>
          </w:tcPr>
          <w:p>
            <w:pPr>
              <w:spacing w:after="0"/>
              <w:rPr>
                <w:sz w:val="10"/>
                <w:szCs w:val="10"/>
                <w:color w:val="auto"/>
              </w:rPr>
            </w:pPr>
          </w:p>
        </w:tc>
        <w:tc>
          <w:tcPr>
            <w:tcW w:w="720" w:type="dxa"/>
            <w:vAlign w:val="bottom"/>
          </w:tcPr>
          <w:p>
            <w:pPr>
              <w:ind w:left="200"/>
              <w:spacing w:after="0" w:line="118" w:lineRule="exact"/>
              <w:rPr>
                <w:sz w:val="20"/>
                <w:szCs w:val="20"/>
                <w:color w:val="auto"/>
              </w:rPr>
            </w:pPr>
            <w:r>
              <w:rPr>
                <w:rFonts w:ascii="Times New Roman" w:cs="Times New Roman" w:eastAsia="Times New Roman" w:hAnsi="Times New Roman"/>
                <w:sz w:val="13"/>
                <w:szCs w:val="13"/>
                <w:b w:val="1"/>
                <w:bCs w:val="1"/>
                <w:color w:val="auto"/>
              </w:rPr>
              <w:t>Filed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4960" w:type="dxa"/>
            <w:vAlign w:val="bottom"/>
            <w:tcBorders>
              <w:bottom w:val="single" w:sz="8" w:color="auto"/>
            </w:tcBorders>
            <w:gridSpan w:val="7"/>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2"/>
                <w:szCs w:val="22"/>
                <w:color w:val="auto"/>
              </w:rPr>
            </w:pPr>
          </w:p>
        </w:tc>
        <w:tc>
          <w:tcPr>
            <w:tcW w:w="5180" w:type="dxa"/>
            <w:vAlign w:val="bottom"/>
            <w:gridSpan w:val="8"/>
          </w:tcPr>
          <w:p>
            <w:pPr>
              <w:spacing w:after="0"/>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Form of Securities Purchase Agreement, by and among Prelude</w:t>
              </w:r>
            </w:hyperlink>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Therapeutics Incorporated and certain Investors</w:t>
              </w:r>
            </w:hyperlink>
          </w:p>
        </w:tc>
        <w:tc>
          <w:tcPr>
            <w:tcW w:w="1140" w:type="dxa"/>
            <w:vAlign w:val="bottom"/>
            <w:tcBorders>
              <w:top w:val="single" w:sz="8" w:color="0000EE"/>
            </w:tcBorders>
            <w:gridSpan w:val="3"/>
          </w:tcPr>
          <w:p>
            <w:pPr>
              <w:spacing w:after="0"/>
              <w:rPr>
                <w:sz w:val="17"/>
                <w:szCs w:val="17"/>
                <w:color w:val="auto"/>
              </w:rPr>
            </w:pPr>
          </w:p>
        </w:tc>
        <w:tc>
          <w:tcPr>
            <w:tcW w:w="600" w:type="dxa"/>
            <w:vAlign w:val="bottom"/>
            <w:gridSpan w:val="2"/>
          </w:tcPr>
          <w:p>
            <w:pPr>
              <w:spacing w:after="0"/>
              <w:rPr>
                <w:sz w:val="17"/>
                <w:szCs w:val="17"/>
                <w:color w:val="auto"/>
              </w:rPr>
            </w:pPr>
          </w:p>
        </w:tc>
        <w:tc>
          <w:tcPr>
            <w:tcW w:w="740" w:type="dxa"/>
            <w:vAlign w:val="bottom"/>
            <w:gridSpan w:val="2"/>
          </w:tcPr>
          <w:p>
            <w:pPr>
              <w:ind w:left="10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126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001-39527</w:t>
            </w:r>
          </w:p>
        </w:tc>
        <w:tc>
          <w:tcPr>
            <w:tcW w:w="80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20" w:type="dxa"/>
            <w:vAlign w:val="bottom"/>
            <w:gridSpan w:val="2"/>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2/15/2024</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40" w:type="dxa"/>
            <w:vAlign w:val="bottom"/>
          </w:tcPr>
          <w:p>
            <w:pPr>
              <w:spacing w:after="0"/>
              <w:rPr>
                <w:sz w:val="24"/>
                <w:szCs w:val="24"/>
                <w:color w:val="auto"/>
              </w:rPr>
            </w:pPr>
          </w:p>
        </w:tc>
        <w:tc>
          <w:tcPr>
            <w:tcW w:w="51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Opinion of Fenwick &amp; West LLP</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40" w:type="dxa"/>
            <w:vAlign w:val="bottom"/>
          </w:tcPr>
          <w:p>
            <w:pPr>
              <w:spacing w:after="0"/>
              <w:rPr>
                <w:sz w:val="24"/>
                <w:szCs w:val="24"/>
                <w:color w:val="auto"/>
              </w:rPr>
            </w:pPr>
          </w:p>
        </w:tc>
        <w:tc>
          <w:tcPr>
            <w:tcW w:w="22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Consent of Ernst &amp; Young LLP</w:t>
            </w:r>
          </w:p>
        </w:tc>
        <w:tc>
          <w:tcPr>
            <w:tcW w:w="120" w:type="dxa"/>
            <w:vAlign w:val="bottom"/>
            <w:tcBorders>
              <w:top w:val="single" w:sz="8" w:color="0000EE"/>
            </w:tcBorders>
          </w:tcPr>
          <w:p>
            <w:pPr>
              <w:spacing w:after="0"/>
              <w:rPr>
                <w:sz w:val="24"/>
                <w:szCs w:val="24"/>
                <w:color w:val="auto"/>
              </w:rPr>
            </w:pPr>
          </w:p>
        </w:tc>
        <w:tc>
          <w:tcPr>
            <w:tcW w:w="278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40" w:type="dxa"/>
            <w:vAlign w:val="bottom"/>
          </w:tcPr>
          <w:p>
            <w:pPr>
              <w:spacing w:after="0"/>
              <w:rPr>
                <w:sz w:val="24"/>
                <w:szCs w:val="24"/>
                <w:color w:val="auto"/>
              </w:rPr>
            </w:pPr>
          </w:p>
        </w:tc>
        <w:tc>
          <w:tcPr>
            <w:tcW w:w="42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Fenwick &amp; West LLP (included in Exhibit 5.1)</w:t>
            </w:r>
          </w:p>
        </w:tc>
        <w:tc>
          <w:tcPr>
            <w:tcW w:w="96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0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40" w:type="dxa"/>
            <w:vAlign w:val="bottom"/>
          </w:tcPr>
          <w:p>
            <w:pPr>
              <w:spacing w:after="0"/>
              <w:rPr>
                <w:sz w:val="24"/>
                <w:szCs w:val="24"/>
                <w:color w:val="auto"/>
              </w:rPr>
            </w:pPr>
          </w:p>
        </w:tc>
        <w:tc>
          <w:tcPr>
            <w:tcW w:w="4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hereto)</w:t>
            </w:r>
          </w:p>
        </w:tc>
        <w:tc>
          <w:tcPr>
            <w:tcW w:w="980" w:type="dxa"/>
            <w:vAlign w:val="bottom"/>
            <w:gridSpan w:val="4"/>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140" w:hanging="1024"/>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UNDERTAKINGS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w:t>
      </w:r>
    </w:p>
    <w:p>
      <w:pPr>
        <w:spacing w:after="0" w:line="99" w:lineRule="exact"/>
        <w:rPr>
          <w:sz w:val="20"/>
          <w:szCs w:val="20"/>
          <w:color w:val="auto"/>
        </w:rPr>
      </w:pPr>
    </w:p>
    <w:p>
      <w:pPr>
        <w:ind w:left="800" w:hanging="244"/>
        <w:spacing w:after="0"/>
        <w:tabs>
          <w:tab w:leader="none" w:pos="8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ind w:left="1100" w:firstLine="408"/>
        <w:spacing w:after="0" w:line="255" w:lineRule="auto"/>
        <w:tabs>
          <w:tab w:leader="none" w:pos="176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ind w:left="1100" w:right="40" w:firstLine="408"/>
        <w:spacing w:after="0" w:line="256" w:lineRule="auto"/>
        <w:tabs>
          <w:tab w:leader="none" w:pos="181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subparagraphs (i), (ii), and (iii) do not apply if the information required to be included in a post-effective amendment by those paragraphs is contained in reports filed with or furnished to the Securities and Exchange Commission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79" w:lineRule="exact"/>
        <w:rPr>
          <w:rFonts w:ascii="Times New Roman" w:cs="Times New Roman" w:eastAsia="Times New Roman" w:hAnsi="Times New Roman"/>
          <w:sz w:val="18"/>
          <w:szCs w:val="18"/>
          <w:color w:val="auto"/>
        </w:rPr>
      </w:pPr>
    </w:p>
    <w:p>
      <w:pPr>
        <w:ind w:left="560" w:right="80" w:firstLine="419"/>
        <w:spacing w:after="0" w:line="266" w:lineRule="auto"/>
        <w:tabs>
          <w:tab w:leader="none" w:pos="123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67" w:lineRule="exact"/>
        <w:rPr>
          <w:rFonts w:ascii="Times New Roman" w:cs="Times New Roman" w:eastAsia="Times New Roman" w:hAnsi="Times New Roman"/>
          <w:sz w:val="18"/>
          <w:szCs w:val="18"/>
          <w:color w:val="auto"/>
        </w:rPr>
      </w:pPr>
    </w:p>
    <w:p>
      <w:pPr>
        <w:ind w:left="560" w:right="200" w:firstLine="419"/>
        <w:spacing w:after="0" w:line="282" w:lineRule="auto"/>
        <w:tabs>
          <w:tab w:leader="none" w:pos="123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ind w:left="1100" w:right="20" w:firstLine="408"/>
        <w:spacing w:after="0" w:line="282" w:lineRule="auto"/>
        <w:tabs>
          <w:tab w:leader="none" w:pos="171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40" w:firstLine="408"/>
        <w:spacing w:after="0" w:line="253" w:lineRule="auto"/>
        <w:tabs>
          <w:tab w:leader="none" w:pos="1766"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1" w:lineRule="exact"/>
        <w:rPr>
          <w:rFonts w:ascii="Times New Roman" w:cs="Times New Roman" w:eastAsia="Times New Roman" w:hAnsi="Times New Roman"/>
          <w:sz w:val="18"/>
          <w:szCs w:val="18"/>
          <w:color w:val="auto"/>
        </w:rPr>
      </w:pPr>
    </w:p>
    <w:p>
      <w:pPr>
        <w:ind w:left="560" w:right="140" w:firstLine="419"/>
        <w:spacing w:after="0" w:line="258" w:lineRule="auto"/>
        <w:tabs>
          <w:tab w:leader="none" w:pos="12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5" w:lineRule="exact"/>
        <w:rPr>
          <w:rFonts w:ascii="Times New Roman" w:cs="Times New Roman" w:eastAsia="Times New Roman" w:hAnsi="Times New Roman"/>
          <w:sz w:val="18"/>
          <w:szCs w:val="18"/>
          <w:color w:val="auto"/>
        </w:rPr>
      </w:pPr>
    </w:p>
    <w:p>
      <w:pPr>
        <w:ind w:left="1720" w:hanging="212"/>
        <w:spacing w:after="0"/>
        <w:tabs>
          <w:tab w:leader="none" w:pos="1720" w:val="left"/>
        </w:tabs>
        <w:numPr>
          <w:ilvl w:val="2"/>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w:t>
      </w:r>
    </w:p>
    <w:p>
      <w:pPr>
        <w:spacing w:after="0" w:line="38" w:lineRule="exact"/>
        <w:rPr>
          <w:rFonts w:ascii="Times New Roman" w:cs="Times New Roman" w:eastAsia="Times New Roman" w:hAnsi="Times New Roman"/>
          <w:sz w:val="17"/>
          <w:szCs w:val="17"/>
          <w:color w:val="auto"/>
        </w:rPr>
      </w:pPr>
    </w:p>
    <w:p>
      <w:pPr>
        <w:ind w:left="1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424;</w:t>
      </w:r>
    </w:p>
    <w:p>
      <w:pPr>
        <w:spacing w:after="0" w:line="98" w:lineRule="exact"/>
        <w:rPr>
          <w:rFonts w:ascii="Times New Roman" w:cs="Times New Roman" w:eastAsia="Times New Roman" w:hAnsi="Times New Roman"/>
          <w:sz w:val="17"/>
          <w:szCs w:val="17"/>
          <w:color w:val="auto"/>
        </w:rPr>
      </w:pPr>
    </w:p>
    <w:p>
      <w:pPr>
        <w:ind w:left="1100" w:firstLine="408"/>
        <w:spacing w:after="0" w:line="282" w:lineRule="auto"/>
        <w:tabs>
          <w:tab w:leader="none" w:pos="1766"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ind w:left="1100" w:right="260" w:firstLine="408"/>
        <w:spacing w:after="0" w:line="282" w:lineRule="auto"/>
        <w:tabs>
          <w:tab w:leader="none" w:pos="1816"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ind w:left="120" w:right="100" w:firstLine="436"/>
        <w:spacing w:after="0" w:line="258" w:lineRule="auto"/>
        <w:tabs>
          <w:tab w:leader="none" w:pos="8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offering thereof.</w:t>
      </w:r>
    </w:p>
    <w:p>
      <w:pPr>
        <w:spacing w:after="0" w:line="183" w:lineRule="exact"/>
        <w:rPr>
          <w:rFonts w:ascii="Times New Roman" w:cs="Times New Roman" w:eastAsia="Times New Roman" w:hAnsi="Times New Roman"/>
          <w:sz w:val="18"/>
          <w:szCs w:val="18"/>
          <w:color w:val="auto"/>
        </w:rPr>
      </w:pPr>
    </w:p>
    <w:p>
      <w:pPr>
        <w:ind w:left="120" w:right="100" w:firstLine="436"/>
        <w:spacing w:after="0" w:line="254" w:lineRule="auto"/>
        <w:tabs>
          <w:tab w:leader="none" w:pos="8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Wilmington, State of Delaware, on February 15, 2024.</w:t>
      </w:r>
    </w:p>
    <w:p>
      <w:pPr>
        <w:spacing w:after="0" w:line="19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Krishna Vaddi,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17145</wp:posOffset>
            </wp:positionV>
            <wp:extent cx="26231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Krishna Vaddi, Ph.D.</w:t>
      </w:r>
    </w:p>
    <w:p>
      <w:pPr>
        <w:spacing w:after="0" w:line="2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5"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KNOW ALL PERSONS BY THESE PRESENTS</w:t>
      </w:r>
      <w:r>
        <w:rPr>
          <w:rFonts w:ascii="Times New Roman" w:cs="Times New Roman" w:eastAsia="Times New Roman" w:hAnsi="Times New Roman"/>
          <w:sz w:val="17"/>
          <w:szCs w:val="17"/>
          <w:color w:val="auto"/>
        </w:rPr>
        <w:t>, that each person whose signature appears below hereby constitutes and appoints Krishna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Vaddi and Laurent Chardonnet, and each of them, as his or her true and lawful attorney-in-fact, proxy and agent, with full power of substitution, for him or her in any and all capacities, to sign any and all amendments to this registration statement (including pre-effective and post-effective amendments, any supplements, any abbreviated registration statement and any amendments thereto filed pursuant to Rule 462(b) increasing the number of securities for which registration is sought), and to file the same, with all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might or could do in person, hereby ratifying and confirming all that said attorney-in-fact, proxy and agent, or his substitute or substitutes, may lawfully do or cause to be done by virtue hereof.</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04"/>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 Ph.D.</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Krishna Vaddi, Ph.D.</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Laurent Chardonnet</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178"/>
        </w:trPr>
        <w:tc>
          <w:tcPr>
            <w:tcW w:w="496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Laurent Chardonnet</w:t>
            </w:r>
          </w:p>
        </w:tc>
        <w:tc>
          <w:tcPr>
            <w:tcW w:w="120" w:type="dxa"/>
            <w:vAlign w:val="bottom"/>
          </w:tcPr>
          <w:p>
            <w:pPr>
              <w:spacing w:after="0"/>
              <w:rPr>
                <w:sz w:val="15"/>
                <w:szCs w:val="15"/>
                <w:color w:val="auto"/>
              </w:rPr>
            </w:pPr>
          </w:p>
        </w:tc>
        <w:tc>
          <w:tcPr>
            <w:tcW w:w="4060" w:type="dxa"/>
            <w:vAlign w:val="bottom"/>
            <w:gridSpan w:val="2"/>
          </w:tcPr>
          <w:p>
            <w:pPr>
              <w:jc w:val="center"/>
              <w:ind w:right="200"/>
              <w:spacing w:after="0" w:line="177" w:lineRule="exact"/>
              <w:rPr>
                <w:sz w:val="20"/>
                <w:szCs w:val="20"/>
                <w:color w:val="auto"/>
              </w:rPr>
            </w:pPr>
            <w:r>
              <w:rPr>
                <w:rFonts w:ascii="Times New Roman" w:cs="Times New Roman" w:eastAsia="Times New Roman" w:hAnsi="Times New Roman"/>
                <w:sz w:val="18"/>
                <w:szCs w:val="18"/>
                <w:color w:val="auto"/>
                <w:w w:val="99"/>
              </w:rPr>
              <w:t>(Principal Financial Officer and Principal</w:t>
            </w:r>
          </w:p>
        </w:tc>
        <w:tc>
          <w:tcPr>
            <w:tcW w:w="1880" w:type="dxa"/>
            <w:vAlign w:val="bottom"/>
          </w:tcPr>
          <w:p>
            <w:pPr>
              <w:spacing w:after="0"/>
              <w:rPr>
                <w:sz w:val="15"/>
                <w:szCs w:val="15"/>
                <w:color w:val="auto"/>
              </w:rPr>
            </w:pPr>
          </w:p>
        </w:tc>
      </w:tr>
      <w:tr>
        <w:trPr>
          <w:trHeight w:val="234"/>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Accounting Officer)</w:t>
            </w:r>
          </w:p>
        </w:tc>
        <w:tc>
          <w:tcPr>
            <w:tcW w:w="1880" w:type="dxa"/>
            <w:vAlign w:val="bottom"/>
          </w:tcPr>
          <w:p>
            <w:pPr>
              <w:spacing w:after="0"/>
              <w:rPr>
                <w:sz w:val="20"/>
                <w:szCs w:val="20"/>
                <w:color w:val="auto"/>
              </w:rPr>
            </w:pPr>
          </w:p>
        </w:tc>
      </w:tr>
      <w:tr>
        <w:trPr>
          <w:trHeight w:val="337"/>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Paul A. Friedman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Paul A. Friedman, M.D.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Martin Babler</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Martin Babler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Julian Baker</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Julian Baker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Bonita</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Bonita, M.D.</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Mardi C. Dier</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Mardi C. Dier</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19"/>
        </w:trPr>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Victor Sandor</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15, 2024</w:t>
            </w:r>
          </w:p>
        </w:tc>
      </w:tr>
      <w:tr>
        <w:trPr>
          <w:trHeight w:val="228"/>
        </w:trPr>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Victor Sandor, M.D.C.M</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0"/>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II-5</w:t>
            </w: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117090" cy="428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2117090" cy="42862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173990</wp:posOffset>
            </wp:positionV>
            <wp:extent cx="2271395" cy="4286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22713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Prelude Therapeutics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 Innovation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19805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At your request, we have examined the Registration Statement on Form S-3 filed by Prelude Therapeutics Incorporated,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15, 2024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in connection with the registration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of an aggregate of 7,936,759 shares of voting common stock, par value $0.0001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for offer and resale by the selling stockholders described and listed in the Registration Statement (the “</w:t>
      </w:r>
      <w:r>
        <w:rPr>
          <w:rFonts w:ascii="Times New Roman" w:cs="Times New Roman" w:eastAsia="Times New Roman" w:hAnsi="Times New Roman"/>
          <w:sz w:val="18"/>
          <w:szCs w:val="18"/>
          <w:b w:val="1"/>
          <w:bCs w:val="1"/>
          <w:i w:val="1"/>
          <w:iCs w:val="1"/>
          <w:color w:val="auto"/>
        </w:rPr>
        <w:t>Selling Stockholders</w:t>
      </w:r>
      <w:r>
        <w:rPr>
          <w:rFonts w:ascii="Times New Roman" w:cs="Times New Roman" w:eastAsia="Times New Roman" w:hAnsi="Times New Roman"/>
          <w:sz w:val="18"/>
          <w:szCs w:val="18"/>
          <w:color w:val="auto"/>
        </w:rPr>
        <w:t>”), consisting of 7,936,759 Shares issuable by the Company to the Selling Stockholders upon the exercise of a currently outstanding pre-funded warrants to purchase Shares issued by the Company to the Selling Stockholders.</w:t>
      </w:r>
    </w:p>
    <w:p>
      <w:pPr>
        <w:spacing w:after="0" w:line="187"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our opinion expressed below, we have also examined originals or copies of the prospectus prepared in connection with the Registration Statement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Company’s current Amended and Restated Certificate of Incorporation and Amended and Restated Bylaws (collectively, the “</w:t>
      </w:r>
      <w:r>
        <w:rPr>
          <w:rFonts w:ascii="Times New Roman" w:cs="Times New Roman" w:eastAsia="Times New Roman" w:hAnsi="Times New Roman"/>
          <w:sz w:val="18"/>
          <w:szCs w:val="18"/>
          <w:b w:val="1"/>
          <w:bCs w:val="1"/>
          <w:i w:val="1"/>
          <w:iCs w:val="1"/>
          <w:color w:val="auto"/>
        </w:rPr>
        <w:t>Charter Documents</w:t>
      </w:r>
      <w:r>
        <w:rPr>
          <w:rFonts w:ascii="Times New Roman" w:cs="Times New Roman" w:eastAsia="Times New Roman" w:hAnsi="Times New Roman"/>
          <w:sz w:val="18"/>
          <w:szCs w:val="18"/>
          <w:color w:val="auto"/>
        </w:rPr>
        <w:t>”); the Amended and Restated Registration Rights Agreement, dated as of December 11, 2023, by and among the Company, 667, L.P, and Baker Brothers Life Sciences, L.P.; the Pre-Funded Warrants, dated December 13, 2023 by and among the Company, 667, L.P, and Baker Brothers Life Sciences, L.P. (the “</w:t>
      </w:r>
      <w:r>
        <w:rPr>
          <w:rFonts w:ascii="Times New Roman" w:cs="Times New Roman" w:eastAsia="Times New Roman" w:hAnsi="Times New Roman"/>
          <w:sz w:val="18"/>
          <w:szCs w:val="18"/>
          <w:b w:val="1"/>
          <w:bCs w:val="1"/>
          <w:i w:val="1"/>
          <w:iCs w:val="1"/>
          <w:color w:val="auto"/>
        </w:rPr>
        <w:t>Pre-Funded Warrant Agreements</w:t>
      </w:r>
      <w:r>
        <w:rPr>
          <w:rFonts w:ascii="Times New Roman" w:cs="Times New Roman" w:eastAsia="Times New Roman" w:hAnsi="Times New Roman"/>
          <w:sz w:val="18"/>
          <w:szCs w:val="18"/>
          <w:color w:val="auto"/>
        </w:rPr>
        <w:t>”); certain corporate proceedings of the Company’s board of directors and stockholders relating to the Registration Statement and the Charter Documents; and such other agreements, documents, certificates and statements of the Company, its transfer agent, its warrant agent and public or government officials, as we have deemed advisable, and have examined such questions of law as we have considered necessary. We have assumed the authenticity of all documents submitted to us as originals, the genuineness of all signatures on documents submitted to us, the conformity to originals of all documents submitted to us as copies, and the absence of any undisclosed termination, waiver or amendment to any document reviewed by us. In giving our opinion, we have also relied upon a good standing certificate issued by the Delaware Secretary of State and representations made to us by the Company, including representations that the Company has available a sufficient number of authorized Shares that are not currently outstanding or reserved for issuance under other outstanding securities or equity plans of the Company, to enable the Company to issue and deliver all of the Shares to be sold by the Selling Stockholders pursuant to the Registration Statement and the Prospectus.</w:t>
      </w:r>
    </w:p>
    <w:p>
      <w:pPr>
        <w:spacing w:after="0" w:line="19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We render this opinion only with respect to, and express no opinion herein concerning the application or effect of the laws of any jurisdiction other than, the existing Delaware General Corporation Law.</w:t>
      </w:r>
    </w:p>
    <w:p>
      <w:pPr>
        <w:spacing w:after="0" w:line="162" w:lineRule="exact"/>
        <w:rPr>
          <w:sz w:val="20"/>
          <w:szCs w:val="20"/>
          <w:color w:val="auto"/>
        </w:rPr>
      </w:pPr>
    </w:p>
    <w:p>
      <w:pPr>
        <w:ind w:right="460" w:firstLine="440"/>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that may be sold by the Selling Stockholders pursuant to the Registration Statement will, when delivered in the manner and for the consideration stated in the Registration Statement and the Prospectus, and when issued in accordance with the terms and conditions of the Pre-Funded Warrant Agreements, be validly issued, fully paid and nonassessable.</w:t>
      </w:r>
    </w:p>
    <w:p>
      <w:pPr>
        <w:sectPr>
          <w:pgSz w:w="11900" w:h="16838" w:orient="portrait"/>
          <w:cols w:equalWidth="0" w:num="1">
            <w:col w:w="11020"/>
          </w:cols>
          <w:pgMar w:left="440" w:top="117" w:right="439" w:bottom="1440" w:gutter="0" w:footer="0" w:header="0"/>
        </w:sectPr>
      </w:pPr>
    </w:p>
    <w:bookmarkStart w:id="36" w:name="page37"/>
    <w:bookmarkEnd w:id="36"/>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consent to the use of this opinion as an exhibit to the Registration Statement and further consent to all references to us, if any, in the Registration Statement, the Prospectus and any amendments thereto. We do not thereby admit that we are within the category of persons whose consent is required under Section 7 of the Securities Act or the rules and regulations of the Commission thereunder. This opinion is intended solely for use in connection with sale of the securities to be sold by the Selling Stockholders pursuant to the Registration Statement and the Prospectus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18415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Fenwick &amp; West LLP</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in the Registration Statement (Form S-3) and related Prospectus of Prelude Therapeutics Incorporated for the registration of 7,936,759 shares of its common stock and to the incorporation by reference therein of our report dated February 15, 2024, with respect to the financial statements of Prelude Therapeutics Incorporated included in its Annual Report (Form 10-K) for the year ended December 31, 2023,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15, 2024</w:t>
      </w:r>
    </w:p>
    <w:p>
      <w:pPr>
        <w:sectPr>
          <w:pgSz w:w="11900" w:h="16838" w:orient="portrait"/>
          <w:cols w:equalWidth="0" w:num="1">
            <w:col w:w="11020"/>
          </w:cols>
          <w:pgMar w:left="440" w:top="117" w:right="439" w:bottom="1440" w:gutter="0" w:footer="0" w:header="0"/>
        </w:sectPr>
      </w:pPr>
    </w:p>
    <w:bookmarkStart w:id="38" w:name="page39"/>
    <w:bookmarkEnd w:id="38"/>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Fee Filing Tables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S-3</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 Newly Registered Securities</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44"/>
        </w:trPr>
        <w:tc>
          <w:tcPr>
            <w:tcW w:w="900" w:type="dxa"/>
            <w:vAlign w:val="bottom"/>
            <w:tcBorders>
              <w:top w:val="single" w:sz="8" w:color="auto"/>
              <w:left w:val="single" w:sz="8" w:color="auto"/>
              <w:right w:val="single" w:sz="8" w:color="auto"/>
            </w:tcBorders>
          </w:tcPr>
          <w:p>
            <w:pPr>
              <w:spacing w:after="0"/>
              <w:rPr>
                <w:sz w:val="12"/>
                <w:szCs w:val="12"/>
                <w:color w:val="auto"/>
              </w:rPr>
            </w:pPr>
          </w:p>
        </w:tc>
        <w:tc>
          <w:tcPr>
            <w:tcW w:w="3400" w:type="dxa"/>
            <w:vAlign w:val="bottom"/>
            <w:tcBorders>
              <w:top w:val="single" w:sz="8" w:color="auto"/>
              <w:right w:val="single" w:sz="8" w:color="auto"/>
            </w:tcBorders>
          </w:tcPr>
          <w:p>
            <w:pPr>
              <w:spacing w:after="0"/>
              <w:rPr>
                <w:sz w:val="12"/>
                <w:szCs w:val="12"/>
                <w:color w:val="auto"/>
              </w:rPr>
            </w:pPr>
          </w:p>
        </w:tc>
        <w:tc>
          <w:tcPr>
            <w:tcW w:w="900" w:type="dxa"/>
            <w:vAlign w:val="bottom"/>
            <w:tcBorders>
              <w:top w:val="single" w:sz="8" w:color="auto"/>
              <w:right w:val="single" w:sz="8" w:color="auto"/>
            </w:tcBorders>
          </w:tcPr>
          <w:p>
            <w:pPr>
              <w:jc w:val="center"/>
              <w:ind w:left="133"/>
              <w:spacing w:after="0" w:line="144" w:lineRule="exact"/>
              <w:rPr>
                <w:sz w:val="20"/>
                <w:szCs w:val="20"/>
                <w:color w:val="auto"/>
              </w:rPr>
            </w:pPr>
            <w:r>
              <w:rPr>
                <w:rFonts w:ascii="Times New Roman" w:cs="Times New Roman" w:eastAsia="Times New Roman" w:hAnsi="Times New Roman"/>
                <w:sz w:val="13"/>
                <w:szCs w:val="13"/>
                <w:color w:val="auto"/>
                <w:w w:val="95"/>
              </w:rPr>
              <w:t>Fee</w:t>
            </w:r>
          </w:p>
        </w:tc>
        <w:tc>
          <w:tcPr>
            <w:tcW w:w="114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ind w:left="13"/>
              <w:spacing w:after="0" w:line="144" w:lineRule="exact"/>
              <w:rPr>
                <w:sz w:val="20"/>
                <w:szCs w:val="20"/>
                <w:color w:val="auto"/>
              </w:rPr>
            </w:pPr>
            <w:r>
              <w:rPr>
                <w:rFonts w:ascii="Times New Roman" w:cs="Times New Roman" w:eastAsia="Times New Roman" w:hAnsi="Times New Roman"/>
                <w:sz w:val="13"/>
                <w:szCs w:val="13"/>
                <w:color w:val="auto"/>
                <w:w w:val="99"/>
              </w:rPr>
              <w:t>Proposed</w:t>
            </w:r>
          </w:p>
        </w:tc>
        <w:tc>
          <w:tcPr>
            <w:tcW w:w="1440" w:type="dxa"/>
            <w:vAlign w:val="bottom"/>
            <w:tcBorders>
              <w:top w:val="single" w:sz="8" w:color="auto"/>
              <w:right w:val="single" w:sz="8" w:color="auto"/>
            </w:tcBorders>
            <w:vMerge w:val="restart"/>
          </w:tcPr>
          <w:p>
            <w:pPr>
              <w:jc w:val="center"/>
              <w:ind w:left="5"/>
              <w:spacing w:after="0"/>
              <w:rPr>
                <w:sz w:val="20"/>
                <w:szCs w:val="20"/>
                <w:color w:val="auto"/>
              </w:rPr>
            </w:pPr>
            <w:r>
              <w:rPr>
                <w:rFonts w:ascii="Times New Roman" w:cs="Times New Roman" w:eastAsia="Times New Roman" w:hAnsi="Times New Roman"/>
                <w:sz w:val="13"/>
                <w:szCs w:val="13"/>
                <w:color w:val="auto"/>
                <w:w w:val="95"/>
              </w:rPr>
              <w:t>Maximum</w:t>
            </w:r>
          </w:p>
        </w:tc>
        <w:tc>
          <w:tcPr>
            <w:tcW w:w="136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00" w:type="dxa"/>
            <w:vAlign w:val="bottom"/>
            <w:tcBorders>
              <w:left w:val="single" w:sz="8" w:color="auto"/>
              <w:right w:val="single" w:sz="8" w:color="auto"/>
            </w:tcBorders>
          </w:tcPr>
          <w:p>
            <w:pPr>
              <w:spacing w:after="0"/>
              <w:rPr>
                <w:sz w:val="10"/>
                <w:szCs w:val="10"/>
                <w:color w:val="auto"/>
              </w:rPr>
            </w:pPr>
          </w:p>
        </w:tc>
        <w:tc>
          <w:tcPr>
            <w:tcW w:w="34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jc w:val="center"/>
              <w:ind w:left="133"/>
              <w:spacing w:after="0" w:line="126" w:lineRule="exact"/>
              <w:rPr>
                <w:sz w:val="20"/>
                <w:szCs w:val="20"/>
                <w:color w:val="auto"/>
              </w:rPr>
            </w:pPr>
            <w:r>
              <w:rPr>
                <w:rFonts w:ascii="Times New Roman" w:cs="Times New Roman" w:eastAsia="Times New Roman" w:hAnsi="Times New Roman"/>
                <w:sz w:val="13"/>
                <w:szCs w:val="13"/>
                <w:color w:val="auto"/>
                <w:w w:val="96"/>
              </w:rPr>
              <w:t>Calculation</w:t>
            </w:r>
          </w:p>
        </w:tc>
        <w:tc>
          <w:tcPr>
            <w:tcW w:w="11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ind w:left="13"/>
              <w:spacing w:after="0" w:line="126" w:lineRule="exact"/>
              <w:rPr>
                <w:sz w:val="20"/>
                <w:szCs w:val="20"/>
                <w:color w:val="auto"/>
              </w:rPr>
            </w:pPr>
            <w:r>
              <w:rPr>
                <w:rFonts w:ascii="Times New Roman" w:cs="Times New Roman" w:eastAsia="Times New Roman" w:hAnsi="Times New Roman"/>
                <w:sz w:val="13"/>
                <w:szCs w:val="13"/>
                <w:color w:val="auto"/>
                <w:w w:val="95"/>
              </w:rPr>
              <w:t>Maximum</w:t>
            </w:r>
          </w:p>
        </w:tc>
        <w:tc>
          <w:tcPr>
            <w:tcW w:w="1440" w:type="dxa"/>
            <w:vAlign w:val="bottom"/>
            <w:tcBorders>
              <w:right w:val="single" w:sz="8" w:color="auto"/>
            </w:tcBorders>
            <w:vMerge w:val="continue"/>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3400" w:type="dxa"/>
            <w:vAlign w:val="bottom"/>
            <w:tcBorders>
              <w:right w:val="single" w:sz="8" w:color="auto"/>
            </w:tcBorders>
          </w:tcPr>
          <w:p>
            <w:pPr>
              <w:jc w:val="center"/>
              <w:ind w:left="100"/>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900" w:type="dxa"/>
            <w:vAlign w:val="bottom"/>
            <w:tcBorders>
              <w:right w:val="single" w:sz="8" w:color="auto"/>
            </w:tcBorders>
          </w:tcPr>
          <w:p>
            <w:pPr>
              <w:jc w:val="center"/>
              <w:ind w:left="133"/>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114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440" w:type="dxa"/>
            <w:vAlign w:val="bottom"/>
            <w:tcBorders>
              <w:right w:val="single" w:sz="8" w:color="auto"/>
            </w:tcBorders>
          </w:tcPr>
          <w:p>
            <w:pPr>
              <w:jc w:val="center"/>
              <w:ind w:left="5"/>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136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ind w:left="40"/>
              <w:spacing w:after="0" w:line="135" w:lineRule="exact"/>
              <w:rPr>
                <w:sz w:val="20"/>
                <w:szCs w:val="20"/>
                <w:color w:val="auto"/>
              </w:rPr>
            </w:pPr>
            <w:r>
              <w:rPr>
                <w:rFonts w:ascii="Times New Roman" w:cs="Times New Roman" w:eastAsia="Times New Roman" w:hAnsi="Times New Roman"/>
                <w:sz w:val="13"/>
                <w:szCs w:val="13"/>
                <w:color w:val="auto"/>
                <w:w w:val="95"/>
              </w:rPr>
              <w:t>Amount of</w:t>
            </w:r>
          </w:p>
        </w:tc>
        <w:tc>
          <w:tcPr>
            <w:tcW w:w="0" w:type="dxa"/>
            <w:vAlign w:val="bottom"/>
          </w:tcPr>
          <w:p>
            <w:pPr>
              <w:spacing w:after="0"/>
              <w:rPr>
                <w:sz w:val="1"/>
                <w:szCs w:val="1"/>
                <w:color w:val="auto"/>
              </w:rPr>
            </w:pPr>
          </w:p>
        </w:tc>
      </w:tr>
      <w:tr>
        <w:trPr>
          <w:trHeight w:val="135"/>
        </w:trPr>
        <w:tc>
          <w:tcPr>
            <w:tcW w:w="900" w:type="dxa"/>
            <w:vAlign w:val="bottom"/>
            <w:tcBorders>
              <w:left w:val="single" w:sz="8" w:color="auto"/>
              <w:right w:val="single" w:sz="8" w:color="auto"/>
            </w:tcBorders>
          </w:tcPr>
          <w:p>
            <w:pPr>
              <w:spacing w:after="0"/>
              <w:rPr>
                <w:sz w:val="11"/>
                <w:szCs w:val="11"/>
                <w:color w:val="auto"/>
              </w:rPr>
            </w:pPr>
          </w:p>
        </w:tc>
        <w:tc>
          <w:tcPr>
            <w:tcW w:w="3400" w:type="dxa"/>
            <w:vAlign w:val="bottom"/>
            <w:tcBorders>
              <w:right w:val="single" w:sz="8" w:color="auto"/>
            </w:tcBorders>
          </w:tcPr>
          <w:p>
            <w:pPr>
              <w:jc w:val="center"/>
              <w:ind w:left="120"/>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900" w:type="dxa"/>
            <w:vAlign w:val="bottom"/>
            <w:tcBorders>
              <w:right w:val="single" w:sz="8" w:color="auto"/>
            </w:tcBorders>
          </w:tcPr>
          <w:p>
            <w:pPr>
              <w:jc w:val="center"/>
              <w:ind w:left="113"/>
              <w:spacing w:after="0" w:line="135" w:lineRule="exact"/>
              <w:rPr>
                <w:sz w:val="20"/>
                <w:szCs w:val="20"/>
                <w:color w:val="auto"/>
              </w:rPr>
            </w:pPr>
            <w:r>
              <w:rPr>
                <w:rFonts w:ascii="Times New Roman" w:cs="Times New Roman" w:eastAsia="Times New Roman" w:hAnsi="Times New Roman"/>
                <w:sz w:val="13"/>
                <w:szCs w:val="13"/>
                <w:color w:val="auto"/>
                <w:w w:val="99"/>
              </w:rPr>
              <w:t>Forward</w:t>
            </w:r>
          </w:p>
        </w:tc>
        <w:tc>
          <w:tcPr>
            <w:tcW w:w="1140" w:type="dxa"/>
            <w:vAlign w:val="bottom"/>
            <w:tcBorders>
              <w:right w:val="single" w:sz="8" w:color="auto"/>
            </w:tcBorders>
          </w:tcPr>
          <w:p>
            <w:pPr>
              <w:jc w:val="center"/>
              <w:ind w:left="8"/>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800" w:type="dxa"/>
            <w:vAlign w:val="bottom"/>
            <w:tcBorders>
              <w:right w:val="single" w:sz="8" w:color="auto"/>
            </w:tcBorders>
          </w:tcPr>
          <w:p>
            <w:pPr>
              <w:jc w:val="center"/>
              <w:ind w:left="13"/>
              <w:spacing w:after="0" w:line="135" w:lineRule="exact"/>
              <w:rPr>
                <w:sz w:val="20"/>
                <w:szCs w:val="20"/>
                <w:color w:val="auto"/>
              </w:rPr>
            </w:pPr>
            <w:r>
              <w:rPr>
                <w:rFonts w:ascii="Times New Roman" w:cs="Times New Roman" w:eastAsia="Times New Roman" w:hAnsi="Times New Roman"/>
                <w:sz w:val="13"/>
                <w:szCs w:val="13"/>
                <w:color w:val="auto"/>
                <w:w w:val="92"/>
              </w:rPr>
              <w:t>Price Per</w:t>
            </w:r>
          </w:p>
        </w:tc>
        <w:tc>
          <w:tcPr>
            <w:tcW w:w="1440" w:type="dxa"/>
            <w:vAlign w:val="bottom"/>
            <w:tcBorders>
              <w:right w:val="single" w:sz="8" w:color="auto"/>
            </w:tcBorders>
          </w:tcPr>
          <w:p>
            <w:pPr>
              <w:jc w:val="center"/>
              <w:ind w:left="5"/>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1360" w:type="dxa"/>
            <w:vAlign w:val="bottom"/>
            <w:tcBorders>
              <w:right w:val="single" w:sz="8" w:color="auto"/>
            </w:tcBorders>
          </w:tcPr>
          <w:p>
            <w:pPr>
              <w:jc w:val="center"/>
              <w:ind w:left="108"/>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1100" w:type="dxa"/>
            <w:vAlign w:val="bottom"/>
            <w:tcBorders>
              <w:right w:val="single" w:sz="8" w:color="auto"/>
            </w:tcBorders>
          </w:tcPr>
          <w:p>
            <w:pPr>
              <w:jc w:val="center"/>
              <w:ind w:left="40"/>
              <w:spacing w:after="0" w:line="135" w:lineRule="exact"/>
              <w:rPr>
                <w:sz w:val="20"/>
                <w:szCs w:val="20"/>
                <w:color w:val="auto"/>
              </w:rPr>
            </w:pPr>
            <w:r>
              <w:rPr>
                <w:rFonts w:ascii="Times New Roman" w:cs="Times New Roman" w:eastAsia="Times New Roman" w:hAnsi="Times New Roman"/>
                <w:sz w:val="13"/>
                <w:szCs w:val="13"/>
                <w:color w:val="auto"/>
                <w:w w:val="97"/>
              </w:rPr>
              <w:t>Registration</w:t>
            </w:r>
          </w:p>
        </w:tc>
        <w:tc>
          <w:tcPr>
            <w:tcW w:w="0" w:type="dxa"/>
            <w:vAlign w:val="bottom"/>
          </w:tcPr>
          <w:p>
            <w:pPr>
              <w:spacing w:after="0"/>
              <w:rPr>
                <w:sz w:val="1"/>
                <w:szCs w:val="1"/>
                <w:color w:val="auto"/>
              </w:rPr>
            </w:pPr>
          </w:p>
        </w:tc>
      </w:tr>
      <w:tr>
        <w:trPr>
          <w:trHeight w:val="175"/>
        </w:trPr>
        <w:tc>
          <w:tcPr>
            <w:tcW w:w="90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3"/>
                <w:szCs w:val="13"/>
                <w:color w:val="auto"/>
                <w:w w:val="94"/>
              </w:rPr>
              <w:t>Security Type </w:t>
            </w:r>
          </w:p>
        </w:tc>
        <w:tc>
          <w:tcPr>
            <w:tcW w:w="3400" w:type="dxa"/>
            <w:vAlign w:val="bottom"/>
            <w:tcBorders>
              <w:bottom w:val="single" w:sz="8" w:color="auto"/>
              <w:right w:val="single" w:sz="8" w:color="auto"/>
            </w:tcBorders>
          </w:tcPr>
          <w:p>
            <w:pPr>
              <w:jc w:val="center"/>
              <w:ind w:left="120"/>
              <w:spacing w:after="0"/>
              <w:rPr>
                <w:sz w:val="20"/>
                <w:szCs w:val="20"/>
                <w:color w:val="auto"/>
              </w:rPr>
            </w:pPr>
            <w:r>
              <w:rPr>
                <w:rFonts w:ascii="Times New Roman" w:cs="Times New Roman" w:eastAsia="Times New Roman" w:hAnsi="Times New Roman"/>
                <w:sz w:val="13"/>
                <w:szCs w:val="13"/>
                <w:color w:val="auto"/>
                <w:w w:val="97"/>
              </w:rPr>
              <w:t>Title</w:t>
            </w:r>
          </w:p>
        </w:tc>
        <w:tc>
          <w:tcPr>
            <w:tcW w:w="900" w:type="dxa"/>
            <w:vAlign w:val="bottom"/>
            <w:tcBorders>
              <w:bottom w:val="single" w:sz="8" w:color="auto"/>
              <w:right w:val="single" w:sz="8" w:color="auto"/>
            </w:tcBorders>
          </w:tcPr>
          <w:p>
            <w:pPr>
              <w:jc w:val="center"/>
              <w:ind w:left="113"/>
              <w:spacing w:after="0"/>
              <w:rPr>
                <w:sz w:val="20"/>
                <w:szCs w:val="20"/>
                <w:color w:val="auto"/>
              </w:rPr>
            </w:pPr>
            <w:r>
              <w:rPr>
                <w:rFonts w:ascii="Times New Roman" w:cs="Times New Roman" w:eastAsia="Times New Roman" w:hAnsi="Times New Roman"/>
                <w:sz w:val="13"/>
                <w:szCs w:val="13"/>
                <w:color w:val="auto"/>
                <w:w w:val="97"/>
              </w:rPr>
              <w:t>Rule</w:t>
            </w:r>
          </w:p>
        </w:tc>
        <w:tc>
          <w:tcPr>
            <w:tcW w:w="1140" w:type="dxa"/>
            <w:vAlign w:val="bottom"/>
            <w:tcBorders>
              <w:bottom w:val="single" w:sz="8" w:color="auto"/>
              <w:right w:val="single" w:sz="8" w:color="auto"/>
            </w:tcBorders>
          </w:tcPr>
          <w:p>
            <w:pPr>
              <w:jc w:val="center"/>
              <w:ind w:left="8"/>
              <w:spacing w:after="0" w:line="176" w:lineRule="exact"/>
              <w:rPr>
                <w:sz w:val="20"/>
                <w:szCs w:val="20"/>
                <w:color w:val="auto"/>
              </w:rPr>
            </w:pPr>
            <w:r>
              <w:rPr>
                <w:rFonts w:ascii="Times New Roman" w:cs="Times New Roman" w:eastAsia="Times New Roman" w:hAnsi="Times New Roman"/>
                <w:sz w:val="13"/>
                <w:szCs w:val="13"/>
                <w:color w:val="auto"/>
                <w:w w:val="94"/>
              </w:rPr>
              <w:t>Registered</w:t>
            </w:r>
            <w:r>
              <w:rPr>
                <w:rFonts w:ascii="Times New Roman" w:cs="Times New Roman" w:eastAsia="Times New Roman" w:hAnsi="Times New Roman"/>
                <w:sz w:val="18"/>
                <w:szCs w:val="18"/>
                <w:color w:val="auto"/>
                <w:w w:val="94"/>
                <w:vertAlign w:val="superscript"/>
              </w:rPr>
              <w:t>(1)</w:t>
            </w:r>
          </w:p>
        </w:tc>
        <w:tc>
          <w:tcPr>
            <w:tcW w:w="800" w:type="dxa"/>
            <w:vAlign w:val="bottom"/>
            <w:tcBorders>
              <w:bottom w:val="single" w:sz="8" w:color="auto"/>
              <w:right w:val="single" w:sz="8" w:color="auto"/>
            </w:tcBorders>
          </w:tcPr>
          <w:p>
            <w:pPr>
              <w:jc w:val="center"/>
              <w:ind w:left="13"/>
              <w:spacing w:after="0"/>
              <w:rPr>
                <w:sz w:val="20"/>
                <w:szCs w:val="20"/>
                <w:color w:val="auto"/>
              </w:rPr>
            </w:pPr>
            <w:r>
              <w:rPr>
                <w:rFonts w:ascii="Times New Roman" w:cs="Times New Roman" w:eastAsia="Times New Roman" w:hAnsi="Times New Roman"/>
                <w:sz w:val="13"/>
                <w:szCs w:val="13"/>
                <w:color w:val="auto"/>
              </w:rPr>
              <w:t>Unit</w:t>
            </w:r>
          </w:p>
        </w:tc>
        <w:tc>
          <w:tcPr>
            <w:tcW w:w="144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3"/>
                <w:szCs w:val="13"/>
                <w:color w:val="auto"/>
                <w:w w:val="89"/>
              </w:rPr>
              <w:t>Price</w:t>
            </w:r>
          </w:p>
        </w:tc>
        <w:tc>
          <w:tcPr>
            <w:tcW w:w="1360" w:type="dxa"/>
            <w:vAlign w:val="bottom"/>
            <w:tcBorders>
              <w:bottom w:val="single" w:sz="8" w:color="auto"/>
              <w:right w:val="single" w:sz="8" w:color="auto"/>
            </w:tcBorders>
          </w:tcPr>
          <w:p>
            <w:pPr>
              <w:jc w:val="center"/>
              <w:ind w:left="108"/>
              <w:spacing w:after="0"/>
              <w:rPr>
                <w:sz w:val="20"/>
                <w:szCs w:val="20"/>
                <w:color w:val="auto"/>
              </w:rPr>
            </w:pPr>
            <w:r>
              <w:rPr>
                <w:rFonts w:ascii="Times New Roman" w:cs="Times New Roman" w:eastAsia="Times New Roman" w:hAnsi="Times New Roman"/>
                <w:sz w:val="13"/>
                <w:szCs w:val="13"/>
                <w:color w:val="auto"/>
                <w:w w:val="92"/>
              </w:rPr>
              <w:t>Rate</w:t>
            </w:r>
          </w:p>
        </w:tc>
        <w:tc>
          <w:tcPr>
            <w:tcW w:w="1100" w:type="dxa"/>
            <w:vAlign w:val="bottom"/>
            <w:tcBorders>
              <w:bottom w:val="single" w:sz="8" w:color="auto"/>
              <w:right w:val="single" w:sz="8" w:color="auto"/>
            </w:tcBorders>
          </w:tcPr>
          <w:p>
            <w:pPr>
              <w:jc w:val="center"/>
              <w:ind w:left="40"/>
              <w:spacing w:after="0"/>
              <w:rPr>
                <w:sz w:val="20"/>
                <w:szCs w:val="20"/>
                <w:color w:val="auto"/>
              </w:rPr>
            </w:pPr>
            <w:r>
              <w:rPr>
                <w:rFonts w:ascii="Times New Roman" w:cs="Times New Roman" w:eastAsia="Times New Roman" w:hAnsi="Times New Roman"/>
                <w:sz w:val="13"/>
                <w:szCs w:val="13"/>
                <w:color w:val="auto"/>
                <w:w w:val="95"/>
              </w:rPr>
              <w:t>Fee</w:t>
            </w:r>
          </w:p>
        </w:tc>
        <w:tc>
          <w:tcPr>
            <w:tcW w:w="0" w:type="dxa"/>
            <w:vAlign w:val="bottom"/>
          </w:tcPr>
          <w:p>
            <w:pPr>
              <w:spacing w:after="0"/>
              <w:rPr>
                <w:sz w:val="1"/>
                <w:szCs w:val="1"/>
                <w:color w:val="auto"/>
              </w:rPr>
            </w:pPr>
          </w:p>
        </w:tc>
      </w:tr>
      <w:tr>
        <w:trPr>
          <w:trHeight w:val="237"/>
        </w:trPr>
        <w:tc>
          <w:tcPr>
            <w:tcW w:w="900" w:type="dxa"/>
            <w:vAlign w:val="bottom"/>
            <w:tcBorders>
              <w:left w:val="single" w:sz="8" w:color="auto"/>
              <w:bottom w:val="single" w:sz="8" w:color="auto"/>
              <w:right w:val="single" w:sz="8" w:color="auto"/>
            </w:tcBorders>
          </w:tcPr>
          <w:p>
            <w:pPr>
              <w:jc w:val="center"/>
              <w:ind w:left="64"/>
              <w:spacing w:after="0"/>
              <w:rPr>
                <w:sz w:val="20"/>
                <w:szCs w:val="20"/>
                <w:color w:val="auto"/>
              </w:rPr>
            </w:pPr>
            <w:r>
              <w:rPr>
                <w:rFonts w:ascii="Times New Roman" w:cs="Times New Roman" w:eastAsia="Times New Roman" w:hAnsi="Times New Roman"/>
                <w:sz w:val="18"/>
                <w:szCs w:val="18"/>
                <w:color w:val="auto"/>
                <w:w w:val="99"/>
              </w:rPr>
              <w:t>Equity</w:t>
            </w:r>
          </w:p>
        </w:tc>
        <w:tc>
          <w:tcPr>
            <w:tcW w:w="3400" w:type="dxa"/>
            <w:vAlign w:val="bottom"/>
            <w:tcBorders>
              <w:bottom w:val="single" w:sz="8" w:color="auto"/>
              <w:right w:val="single" w:sz="8" w:color="auto"/>
            </w:tcBorders>
          </w:tcPr>
          <w:p>
            <w:pPr>
              <w:jc w:val="center"/>
              <w:ind w:left="100"/>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900" w:type="dxa"/>
            <w:vAlign w:val="bottom"/>
            <w:tcBorders>
              <w:bottom w:val="single" w:sz="8" w:color="auto"/>
              <w:right w:val="single" w:sz="8" w:color="auto"/>
            </w:tcBorders>
          </w:tcPr>
          <w:p>
            <w:pPr>
              <w:jc w:val="center"/>
              <w:ind w:left="113"/>
              <w:spacing w:after="0"/>
              <w:rPr>
                <w:sz w:val="20"/>
                <w:szCs w:val="20"/>
                <w:color w:val="auto"/>
              </w:rPr>
            </w:pPr>
            <w:r>
              <w:rPr>
                <w:rFonts w:ascii="Times New Roman" w:cs="Times New Roman" w:eastAsia="Times New Roman" w:hAnsi="Times New Roman"/>
                <w:sz w:val="18"/>
                <w:szCs w:val="18"/>
                <w:color w:val="auto"/>
              </w:rPr>
              <w:t>457(c)</w:t>
            </w:r>
          </w:p>
        </w:tc>
        <w:tc>
          <w:tcPr>
            <w:tcW w:w="1140" w:type="dxa"/>
            <w:vAlign w:val="bottom"/>
            <w:tcBorders>
              <w:bottom w:val="single" w:sz="8" w:color="auto"/>
              <w:right w:val="single" w:sz="8" w:color="auto"/>
            </w:tcBorders>
          </w:tcPr>
          <w:p>
            <w:pPr>
              <w:jc w:val="center"/>
              <w:ind w:left="28"/>
              <w:spacing w:after="0" w:line="236" w:lineRule="exact"/>
              <w:rPr>
                <w:sz w:val="20"/>
                <w:szCs w:val="20"/>
                <w:color w:val="auto"/>
              </w:rPr>
            </w:pPr>
            <w:r>
              <w:rPr>
                <w:rFonts w:ascii="Times New Roman" w:cs="Times New Roman" w:eastAsia="Times New Roman" w:hAnsi="Times New Roman"/>
                <w:sz w:val="18"/>
                <w:szCs w:val="18"/>
                <w:color w:val="auto"/>
                <w:w w:val="99"/>
              </w:rPr>
              <w:t>7,936,759</w:t>
            </w:r>
            <w:r>
              <w:rPr>
                <w:rFonts w:ascii="Times New Roman" w:cs="Times New Roman" w:eastAsia="Times New Roman" w:hAnsi="Times New Roman"/>
                <w:sz w:val="26"/>
                <w:szCs w:val="26"/>
                <w:color w:val="auto"/>
                <w:w w:val="99"/>
                <w:vertAlign w:val="superscript"/>
              </w:rPr>
              <w:t>(2)</w:t>
            </w:r>
            <w:r>
              <w:rPr>
                <w:rFonts w:ascii="Times New Roman" w:cs="Times New Roman" w:eastAsia="Times New Roman" w:hAnsi="Times New Roman"/>
                <w:sz w:val="18"/>
                <w:szCs w:val="18"/>
                <w:color w:val="auto"/>
                <w:w w:val="99"/>
              </w:rPr>
              <w:t xml:space="preserve"> </w:t>
            </w:r>
          </w:p>
        </w:tc>
        <w:tc>
          <w:tcPr>
            <w:tcW w:w="800" w:type="dxa"/>
            <w:vAlign w:val="bottom"/>
            <w:tcBorders>
              <w:bottom w:val="single" w:sz="8" w:color="auto"/>
              <w:right w:val="single" w:sz="8" w:color="auto"/>
            </w:tcBorders>
          </w:tcPr>
          <w:p>
            <w:pPr>
              <w:jc w:val="center"/>
              <w:ind w:left="13"/>
              <w:spacing w:after="0" w:line="236" w:lineRule="exact"/>
              <w:rPr>
                <w:sz w:val="20"/>
                <w:szCs w:val="20"/>
                <w:color w:val="auto"/>
              </w:rPr>
            </w:pPr>
            <w:r>
              <w:rPr>
                <w:rFonts w:ascii="Times New Roman" w:cs="Times New Roman" w:eastAsia="Times New Roman" w:hAnsi="Times New Roman"/>
                <w:sz w:val="18"/>
                <w:szCs w:val="18"/>
                <w:color w:val="auto"/>
                <w:w w:val="98"/>
              </w:rPr>
              <w:t>$2.83</w:t>
            </w:r>
            <w:r>
              <w:rPr>
                <w:rFonts w:ascii="Times New Roman" w:cs="Times New Roman" w:eastAsia="Times New Roman" w:hAnsi="Times New Roman"/>
                <w:sz w:val="26"/>
                <w:szCs w:val="26"/>
                <w:color w:val="auto"/>
                <w:w w:val="98"/>
                <w:vertAlign w:val="superscript"/>
              </w:rPr>
              <w:t>(3)</w:t>
            </w:r>
            <w:r>
              <w:rPr>
                <w:rFonts w:ascii="Times New Roman" w:cs="Times New Roman" w:eastAsia="Times New Roman" w:hAnsi="Times New Roman"/>
                <w:sz w:val="18"/>
                <w:szCs w:val="18"/>
                <w:color w:val="auto"/>
                <w:w w:val="98"/>
              </w:rPr>
              <w:t xml:space="preserve"> </w:t>
            </w:r>
          </w:p>
        </w:tc>
        <w:tc>
          <w:tcPr>
            <w:tcW w:w="1440" w:type="dxa"/>
            <w:vAlign w:val="bottom"/>
            <w:tcBorders>
              <w:bottom w:val="single" w:sz="8" w:color="auto"/>
              <w:right w:val="single" w:sz="8" w:color="auto"/>
            </w:tcBorders>
          </w:tcPr>
          <w:p>
            <w:pPr>
              <w:jc w:val="center"/>
              <w:ind w:left="5"/>
              <w:spacing w:after="0"/>
              <w:rPr>
                <w:sz w:val="20"/>
                <w:szCs w:val="20"/>
                <w:color w:val="auto"/>
              </w:rPr>
            </w:pPr>
            <w:r>
              <w:rPr>
                <w:rFonts w:ascii="Times New Roman" w:cs="Times New Roman" w:eastAsia="Times New Roman" w:hAnsi="Times New Roman"/>
                <w:sz w:val="18"/>
                <w:szCs w:val="18"/>
                <w:color w:val="auto"/>
                <w:w w:val="99"/>
              </w:rPr>
              <w:t>$22,461,027.97 </w:t>
            </w:r>
          </w:p>
        </w:tc>
        <w:tc>
          <w:tcPr>
            <w:tcW w:w="1360" w:type="dxa"/>
            <w:vAlign w:val="bottom"/>
            <w:tcBorders>
              <w:bottom w:val="single" w:sz="8" w:color="auto"/>
              <w:right w:val="single" w:sz="8" w:color="auto"/>
            </w:tcBorders>
          </w:tcPr>
          <w:p>
            <w:pPr>
              <w:jc w:val="center"/>
              <w:ind w:left="128"/>
              <w:spacing w:after="0"/>
              <w:rPr>
                <w:sz w:val="20"/>
                <w:szCs w:val="20"/>
                <w:color w:val="auto"/>
              </w:rPr>
            </w:pPr>
            <w:r>
              <w:rPr>
                <w:rFonts w:ascii="Times New Roman" w:cs="Times New Roman" w:eastAsia="Times New Roman" w:hAnsi="Times New Roman"/>
                <w:sz w:val="18"/>
                <w:szCs w:val="18"/>
                <w:color w:val="auto"/>
              </w:rPr>
              <w:t>$0.00014760 </w:t>
            </w:r>
          </w:p>
        </w:tc>
        <w:tc>
          <w:tcPr>
            <w:tcW w:w="1100" w:type="dxa"/>
            <w:vAlign w:val="bottom"/>
            <w:tcBorders>
              <w:bottom w:val="single" w:sz="8" w:color="auto"/>
              <w:right w:val="single" w:sz="8" w:color="auto"/>
            </w:tcBorders>
          </w:tcPr>
          <w:p>
            <w:pPr>
              <w:jc w:val="center"/>
              <w:ind w:left="60"/>
              <w:spacing w:after="0"/>
              <w:rPr>
                <w:sz w:val="20"/>
                <w:szCs w:val="20"/>
                <w:color w:val="auto"/>
              </w:rPr>
            </w:pPr>
            <w:r>
              <w:rPr>
                <w:rFonts w:ascii="Times New Roman" w:cs="Times New Roman" w:eastAsia="Times New Roman" w:hAnsi="Times New Roman"/>
                <w:sz w:val="18"/>
                <w:szCs w:val="18"/>
                <w:color w:val="auto"/>
                <w:w w:val="99"/>
              </w:rPr>
              <w:t>$3,315.25</w:t>
            </w:r>
          </w:p>
        </w:tc>
        <w:tc>
          <w:tcPr>
            <w:tcW w:w="0" w:type="dxa"/>
            <w:vAlign w:val="bottom"/>
          </w:tcPr>
          <w:p>
            <w:pPr>
              <w:spacing w:after="0"/>
              <w:rPr>
                <w:sz w:val="1"/>
                <w:szCs w:val="1"/>
                <w:color w:val="auto"/>
              </w:rPr>
            </w:pPr>
          </w:p>
        </w:tc>
      </w:tr>
      <w:tr>
        <w:trPr>
          <w:trHeight w:val="232"/>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gridSpan w:val="2"/>
          </w:tcPr>
          <w:p>
            <w:pPr>
              <w:jc w:val="center"/>
              <w:ind w:left="2040"/>
              <w:spacing w:after="0"/>
              <w:rPr>
                <w:sz w:val="20"/>
                <w:szCs w:val="20"/>
                <w:color w:val="auto"/>
              </w:rPr>
            </w:pPr>
            <w:r>
              <w:rPr>
                <w:rFonts w:ascii="Times New Roman" w:cs="Times New Roman" w:eastAsia="Times New Roman" w:hAnsi="Times New Roman"/>
                <w:sz w:val="18"/>
                <w:szCs w:val="18"/>
                <w:color w:val="auto"/>
                <w:w w:val="99"/>
              </w:rPr>
              <w:t>Total Offering Amounts</w:t>
            </w: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left="100"/>
              <w:spacing w:after="0"/>
              <w:rPr>
                <w:sz w:val="20"/>
                <w:szCs w:val="20"/>
                <w:color w:val="auto"/>
              </w:rPr>
            </w:pPr>
            <w:r>
              <w:rPr>
                <w:rFonts w:ascii="Times New Roman" w:cs="Times New Roman" w:eastAsia="Times New Roman" w:hAnsi="Times New Roman"/>
                <w:sz w:val="18"/>
                <w:szCs w:val="18"/>
                <w:color w:val="auto"/>
                <w:w w:val="99"/>
              </w:rPr>
              <w:t>$3,315.25</w:t>
            </w:r>
          </w:p>
        </w:tc>
        <w:tc>
          <w:tcPr>
            <w:tcW w:w="0" w:type="dxa"/>
            <w:vAlign w:val="bottom"/>
          </w:tcPr>
          <w:p>
            <w:pPr>
              <w:spacing w:after="0"/>
              <w:rPr>
                <w:sz w:val="1"/>
                <w:szCs w:val="1"/>
                <w:color w:val="auto"/>
              </w:rPr>
            </w:pPr>
          </w:p>
        </w:tc>
      </w:tr>
      <w:tr>
        <w:trPr>
          <w:trHeight w:val="237"/>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gridSpan w:val="2"/>
          </w:tcPr>
          <w:p>
            <w:pPr>
              <w:jc w:val="center"/>
              <w:ind w:left="2060"/>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ind w:left="25"/>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gridSpan w:val="2"/>
          </w:tcPr>
          <w:p>
            <w:pPr>
              <w:jc w:val="center"/>
              <w:ind w:left="2060"/>
              <w:spacing w:after="0"/>
              <w:rPr>
                <w:sz w:val="20"/>
                <w:szCs w:val="20"/>
                <w:color w:val="auto"/>
              </w:rPr>
            </w:pPr>
            <w:r>
              <w:rPr>
                <w:rFonts w:ascii="Times New Roman" w:cs="Times New Roman" w:eastAsia="Times New Roman" w:hAnsi="Times New Roman"/>
                <w:sz w:val="18"/>
                <w:szCs w:val="18"/>
                <w:color w:val="auto"/>
                <w:w w:val="99"/>
              </w:rPr>
              <w:t>Total Fee Offsets</w:t>
            </w: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center"/>
              <w:ind w:left="25"/>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left="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6"/>
        </w:trPr>
        <w:tc>
          <w:tcPr>
            <w:tcW w:w="900" w:type="dxa"/>
            <w:vAlign w:val="bottom"/>
            <w:tcBorders>
              <w:left w:val="single" w:sz="8" w:color="auto"/>
              <w:bottom w:val="single" w:sz="8" w:color="auto"/>
              <w:right w:val="single" w:sz="8" w:color="auto"/>
            </w:tcBorders>
          </w:tcPr>
          <w:p>
            <w:pPr>
              <w:spacing w:after="0"/>
              <w:rPr>
                <w:sz w:val="20"/>
                <w:szCs w:val="20"/>
                <w:color w:val="auto"/>
              </w:rPr>
            </w:pPr>
          </w:p>
        </w:tc>
        <w:tc>
          <w:tcPr>
            <w:tcW w:w="4300" w:type="dxa"/>
            <w:vAlign w:val="bottom"/>
            <w:tcBorders>
              <w:bottom w:val="single" w:sz="8" w:color="auto"/>
            </w:tcBorders>
            <w:gridSpan w:val="2"/>
          </w:tcPr>
          <w:p>
            <w:pPr>
              <w:jc w:val="center"/>
              <w:ind w:left="2040"/>
              <w:spacing w:after="0"/>
              <w:rPr>
                <w:sz w:val="20"/>
                <w:szCs w:val="20"/>
                <w:color w:val="auto"/>
              </w:rPr>
            </w:pPr>
            <w:r>
              <w:rPr>
                <w:rFonts w:ascii="Times New Roman" w:cs="Times New Roman" w:eastAsia="Times New Roman" w:hAnsi="Times New Roman"/>
                <w:sz w:val="18"/>
                <w:szCs w:val="18"/>
                <w:color w:val="auto"/>
                <w:w w:val="98"/>
              </w:rPr>
              <w:t>Net Fee Due</w:t>
            </w: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left="100"/>
              <w:spacing w:after="0"/>
              <w:rPr>
                <w:sz w:val="20"/>
                <w:szCs w:val="20"/>
                <w:color w:val="auto"/>
              </w:rPr>
            </w:pPr>
            <w:r>
              <w:rPr>
                <w:rFonts w:ascii="Times New Roman" w:cs="Times New Roman" w:eastAsia="Times New Roman" w:hAnsi="Times New Roman"/>
                <w:sz w:val="18"/>
                <w:szCs w:val="18"/>
                <w:color w:val="auto"/>
                <w:w w:val="99"/>
              </w:rPr>
              <w:t>$3,315.25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40" w:hanging="424"/>
        <w:spacing w:after="0" w:line="254"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shares of common stock, par value $0.0001 per share (the “common stock”) of Prelude Therapeutics Incorporated (the “Registrant”) that will be offered for resale by the selling stockholders pursuant to the prospectus to which this exhibit is attached. Pursuant to Rule 416 under the Securities Act of 1933, as amended (the “Securities Act”), the shares being registered hereunder include such indeterminate number of additional shares of common stock as may be issuable as a result of stock splits, stock dividends or similar transactions with respect to the shares being registered hereunder.</w:t>
      </w:r>
    </w:p>
    <w:p>
      <w:pPr>
        <w:spacing w:after="0" w:line="3" w:lineRule="exact"/>
        <w:rPr>
          <w:rFonts w:ascii="Times New Roman" w:cs="Times New Roman" w:eastAsia="Times New Roman" w:hAnsi="Times New Roman"/>
          <w:sz w:val="18"/>
          <w:szCs w:val="18"/>
          <w:color w:val="auto"/>
        </w:rPr>
      </w:pPr>
    </w:p>
    <w:p>
      <w:pPr>
        <w:ind w:left="424" w:right="820" w:hanging="424"/>
        <w:spacing w:after="0" w:line="250"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aggregate of 7,936,759 shares of the Registrant’s common stock issuable upon the exercise of pre-funded warrants of the Registrant.</w:t>
      </w:r>
    </w:p>
    <w:p>
      <w:pPr>
        <w:ind w:left="424" w:right="40" w:hanging="424"/>
        <w:spacing w:after="0" w:line="255" w:lineRule="auto"/>
        <w:tabs>
          <w:tab w:leader="none" w:pos="4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offering price per share has been estimated solely for the purpose of calculating the registration fee. The registration fee has been calculated in accordance with Rule 457(c) under the Securities Act based on the average high and low prices reported for the Registrant’s common stock on February 8,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07"/>
    </w:lvl>
  </w:abstractNum>
  <w:abstractNum w:abstractNumId="15">
    <w:nsid w:val="431BD7B7"/>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3F2DBA3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17">
    <w:nsid w:val="7C83E458"/>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8">
    <w:nsid w:val="257130A3"/>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jpe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82"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jpeg"/><Relationship Id="rId88" Type="http://schemas.openxmlformats.org/officeDocument/2006/relationships/image" Target="media/image71.jpeg"/><Relationship Id="rId89" Type="http://schemas.openxmlformats.org/officeDocument/2006/relationships/image" Target="media/image72.png"/><Relationship Id="rId90" Type="http://schemas.openxmlformats.org/officeDocument/2006/relationships/image" Target="media/image73.png"/><Relationship Id="rId39" Type="http://schemas.openxmlformats.org/officeDocument/2006/relationships/hyperlink" Target="http://www.sec.gov/ix?doc=/Archives/edgar/data/1678660/000095017024016016/prld-20231231.htm" TargetMode="External"/><Relationship Id="rId40" Type="http://schemas.openxmlformats.org/officeDocument/2006/relationships/hyperlink" Target="http://www.sec.gov/Archives/edgar/data/1678660/000119312520246935/d899345d8a12b.htm" TargetMode="External"/><Relationship Id="rId41" Type="http://schemas.openxmlformats.org/officeDocument/2006/relationships/hyperlink" Target="http://www.sec.gov/Archives/edgar/data/1678660/000095017024016016/prld-ex4_5.htm" TargetMode="External"/><Relationship Id="rId76" Type="http://schemas.openxmlformats.org/officeDocument/2006/relationships/hyperlink" Target="http://www.sec.gov/Archives/edgar/data/1678660/000095017023037611/prld-ex3_1.htm" TargetMode="External"/><Relationship Id="rId77" Type="http://schemas.openxmlformats.org/officeDocument/2006/relationships/hyperlink" Target="http://www.sec.gov/Archives/edgar/data/1678660/000095017023001023/prld-ex3_1.htm" TargetMode="External"/><Relationship Id="rId78" Type="http://schemas.openxmlformats.org/officeDocument/2006/relationships/hyperlink" Target="http://www.sec.gov/Archives/edgar/data/1678660/000119312520246920/d935180dex41.htm" TargetMode="External"/><Relationship Id="rId79" Type="http://schemas.openxmlformats.org/officeDocument/2006/relationships/hyperlink" Target="http://www.sec.gov/Archives/edgar/data/1678660/000119312520240138/d935180dex42.htm" TargetMode="External"/><Relationship Id="rId80" Type="http://schemas.openxmlformats.org/officeDocument/2006/relationships/hyperlink" Target="http://www.sec.gov/Archives/edgar/data/1678660/000095017024016016/prld-ex4_4.htm" TargetMode="External"/><Relationship Id="rId81" Type="http://schemas.openxmlformats.org/officeDocument/2006/relationships/hyperlink" Target="http://www.sec.gov/Archives/edgar/data/1678660/000095017023069210/prld-ex4_1.htm" TargetMode="External"/><Relationship Id="rId83" Type="http://schemas.openxmlformats.org/officeDocument/2006/relationships/hyperlink" Target="http://www.sec.gov/Archives/edgar/data/1678660/000095017024016016/prld-ex10_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2024-02-16T05:09:02Z</dcterms:created>
  <dcterms:modified xsi:type="dcterms:W3CDTF">2024-02-16T05:09:02Z</dcterms:modified>
</cp:coreProperties>
</file>