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5" w:lineRule="exact"/>
        <w:rPr>
          <w:sz w:val="24"/>
          <w:szCs w:val="24"/>
          <w:color w:val="auto"/>
        </w:rPr>
      </w:pPr>
    </w:p>
    <w:p>
      <w:pPr>
        <w:ind w:left="3820" w:right="1620" w:hanging="3799"/>
        <w:spacing w:after="0" w:line="232" w:lineRule="auto"/>
        <w:tabs>
          <w:tab w:leader="none" w:pos="488"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6"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4"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80" w:type="dxa"/>
        <w:tblCellMar>
          <w:top w:w="0" w:type="dxa"/>
          <w:left w:w="0" w:type="dxa"/>
          <w:bottom w:w="0" w:type="dxa"/>
          <w:right w:w="0" w:type="dxa"/>
        </w:tblCellMar>
      </w:tblPr>
      <w:tr>
        <w:trPr>
          <w:trHeight w:val="230"/>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4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7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30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May 1, 2024, the registrant had 54,929,567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40" w:type="dxa"/>
            <w:vAlign w:val="bottom"/>
            <w:gridSpan w:val="21"/>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0" w:type="dxa"/>
            <w:vAlign w:val="bottom"/>
            <w:tcBorders>
              <w:top w:val="single" w:sz="8" w:color="0000FF"/>
              <w:bottom w:val="single" w:sz="8" w:color="0000EE"/>
            </w:tcBorders>
          </w:tcPr>
          <w:p>
            <w:pPr>
              <w:spacing w:after="0"/>
              <w:rPr>
                <w:sz w:val="18"/>
                <w:szCs w:val="18"/>
                <w:color w:val="auto"/>
              </w:rPr>
            </w:pPr>
          </w:p>
        </w:tc>
        <w:tc>
          <w:tcPr>
            <w:tcW w:w="700" w:type="dxa"/>
            <w:vAlign w:val="bottom"/>
            <w:tcBorders>
              <w:top w:val="single" w:sz="8" w:color="0000FF"/>
            </w:tcBorders>
            <w:gridSpan w:val="4"/>
          </w:tcPr>
          <w:p>
            <w:pPr>
              <w:spacing w:after="0"/>
              <w:rPr>
                <w:sz w:val="18"/>
                <w:szCs w:val="18"/>
                <w:color w:val="auto"/>
              </w:rPr>
            </w:pPr>
          </w:p>
        </w:tc>
        <w:tc>
          <w:tcPr>
            <w:tcW w:w="730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(Unaudited)</w:t>
            </w:r>
          </w:p>
        </w:tc>
        <w:tc>
          <w:tcPr>
            <w:tcW w:w="49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(Unaudited)</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Unaudited Interim Financial Statements</w:t>
            </w:r>
          </w:p>
        </w:tc>
        <w:tc>
          <w:tcPr>
            <w:tcW w:w="20" w:type="dxa"/>
            <w:vAlign w:val="bottom"/>
            <w:tcBorders>
              <w:bottom w:val="single" w:sz="8" w:color="0000EE"/>
            </w:tcBorders>
          </w:tcPr>
          <w:p>
            <w:pPr>
              <w:spacing w:after="0"/>
              <w:rPr>
                <w:sz w:val="18"/>
                <w:szCs w:val="18"/>
                <w:color w:val="auto"/>
              </w:rPr>
            </w:pPr>
          </w:p>
        </w:tc>
        <w:tc>
          <w:tcPr>
            <w:tcW w:w="60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vMerge w:val="continue"/>
          </w:tcPr>
          <w:p>
            <w:pPr>
              <w:spacing w:after="0"/>
              <w:rPr>
                <w:sz w:val="18"/>
                <w:szCs w:val="18"/>
                <w:color w:val="auto"/>
              </w:rPr>
            </w:pPr>
          </w:p>
        </w:tc>
        <w:tc>
          <w:tcPr>
            <w:tcW w:w="1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82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52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235,589</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247,106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0"/>
                <w:szCs w:val="20"/>
                <w:color w:val="auto"/>
              </w:rPr>
            </w:pPr>
          </w:p>
        </w:tc>
      </w:tr>
      <w:tr>
        <w:trPr>
          <w:trHeight w:val="241"/>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00" w:type="dxa"/>
            <w:vAlign w:val="bottom"/>
          </w:tcPr>
          <w:p>
            <w:pPr>
              <w:spacing w:after="0"/>
              <w:rPr>
                <w:sz w:val="20"/>
                <w:szCs w:val="20"/>
                <w:color w:val="auto"/>
              </w:rPr>
            </w:pPr>
          </w:p>
        </w:tc>
      </w:tr>
      <w:tr>
        <w:trPr>
          <w:trHeight w:val="241"/>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42,071,505 and</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42,063,995 shares issued and outstanding at March 31, 2024 and December 31, 2023, respectively</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1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12,850,259 shares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both March 31, 2024 and December 31, 2023</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698,785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(235 )</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(487,821 )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(456,390 )</w:t>
            </w:r>
          </w:p>
        </w:tc>
      </w:tr>
      <w:tr>
        <w:trPr>
          <w:trHeight w:val="237"/>
        </w:trPr>
        <w:tc>
          <w:tcPr>
            <w:tcW w:w="7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210,734</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tcBorders>
              <w:top w:val="single" w:sz="8" w:color="CFF0FC"/>
            </w:tcBorders>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247,106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-4088130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-3145155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-3128645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-1876425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-351155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20" w:type="dxa"/>
            <w:vAlign w:val="bottom"/>
          </w:tcPr>
          <w:p>
            <w:pPr>
              <w:spacing w:after="0"/>
              <w:rPr>
                <w:sz w:val="16"/>
                <w:szCs w:val="16"/>
                <w:color w:val="auto"/>
              </w:rPr>
            </w:pPr>
          </w:p>
        </w:tc>
        <w:tc>
          <w:tcPr>
            <w:tcW w:w="348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34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(34,343 )</w:t>
            </w:r>
          </w:p>
        </w:tc>
        <w:tc>
          <w:tcPr>
            <w:tcW w:w="4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(29,115 )</w:t>
            </w:r>
          </w:p>
        </w:tc>
        <w:tc>
          <w:tcPr>
            <w:tcW w:w="0" w:type="dxa"/>
            <w:vAlign w:val="bottom"/>
          </w:tcPr>
          <w:p>
            <w:pPr>
              <w:spacing w:after="0"/>
              <w:rPr>
                <w:sz w:val="1"/>
                <w:szCs w:val="1"/>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(31,431 )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(0.42 )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196"/>
        </w:trPr>
        <w:tc>
          <w:tcPr>
            <w:tcW w:w="73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75,735,954</w:t>
            </w:r>
          </w:p>
        </w:tc>
        <w:tc>
          <w:tcPr>
            <w:tcW w:w="3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47,737,190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(31,431 )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(458 )</w:t>
            </w: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(31,889 )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(26,424 )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-1302385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-1285240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-968375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-950595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tcBorders>
              <w:top w:val="single" w:sz="8" w:color="auto"/>
            </w:tcBorders>
            <w:gridSpan w:val="4"/>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8"/>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Borders>
              <w:bottom w:val="single" w:sz="8" w:color="auto"/>
            </w:tcBorders>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0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12,850,25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(456,39</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42,063,995</w:t>
            </w:r>
          </w:p>
        </w:tc>
        <w:tc>
          <w:tcPr>
            <w:tcW w:w="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$ 693,252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FF0FC"/>
          </w:tcPr>
          <w:p>
            <w:pPr>
              <w:spacing w:after="0"/>
              <w:rPr>
                <w:sz w:val="21"/>
                <w:szCs w:val="21"/>
                <w:color w:val="auto"/>
              </w:rPr>
            </w:pP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net of 4,285 shares withheld for</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8"/>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78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(458 )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3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tcPr>
          <w:p>
            <w:pPr>
              <w:spacing w:after="0"/>
              <w:rPr>
                <w:sz w:val="20"/>
                <w:szCs w:val="20"/>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(31,431 )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(31,431 )</w:t>
            </w:r>
          </w:p>
        </w:tc>
        <w:tc>
          <w:tcPr>
            <w:tcW w:w="0" w:type="dxa"/>
            <w:vAlign w:val="bottom"/>
          </w:tcPr>
          <w:p>
            <w:pPr>
              <w:spacing w:after="0"/>
              <w:rPr>
                <w:sz w:val="1"/>
                <w:szCs w:val="1"/>
                <w:color w:val="auto"/>
              </w:rPr>
            </w:pPr>
          </w:p>
        </w:tc>
      </w:tr>
      <w:tr>
        <w:trPr>
          <w:trHeight w:val="209"/>
        </w:trPr>
        <w:tc>
          <w:tcPr>
            <w:tcW w:w="30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gridSpan w:val="2"/>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(487,82</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42,071,505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$ 698,785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7"/>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bottom w:val="single" w:sz="8" w:color="auto"/>
            </w:tcBorders>
            <w:gridSpan w:val="7"/>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0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7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36,496,99</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11,402,03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(334,55</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$ 531,682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(1,692 )</w:t>
            </w:r>
          </w:p>
        </w:tc>
        <w:tc>
          <w:tcPr>
            <w:tcW w:w="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6,256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(27,718 )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09"/>
        </w:trPr>
        <w:tc>
          <w:tcPr>
            <w:tcW w:w="2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36,514,21</w:t>
            </w:r>
          </w:p>
        </w:tc>
        <w:tc>
          <w:tcPr>
            <w:tcW w:w="26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11,402,03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(362,27</w:t>
            </w:r>
          </w:p>
        </w:tc>
        <w:tc>
          <w:tcPr>
            <w:tcW w:w="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$ 537,966</w:t>
            </w:r>
          </w:p>
        </w:tc>
        <w:tc>
          <w:tcPr>
            <w:tcW w:w="2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(398 )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-2750820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-2750820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-2750820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-2750820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-2750820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-2750820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-2750820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-290830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-290830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-290830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-290830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-290830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-290830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-290830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8255</wp:posOffset>
            </wp:positionV>
            <wp:extent cx="52546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5462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-127635</wp:posOffset>
            </wp:positionV>
            <wp:extent cx="52546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546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1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(1,541 )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(5,692 )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(1,903 )</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(6,610 )</w:t>
            </w: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(30,134 )</w:t>
            </w:r>
          </w:p>
        </w:tc>
        <w:tc>
          <w:tcPr>
            <w:tcW w:w="0" w:type="dxa"/>
            <w:vAlign w:val="bottom"/>
          </w:tcPr>
          <w:p>
            <w:pPr>
              <w:spacing w:after="0"/>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(7,191 )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(810 )</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(12,404 )</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 and accrued expenses and other current liabilities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(458 )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-2939415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-1988185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-1362075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-719455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-702310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-384810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-367665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$487.8 million at March 31, 2024. The Company has no revenue to-date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The Company believes its cash, cash equivalents, and marketable securities as of March 31, 2024 will be sufficient to fund its operating expenses and capital expenditure requirements for at least the next twelve months from the filing date of this Quarterly Report on Form 10-Q.</w:t>
      </w:r>
    </w:p>
    <w:p>
      <w:pPr>
        <w:spacing w:after="0" w:line="162"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financial statements for the year ended December 31, 2023 can be found in “Note 3. Summary of significant accounting policies” of the Company’s Annual Report on Form 10-K filed with the Securities and Exchange Commission (the “SEC”) on February 15, 2024. Those policies have not materially changed.</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479"/>
        <w:spacing w:after="0" w:line="274" w:lineRule="auto"/>
        <w:rPr>
          <w:sz w:val="20"/>
          <w:szCs w:val="20"/>
          <w:color w:val="auto"/>
        </w:rPr>
      </w:pPr>
      <w:r>
        <w:rPr>
          <w:rFonts w:ascii="Times New Roman" w:cs="Times New Roman" w:eastAsia="Times New Roman" w:hAnsi="Times New Roman"/>
          <w:sz w:val="17"/>
          <w:szCs w:val="17"/>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months ended March 31, 2024 are not necessarily indicative of the results that may be expected for the year ending December 31, 2024. The accompanying unaudited interim financial statements should be read in conjunction with the annual audited financial statements and related notes as of and for the year ended December 31, 2023 found in the Company's Annual Report on Form 10-K filed with the SEC on February 15, 2024. Any reference in these notes to applicable guidance is meant to refer to GAAP as found in the Accounting Standards Codification (“ASC”) and Accounting Standards Updates (“ASU”) of the Financial Accounting Standards Board (“FASB”).</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March 31, 2024 and December 31, 2023.</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 for further details.</w:t>
      </w:r>
    </w:p>
    <w:p>
      <w:pPr>
        <w:spacing w:after="0" w:line="162"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r>
      <w:tr>
        <w:trPr>
          <w:trHeight w:val="27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shd w:val="clear" w:color="auto" w:fill="CFF0FC"/>
          </w:tcPr>
          <w:p>
            <w:pPr>
              <w:spacing w:after="0"/>
              <w:rPr>
                <w:sz w:val="24"/>
                <w:szCs w:val="24"/>
                <w:color w:val="auto"/>
              </w:rPr>
            </w:pPr>
          </w:p>
        </w:tc>
      </w:tr>
      <w:tr>
        <w:trPr>
          <w:trHeight w:val="633"/>
        </w:trPr>
        <w:tc>
          <w:tcPr>
            <w:tcW w:w="77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7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United States (“U.S.”) government debt securities, and agency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94"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3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23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131,468</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14,737,740</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11,868,020</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50,941</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51,837</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14,881,806</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12,215,075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 Improvements to Reportable Segment Disclosures. This ASU expands segment disclosures by requiring disclosure of significant segment expenses that are regularly provided to the chief operating decision maker and included within each reported measure of segment profit or loss, an amount for other segment items and a description of its composition, and interim disclosures of a reportable segment’s profit or loss and assets. The disclosures required under ASU 2023-07 are also required for public entities with a single reportable segment. The amendments in this ASU are effective for fiscal years beginning after December 15, 2023 and interim periods within fiscal years beginning after December 15, 2024. Early adoption is permitted. The Company is currently evaluating the impact of this standard but does not expect that it will have a material impact on the financial statements and related disclosures.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ASU 2023-09 requires enhanced income tax disclosures related to the rate reconciliation and income taxes paid information. For public business entities, the amendments in this ASU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100,827</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100" w:type="dxa"/>
            <w:vAlign w:val="bottom"/>
            <w:shd w:val="clear" w:color="auto" w:fill="CFF0FC"/>
          </w:tcPr>
          <w:p>
            <w:pPr>
              <w:spacing w:after="0"/>
              <w:rPr>
                <w:sz w:val="21"/>
                <w:szCs w:val="2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177,452</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207,421</w:t>
            </w:r>
          </w:p>
        </w:tc>
        <w:tc>
          <w:tcPr>
            <w:tcW w:w="3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shd w:val="clear" w:color="auto" w:fill="CFF0FC"/>
          </w:tcPr>
          <w:p>
            <w:pPr>
              <w:spacing w:after="0"/>
              <w:rPr>
                <w:sz w:val="22"/>
                <w:szCs w:val="22"/>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-1302385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-1302385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-1302385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22 months or less. As of March 31, 2024, the Company had 44 securities with a total fair market value of $166.3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60" w:type="dxa"/>
            <w:vAlign w:val="bottom"/>
            <w:gridSpan w:val="11"/>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9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6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8"/>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28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-4928235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-4928235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-4602480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-4585335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-4602480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-4585335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-3034030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-3034030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-2708275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-2691130</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-2708275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-2691130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-1096645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its Shelf Registration Statement, the Company entered into an Open Market Sales Agreement (the Sales Agreement) with Jefferies LLC, as the sales agent, pursuant to which the Company may offer and sell shares of its common stock having an aggregate offering amount of up to $75.0 million. The $75.0 million of common stock that may be issued and sold pursuant to the Sales Agreement is included in the $400.0 million of securities that may be issued and sold pursuant to the Shelf Registration Statement. The Company will pay Jefferies LLC a commission rate of up to 3.0% of the aggregate gross proceeds from the sale of any shares of common stock pursuant to the Sales Agreement. At March 31, 2024, there was $75.0 million remaining under the Sales Agreement.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2023 financings</w:t>
      </w:r>
    </w:p>
    <w:p>
      <w:pPr>
        <w:spacing w:after="0" w:line="12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to the Company of $113.0 million. Of the voting common stock issued, 2,264,456 shares were purchased by the Company’s underwriters in connection with a 30-day option at a price of $5.75 per share. Offering costs of $2.6 million, of which $0.3 million were previously paid and deferred, were recorded to additional paid-in capital in the accompanying balance sheets, resulting in net proceeds of $110.4 million.</w:t>
      </w:r>
    </w:p>
    <w:p>
      <w:pPr>
        <w:spacing w:after="0" w:line="79"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represents the per share offering price for the common stock, minus the $0.0001 per share exercise price of such pre-funded warrant. As of March 31, 2024, no pre-funded warrants had been exercised.</w:t>
      </w:r>
    </w:p>
    <w:p>
      <w:pPr>
        <w:spacing w:after="0" w:line="5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conduct any financings during the first quarter of 2024.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00" w:firstLine="479"/>
        <w:spacing w:after="0" w:line="273" w:lineRule="auto"/>
        <w:rPr>
          <w:sz w:val="20"/>
          <w:szCs w:val="20"/>
          <w:color w:val="auto"/>
        </w:rPr>
      </w:pPr>
      <w:r>
        <w:rPr>
          <w:rFonts w:ascii="Times New Roman" w:cs="Times New Roman" w:eastAsia="Times New Roman" w:hAnsi="Times New Roman"/>
          <w:sz w:val="17"/>
          <w:szCs w:val="17"/>
          <w:color w:val="auto"/>
        </w:rPr>
        <w:t>The Company leases office and laboratory space in Wilmington, Delaware under a noncancelable lease (the “Chestnut Run Lease”). The premises include approximately 81,000 rentable square feet and has an initial term of 162 months with 3 five-year extension options and certain expansion rights. Neither the option to extend nor the expansion rights were recognized as part of the Company's measurement of the right-of-use ("ROU") asset and operating lease liability as of March 31, 2024.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 The discount rate used to account for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right="200"/>
        <w:spacing w:after="0" w:line="282" w:lineRule="auto"/>
        <w:rPr>
          <w:sz w:val="20"/>
          <w:szCs w:val="20"/>
          <w:color w:val="auto"/>
        </w:rPr>
      </w:pPr>
      <w:r>
        <w:rPr>
          <w:rFonts w:ascii="Times New Roman" w:cs="Times New Roman" w:eastAsia="Times New Roman" w:hAnsi="Times New Roman"/>
          <w:sz w:val="18"/>
          <w:szCs w:val="18"/>
          <w:color w:val="auto"/>
        </w:rPr>
        <w:t>Company’s operating lease under ASC 842, Leases, was the Company’s estimated incremental borrowing rate on the commencement date of 15.0%. The Company's incremental borrowing rate reflects a collateralized borrowing with a similar term and amount as the Chestnut Run Lease.</w:t>
      </w:r>
    </w:p>
    <w:p>
      <w:pPr>
        <w:spacing w:after="0" w:line="54"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Lease cost for the three months ended March 31, 2024 and 2023 was $1.1 million and $0.5 million, respectively. Cash paid for amounts included in the measurement of operating lease liabilities for the three months ended March 31, 2024 and 2023 was nil and $0.5 million,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remaining lease term of the Chestnut Run Lease is 13.2 years and future minimum annual lease payments at March 31,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FF0FC"/>
          </w:tcPr>
          <w:p>
            <w:pPr>
              <w:spacing w:after="0"/>
              <w:rPr>
                <w:sz w:val="21"/>
                <w:szCs w:val="21"/>
                <w:color w:val="auto"/>
              </w:rPr>
            </w:pP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FF0FC"/>
          </w:tcPr>
          <w:p>
            <w:pPr>
              <w:spacing w:after="0"/>
              <w:rPr>
                <w:sz w:val="21"/>
                <w:szCs w:val="21"/>
                <w:color w:val="auto"/>
              </w:rPr>
            </w:pP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FF0FC"/>
          </w:tcPr>
          <w:p>
            <w:pPr>
              <w:spacing w:after="0"/>
              <w:rPr>
                <w:sz w:val="21"/>
                <w:szCs w:val="21"/>
                <w:color w:val="auto"/>
              </w:rPr>
            </w:pP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20"/>
                <w:szCs w:val="20"/>
                <w:color w:val="auto"/>
              </w:rPr>
            </w:pP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100" w:type="dxa"/>
            <w:vAlign w:val="bottom"/>
          </w:tcPr>
          <w:p>
            <w:pPr>
              <w:spacing w:after="0"/>
              <w:rPr>
                <w:sz w:val="20"/>
                <w:szCs w:val="20"/>
                <w:color w:val="auto"/>
              </w:rPr>
            </w:pPr>
          </w:p>
        </w:tc>
      </w:tr>
      <w:tr>
        <w:trPr>
          <w:trHeight w:val="23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(25,652 )</w:t>
            </w:r>
          </w:p>
        </w:tc>
      </w:tr>
      <w:tr>
        <w:trPr>
          <w:trHeight w:val="237"/>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Current lease liability</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accompanying balance sheet as restricted cash as of March 31, 2024. The security deposit may be reduced to $0.5 million over time in accordance with the terms of the Chestnut Run Lease.</w:t>
      </w:r>
    </w:p>
    <w:p>
      <w:pPr>
        <w:spacing w:after="0" w:line="176"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met the minimum requirements stated in the grant agreement in order to not be required to pay back any portion of the $3.4 million disbursed. The Company deferred the recognition of these grant funds as they relate to capitalized costs and has classified them as long-term liabilities in the accompanying balance sheet. The Company recognizes the grant funds in other income as grant income over the length of the lease term. Additionally, if the Company leaves the State of Delaware within five years of the disbursement, the Company is required to return an amount equal to the amount of grant funds disbursed on a pro-rated basis.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46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both the three months ended March 31, 2024 and 2023, the Company made matching contributions of $0.2 million.</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40"/>
        <w:spacing w:after="0" w:line="255" w:lineRule="auto"/>
        <w:rPr>
          <w:sz w:val="20"/>
          <w:szCs w:val="20"/>
          <w:color w:val="auto"/>
        </w:rPr>
      </w:pPr>
      <w:r>
        <w:rPr>
          <w:rFonts w:ascii="Times New Roman" w:cs="Times New Roman" w:eastAsia="Times New Roman" w:hAnsi="Times New Roman"/>
          <w:sz w:val="18"/>
          <w:szCs w:val="18"/>
          <w:color w:val="auto"/>
        </w:rPr>
        <w:t>scope of ASC 808, Collaborative Arrangements, as both parties will actively participate in joint operating activities and are exposed to significant risks and rewards. Under ASC 808, certain transactions between collaborative arrangement participants should follow the accounting for revenue under ASC 606, Revenue from Contracts with Customers, when the collaborative arrangement participant is a customer for a distinct good or service. The Company determined that co-development arrangement as defined in our agreement with AbCellera does not meet the definition of a customer as defined by ASC</w:t>
      </w:r>
    </w:p>
    <w:p>
      <w:pPr>
        <w:spacing w:after="0" w:line="3" w:lineRule="exact"/>
        <w:rPr>
          <w:sz w:val="20"/>
          <w:szCs w:val="20"/>
          <w:color w:val="auto"/>
        </w:rPr>
      </w:pPr>
    </w:p>
    <w:p>
      <w:pPr>
        <w:ind w:right="40" w:firstLine="8"/>
        <w:spacing w:after="0" w:line="260"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these activities will be accounted for as research and development costs. Costs related to the AbCellera collaboration were not material for the three months ended March 31, 2024.</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5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clinical research organizations ("CROs") to assist in the performance of research and development activities. Expenditures to CROs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March 31, 2024, 4,904,812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2024, 2,745,712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56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656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68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16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3,071,300</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(230,836 )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14,737,740</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7,001,612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-2211070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-2193925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-205105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 March 31, 2024, the aggregate intrinsic value of outstanding options and exercisable options was $6.4 million and $5.8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2024 under the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82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$0.31</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$4.56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2,290,135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1,975,983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$4.57</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4,041,027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538,800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$5.01</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$10.34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3,689,654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$10.35 - $88.98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4,716,924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3,428,187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40" w:type="dxa"/>
            <w:vAlign w:val="bottom"/>
            <w:tcBorders>
              <w:bottom w:val="single" w:sz="8" w:color="CFF0FC"/>
            </w:tcBorders>
            <w:shd w:val="clear" w:color="auto" w:fill="CFF0FC"/>
          </w:tcPr>
          <w:p>
            <w:pPr>
              <w:spacing w:after="0"/>
              <w:rPr>
                <w:sz w:val="23"/>
                <w:szCs w:val="23"/>
                <w:color w:val="auto"/>
              </w:rPr>
            </w:pPr>
          </w:p>
        </w:tc>
        <w:tc>
          <w:tcPr>
            <w:tcW w:w="4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14,737,740</w:t>
            </w: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7,001,612</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$3.40 and $5.12 per option for the three months ended March 31, 2024 and 2023, respectively. The Company recorded stock-based compensation expense of $5.3 million and $5.9 million for the three months ended March 31, 2024 and 2023, respectively, related to stock options. As of March 31, 2024, the total unrecognized compensation expense related to unvested stock option awards was $40.9 million, which the Company expects to recognize over a weighted-average period of 2.31 years.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85.12 %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83.55 %</w:t>
            </w:r>
          </w:p>
        </w:tc>
      </w:tr>
      <w:tr>
        <w:trPr>
          <w:trHeight w:val="24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50"/>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229"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9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2024</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firstLine="47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and $0.2 million for the three months ended March 31, 2024 and 2023, respectively, related to RSAs. As of March 31, 2024, there was no unrecognized expense related to RSAs.</w:t>
      </w:r>
    </w:p>
    <w:p>
      <w:pPr>
        <w:spacing w:after="0" w:line="162"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2024</w:t>
            </w:r>
          </w:p>
        </w:tc>
        <w:tc>
          <w:tcPr>
            <w:tcW w:w="5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60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2024</w:t>
            </w:r>
          </w:p>
        </w:tc>
        <w:tc>
          <w:tcPr>
            <w:tcW w:w="360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93,125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100" w:type="dxa"/>
            <w:vAlign w:val="bottom"/>
          </w:tcPr>
          <w:p>
            <w:pPr>
              <w:spacing w:after="0"/>
              <w:rPr>
                <w:sz w:val="24"/>
                <w:szCs w:val="24"/>
                <w:color w:val="auto"/>
              </w:rPr>
            </w:pPr>
          </w:p>
        </w:tc>
        <w:tc>
          <w:tcPr>
            <w:tcW w:w="36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1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5" w:name="page16"/>
    <w:bookmarkEnd w:id="15"/>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for both the three months ended March 31, 2024 and 2023, related to RSUs. At March 31, 2024, the total unrecognized expense related to the RSUs was $0.5 million, which the Company expects to recognize over 1.87 years.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March 31, 2024, had 2,168,434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2024, 549,142 shares were added to the ESPP.</w:t>
      </w:r>
    </w:p>
    <w:p>
      <w:pPr>
        <w:spacing w:after="0" w:line="187" w:lineRule="exact"/>
        <w:rPr>
          <w:sz w:val="20"/>
          <w:szCs w:val="20"/>
          <w:color w:val="auto"/>
        </w:rPr>
      </w:pPr>
    </w:p>
    <w:p>
      <w:pPr>
        <w:ind w:right="26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for each of the three months ended March 31, 2024 and 2023, related to the ESPP.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6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February 15, 2024, or our 2023 Annual Report on Form 10-K. These forward-looking statements may include, but are not limited to, statements regarding our future results of operations and financial position, inflation and interest rate risk, a potential recession, a potential temporary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76"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validated by our steady progress in creating a wholly-owned, internally developed pipeline. We also began work with our partner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 Our SMARCA2 molecule is a unique, first-in-class protein degrader, targeting specific patient populations. Our CDK9 inhibitor is selective and potent, with a potentially superior safety profile over first-generation CDK9 inhibitors. Our next generation CDK4/6 inhibitor is specifically designed to be brain and tissue penetrant.</w:t>
      </w:r>
    </w:p>
    <w:p>
      <w:pPr>
        <w:spacing w:after="0" w:line="72"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Our novel, first-in-class SMARCA2 degrader compounds and our potent, highly selective and potentially best-in-class CDK9 inhibitor represent our best opportunities for demonstrating clinical proof-of-concept in 2024 and advancing into potential Phase 2/3 registration studies. In 2023, we also announced a global partnership with AbCellera Biologics Incorporated ("AbCellera") that will allow us to combine our small molecules and degraders expertise with their antibody expertise to develop precision antibody drug conjugates. We also intend to explore continued clinical development with external partners for our CDK4/6.</w:t>
      </w:r>
    </w:p>
    <w:p>
      <w:pPr>
        <w:spacing w:after="0" w:line="75" w:lineRule="exact"/>
        <w:rPr>
          <w:sz w:val="20"/>
          <w:szCs w:val="20"/>
          <w:color w:val="auto"/>
        </w:rPr>
      </w:pPr>
    </w:p>
    <w:p>
      <w:pPr>
        <w:ind w:right="260" w:firstLine="524"/>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500" w:firstLine="479"/>
        <w:spacing w:after="0" w:line="312" w:lineRule="auto"/>
        <w:rPr>
          <w:sz w:val="20"/>
          <w:szCs w:val="20"/>
          <w:color w:val="auto"/>
        </w:rPr>
      </w:pPr>
      <w:r>
        <w:rPr>
          <w:rFonts w:ascii="Times New Roman" w:cs="Times New Roman" w:eastAsia="Times New Roman" w:hAnsi="Times New Roman"/>
          <w:sz w:val="17"/>
          <w:szCs w:val="17"/>
          <w:color w:val="auto"/>
        </w:rPr>
        <w:t>Patients with SMARCA4 mutations or deletions have poor prognosis and limited treatment options. Therefore, mutated or deleted SMARCA4 cancers provide a potential biomarker to select those patients most likely to respond to treatment with a highly selective SMARCA2 degrader.</w:t>
      </w:r>
    </w:p>
    <w:p>
      <w:pPr>
        <w:spacing w:after="0" w:line="32"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PRT3789 is currently in Phase 1 clinical development in biomarker selected SMARCA4 mutant patients. To date, PRT3789 has demonstrated selective, potent and dose dependent degradation of SMARCA2 with an acceptable safety profile. Based on PK/PD and safety data to date, the Company expects to conclude monotherapy dose escalation in the middle of 2024 and identify recommended phase 2 doses. In addition, enrollment of patients into back-fill cohorts enriched for NSCLC and SMARCA4 loss-of-function mutations is ongoing. Objectives for this first Phase 1 clinical trial are to establish the safety and tolerability profile of PRT3789 as both monotherapy and in combination with docetaxel, evaluate activity, pharmacokinetics and pharmacodynamics and determine a dose and potential indications for advancement into a registrational clinical trial. We expect to present initial data in the second half of 2024 from patients currently enrolled in the Phase 1 trial.</w:t>
      </w:r>
    </w:p>
    <w:p>
      <w:pPr>
        <w:spacing w:after="0" w:line="81"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Our discovery team has identified a series of highly selective and orally bioavailable SMARCA2 degraders. The lead oral molecule, PRT7732, is currently in IND enabling studies and on track to enter Phase 1 clinical development in the second half of 2024. PRT7732 is structurally distinct from PRT3789 and in addition, may provide clinically meaningful differences, including potential utility in earlier lines of therapy.</w:t>
      </w:r>
    </w:p>
    <w:p>
      <w:pPr>
        <w:spacing w:after="0" w:line="68" w:lineRule="exact"/>
        <w:rPr>
          <w:sz w:val="20"/>
          <w:szCs w:val="20"/>
          <w:color w:val="auto"/>
        </w:rPr>
      </w:pPr>
    </w:p>
    <w:p>
      <w:pPr>
        <w:ind w:right="80" w:firstLine="479"/>
        <w:spacing w:after="0" w:line="260" w:lineRule="auto"/>
        <w:rPr>
          <w:sz w:val="20"/>
          <w:szCs w:val="20"/>
          <w:color w:val="auto"/>
        </w:rPr>
      </w:pPr>
      <w:r>
        <w:rPr>
          <w:rFonts w:ascii="Times New Roman" w:cs="Times New Roman" w:eastAsia="Times New Roman" w:hAnsi="Times New Roman"/>
          <w:sz w:val="18"/>
          <w:szCs w:val="18"/>
          <w:color w:val="auto"/>
        </w:rPr>
        <w:t>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77"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We believe PRT2527 has the potential to avoid off-target toxicities, achieve substantial clinical activity and to become the best-in-class CDK9 inhibitor for hematologic malignancies.</w:t>
      </w:r>
    </w:p>
    <w:p>
      <w:pPr>
        <w:spacing w:after="0" w:line="54"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8"/>
          <w:szCs w:val="18"/>
          <w:color w:val="auto"/>
        </w:rPr>
        <w:t>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w:t>
      </w:r>
    </w:p>
    <w:p>
      <w:pPr>
        <w:spacing w:after="0" w:line="7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w:t>
      </w:r>
    </w:p>
    <w:p>
      <w:pPr>
        <w:spacing w:after="0" w:line="68" w:lineRule="exact"/>
        <w:rPr>
          <w:sz w:val="20"/>
          <w:szCs w:val="20"/>
          <w:color w:val="auto"/>
        </w:rPr>
      </w:pPr>
    </w:p>
    <w:p>
      <w:pPr>
        <w:ind w:right="120" w:firstLine="479"/>
        <w:spacing w:after="0" w:line="274" w:lineRule="auto"/>
        <w:rPr>
          <w:sz w:val="20"/>
          <w:szCs w:val="20"/>
          <w:color w:val="auto"/>
        </w:rPr>
      </w:pPr>
      <w:r>
        <w:rPr>
          <w:rFonts w:ascii="Times New Roman" w:cs="Times New Roman" w:eastAsia="Times New Roman" w:hAnsi="Times New Roman"/>
          <w:sz w:val="17"/>
          <w:szCs w:val="17"/>
          <w:color w:val="auto"/>
        </w:rPr>
        <w:t>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 The overall safety profile observed in this study supports further development of PRT2527 in hematologic malignancies (NCT05665530). In this study, PRT2527 is advancing as monotherapy in hematological indications, such as B-cell malignancies and acute myeloid leukemia (AML), and we have initiated the combination with zanubrutinib in B-cell malignancies. We expect to complete the monotherapy dose escalation in B-cell malignancies in the middle of 2024. A second cohort of patients with AML is expected to initiate in the first half of 2024.</w:t>
      </w:r>
    </w:p>
    <w:p>
      <w:pPr>
        <w:spacing w:after="0" w:line="65"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auto"/>
        </w:rPr>
        <w:t>Our MCL1 candidate, PRT1419, was designed to be a potent and selective inhibitor of the anti-apoptotic protein, MCL1. We concluded Phase 1 development of PRT1419 and established a confirmation dose in hematological malignancies. Based on the potential to address the intended patient population with the CDK9 inhibitor which potently inhibits MCL-1, we decided to prioritize our CDK9 inhibitor, PRT2527, and to discontinue development of PRT1419.</w:t>
      </w:r>
    </w:p>
    <w:p>
      <w:pPr>
        <w:spacing w:after="0" w:line="72"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auto"/>
        </w:rPr>
        <w:t>PRT3645 is a brain and tissue penetrant molecule that potently targets CDK4/6 with a biased selectivity for CDK4. A Phase 1 multi-dose escalation clinical trial of PRT3645 has been completed.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Having completed the dose escalation portion of the Phase 1 clinical trial of PRT3645, we intend to explore continued clinical development with external partners.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80" w:firstLine="494"/>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$31.4 million and $27.7 million for the three months ended March 31, 2024 and 2023, respectively. As of March 31, 2024, we had an accumulated deficit of $487.8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To-date,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8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200" w:firstLine="478"/>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8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36"/>
        </w:trPr>
        <w:tc>
          <w:tcPr>
            <w:tcW w:w="6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(34,343 )</w:t>
            </w:r>
          </w:p>
        </w:tc>
        <w:tc>
          <w:tcPr>
            <w:tcW w:w="5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(29,115 )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(5,228 )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(31,431 )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(27,718 )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(3,713 )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-668020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from $21.8 million for the three months ended March 31, 2023 to $27.4 million for the three months ended March 31, 2024. Research and development expenses increased primarily due to the timing of our clinical research programs. Research and development expenses may fluctuate from period to period depending upon the stage of certain projects and the level of preclinical and clinical trial-related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0" w:name="page21"/>
    <w:bookmarkEnd w:id="20"/>
    <w:p>
      <w:pPr>
        <w:ind w:firstLine="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8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PRT3645</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60" w:firstLine="47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from $7.3 million for the three months ended March 31, 2023 to $6.9 million for the three months ended March 31, 2024. General and administrative expenses decreased primarily due to a decrease in non-cash expense related to stock-based compensation, partially offset by an increase in professional fees incurred as we expand our operations to support our research and development efforts.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340" w:firstLine="478"/>
        <w:spacing w:after="0" w:line="282" w:lineRule="auto"/>
        <w:rPr>
          <w:sz w:val="20"/>
          <w:szCs w:val="20"/>
          <w:color w:val="auto"/>
        </w:rPr>
      </w:pPr>
      <w:r>
        <w:rPr>
          <w:rFonts w:ascii="Times New Roman" w:cs="Times New Roman" w:eastAsia="Times New Roman" w:hAnsi="Times New Roman"/>
          <w:sz w:val="18"/>
          <w:szCs w:val="18"/>
          <w:color w:val="auto"/>
        </w:rPr>
        <w:t>Other income, net increased from $1.4 million for the three months ended March 31, 2023, to $2.9 million for the three months ended March 31, 2024 primarily due to interest earned on the investment of our cash balance as a result of higher interest rates and higher investment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w:t>
      </w:r>
    </w:p>
    <w:p>
      <w:pPr>
        <w:spacing w:after="0" w:line="162"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As of March 31, 2024, we had $201.9 million in cash, cash equivalents, and marketable securities. We believe that our cash, cash equivalents, and marketable securities as of March 31, 2024 will be sufficient to fund operating expenses and capital expenditure requirements into 2026. Since our inception, we have funded our operations through the sale of convertible preferred stock, common stock, and pre-funded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color w:val="auto"/>
        </w:rPr>
        <w:t>During the second quarter of 2023, we sold 6,761,200 shares of common stock which comprised of (i) 5,312,978 shares of voting common stock and</w:t>
      </w:r>
    </w:p>
    <w:p>
      <w:pPr>
        <w:spacing w:after="0" w:line="27" w:lineRule="exact"/>
        <w:rPr>
          <w:sz w:val="20"/>
          <w:szCs w:val="20"/>
          <w:color w:val="auto"/>
        </w:rPr>
      </w:pPr>
    </w:p>
    <w:p>
      <w:pPr>
        <w:ind w:firstLine="8"/>
        <w:spacing w:after="0" w:line="252"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of which $0.3 million were previously paid and deferred,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82"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we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did not issue any securities during the first quarter of 2024.</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4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In March 2023, we filed a prospectus supplement to our existing shelf registration statement on Form S-3, or the Shelf Registration Statement. The Shelf Registration Statement permits the offering of up to $400.0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The Shelf Registration statement expiries in November 2024, and as of March 31, 2024 there was $187.0 million remaining under the Shelf Registration Statement. In March 2023, in connection with filing a prospectus supplement to our Shelf Registration Statement, we entered into an Open Market Sales Agreement (the Sales Agreement) with Jefferies LLC, as the sales agent, pursuant to which we may offer and sell shares of our common stock having an aggregate offering amount of up to $75.0 million. The $75.0 million of common stock that may be issued and sold pursuant to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500"/>
        <w:spacing w:after="0" w:line="266" w:lineRule="auto"/>
        <w:rPr>
          <w:sz w:val="20"/>
          <w:szCs w:val="20"/>
          <w:color w:val="auto"/>
        </w:rPr>
      </w:pPr>
      <w:r>
        <w:rPr>
          <w:rFonts w:ascii="Times New Roman" w:cs="Times New Roman" w:eastAsia="Times New Roman" w:hAnsi="Times New Roman"/>
          <w:sz w:val="18"/>
          <w:szCs w:val="18"/>
          <w:color w:val="auto"/>
        </w:rPr>
        <w:t>Sales Agreement is included in the $400.0 million of securities that may be issued and sold pursuant to the Shelf Registration Statement. We will pay Jefferies LLC a commission rate of up to 3.0% of the aggregate gross proceeds from the sale of any shares of common stock pursuant to the Sales Agreement. We have $75.0 million remaining under the Sales Agreement as of March 31, 2024.</w:t>
      </w:r>
    </w:p>
    <w:p>
      <w:pPr>
        <w:spacing w:after="0" w:line="17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(31,791 )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(30,134 )</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31,221</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(12,404 )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479"/>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2024, we used $31.8 million of cash in operating activities. Cash used in operating activities reflected our net loss of $31.4 million and a $5.2 million net increase in our operating assets and liabilities, offset by noncash charges of $4.8 million, which primarily consisted of stock-based compensation. The primary use of cash was to fund our operations related to the development of our product candidates.</w:t>
      </w:r>
    </w:p>
    <w:p>
      <w:pPr>
        <w:spacing w:after="0" w:line="158"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we used $30.1 million of cash in operating activities. Cash used in operating activities reflected our net loss of $27.7 million and a $8.9 million net increase in our operating assets and liabilities, offset by noncash charges of $6.5 million, which primarily consisted of $6.3 million in stock-based compensation. The primary use of cash was to fund our operations related to the development of our product candidates.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investing activities of $31.2 million consisted primarily of $37.0 million in proceeds from maturities of marketable securities, partially offset by $5.5 million in purchases of marketable securities. During the three months ended March 31, 2023, net cash provided by investing activities of $18.0 million consisted primarily of $26.0 million in proceeds from maturities of marketable securities partially offset by $7.2 million used for purchases of marketable securities.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was $0.3 million related to the payment of offering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our critical accounting policies and estimates from those described under the heading “Management’s Discussion and Analysis of Financial Condition and Results of Operations-Critical Accounting Estimates” in our 2023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20" w:firstLine="479"/>
        <w:spacing w:after="0" w:line="274" w:lineRule="auto"/>
        <w:rPr>
          <w:sz w:val="20"/>
          <w:szCs w:val="20"/>
          <w:color w:val="auto"/>
        </w:rPr>
      </w:pPr>
      <w:r>
        <w:rPr>
          <w:rFonts w:ascii="Times New Roman" w:cs="Times New Roman" w:eastAsia="Times New Roman" w:hAnsi="Times New Roman"/>
          <w:sz w:val="17"/>
          <w:szCs w:val="17"/>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initial public offering (i.e. December 31, 2025),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9" w:lineRule="exact"/>
        <w:rPr>
          <w:sz w:val="20"/>
          <w:szCs w:val="20"/>
          <w:color w:val="auto"/>
        </w:rPr>
      </w:pPr>
    </w:p>
    <w:p>
      <w:pPr>
        <w:ind w:right="24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March 31, 2024,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2024,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March 31, 2024,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6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2023 Annual Report on Form 10-K filed with the Securities and Exchange Commission on February 15, 2024, in addition to the risk factors that appear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2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and China relations, as well as relations with other countries, and/or regulations may adversely impact our business, our operating results, our ability to raise capital and the market price of our shares.</w:t>
      </w:r>
    </w:p>
    <w:p>
      <w:pPr>
        <w:spacing w:after="0" w:line="51"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Any unfavorable government policies on cross-border relations and/or international trade, including increased scrutiny on companies with significant China-based operations and escalation of tensions between China and Taiwan, such as recent step up of military exercises around Taiwan by China, capital controls or tariffs, may affect our ability to raise capital and the market price of our shares.</w:t>
      </w:r>
    </w:p>
    <w:p>
      <w:pPr>
        <w:spacing w:after="0" w:line="84"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There have been Congressional legislative proposals, such as the recent bill titled the Biosecure Act, to discourage contracting with Chinese companies on the development or manufacturing of pharmaceutical products. 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exposed to liabilities under the U.S. Foreign Corrupt Practices Act (“FCPA”) and Chinese anti-corruption law.</w:t>
      </w:r>
    </w:p>
    <w:p>
      <w:pPr>
        <w:spacing w:after="0" w:line="121" w:lineRule="exact"/>
        <w:rPr>
          <w:sz w:val="20"/>
          <w:szCs w:val="20"/>
          <w:color w:val="auto"/>
        </w:rPr>
      </w:pPr>
    </w:p>
    <w:p>
      <w:pPr>
        <w:ind w:right="220" w:firstLine="479"/>
        <w:spacing w:after="0" w:line="258" w:lineRule="auto"/>
        <w:rPr>
          <w:sz w:val="20"/>
          <w:szCs w:val="20"/>
          <w:color w:val="auto"/>
        </w:rPr>
      </w:pPr>
      <w:r>
        <w:rPr>
          <w:rFonts w:ascii="Times New Roman" w:cs="Times New Roman" w:eastAsia="Times New Roman" w:hAnsi="Times New Roman"/>
          <w:sz w:val="18"/>
          <w:szCs w:val="18"/>
          <w:color w:val="auto"/>
        </w:rPr>
        <w:t>The Company is subject to the FCPA, and other laws that prohibit improper payments or offers of payments to foreign governments, foreign government officials and political parties by U.S. persons as defined by the statute for purposes of obtaining or retaining businesses. The Company may have agreements with third parties who may make sales in mainland China and the U.S., during the process of which the Company may be exposed to corruption. Activities in Taiwan create the risk of unauthorized payments or offers of payments by an employee, consultant or agent of the Company, because these parties are not always subject to the Company’s control.</w:t>
      </w:r>
    </w:p>
    <w:p>
      <w:pPr>
        <w:spacing w:after="0" w:line="75"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Although the Company believes to date it has complied in all material aspects with the provisions of the FCPA and Chinese anti-corruption law, the existing safeguards and any future improvements may prove to be less than effective and any of the Company’s employees, consultants or agents may engage in corruptive conduct for which the Company might be held responsible. Violations of the FCPA or Chinese anti-corruption law may result in severe criminal or civil sanctions against the Company and individuals and therefore could negatively affect the Company’s business, operating results and financial condition. In addition, the Taiwanese government may seek to hold the Company liable as a successor for FCPA violations committed by companies in which the Company invests or acquires.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gridSpan w:val="8"/>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8"/>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14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Documents</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7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3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01"/>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29"/>
        </w:trPr>
        <w:tc>
          <w:tcPr>
            <w:tcW w:w="3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3"/>
        </w:trPr>
        <w:tc>
          <w:tcPr>
            <w:tcW w:w="3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4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3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201"/>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38"/>
        </w:trPr>
        <w:tc>
          <w:tcPr>
            <w:tcW w:w="3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3"/>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203"/>
        </w:trPr>
        <w:tc>
          <w:tcPr>
            <w:tcW w:w="3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Interim Chief Financial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92"/>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3"/>
        </w:trPr>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203"/>
        </w:trPr>
        <w:tc>
          <w:tcPr>
            <w:tcW w:w="3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Byrant Lim</w:t>
            </w:r>
          </w:p>
        </w:tc>
      </w:t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Interim Chief Financial Officer</w:t>
            </w:r>
          </w:p>
        </w:tc>
      </w:tr>
      <w:tr>
        <w:trPr>
          <w:trHeight w:val="236"/>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93"/>
        </w:trPr>
        <w:tc>
          <w:tcPr>
            <w:tcW w:w="34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606"/>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2024-05-07T06:29:32Z</dcterms:created>
  <dcterms:modified xsi:type="dcterms:W3CDTF">2024-05-07T06:29:32Z</dcterms:modified>
</cp:coreProperties>
</file>