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w:t>
      </w:r>
    </w:p>
    <w:p>
      <w:pPr>
        <w:spacing w:after="0" w:line="33" w:lineRule="exact"/>
        <w:rPr>
          <w:sz w:val="24"/>
          <w:szCs w:val="24"/>
          <w:color w:val="auto"/>
        </w:rPr>
      </w:pPr>
    </w:p>
    <w:p>
      <w:pPr>
        <w:ind w:left="4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PRELUDE THERAPEUTICS INCORPORATED</w:t>
      </w:r>
    </w:p>
    <w:p>
      <w:pPr>
        <w:sectPr>
          <w:pgSz w:w="11900" w:h="16838" w:orient="portrait"/>
          <w:cols w:equalWidth="0" w:num="1">
            <w:col w:w="11240"/>
          </w:cols>
          <w:pgMar w:left="320" w:top="1195"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175 Innovation Boulevard</w:t>
      </w:r>
    </w:p>
    <w:p>
      <w:pPr>
        <w:spacing w:after="0" w:line="12"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Wilmington, Delaware</w:t>
      </w:r>
    </w:p>
    <w:p>
      <w:pPr>
        <w:spacing w:after="0" w:line="23"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19805</w:t>
      </w:r>
    </w:p>
    <w:p>
      <w:pPr>
        <w:spacing w:after="0" w:line="2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35" w:lineRule="exact"/>
        <w:rPr>
          <w:sz w:val="24"/>
          <w:szCs w:val="24"/>
          <w:color w:val="auto"/>
        </w:rPr>
      </w:pPr>
    </w:p>
    <w:p>
      <w:pPr>
        <w:sectPr>
          <w:pgSz w:w="11900" w:h="16838" w:orient="portrait"/>
          <w:cols w:equalWidth="0" w:num="2">
            <w:col w:w="7600" w:space="380"/>
            <w:col w:w="3260"/>
          </w:cols>
          <w:pgMar w:left="320" w:top="119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 w:type="dxa"/>
            <w:vAlign w:val="bottom"/>
          </w:tcPr>
          <w:p>
            <w:pPr>
              <w:spacing w:after="0"/>
              <w:rPr>
                <w:sz w:val="15"/>
                <w:szCs w:val="15"/>
                <w:color w:val="auto"/>
              </w:rPr>
            </w:pP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par value $0.0001 per share</w:t>
            </w:r>
          </w:p>
        </w:tc>
        <w:tc>
          <w:tcPr>
            <w:tcW w:w="120" w:type="dxa"/>
            <w:vAlign w:val="bottom"/>
          </w:tcPr>
          <w:p>
            <w:pPr>
              <w:spacing w:after="0"/>
              <w:rPr>
                <w:sz w:val="16"/>
                <w:szCs w:val="16"/>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PRLD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Nasdaq Global Select Market</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358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8"/>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8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Accelerated filer</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75"/>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8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Emerging growth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$66.1 million as of the last business day of the registrant’s most recently completed second fiscal quarter, based upon the closing sale price on The Nasdaq Global Select Market reported for such date.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6, 2025 was 55,154,634.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Portions of the Registrant’s Definitive Proxy Statement (“Proxy Statement”) relating to the 2025 Annual Meeting of Stockholders will be filed with the Commission within 120 days after the end of the Registrant’s 2024 fiscal year pursuant to Regulation 14A and is incorporated by reference into Part III of this Report.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3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8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5"/>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788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This Annual Report on Form 10-K contains forward-looking statements within the meaning of Section 27A of the Securities Act of 1933, as amended, and Section 21E of the Securities Exchange Act of 1934, as amended. Forward-looking statements are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All forward-looking statements included in this Annual Report on Form 10-K are based on information available to us on the date hereof, and we assume no obligation to update any such forward-looking statements. Our forward-looking statements can be affected by inaccurate assumptions we might make or by known or unknown risks, uncertainties and other factors. We discuss many of these risks, uncertainties and other factors in this Annual Report on Form 10-K in greater detail under the heading “Item 1A—Risk Factors.”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78"/>
        <w:spacing w:after="0" w:line="254" w:lineRule="auto"/>
        <w:rPr>
          <w:sz w:val="20"/>
          <w:szCs w:val="20"/>
          <w:color w:val="auto"/>
        </w:rPr>
      </w:pPr>
      <w:r>
        <w:rPr>
          <w:rFonts w:ascii="Times New Roman" w:cs="Times New Roman" w:eastAsia="Times New Roman" w:hAnsi="Times New Roman"/>
          <w:sz w:val="18"/>
          <w:szCs w:val="18"/>
          <w:color w:val="auto"/>
        </w:rPr>
        <w:t>Prelude Therapeutics Incorporated ("Prelude" or the "Company") is a clinical-stage precision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supported by our steady progress in creating a wholly owned, internally developed pipeline. We also began work with our partner AbCellera Biologics, Inc.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188" w:lineRule="exact"/>
        <w:rPr>
          <w:sz w:val="20"/>
          <w:szCs w:val="20"/>
          <w:color w:val="auto"/>
        </w:rPr>
      </w:pPr>
    </w:p>
    <w:p>
      <w:pPr>
        <w:ind w:right="20" w:firstLine="478"/>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85725</wp:posOffset>
            </wp:positionV>
            <wp:extent cx="5760720" cy="4414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441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Prelude Discovery and Development Approach</w:t>
      </w:r>
    </w:p>
    <w:p>
      <w:pPr>
        <w:spacing w:after="0" w:line="121" w:lineRule="exact"/>
        <w:rPr>
          <w:sz w:val="20"/>
          <w:szCs w:val="20"/>
          <w:color w:val="auto"/>
        </w:rPr>
      </w:pPr>
    </w:p>
    <w:p>
      <w:pPr>
        <w:ind w:right="820" w:firstLine="478"/>
        <w:spacing w:after="0" w:line="282" w:lineRule="auto"/>
        <w:rPr>
          <w:sz w:val="20"/>
          <w:szCs w:val="20"/>
          <w:color w:val="auto"/>
        </w:rPr>
      </w:pPr>
      <w:r>
        <w:rPr>
          <w:rFonts w:ascii="Times New Roman" w:cs="Times New Roman" w:eastAsia="Times New Roman" w:hAnsi="Times New Roman"/>
          <w:sz w:val="18"/>
          <w:szCs w:val="18"/>
          <w:color w:val="auto"/>
        </w:rPr>
        <w:t>We carefully evaluate and select our targets based on three key pillars, which provide a framework for optimizing our drug discovery and development efforts.</w:t>
      </w:r>
    </w:p>
    <w:p>
      <w:pPr>
        <w:spacing w:after="0" w:line="54" w:lineRule="exact"/>
        <w:rPr>
          <w:sz w:val="20"/>
          <w:szCs w:val="20"/>
          <w:color w:val="auto"/>
        </w:rPr>
      </w:pPr>
    </w:p>
    <w:p>
      <w:pPr>
        <w:ind w:left="900" w:hanging="41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target mechanisms with a compelling biological rationale</w:t>
      </w:r>
    </w:p>
    <w:p>
      <w:pPr>
        <w:spacing w:after="0" w:line="115" w:lineRule="exact"/>
        <w:rPr>
          <w:sz w:val="20"/>
          <w:szCs w:val="20"/>
          <w:color w:val="auto"/>
        </w:rPr>
      </w:pPr>
    </w:p>
    <w:p>
      <w:pPr>
        <w:ind w:left="1540" w:right="300" w:hanging="514"/>
        <w:spacing w:after="0" w:line="284"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52"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our advanced medicinal chemistry capabilities to create better product candidates</w:t>
      </w:r>
    </w:p>
    <w:p>
      <w:pPr>
        <w:spacing w:after="0" w:line="115" w:lineRule="exact"/>
        <w:rPr>
          <w:rFonts w:ascii="Times New Roman" w:cs="Times New Roman" w:eastAsia="Times New Roman" w:hAnsi="Times New Roman"/>
          <w:sz w:val="18"/>
          <w:szCs w:val="18"/>
          <w:color w:val="auto"/>
        </w:rPr>
      </w:pPr>
    </w:p>
    <w:p>
      <w:pPr>
        <w:ind w:left="1540" w:right="460" w:hanging="514"/>
        <w:spacing w:after="0" w:line="284"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view all target classes equally and strive to invent clinical candidates that meet our desired target product profiles. Clinical candidates from all programs to-date have been internally designed and developed.</w:t>
      </w:r>
    </w:p>
    <w:p>
      <w:pPr>
        <w:spacing w:after="0" w:line="52"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Pursue targets that drive cancers with high unmet need</w:t>
      </w:r>
    </w:p>
    <w:p>
      <w:pPr>
        <w:spacing w:after="0" w:line="115" w:lineRule="exact"/>
        <w:rPr>
          <w:rFonts w:ascii="Times New Roman" w:cs="Times New Roman" w:eastAsia="Times New Roman" w:hAnsi="Times New Roman"/>
          <w:sz w:val="18"/>
          <w:szCs w:val="18"/>
          <w:color w:val="auto"/>
        </w:rPr>
      </w:pPr>
    </w:p>
    <w:p>
      <w:pPr>
        <w:ind w:left="1540" w:hanging="514"/>
        <w:spacing w:after="0" w:line="284"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52" w:lineRule="exact"/>
        <w:rPr>
          <w:sz w:val="20"/>
          <w:szCs w:val="20"/>
          <w:color w:val="auto"/>
        </w:rPr>
      </w:pPr>
    </w:p>
    <w:p>
      <w:pPr>
        <w:ind w:right="20" w:firstLine="478"/>
        <w:spacing w:after="0" w:line="261" w:lineRule="auto"/>
        <w:rPr>
          <w:sz w:val="20"/>
          <w:szCs w:val="20"/>
          <w:color w:val="auto"/>
        </w:rPr>
      </w:pPr>
      <w:r>
        <w:rPr>
          <w:rFonts w:ascii="Times New Roman" w:cs="Times New Roman" w:eastAsia="Times New Roman" w:hAnsi="Times New Roman"/>
          <w:sz w:val="18"/>
          <w:szCs w:val="18"/>
          <w:color w:val="auto"/>
        </w:rPr>
        <w:t>Once we have identified optimal targets using the three pillars above, we engage our unique discovery engine to invent and develop molecules rapidly and efficiently. We believe our expertise, capabilities and experience to select high value biological targets and invent molecules with an optimized balance of biological and chemical properties differentiates us from others in the precision oncology space. As a result, we strive to file a new IND every 12 to 18 months.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 w:name="page6"/>
    <w:bookmarkEnd w:id="5"/>
    <w:p>
      <w:pPr>
        <w:ind w:right="20" w:firstLine="478"/>
        <w:spacing w:after="0" w:line="261" w:lineRule="auto"/>
        <w:rPr>
          <w:sz w:val="20"/>
          <w:szCs w:val="20"/>
          <w:color w:val="auto"/>
        </w:rPr>
      </w:pPr>
      <w:r>
        <w:rPr>
          <w:rFonts w:ascii="Times New Roman" w:cs="Times New Roman" w:eastAsia="Times New Roman" w:hAnsi="Times New Roman"/>
          <w:sz w:val="18"/>
          <w:szCs w:val="18"/>
          <w:color w:val="auto"/>
        </w:rPr>
        <w:t>We design our clinical trials to leverage the broad utility of our compounds with a focus on efficient regulatory pathways to enable our potentially transformative medicines to potentially quickly reach patients with high unmet medical need. By focusing on validated cancer signaling pathways and early clinical proof-of-concept, we seek to advance our programs through expedited approval processes, as available. We believe that we can generate proof-of-concept clinical data to guide our future regulatory pathways to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0" w:firstLine="478"/>
        <w:spacing w:after="0" w:line="261" w:lineRule="auto"/>
        <w:rPr>
          <w:sz w:val="20"/>
          <w:szCs w:val="20"/>
          <w:color w:val="auto"/>
        </w:rPr>
      </w:pPr>
      <w:r>
        <w:rPr>
          <w:rFonts w:ascii="Times New Roman" w:cs="Times New Roman" w:eastAsia="Times New Roman" w:hAnsi="Times New Roman"/>
          <w:sz w:val="18"/>
          <w:szCs w:val="18"/>
          <w:color w:val="auto"/>
        </w:rPr>
        <w:t>We aim to create better targeted and more effective cancer therapies. Our goal is to transform the lives of patients with cancer by leveraging the core competencies of our experienced team in medicinal chemistry, cancer biology and clinical development to bring novel drugs to market. We intend to become a fully integrated oncology company on the foundation of drug discovery excellence to deliver novel precision oncology medicines to patients with underserved cancers by pursuing the following objectives:</w:t>
      </w:r>
    </w:p>
    <w:p>
      <w:pPr>
        <w:spacing w:after="0" w:line="72" w:lineRule="exact"/>
        <w:rPr>
          <w:sz w:val="20"/>
          <w:szCs w:val="20"/>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cancer biology and medicinal chemistry expertise to strive to deliver one new IND every 12 to 18 months.</w:t>
      </w:r>
    </w:p>
    <w:p>
      <w:pPr>
        <w:spacing w:after="0" w:line="117" w:lineRule="exact"/>
        <w:rPr>
          <w:rFonts w:ascii="Times New Roman" w:cs="Times New Roman" w:eastAsia="Times New Roman" w:hAnsi="Times New Roman"/>
          <w:sz w:val="18"/>
          <w:szCs w:val="18"/>
          <w:color w:val="auto"/>
        </w:rPr>
      </w:pPr>
    </w:p>
    <w:p>
      <w:pPr>
        <w:ind w:left="900" w:right="120" w:hanging="41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differentiated small molecules NCEs in validated targets and first-in-class targets that address unmet needs of oncology patients.</w:t>
      </w:r>
    </w:p>
    <w:p>
      <w:pPr>
        <w:spacing w:after="0" w:line="53"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progress our product candidates through clinical development in patients with solid tumors and hematological malignancies.</w:t>
      </w:r>
    </w:p>
    <w:p>
      <w:pPr>
        <w:spacing w:after="0" w:line="117" w:lineRule="exact"/>
        <w:rPr>
          <w:rFonts w:ascii="Times New Roman" w:cs="Times New Roman" w:eastAsia="Times New Roman" w:hAnsi="Times New Roman"/>
          <w:sz w:val="18"/>
          <w:szCs w:val="18"/>
          <w:color w:val="auto"/>
        </w:rPr>
      </w:pPr>
    </w:p>
    <w:p>
      <w:pPr>
        <w:ind w:left="900" w:right="720" w:hanging="41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clinical development on underserved cancers and design clinical trials that allow for efficient decision-making with the highest probability of success and potential for rapid regulatory approval.</w:t>
      </w:r>
    </w:p>
    <w:p>
      <w:pPr>
        <w:spacing w:after="0" w:line="53"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 pipeline in combination with internally discovered and third-party developed compounds.</w:t>
      </w:r>
    </w:p>
    <w:p>
      <w:pPr>
        <w:spacing w:after="0" w:line="117"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opportunities to accelerate development timelines and maximize the value of our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SMARCA2 (BRM) targeted degrader program</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SMARCA2, or BRM, and its related family member, SMARCA4, or BRG1, are the enzymatic subunits of the SWI/SNF complex that regulates gene expression by allowing the DNA to be accessible for transcription to mature RNA, a process known as chromatin remodeling.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is mutated in multiple cancers, including 10-12% of NSCLC, resulting in loss of SMARCA4 protein. Because the activity of either SMARCA2 or SMARCA4 is required for chromatin remodeling to occur, the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 cells become highly dependent on SMARCA2 for their survival. Therefore, we believe targeting SMARCA2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cancers will produce a strong synthetic lethality, resulting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mutant tumor cell death while sparing normal cells that express SMARCA4 protein.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Loss of SMARCA4 (BRG1) through mutation leads to dependency on SMARCA2 (BRM)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85725</wp:posOffset>
            </wp:positionV>
            <wp:extent cx="3745865" cy="3351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4586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SMARCA2 Degrader Program</w:t>
      </w:r>
    </w:p>
    <w:p>
      <w:pPr>
        <w:spacing w:after="0" w:line="121"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Due to the high homology between SMARCA2 and SMARCA4, there are few structural differences in the binding sites between the two proteins and thus selective SMARCA2 degradation has been a challenge for medicinal chemistry. Targeted protein degradation is a relatively new approach to degrade oncogenic proteins and has been shown to provide selective degradation of highly homologous proteins. A molecule capable of targeting a protein for degradation (degrader) typically contains a binding element to a targeted protein of interest (SMARCA2), a chemical linker and an E3 ligase binding element which allows for the formation of a ternary complex between the target, the degrader and the E3 ligase that induces ubiquitination and subsequent degradation of the targeted protein. Selectivity can be achieved, not only by the selective binding to the target (SMARCA2), but also through the optimization of the unique ternary complexes formed by the target (SMARCA2) versus its homologous protein (SMARCA4).</w:t>
      </w:r>
    </w:p>
    <w:p>
      <w:pPr>
        <w:spacing w:after="0" w:line="8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We used structure-based drug design in discovery to identify a novel series of potent and SMARCA2 binders and linked these binding elements to an E3 ligase binding domain to identify SMARCA2 degraders. Extensive structure activity relationships generated by the iterative synthesis and testing of &gt;1000 compounds has allowed for the identification of specific structural motifs that provide &gt;1000-fold selectivity for SMARCA2 degradation over SMARCA4 while maintaining potent SMARCA2 degradation, with DC50 &lt; 10 nM. DC50 is a quantitative measure of how much of a compound is needed to achieve degradation of the target protein (SMARCA2) by 50%. We have designed our SMARCA2 degraders to be potent and selective to specifically inhibit SMARCA4-deficient human NSCLC cell lines and primary patient derived samples in vitro and in vivo at well tolerated doses.</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PRT3789</w:t>
      </w:r>
    </w:p>
    <w:p>
      <w:pPr>
        <w:spacing w:after="0" w:line="119" w:lineRule="exact"/>
        <w:rPr>
          <w:sz w:val="20"/>
          <w:szCs w:val="20"/>
          <w:color w:val="auto"/>
        </w:rPr>
      </w:pPr>
    </w:p>
    <w:p>
      <w:pPr>
        <w:ind w:right="240" w:firstLine="479"/>
        <w:spacing w:after="0" w:line="266" w:lineRule="auto"/>
        <w:rPr>
          <w:sz w:val="20"/>
          <w:szCs w:val="20"/>
          <w:color w:val="auto"/>
        </w:rPr>
      </w:pPr>
      <w:r>
        <w:rPr>
          <w:rFonts w:ascii="Times New Roman" w:cs="Times New Roman" w:eastAsia="Times New Roman" w:hAnsi="Times New Roman"/>
          <w:sz w:val="18"/>
          <w:szCs w:val="18"/>
          <w:color w:val="auto"/>
        </w:rPr>
        <w:t>We completed IND-enabling studies and received IND clearance in October 2022 for PRT3789, a first-in-class, highly selective degrader of SMARCA2 protein, which along with SMARCA4 controls gene regulation through chromatin remodeling. PRT3789 is efficacious and well tolerated in preclinical models of SMARCA4 deleted/mutated cancers as monotherapy and in combination with standards of care.</w:t>
      </w:r>
    </w:p>
    <w:p>
      <w:pPr>
        <w:spacing w:after="0" w:line="68" w:lineRule="exact"/>
        <w:rPr>
          <w:sz w:val="20"/>
          <w:szCs w:val="20"/>
          <w:color w:val="auto"/>
        </w:rPr>
      </w:pPr>
    </w:p>
    <w:p>
      <w:pPr>
        <w:ind w:right="420" w:firstLine="479"/>
        <w:spacing w:after="0" w:line="282" w:lineRule="auto"/>
        <w:rPr>
          <w:sz w:val="20"/>
          <w:szCs w:val="20"/>
          <w:color w:val="auto"/>
        </w:rPr>
      </w:pPr>
      <w:r>
        <w:rPr>
          <w:rFonts w:ascii="Times New Roman" w:cs="Times New Roman" w:eastAsia="Times New Roman" w:hAnsi="Times New Roman"/>
          <w:sz w:val="18"/>
          <w:szCs w:val="18"/>
          <w:color w:val="auto"/>
        </w:rPr>
        <w:t>PRT3789 is currently in Phase 1 clinical development in patients with biomarker selected SMARCA4 mutated cancers. Objectives for this first Phase 1 clinical trial are to establish the safety and tolerability profile of PRT3789 as both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 w:name="page8"/>
    <w:bookmarkEnd w:id="7"/>
    <w:p>
      <w:pPr>
        <w:ind w:right="820"/>
        <w:spacing w:after="0" w:line="282" w:lineRule="auto"/>
        <w:rPr>
          <w:sz w:val="20"/>
          <w:szCs w:val="20"/>
          <w:color w:val="auto"/>
        </w:rPr>
      </w:pPr>
      <w:r>
        <w:rPr>
          <w:rFonts w:ascii="Times New Roman" w:cs="Times New Roman" w:eastAsia="Times New Roman" w:hAnsi="Times New Roman"/>
          <w:sz w:val="18"/>
          <w:szCs w:val="18"/>
          <w:color w:val="auto"/>
        </w:rPr>
        <w:t>monotherapy and in combination with docetaxel, evaluate activity, pharmacokinetics and pharmacodynamics and determine a dose and potential indications for advancement into a registrational clinical trial.</w:t>
      </w:r>
    </w:p>
    <w:p>
      <w:pPr>
        <w:spacing w:after="0" w:line="54"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We presented the first interim clinical data updates of the Phase 1 dose escalation study at the European Society of Medical Oncology (ESMO) Congress 2024 and the 36th EORTC-NCI-AACR Symposium. As reported by investigators, sixty-five patients with advanced cancer were treated once weekly via intravenous infusion at eight dose levels (24 mg, 48 mg, 80 mg, 120 mg, 160 mg, 212 mg, 283 mg, 376 mg) of monotherapy, and follow up data reported through to September 23, 2024. The median age of these patients was 62 and the median number of prior treatments was 3 (ranging from 1-10). There were 34 patients (52.3%) presented with a Class 1 (loss of function) SMARCA4 mutation, while 24 patients (36.9%) presented with a Class 2 (missense, VUS) SMARCA4 mutation and 7 (10.8%) had a loss of SMARCA4 protein. Initial safety data showed PRT3789 was generally well-tolerated. For monotherapy, treatment emergent adverse events of any grade observed to date consisted of nausea (26.2%), fatigue (21.5%), anemia (20.0%), decreased appetite (20.0%), abdominal pain (18.5%), and constipation (18.5%). No dose limiting toxicities were observed and no study drug-related serious adverse events were reported.</w:t>
      </w:r>
    </w:p>
    <w:p>
      <w:pPr>
        <w:spacing w:after="0" w:line="80" w:lineRule="exact"/>
        <w:rPr>
          <w:sz w:val="20"/>
          <w:szCs w:val="20"/>
          <w:color w:val="auto"/>
        </w:rPr>
      </w:pPr>
    </w:p>
    <w:p>
      <w:pPr>
        <w:ind w:right="220" w:firstLine="479"/>
        <w:spacing w:after="0" w:line="243" w:lineRule="auto"/>
        <w:rPr>
          <w:sz w:val="20"/>
          <w:szCs w:val="20"/>
          <w:color w:val="auto"/>
        </w:rPr>
      </w:pPr>
      <w:r>
        <w:rPr>
          <w:rFonts w:ascii="Times New Roman" w:cs="Times New Roman" w:eastAsia="Times New Roman" w:hAnsi="Times New Roman"/>
          <w:sz w:val="18"/>
          <w:szCs w:val="18"/>
          <w:color w:val="auto"/>
        </w:rPr>
        <w:t>Preliminary pharmacokinetic (PK) data was available from 24 mg to 376 mg dose cohorts. A general trend of increases in exposure (Cmax, AUC) with dose was observed. Mean concentrations were observed above SMARCA2 plasma DC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(21 nM) for approximately 8 hours at the 376 mg dose. No accumulation was observed with repeat dose administration, consistent with the half-life and once-weekly administration. Pharmacodynamic (PD) effect (as measured by SMARCA2 protein levels in peripheral blood mononuclear cells) observed was more prolonged than PK half-life. Higher dose levels, above 212 mg, demonstrated a deeper, more consistent, and more prolonged PD effect. SMARCA2 degradation was observed in both peripheral blood mononuclear cells (PBMC) and in available tumor tissue as shown through biopsy.</w:t>
      </w:r>
    </w:p>
    <w:p>
      <w:pPr>
        <w:spacing w:after="0" w:line="90"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Of the 26 advanced NSCLC or esophageal patients in monotherapy with Class 1 (loss of function) mutations who were evaluable for efficacy, RECIST confirmed partial responses (PRs) were observed in 4 patients (2 esophageal, 2 NSCLC), including 2 of 9 NSCLC patients with confirmed PRs at doses of 283 mg or higher. Tumor shrinkage was observed in patients with both Class 1 and Class 2 SMARCA4 mutations. Additional patients on-study demonstrated clinical benefit as measured by prolonged SD, including one advanced NSCLC patient on study for more than one year.</w:t>
      </w:r>
    </w:p>
    <w:p>
      <w:pPr>
        <w:spacing w:after="0" w:line="72" w:lineRule="exact"/>
        <w:rPr>
          <w:sz w:val="20"/>
          <w:szCs w:val="20"/>
          <w:color w:val="auto"/>
        </w:rPr>
      </w:pPr>
    </w:p>
    <w:p>
      <w:pPr>
        <w:ind w:right="160" w:firstLine="479"/>
        <w:spacing w:after="0" w:line="255" w:lineRule="auto"/>
        <w:rPr>
          <w:sz w:val="20"/>
          <w:szCs w:val="20"/>
          <w:color w:val="auto"/>
        </w:rPr>
      </w:pPr>
      <w:r>
        <w:rPr>
          <w:rFonts w:ascii="Times New Roman" w:cs="Times New Roman" w:eastAsia="Times New Roman" w:hAnsi="Times New Roman"/>
          <w:sz w:val="18"/>
          <w:szCs w:val="18"/>
          <w:color w:val="auto"/>
        </w:rPr>
        <w:t>We presented a Phase 1 trial update at the 2025 Japanese Society of Medical Oncology Annual Meeting on March 8, 2025. As reported by investigators, PRT3789 was generally safe and well-tolerated at doses tested to date. Of the 32 advanced NSCLC, esophageal, or gastric patients in monotherapy with Class 1 (loss of function) mutations who were evaluable for efficacy as of the November 30, 2024 data cutoff, RECIST confirmed PRs were observed in 5 patients (2 esophageal, 2 NSCLC, 1 gastric). Of the 13 patients with Class 1 mutations treated at doses of 283 mg or higher, three had RECIST confirmed partial responses (2 NSCLC, 1 gastric). Tumor shrinkage was observed in patients with both Class 1 and Class 2 SMARCA4 mutations. Additional patients on-study demonstrated clinical benefit as measured by prolonged SD, including one advanced NSCLC patient on study for more than one year.</w:t>
      </w:r>
    </w:p>
    <w:p>
      <w:pPr>
        <w:spacing w:after="0" w:line="81" w:lineRule="exact"/>
        <w:rPr>
          <w:sz w:val="20"/>
          <w:szCs w:val="20"/>
          <w:color w:val="auto"/>
        </w:rPr>
      </w:pPr>
    </w:p>
    <w:p>
      <w:pPr>
        <w:jc w:val="both"/>
        <w:ind w:right="280" w:firstLine="479"/>
        <w:spacing w:after="0" w:line="282" w:lineRule="auto"/>
        <w:rPr>
          <w:sz w:val="20"/>
          <w:szCs w:val="20"/>
          <w:color w:val="auto"/>
        </w:rPr>
      </w:pPr>
      <w:r>
        <w:rPr>
          <w:rFonts w:ascii="Times New Roman" w:cs="Times New Roman" w:eastAsia="Times New Roman" w:hAnsi="Times New Roman"/>
          <w:sz w:val="18"/>
          <w:szCs w:val="18"/>
          <w:color w:val="auto"/>
        </w:rPr>
        <w:t>Initial observations of safety from evaluable patients in the PRT3789 plus docetaxel combination dose escalation arm of the trial through the first three cohorts (500mg + docetaxel) were also presented. To date, PRT3789 in combination with docetaxel has demonstrated an acceptable safety profile.</w:t>
      </w:r>
    </w:p>
    <w:p>
      <w:pPr>
        <w:spacing w:after="0" w:line="54"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The Company is nearing conclusion of monotherapy dose escalation, which is now at the 665mg once weekly IV dose and identifying dose(s) for advancement to any potential future trials. In addition, enrollment of patients in dose escalation in the combination of PRT3789 with docetaxel is ongoing.</w:t>
      </w:r>
    </w:p>
    <w:p>
      <w:pPr>
        <w:spacing w:after="0" w:line="54" w:lineRule="exact"/>
        <w:rPr>
          <w:sz w:val="20"/>
          <w:szCs w:val="20"/>
          <w:color w:val="auto"/>
        </w:rPr>
      </w:pPr>
    </w:p>
    <w:p>
      <w:pPr>
        <w:ind w:right="100" w:firstLine="479"/>
        <w:spacing w:after="0" w:line="254" w:lineRule="auto"/>
        <w:rPr>
          <w:sz w:val="20"/>
          <w:szCs w:val="20"/>
          <w:color w:val="auto"/>
        </w:rPr>
      </w:pPr>
      <w:r>
        <w:rPr>
          <w:rFonts w:ascii="Times New Roman" w:cs="Times New Roman" w:eastAsia="Times New Roman" w:hAnsi="Times New Roman"/>
          <w:sz w:val="18"/>
          <w:szCs w:val="18"/>
          <w:color w:val="auto"/>
        </w:rPr>
        <w:t>The Company also initiated a Phase 2 clinical trial evaluating PRT3789 in combination with KEYTRUDA (pembrolizumab) in patients with SMARCA4-mutated cancers, per the previously announced collaboration with Merck &amp; Co., Inc. PRT3789 has been shown to increase antigen processing and presentation of unique MHC class I peptides, and increased T-cell activity and IFN-γ production in SMARCA4-mutated cancer cells. SMARCA2 degradation by PRT3789 promoted the effects of anti-PD1 therapy in SMARCA4-deficient mouse models, and PRT3789 combined with pembrolizumab, promoted cell death of SMARCA4-deficient NSCLC cells. While inhibitors targeting the PD-1/PD-L1 axis have shown clinical activity across a broad range of tumor types, some patients demonstrated an inadequate response and disease progression consistent with the natural disease course that may be tied to innate resistance mechanisms. Other patients progressed after a period of disease control, which may be associated with acquired resistance mechanisms. It is believed that PRT3789 plus pembrolizumab may re-sensitize resistant cancers to subsequent anti–PD(L)-1 therapy.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PRT7732</w:t>
      </w:r>
    </w:p>
    <w:p>
      <w:pPr>
        <w:spacing w:after="0" w:line="119" w:lineRule="exact"/>
        <w:rPr>
          <w:sz w:val="20"/>
          <w:szCs w:val="20"/>
          <w:color w:val="auto"/>
        </w:rPr>
      </w:pPr>
    </w:p>
    <w:p>
      <w:pPr>
        <w:ind w:right="540" w:firstLine="478"/>
        <w:spacing w:after="0" w:line="266" w:lineRule="auto"/>
        <w:rPr>
          <w:sz w:val="20"/>
          <w:szCs w:val="20"/>
          <w:color w:val="auto"/>
        </w:rPr>
      </w:pPr>
      <w:r>
        <w:rPr>
          <w:rFonts w:ascii="Times New Roman" w:cs="Times New Roman" w:eastAsia="Times New Roman" w:hAnsi="Times New Roman"/>
          <w:sz w:val="18"/>
          <w:szCs w:val="18"/>
          <w:color w:val="auto"/>
        </w:rPr>
        <w:t>Our discovery team has identified a series of potent, selective and orally bioavailable SMARCA2 degraders. In July 2024, we received IND clearance for the lead oral molecule, PRT7732. PRT7732 is &gt;1000-fold selective for SMARCA2 vs. SMARCA4 and demonstrates robust activity in SMARCA4 deficient cancer models both as monotherapy and in combination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t>with docetaxel at well-tolerated doses. PRT7732 demonstrates good oral bioavailability and half suitable for once daily oral dosing. The Company initiated and enrolled our first patients in a phase 1 multi-dose escalation trial of PRT7732 (NCT06560645) in biomarker selected SMARCA4 mutated cancers.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Precision Antibody Drug Conjugates (ADCs)</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Among ADCs in the clinic, “Precision ADCs” with novel degrader payloads are only now emerging. Most “Next Gen” ADCs in the clinic are still using older cytotoxics as payloads, with similar liabilities and limited scope for diversification. Targeted protein degraders (TPD) are uniquely suited as payloads with exquisite potencies and added benefit of targeting precision biological pathway. Novel TPD payloads can be designed with properties to avoid exposure to healthy tissues such as low cell penetration and high plasma clearance. Precision ADCs with degrader-prodrug payloads have the potential to confer both improved efficacy and improved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59690</wp:posOffset>
            </wp:positionV>
            <wp:extent cx="4783455" cy="2065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345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In 2023, Prelude established a foundational partnership with AbCellera to enable the first precision ADCs, which we believe will allow us to combine our small molecules and degraders expertise with their antibody expertise to develop precision antibody drug conjugates. As one of our first precision ADC programs, we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we and AbCellera will jointly discover, develop, and commercialize products emerging from the collaboration. AbCellera will lead manufacturing activities and we will lead clinical development and global commercialization, subject to AbCellera’s option to co-promote any resulting commercial products in the United States.</w:t>
      </w:r>
    </w:p>
    <w:p>
      <w:pPr>
        <w:spacing w:after="0" w:line="84"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Outside of the AbCellera collaboration, the Company has discovered and optimized a number of pre-clinical precision payloads. We disclosed first data about these precision payloads at the 36th EORTC-NCI-AACR Symposium describing preclinical proof-of-concept using a novel, potent SMARCA2/4 dual degrader as a “Precision Payload” conjugated to multiple antibodies. Prelude’s SMARCA2/4 dual degraders have shown picomolar potency with potential for increased efficacy, selectivity and improved therapeutic index. Precision ADCs have potential to expand the reach of SMARCA degrader technology to cancers without SMARCA4 mutations.</w:t>
      </w:r>
    </w:p>
    <w:p>
      <w:pPr>
        <w:spacing w:after="0" w:line="75"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With this experience, Prelude has developed a degrader payload platform, designed and engineered to improve efficacy and tolerability, as compared to traditional cytotoxic payloads. Our potent and cell line selective targeted protein degraders are designed to be highly effective payloads. Payload permeability is maintained to provide an intact bystander effect for enhanced tumor kill. Prodrugs of the degrader payloads are engineered to have no membrane permeability to limit systemic toxicity. Payloads are engineered to have high clearance in vivo to help reduce systemic toxicity. In addition, highly stable degraders have the potential to provide improved efficacy. Accordingly, we believe that precision ADCs have the potential to deliver both improved efficacy and improved tolerability across several cancer types.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CDK9 Program</w:t>
      </w:r>
    </w:p>
    <w:p>
      <w:pPr>
        <w:spacing w:after="0" w:line="117"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 xml:space="preserve">CDK9 has emerged as an essential regulator of cancer-promoting transcriptional programs, including those driven by </w:t>
      </w:r>
      <w:r>
        <w:rPr>
          <w:rFonts w:ascii="Times New Roman" w:cs="Times New Roman" w:eastAsia="Times New Roman" w:hAnsi="Times New Roman"/>
          <w:sz w:val="18"/>
          <w:szCs w:val="18"/>
          <w:i w:val="1"/>
          <w:iCs w:val="1"/>
          <w:color w:val="auto"/>
        </w:rPr>
        <w:t>MCL1, MYC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Inhibition of CDK9 is therefore an attractive therapeutic approach to target specifically genomically selected cancers. We have applied our internal expertise to design PRT2527 as a potent inhibitor of CDK9 that exhibits high kinome selectivity, PK properties and solubility that we believe may broaden the therapeutic window of CDK9 inhibition. A Phase 1 trial is underway evaluating escalating IV doses of PRT2527 as a monotherapy in patients with selected solid tumors, including sarcoma, prostate cancer, lung cancer, and other cancers with genomic alterations that lead to MYC dependence.</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Cyclin dependent kinases, or CDKs, are a family of closely related serine/threonine kinases that have demonstrated activity in multiple cancers. The first inhibitors of two of the family members, CDK4 and CDK6, gained FDA approval for HR+ metastatic breast cancer in 2015 and are now broadly used. In contrast to CDK4 and CDK6, which regulate cell cycle progression and proliferation, it is now understood that other members of the CDK family play important roles in regulating transcription. CDK9 specifically phosphorylates RNA polymerase II to generate mature mRNA. Given its fundamental role in transcription, CDK9 has emerged as a central node in the transcriptional addiction of cancer.</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CDK9 regulates expression of several oncogenes that drive cancer cell growth and resistance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154305</wp:posOffset>
            </wp:positionV>
            <wp:extent cx="3745865" cy="2708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4586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Importantly, inhibition of CDK9 in cancer has been shown to preferentially deplete short-lived transcripts including key anti-apoptotic genes such as MCL1 and oncogenic transcription factors such as MYC and MYB. Preclinical evidence demonstrates that CDK9 inhibition represses MCL1 and thereby overcomes resistance to the BCL2 inhibitor venetoclax. Additionally, preclinical studies suggest that CDK9 inhibition perturbs MYC-mediated signaling and produces synthetic lethality in nuclear protein of the testis midline carcinoma, hepatocellular carcinoma and additional solid tumors. Our patient selection strategy in clinical trials will strive to exploit these relationships by identifying cancers with molecular evidence of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 xml:space="preserve"> dysregulation.</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CDK9 Inhibitor: PRT2527</w:t>
      </w:r>
    </w:p>
    <w:p>
      <w:pPr>
        <w:spacing w:after="0" w:line="12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Although various non-selective CDK9 inhibitors have progressed through clinical development, they have been significantly limited by narrow therapeutic windows due to adverse effects, including bone marrow suppression, nausea and GI effects. We have utilized structure-based design to identify a novel, structurally differentiated series of CDK9 inhibitors. Iterative synthesis and testing of over 600 compounds allowed for the identification of PRT2527, which we believe has improved potency and kinase selectivity compared to another CDK9-selective inhibitor currently in development. We believe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PRT2527 is designed to be a potent and selective CDK9 inhibitor with the potential to avoid off-target toxicities, achieve substantial clinical activity and to become the best-in-class CDK9 inhibitor for hematologic malignancies. As previously announced, we will only advance the CDK9 program with a partner beyond the completion of the current ongoing Phase 1 study.</w:t>
      </w:r>
    </w:p>
    <w:p>
      <w:pPr>
        <w:spacing w:after="0" w:line="68"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In February 2023, we signed an agreement with BeiGene, Ltd. for them to supply zanubrutinib, a BTK inhibitor, for further study in combination with PRT2527. PRT2527 has completed a Phase 1 multi-dose escalation study (NCT05159518) in patients with solid tumors. In this study, PRT2527 was shown to achieve high levels of target inhibition and the potential to be better tolerated than existing CDK9 inhibitors, specifically, managing neutropenia and an absence of meaningful gastrointestinal events or hepatotoxicity. The observed dose-dependent downregulation of MYC and MCL1 mRNA expression, CDK9 transcriptional targets, was consistent with the degree of target engagement required for preclinical efficacy. As predicted by the preclinical models, 12 mg/m2 QW dosing showed optimal target inhibition and has been selected as the optimal dose.</w:t>
      </w:r>
    </w:p>
    <w:p>
      <w:pPr>
        <w:spacing w:after="0" w:line="79"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8"/>
          <w:szCs w:val="18"/>
          <w:color w:val="auto"/>
        </w:rPr>
        <w:t>Interim clinical data were presented at a poster session of the 66th American Society of Hematology Annual Meeting in 2024. The study investigators reported on the 46 lymphoid patients that were enrolled, treated, and safety evaluable as of September 17, 2024. PRT2527 was generally well-tolerated through four dosing cohorts as monotherapy and three dosing cohorts in combination with zanubrutinib. PRT2527 monotherapy and in combination with zanubrutinib demonstrated an acceptable safety profile with evidence of preliminary activity in patients with relapsed/refractory lymphoid malignancies, including patients who received prior CAR-T therapy. As of the cutoff date, 46 patients with relapsed/refractory lymphoid malignancies were treated with PRT2527. There were 29 patients treated once weekly via intravenous infusion at four dose levels of PRT2527 monotherapy (9 mg/m2, 15 mg/m2, 18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24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17 patients were treated once weekly at three dose levels of PRT2527 (9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15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18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in combination with zanubrutinib administered orally starting on C1D1 at 320 mg daily or 160 mg BID.</w:t>
      </w:r>
    </w:p>
    <w:p>
      <w:pPr>
        <w:spacing w:after="0" w:line="117"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The most frequent treatment emergent adverse events (TEAEs) observed in greater than 20 percent of patients were neutropenia (48 percent) and nausea (33 percent), and the most frequent grade ≥3 TEAEs (greater than 10 percent of patients) were neutropenia (46 percent) and anemia (11 percent). Five patients discontinued treatment due to TEAEs in the monotherapy cohort; 3 TEAEs in one patient were treatment related: grade 3 hypotension, grade 3 diarrhea, and grade 4 neutropenia (n=1 each). No TEAEs led to treatment discontinuation in the combination therapy cohort.</w:t>
      </w:r>
    </w:p>
    <w:p>
      <w:pPr>
        <w:spacing w:after="0" w:line="180" w:lineRule="exact"/>
        <w:rPr>
          <w:sz w:val="20"/>
          <w:szCs w:val="20"/>
          <w:color w:val="auto"/>
        </w:rPr>
      </w:pPr>
    </w:p>
    <w:p>
      <w:pPr>
        <w:ind w:right="80" w:firstLine="479"/>
        <w:spacing w:after="0" w:line="242" w:lineRule="auto"/>
        <w:rPr>
          <w:sz w:val="20"/>
          <w:szCs w:val="20"/>
          <w:color w:val="auto"/>
        </w:rPr>
      </w:pPr>
      <w:r>
        <w:rPr>
          <w:rFonts w:ascii="Times New Roman" w:cs="Times New Roman" w:eastAsia="Times New Roman" w:hAnsi="Times New Roman"/>
          <w:sz w:val="18"/>
          <w:szCs w:val="18"/>
          <w:color w:val="auto"/>
        </w:rPr>
        <w:t>PRT2527 dose interruptions due to TEAEs occurred in 17 patients (11 monotherapy; 6 combination therapy). Most dose interruptions were due to neutropenia and were managed with growth factor support. One DLT of grade 3 tumor lysis syndrome (TLS) occurred in a patient with primary cutaneous peripheral T cell lymphoma who had extensive disease at the 24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monotherapy dose level and did not receive ramp-up dosing. TLS was managed with rasburicase and IV fluids and resolved. The patient was able to resume study treatment as planned. No DLTs were observed in the combination therapy cohort.</w:t>
      </w:r>
    </w:p>
    <w:p>
      <w:pPr>
        <w:spacing w:after="0" w:line="203" w:lineRule="exact"/>
        <w:rPr>
          <w:sz w:val="20"/>
          <w:szCs w:val="20"/>
          <w:color w:val="auto"/>
        </w:rPr>
      </w:pPr>
    </w:p>
    <w:p>
      <w:pPr>
        <w:ind w:right="120" w:firstLine="478"/>
        <w:spacing w:after="0" w:line="237" w:lineRule="auto"/>
        <w:rPr>
          <w:sz w:val="20"/>
          <w:szCs w:val="20"/>
          <w:color w:val="auto"/>
        </w:rPr>
      </w:pPr>
      <w:r>
        <w:rPr>
          <w:rFonts w:ascii="Times New Roman" w:cs="Times New Roman" w:eastAsia="Times New Roman" w:hAnsi="Times New Roman"/>
          <w:sz w:val="18"/>
          <w:szCs w:val="18"/>
          <w:color w:val="auto"/>
        </w:rPr>
        <w:t>Dose level 3 (18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was selected for dose confirmation for monotherapy and in combination with zanubrutinib due to higher rates of grade 3/4 neutropenia and of dose interruptions and reductions in the 24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dose level.</w:t>
      </w:r>
    </w:p>
    <w:p>
      <w:pPr>
        <w:spacing w:after="0" w:line="123" w:lineRule="exact"/>
        <w:rPr>
          <w:sz w:val="20"/>
          <w:szCs w:val="20"/>
          <w:color w:val="auto"/>
        </w:rPr>
      </w:pPr>
    </w:p>
    <w:p>
      <w:pPr>
        <w:ind w:right="220" w:firstLine="478"/>
        <w:spacing w:after="0" w:line="261" w:lineRule="auto"/>
        <w:rPr>
          <w:sz w:val="20"/>
          <w:szCs w:val="20"/>
          <w:color w:val="auto"/>
        </w:rPr>
      </w:pPr>
      <w:r>
        <w:rPr>
          <w:rFonts w:ascii="Times New Roman" w:cs="Times New Roman" w:eastAsia="Times New Roman" w:hAnsi="Times New Roman"/>
          <w:sz w:val="18"/>
          <w:szCs w:val="18"/>
          <w:color w:val="auto"/>
        </w:rPr>
        <w:t>Of the 23 efficacy evaluable patients in the monotherapy cohort, complete responses (CRs) were observed in 1 patient (DLBCL) and 3 partial responses observed (TCL), with an overall response rate (ORR) of 17.4% (4 of 23). Of the 13 patients in the combination cohort who were evaluable for efficacy, complete responses (CRs) were observed in 3 patients (2 DLBCL, 1 MCL) and 2 partial responses (PRs) observed (DLBCL and CLL) with an overall response rate (ORR) of 38.5% (5 of 13).</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60" w:firstLine="479"/>
        <w:spacing w:after="0" w:line="266" w:lineRule="auto"/>
        <w:rPr>
          <w:sz w:val="20"/>
          <w:szCs w:val="20"/>
          <w:color w:val="auto"/>
        </w:rPr>
      </w:pPr>
      <w:r>
        <w:rPr>
          <w:rFonts w:ascii="Times New Roman" w:cs="Times New Roman" w:eastAsia="Times New Roman" w:hAnsi="Times New Roman"/>
          <w:sz w:val="18"/>
          <w:szCs w:val="18"/>
          <w:color w:val="auto"/>
        </w:rPr>
        <w:t>We strive to protect the proprietary technologies that we believe are important to our business, including seeking and maintaining patent protection intended to cover the compositions of matter of our product candidates, their methods of use, related technology, and other inventions that are important to our business.</w:t>
      </w:r>
    </w:p>
    <w:p>
      <w:pPr>
        <w:spacing w:after="0" w:line="68"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valid and enforceable patents and other proprietary rights of third parties. We also rely on know-how and continuing technological innovation to develop, strengthen, and maintain our proprietary position in the field of precision oncology.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380" w:firstLine="479"/>
        <w:spacing w:after="0" w:line="266" w:lineRule="auto"/>
        <w:rPr>
          <w:sz w:val="20"/>
          <w:szCs w:val="20"/>
          <w:color w:val="auto"/>
        </w:rPr>
      </w:pPr>
      <w:r>
        <w:rPr>
          <w:rFonts w:ascii="Times New Roman" w:cs="Times New Roman" w:eastAsia="Times New Roman" w:hAnsi="Times New Roman"/>
          <w:sz w:val="18"/>
          <w:szCs w:val="18"/>
          <w:color w:val="auto"/>
        </w:rPr>
        <w:t>As more fully described below, our patent portfolio includes, inter alia, patent families with claims directed to compositions of matter for, and methods of using, PRT3789, PRT7732, and other compounds that degrade SMARCA2; PRT2527 and other CDK inhibitors; antibody drug conjugates (ADCs); and other compounds. The patent portfolio currently comprises of 269 patents and patent applications: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(A)(i) 13 issued U.S. patents, (ii) 34 U.S. non-provisional patent applications, and (iii) 44 U.S. provisional patent applications; and</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(B)(iv) 12 PCT patent applications, (v) 6 issued foreign patents including patents in European jurisdictions, and (vi) 160 foreign patent applications.</w:t>
      </w:r>
    </w:p>
    <w:p>
      <w:pPr>
        <w:spacing w:after="0" w:line="117"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As of the present filing, a total of 13 U.S. patents have been issued, which are wholly owned by us. Specifically, one U.S. patent directed to PRT2527 has issued and is expected to expire no earlier than September 2040 and one patent has issued for compounds that degrade SMARCA2, which is expected to expire no earlier than June 2041.</w:t>
      </w:r>
    </w:p>
    <w:p>
      <w:pPr>
        <w:spacing w:after="0" w:line="68"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In addition to our filings in the U.S., we own patent applications that are pending in Australia, Brazil, Canada, China, Eurasia, Europe, Hong Kong, India, Israel, Japan, Mexico, New Zealand, South Africa, South Korea, and Ukraine. Included in these applications are claims directed to the PRT2527, and SMARCA compositions and methods of using the same therapeutically. For the PRT2527 compound, the patents from these applications, if issued, are expected to expire no earlier than September 2040, subject to any disclaimers or extensions. For the SMARCA2 degrader compound, PRT3789, the one issued patent and patents from other applications, if issued, are expected to expire no earlier than June 2041, subject to any disclaimers or extensions. For the patent corresponding to the SMARCA2 degrader compound PRT7732 patent application and patents from other applications, if issued, are expected to expire no earlier than 2043, subject to any disclaimers or extensions.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patent portfolios for our programs are summarized below.</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PRT3789, PRT7732, and Other SMARCA2 Degraders</w:t>
      </w:r>
    </w:p>
    <w:p>
      <w:pPr>
        <w:spacing w:after="0" w:line="12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Our PRT3789, PRT7732, and Other SMARCA2 Degraders patent portfolio is wholly owned by us. The portfolio includes one issued U.S. patent, which claims among other things, SMARCA degraders and other compounds, pharmaceutical compositions comprising SMARCA degraders, and methods of using such compounds. The portfolio further includes twelve pending U.S. non-provisional applications, which claim, among other things, genera of compounds that encompass SMARCA2 and/or related degraders, pharmaceutical compositions comprising those degraders, and methods of treating cancer with those degraders.</w:t>
      </w:r>
    </w:p>
    <w:p>
      <w:pPr>
        <w:spacing w:after="0" w:line="75"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Fourteen related PCT applications, including the PCT application corresponding to the issued U.S. patent, have been filed. Furthermore, for three PCT applications, corresponding national phase applications have been filed in some or all of the following jurisdictions: Australia, Brazil, Canada, China, Eurasia, Europe, Hong Kong, India, Israel, Japan, Mexico, New Zealand, South Africa, South Korea, and Ukraine. Of the fourteen PCT applications filed as mentioned above, four applications pertain to combination therapy including the SMARCA2 degraders.</w:t>
      </w:r>
    </w:p>
    <w:p>
      <w:pPr>
        <w:spacing w:after="0" w:line="72"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The SMARCA2 Degraders patent portfolio also includes twenty-five pending U.S. provisional applications that, among other things, encompass SMARCA2 and/or related inhibitors, pharmaceutical compositions comprising those inhibitors, and methods of treating cancer with those inhibitors. Any patents granted that claim priority to this provisional application could expire as early as 2045, subject to any disclaimers or extensions available under the Hatch-Waxman Act.</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Antibody Drug Conjugates (ADCs)</w:t>
      </w:r>
    </w:p>
    <w:p>
      <w:pPr>
        <w:spacing w:after="0" w:line="121"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Our ADC patent portfolio is wholly owned by us. The portfolio includes one pending U.S. non-provisional patent application and one pending PCT application. Patents issuing from these applications are expected to expire in 2045, subject to any disclaimers or extensions.</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PRT2527</w:t>
      </w:r>
    </w:p>
    <w:p>
      <w:pPr>
        <w:spacing w:after="0" w:line="12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Our PRT2527 patent portfolio is wholly owned by us. The portfolio includes one issued U.S. patent, which claims among other things, PRT2527 and other compounds, pharmaceutical compositions comprising PRT2527, and methods of using such compounds. The portfolio further includes three pending U.S. non-provisional applications: (i) a U.S. continuation application, which claims among other things, PRT2527 related compounds, pharmaceutical compositions comprising PRT2527 related compounds, and methods of using such compounds, which was effectively filed in 2020; (ii) a U.S. application, which claims among other things, PRT2527 related compounds, pharmaceutical compositions comprising PRT2527 related compounds, and methods of using such compounds, which was filed in 2023; and (iii) a U.S. application, directed to additional uses of PRT2527 and related compounds, which was filed in 2022.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A related PCT application corresponding to the issued U.S. patent was filed in 2020, and corresponding national phase applications were filed in Australia, Brazil, Canada, China, Eurasia, Europe, Hong Kong, India, Israel, Japan, Mexico, New Zealand, South Africa, South Korea, and Ukraine. A related PCT application corresponding to the U.S. non-provisional application in (iii), </w:t>
      </w:r>
      <w:r>
        <w:rPr>
          <w:rFonts w:ascii="Times New Roman" w:cs="Times New Roman" w:eastAsia="Times New Roman" w:hAnsi="Times New Roman"/>
          <w:sz w:val="18"/>
          <w:szCs w:val="18"/>
          <w:i w:val="1"/>
          <w:iCs w:val="1"/>
          <w:color w:val="auto"/>
        </w:rPr>
        <w:t>supra</w:t>
      </w:r>
      <w:r>
        <w:rPr>
          <w:rFonts w:ascii="Times New Roman" w:cs="Times New Roman" w:eastAsia="Times New Roman" w:hAnsi="Times New Roman"/>
          <w:sz w:val="18"/>
          <w:szCs w:val="18"/>
          <w:color w:val="auto"/>
        </w:rPr>
        <w:t>, was filed in 2022. Another PCT application that claims among other things, PRT2527 crystalline forms and salts and methods of using such compounds, was filed in 2022 and corresponding national phase applications were filed in Australia, Brazil, Canada, China, Eurasia, Europe, Hong Kong, India, Israel, Japan, Mexico, New Zealand, South Africa, South Korea, and Ukraine, and the United States, Finally, a PCT application directed to methods of reducing oncogene transcription was filed in 2024.</w:t>
      </w:r>
    </w:p>
    <w:p>
      <w:pPr>
        <w:spacing w:after="0" w:line="79"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The PRT2527 patent portfolio also includes five pending U.S. provisional applications that relate to among other things, methods of inhibiting CDK9 using PRT2527 related compounds and methods of treating certain cancers. Any patents granted that claim priority to these provisional applications could expire as early as 2045, subject to any disclaimers or extensions available under the Hatch-Waxman Act.</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In addition, we have patent portfolios that are directed to a number of different compounds other than PRT3789, PRT7732, SMARCA2 Degraders, PRT2527, and other CDK inhibitors. We have patent applications directed to compounds that target resistance mechanisms in cancer. We expect to maintain some of these applications in the United States and to also file in foreign countries.</w:t>
      </w:r>
    </w:p>
    <w:p>
      <w:pPr>
        <w:spacing w:after="0" w:line="68"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the countries in which we file, the patent term is 20 years from the earliest non-provisional filing date, subject to any disclaimers or extensions. The term of a patent in the United States can be adjusted due to any failure of the United States Patent and Trademark Office following certain statutory and regulation deadlines for issuing a patent.</w:t>
      </w:r>
    </w:p>
    <w:p>
      <w:pPr>
        <w:spacing w:after="0" w:line="72"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also be eligible for patent term extension, which permits patent term restoration as compensation for a portion of the patent term lost during the FDA regulatory review process. The Hatch-Waxman Act permits a patent term extension of up to five years beyond the original expiration of the patent. The protection provided by a patent varies from country to country, and is dependent on the type of patent granted, the scope of the patent claims, and the legal remedies available in a given country.</w:t>
      </w:r>
    </w:p>
    <w:p>
      <w:pPr>
        <w:spacing w:after="0" w:line="72" w:lineRule="exact"/>
        <w:rPr>
          <w:sz w:val="20"/>
          <w:szCs w:val="20"/>
          <w:color w:val="auto"/>
        </w:rPr>
      </w:pPr>
    </w:p>
    <w:p>
      <w:pPr>
        <w:ind w:right="160" w:firstLine="479"/>
        <w:spacing w:after="0" w:line="254" w:lineRule="auto"/>
        <w:rPr>
          <w:sz w:val="20"/>
          <w:szCs w:val="20"/>
          <w:color w:val="auto"/>
        </w:rPr>
      </w:pPr>
      <w:r>
        <w:rPr>
          <w:rFonts w:ascii="Times New Roman" w:cs="Times New Roman" w:eastAsia="Times New Roman" w:hAnsi="Times New Roman"/>
          <w:sz w:val="18"/>
          <w:szCs w:val="18"/>
          <w:color w:val="auto"/>
        </w:rPr>
        <w:t>Obtaining patent protection is not the only method that we employ to protect our proprietary rights. We also utilize other forms of intellectual property protection, including trademark, copyright, and trade secrets, when those other forms are better suited to protect a particular aspect of our intellectual property. Our belief is that our proprietary rights are strengthened by our comprehensive approach to intellectual property protection.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for the foreseeable future, on third parties for the manufacture of our product candidates for preclinical and clinical testing, including pharmaceutical ingredients and clinical drug supply, as well as for commercial manufacture of any drugs that we may commercialize. We obtain our supplies from these manufacturers on a purchase order basis and do not have long-term supply arrangements in place. We do not own in-house warehouse facilities. We rely on third parties for storage and distribution of drug substance and drug product. We do not currently have arrangements in place for redundant supply for active pharmaceutical ingredients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If we are successful in obtaining the necessary regulatory approval, we may pursue commercialization on our own or seek to collaborate with a third party for commercialization, particularly outside the United States.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firstLine="47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precision oncology therapies optimized to target the key driver mechanisms in cancers with high unmet need. These companies include Amgen Inc., Arvinas Inc., AstraZeneca plc, Aurigene, Boehringer Ingelheim, C4 Therapeutics, Eli Lilly and Company, F. Hoffman-La Roche, Foghorn Therapeutics Inc., Gan &amp; Lee, Genentech, Gilead Sciences, Inc., GlaxoSmithKline plc, Johnson &amp; Johnson, Kronos Bio, Inc., Kymera Therapeutics Inc., Nanjing Zaiming Pharmaceutical Co. Ltd., Nurix Therapeutics, Oncopia Therapeutics, Pfizer Inc., Plexium, Sellas Life Science Group, Inc., Suzhou Zanrong Pharmaceutical Technology Co. Ltd, Vincerx Pharma, Inc., Novartis AG, and Shanghai Haiyan Pharmaceutical Technology Co Ltd.</w:t>
      </w:r>
    </w:p>
    <w:p>
      <w:pPr>
        <w:spacing w:after="0" w:line="187"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4" w:lineRule="exact"/>
        <w:rPr>
          <w:sz w:val="20"/>
          <w:szCs w:val="20"/>
          <w:color w:val="auto"/>
        </w:rPr>
      </w:pPr>
    </w:p>
    <w:p>
      <w:pPr>
        <w:ind w:right="460" w:firstLine="523"/>
        <w:spacing w:after="0" w:line="266" w:lineRule="auto"/>
        <w:rPr>
          <w:sz w:val="20"/>
          <w:szCs w:val="20"/>
          <w:color w:val="auto"/>
        </w:rPr>
      </w:pPr>
      <w:r>
        <w:rPr>
          <w:rFonts w:ascii="Times New Roman" w:cs="Times New Roman" w:eastAsia="Times New Roman" w:hAnsi="Times New Roman"/>
          <w:sz w:val="18"/>
          <w:szCs w:val="18"/>
          <w:color w:val="auto"/>
        </w:rPr>
        <w:t>For our SMARCA 2 (BRM) degrader program, other companies, including Amgen, Aurigene, C4 Therapeutics, Foghorn Therapeutics, Inc., Kymera Therapeutics, Arvinas, Genentech, Boehringer Ingelheim, and Lilly have publicly disclosed their pre-clinical research efforts. For our CDK9 program, PRT2527, Vincerx, Sellas, and Kronos have CDK9 programs in Phase 1 or Phase 2 clinical trials.</w:t>
      </w:r>
    </w:p>
    <w:p>
      <w:pPr>
        <w:spacing w:after="0" w:line="176" w:lineRule="exact"/>
        <w:rPr>
          <w:sz w:val="20"/>
          <w:szCs w:val="20"/>
          <w:color w:val="auto"/>
        </w:rPr>
      </w:pPr>
    </w:p>
    <w:p>
      <w:pPr>
        <w:ind w:right="240" w:firstLine="47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right="320" w:firstLine="479"/>
        <w:spacing w:after="0" w:line="266"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ind w:right="280"/>
        <w:spacing w:after="0" w:line="266" w:lineRule="auto"/>
        <w:rPr>
          <w:sz w:val="20"/>
          <w:szCs w:val="20"/>
          <w:color w:val="auto"/>
        </w:rPr>
      </w:pPr>
      <w:r>
        <w:rPr>
          <w:rFonts w:ascii="Times New Roman" w:cs="Times New Roman" w:eastAsia="Times New Roman" w:hAnsi="Times New Roman"/>
          <w:sz w:val="18"/>
          <w:szCs w:val="18"/>
          <w:color w:val="auto"/>
        </w:rPr>
        <w:t>reporting, and import and export of pharmaceutical products such as those we are developing.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In the U.S., pharmaceutical products are subject to extensive regulation by the FDA, under the Federal Food, Drug, and Cosmetic Act, or FD&amp;C Act, and other federal and state statutes and regulations governing,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new drug applications, or NDAs, warning or untitled letters, inspectional findings product recalls, product seizures, import detention, total or partial suspension of production or distribution, injunctions, fines, civil penalties and criminal prosecution. We may also be debarred by the FDA, excluded, deemed to be ineligible, or debarred from government contracting, or excluded from participation in government healthcare programs. Regulatory requirements governing our business are evolving. FDA also continually issues guidance documents that provide FDA’s interpretation of its laws and regulations, as well as FDA’s approach to scientific issues and questions. For instance, with respect to cancer, FDA has issued a number of guidances with respect to patient reported outcomes, clinical trial eligibility criteria, dose optimization, and multiregional clinical trials.</w:t>
      </w:r>
    </w:p>
    <w:p>
      <w:pPr>
        <w:spacing w:after="0" w:line="192"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Pharmaceutical product development for a new product or certain changes to an approved product in the U.S. typically involves preclinical laboratory and animal tests, the submission to FDA of an IND which must become effective before clinical testing in the U.S.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75"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 or GLP, regulations and other applicable laws or regulations. The results of preclinical testing are submitted to FDA as part of an IND along with other information, including information about product chemistry, manufacturing and controls, a proposed clinical trial protocol, and any available clinical data or literature on the product candidate. Long-term preclinical tests, such as animal tests of reproductive toxicity and carcinogenicity, may continue after the IND is submitted. A 30-day waiting period after the submission of each IND is required prior to the commencement of clinical testing in humans. If FDA has not placed the study on clinical hold within this 30-day period, the clinical trial proposed in the IND may begin.</w:t>
      </w:r>
    </w:p>
    <w:p>
      <w:pPr>
        <w:spacing w:after="0" w:line="8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 Sponsors will also be required to provide FDA with diversity action plans.</w:t>
      </w:r>
    </w:p>
    <w:p>
      <w:pPr>
        <w:spacing w:after="0" w:line="7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for approval to an institutional review board, or IRB, and ethics committee for approval. An IRB considers among other things, whether the risks to individuals participating in the trials are minimized and are reasonable in relation to anticipated benefits, and whether the planned human subject protections are adequate. The IRB will also monitor the clinical trial until completed. An IRB may also require the clinical trial at the site to be halted, either temporarily or permanently, for failure to comply with the IRB’s requirements, or may impose other conditions. Progress reports detailing the results of the clinical trials must be submitted at least annually to FDA and the IRB and more frequently if serious adverse events or other significant safety information is found. Additionally, some clinical trials are overseen by an independent group of qualified experts organized by the clinical trial sponsor, known as a data safety monitoring board or committee. This group provides authorization for whether a trial may move forward at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designated checkpoints based on access to certain data from the trial. Subjects participating in clinical trials must also provide their informed consent on the IRB approved form.</w:t>
      </w:r>
    </w:p>
    <w:p>
      <w:pPr>
        <w:spacing w:after="0" w:line="54"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be divided, or be combined. In Phase 1, the initial introduction of the drug into healthy human subjects or patients, the drug is tested to assess metabolism, pharmacokinetics, pharmacological actions, mechanism of action, absorption, metabolism distribution, excretion,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 In some instances, FDA may condition approval of an NDA on the applicant’s agreement to conduct additional clinical trials to further assess the product’s safety and effectiveness after approval, to answer unresolved questions. Such post-approval trials are typically referred to as Phase 4 studies. The results of Phase 4 studies can confirm or refute the effectiveness of a product candidate, and can provide important safety information.</w:t>
      </w:r>
    </w:p>
    <w:p>
      <w:pPr>
        <w:spacing w:after="0" w:line="88" w:lineRule="exact"/>
        <w:rPr>
          <w:sz w:val="20"/>
          <w:szCs w:val="20"/>
          <w:color w:val="auto"/>
        </w:rPr>
      </w:pPr>
    </w:p>
    <w:p>
      <w:pPr>
        <w:jc w:val="both"/>
        <w:ind w:right="240" w:firstLine="479"/>
        <w:spacing w:after="0" w:line="266"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68"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nonclinical studies and must also develop additional information about the physical characteristics of the product candidate and finalize a manufacturing process for the product candidate in commercial quantities in accordance with current Good Manufacturing Practice, or cGMP requirements. The manufacturing process must be capable of consistently producing quality batches of the product candidate. Further, appropriate packaging must be selected and tested and adequate stability studies must be conducted to demonstrate that the product candidate does not undergo unacceptable deterioration over its shelf life.</w:t>
      </w:r>
    </w:p>
    <w:p>
      <w:pPr>
        <w:spacing w:after="0" w:line="183" w:lineRule="exact"/>
        <w:rPr>
          <w:sz w:val="20"/>
          <w:szCs w:val="20"/>
          <w:color w:val="auto"/>
        </w:rPr>
      </w:pPr>
    </w:p>
    <w:p>
      <w:pPr>
        <w:ind w:right="140" w:firstLine="478"/>
        <w:spacing w:after="0" w:line="312" w:lineRule="auto"/>
        <w:rPr>
          <w:sz w:val="20"/>
          <w:szCs w:val="20"/>
          <w:color w:val="auto"/>
        </w:rPr>
      </w:pPr>
      <w:r>
        <w:rPr>
          <w:rFonts w:ascii="Times New Roman" w:cs="Times New Roman" w:eastAsia="Times New Roman" w:hAnsi="Times New Roman"/>
          <w:sz w:val="17"/>
          <w:szCs w:val="17"/>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spacing w:after="0" w:line="140"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 Investigators must also report certain conflicts of interest to the clinical study sponsor, which the clinical study sponsor must report to FDA.</w:t>
      </w:r>
    </w:p>
    <w:p>
      <w:pPr>
        <w:spacing w:after="0" w:line="176" w:lineRule="exact"/>
        <w:rPr>
          <w:sz w:val="20"/>
          <w:szCs w:val="20"/>
          <w:color w:val="auto"/>
        </w:rPr>
      </w:pPr>
    </w:p>
    <w:p>
      <w:pPr>
        <w:jc w:val="both"/>
        <w:ind w:right="20" w:firstLine="478"/>
        <w:spacing w:after="0" w:line="266"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FDA. FDA approval of the NDA is required before marketing of the product may begin in the U.S. The NDA must include the results of all preclinical, clinical and other testing and a compilation of data relating to the product’s pharmacology, chemistry, manufacture and controls.</w:t>
      </w:r>
    </w:p>
    <w:p>
      <w:pPr>
        <w:spacing w:after="0" w:line="68"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provided that certain very specific qualifying criteria are met. Additionally, no application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75"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FDA reviews each submitted NDA before it determines whether to file it, based on the agency’s threshold determination that it is sufficiently complete to permit substantive review, and FDA may request additional information. The FDA must make a decision on whether to file an NDA within 60 days of receipt, and such decision could include a refusal to file by the FDA. Once the submission is filed, FDA begins an in-depth review of the NDA. FDA has agreed to certain performance goals in the review of NDAs. FDA has set a performance goal for reviewing standard applications as within ten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120"/>
        <w:spacing w:after="0" w:line="258" w:lineRule="auto"/>
        <w:rPr>
          <w:sz w:val="20"/>
          <w:szCs w:val="20"/>
          <w:color w:val="auto"/>
        </w:rPr>
      </w:pPr>
      <w:r>
        <w:rPr>
          <w:rFonts w:ascii="Times New Roman" w:cs="Times New Roman" w:eastAsia="Times New Roman" w:hAnsi="Times New Roman"/>
          <w:sz w:val="18"/>
          <w:szCs w:val="18"/>
          <w:color w:val="auto"/>
        </w:rPr>
        <w:t>months of acceptance of an NDA for filing; and for priority review drugs, within six months of acceptance of an NDA for filing. Drugs may qualify for priority review if they would be a significant improvement in the safety or effectiveness of the treatment, diagnosis, or prevention of a serious condition. The review process for both standard and priority review may be extended by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75" w:lineRule="exact"/>
        <w:rPr>
          <w:sz w:val="20"/>
          <w:szCs w:val="20"/>
          <w:color w:val="auto"/>
        </w:rPr>
      </w:pPr>
    </w:p>
    <w:p>
      <w:pPr>
        <w:ind w:right="300" w:firstLine="479"/>
        <w:spacing w:after="0" w:line="261" w:lineRule="auto"/>
        <w:rPr>
          <w:sz w:val="20"/>
          <w:szCs w:val="20"/>
          <w:color w:val="auto"/>
        </w:rPr>
      </w:pPr>
      <w:r>
        <w:rPr>
          <w:rFonts w:ascii="Times New Roman" w:cs="Times New Roman" w:eastAsia="Times New Roman" w:hAnsi="Times New Roman"/>
          <w:sz w:val="18"/>
          <w:szCs w:val="18"/>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FDA is not bound by the recommendation of an advisory committee, but it generally follows such recommendations.</w:t>
      </w:r>
    </w:p>
    <w:p>
      <w:pPr>
        <w:spacing w:after="0" w:line="72"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Before approving an NDA, FDA will conduct a pre-approval inspection or remote regulatory assessment of the manufacturing facilities for the new product to determine whether they comply with cGMP requirements. FDA will not approve the product unless it determines that the manufacturing processes and facilities are in compliance with cGMP requirements and adequate to assure consistent production of the product within required specifications. The FDA will not approve the product unless cGMP compliance is satisfactory. The FDA also typically inspects or conduct a remote regulatory assessment of one or more clinical trial sites to ensure compliance with GCP requirements and the integrity of the data supporting safety and efficacy.</w:t>
      </w:r>
    </w:p>
    <w:p>
      <w:pPr>
        <w:spacing w:after="0" w:line="187"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After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FDA has committed to reviewing 90% of resubmissions in two or six months depending on the type of information included. Even if such data and information are submitted, the FDA may decide that the NDA does not satisfy the criteria for approval.</w:t>
      </w:r>
    </w:p>
    <w:p>
      <w:pPr>
        <w:spacing w:after="0" w:line="81"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If, or when, the deficiencies identified in the CRL have been addressed to FDA’s satisfaction in a resubmission of the NDA, FDA will issue an approval letter. 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80" w:lineRule="exact"/>
        <w:rPr>
          <w:sz w:val="20"/>
          <w:szCs w:val="20"/>
          <w:color w:val="auto"/>
        </w:rPr>
      </w:pPr>
    </w:p>
    <w:p>
      <w:pPr>
        <w:ind w:right="300" w:firstLine="479"/>
        <w:spacing w:after="0" w:line="261" w:lineRule="auto"/>
        <w:rPr>
          <w:sz w:val="20"/>
          <w:szCs w:val="20"/>
          <w:color w:val="auto"/>
        </w:rPr>
      </w:pPr>
      <w:r>
        <w:rPr>
          <w:rFonts w:ascii="Times New Roman" w:cs="Times New Roman" w:eastAsia="Times New Roman" w:hAnsi="Times New Roman"/>
          <w:sz w:val="18"/>
          <w:szCs w:val="18"/>
          <w:color w:val="auto"/>
        </w:rPr>
        <w:t>There is no guarantee that FDA will approve an NDA. Moreover, even if marketing authorization of a product candidate is granted, the approval may be subject to limitations on the indicated uses for which the product may be marketed, the product may have labeling that includes significant restrictions, warnings, including black box warnings, and contraindications, the regulatory authorities may not approve label claims necessary for successful product marketing, or the approval may be subject to significant conditions of approval, including the requirement of a REMS.</w:t>
      </w:r>
    </w:p>
    <w:p>
      <w:pPr>
        <w:spacing w:after="0" w:line="72"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instances, a new NDA,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ind w:right="60" w:firstLine="478"/>
        <w:spacing w:after="0" w:line="261" w:lineRule="auto"/>
        <w:rPr>
          <w:sz w:val="20"/>
          <w:szCs w:val="20"/>
          <w:color w:val="auto"/>
        </w:rPr>
      </w:pPr>
      <w:r>
        <w:rPr>
          <w:rFonts w:ascii="Times New Roman" w:cs="Times New Roman" w:eastAsia="Times New Roman" w:hAnsi="Times New Roman"/>
          <w:sz w:val="18"/>
          <w:szCs w:val="18"/>
          <w:color w:val="auto"/>
        </w:rPr>
        <w:t>Sponsors of clinical trials of FDA 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provided that certain criteria are met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certifications are provided. Competitors may use this publicly available information to gain knowledge regarding the progress of development programs.</w:t>
      </w: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1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Fast track designation may be granted for a product that is intended to treat a serious or life-threatening disease or condition for which preclinical or clinical data demonstrate the potential to address unmet medical needs for the condition. The sponsor of an investigational drug product may request that FDA designate the product candidate for a specific indication as a fast-track drug concurrent with, or after, the submission of the IND for the product candidate. FDA must determine if the product candidate qualifies for fast-track designation within 60 days of receipt of the sponsor’s request. For fast track products, sponsors may have greater interactions with the FDA and the FDA may potentially initiate review of sections of a fast track product’s NDA before the application is complete, referred to as “rolling review.” The sponsor must provide, and the FDA must approve, a schedule for the submission of the application and the sponsor must pay applicable user fees. The FDA may, however, not review applications submitted via rolling review until all sections of the application have been submitted. At the time of NDA filing, the FDA will determine whether to grant priority review designation. FDA will grant such designation if the proposed drug would be a significant improvement in the safety or effectiveness of the treatment, prevention, or diagnosis of a serious condition. Additionally, fast track designation may be withdrawn if FDA believes that the designation is no longer supported by data emerging in the clinical trial process.</w:t>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19"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By the date of approval of an accelerated approval product, FDA must specify the conditions for the required post approval studies, including enrollment targets, the study protocol, milestones, and target completion dates. FDA may also, and frequently does, require that the confirmatory Phase 4 studies be commenced prior to FDA granting a product accelerated approval. Reports on the progress of the required Phase 4 confirmatory studies must be submitted to FDA every 180 days after approval. If the trials fail to verify the clinical benefit of the drug or biologics product, the FDA may withdraw approval of the application through a statutorily defined streamlined process. Failure to conduct the required Phase 4 confirmatory studies or to conduct such studies with due diligence, as well as failure to submit the required update reports can subject a sponsor to penalties. All promotional materials for product candidates approved under accelerated regulations are subject to prior review by the FDA.</w:t>
      </w:r>
    </w:p>
    <w:p>
      <w:pPr>
        <w:spacing w:after="0" w:line="2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119" w:lineRule="exact"/>
        <w:rPr>
          <w:sz w:val="20"/>
          <w:szCs w:val="20"/>
          <w:color w:val="auto"/>
        </w:rPr>
      </w:pPr>
    </w:p>
    <w:p>
      <w:pPr>
        <w:ind w:right="80" w:firstLine="478"/>
        <w:spacing w:after="0" w:line="254" w:lineRule="auto"/>
        <w:rPr>
          <w:sz w:val="20"/>
          <w:szCs w:val="20"/>
          <w:color w:val="auto"/>
        </w:rPr>
      </w:pPr>
      <w:r>
        <w:rPr>
          <w:rFonts w:ascii="Times New Roman" w:cs="Times New Roman" w:eastAsia="Times New Roman" w:hAnsi="Times New Roman"/>
          <w:sz w:val="18"/>
          <w:szCs w:val="18"/>
          <w:color w:val="auto"/>
        </w:rPr>
        <w:t>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FDA designate the product candidate for a specific indication as a breakthrough therapy concurrent with, or after, the filing of the IND for the product candidate. FDA must determine if the product candidate qualifies for a Breakthrough Therapy Designation within 60 days of receipt of the sponsor’s request. The FDA may take certain actions with respect to breakthrough therapies, including but not limited to holding meetings with the sponsor throughout the development process, providing timely advice to the product sponsor regarding development and approval, involving more senior staff in the review process, assigning a cross-disciplinary project lead for the review team, granting priority review status or Fast Track Designation, reviewing applications on a rolling basis,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right="280"/>
        <w:spacing w:after="0" w:line="282" w:lineRule="auto"/>
        <w:rPr>
          <w:sz w:val="20"/>
          <w:szCs w:val="20"/>
          <w:color w:val="auto"/>
        </w:rPr>
      </w:pPr>
      <w:r>
        <w:rPr>
          <w:rFonts w:ascii="Times New Roman" w:cs="Times New Roman" w:eastAsia="Times New Roman" w:hAnsi="Times New Roman"/>
          <w:sz w:val="18"/>
          <w:szCs w:val="18"/>
          <w:color w:val="auto"/>
        </w:rPr>
        <w:t>and taking other steps to design the clinical studies in an efficient manner. FDA may withdraw breakthrough therapy designation if the conditions of the designation are no longer met.</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Under the Orphan Drug Act,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 Additionally, sponsors must present a plausible hypothesis for clinical superiority to obtain orphan designation if there is a product already approved by the FDA that that is considered by the FDA to be the same as the already approved product and is intended for the same indication. This hypothesis must be demonstrated to obtain orphan exclusivity.</w:t>
      </w:r>
    </w:p>
    <w:p>
      <w:pPr>
        <w:spacing w:after="0" w:line="187" w:lineRule="exact"/>
        <w:rPr>
          <w:sz w:val="20"/>
          <w:szCs w:val="20"/>
          <w:color w:val="auto"/>
        </w:rPr>
      </w:pPr>
    </w:p>
    <w:p>
      <w:pPr>
        <w:jc w:val="both"/>
        <w:ind w:right="160" w:firstLine="478"/>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FDA grants orphan drug designation, the identity of the drug and its potential orphan use are disclosed publicly by FDA. Orphan drug designation does not convey any advantage in, or shorten the duration of, the regulatory review and approval process.</w:t>
      </w:r>
    </w:p>
    <w:p>
      <w:pPr>
        <w:spacing w:after="0" w:line="68"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FDA’s regulations provide flexibility in meeting approval standards for new therapies intended to treat persons with life-threatening and severely-debilitating illnesses, especially where no satisfactory alternative therapy exists, such that FDA may exercise scientific judgment in determining the kind and quantity of data required for approval and during development programs. Per guidance issued by FDA in 2023 with respect to rare diseases, “[t]his flexibility extends from the early stages of development to the design of adequate and well-controlled clinical investigations required to demonstrate effectiveness to support marketing approval and to establish safety data needed for the intended use.” FDA states that it “is committed to helping sponsors create successful drug development programs that address the particular challenges posed by each disease….”</w:t>
      </w:r>
    </w:p>
    <w:p>
      <w:pPr>
        <w:spacing w:after="0" w:line="79" w:lineRule="exact"/>
        <w:rPr>
          <w:sz w:val="20"/>
          <w:szCs w:val="20"/>
          <w:color w:val="auto"/>
        </w:rPr>
      </w:pPr>
    </w:p>
    <w:p>
      <w:pPr>
        <w:ind w:right="40" w:firstLine="479"/>
        <w:spacing w:after="0" w:line="274" w:lineRule="auto"/>
        <w:rPr>
          <w:sz w:val="20"/>
          <w:szCs w:val="20"/>
          <w:color w:val="auto"/>
        </w:rPr>
      </w:pPr>
      <w:r>
        <w:rPr>
          <w:rFonts w:ascii="Times New Roman" w:cs="Times New Roman" w:eastAsia="Times New Roman" w:hAnsi="Times New Roman"/>
          <w:sz w:val="17"/>
          <w:szCs w:val="17"/>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63"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8"/>
          <w:szCs w:val="18"/>
          <w:color w:val="auto"/>
        </w:rPr>
        <w:t xml:space="preserve">It bears noting that the exact scope of orphan drug exclusivity may be an evolving space. A 2021 judicial decision,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challenged and reversed an FDA decision on the scope of orphan product exclusivity for the drug, Firdapse. Under this decision, orphan drug exclusivity for Firdapse blocked approval of another company’s application for the same drug for the entire disease or condition for which orphan drug designation was granted, not just the disease or condition for which approval was received. In a January 2023 Federal Register notice, however, the FDA stated that it intends to continue to apply its regulations tying the scope of orphan-drug exclusivity to the uses or indications for which a drug is approved. The exact scope of orphan drug exclusivity will likely be an evolving area.</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ind w:right="220" w:firstLine="479"/>
        <w:spacing w:after="0" w:line="258" w:lineRule="auto"/>
        <w:rPr>
          <w:sz w:val="20"/>
          <w:szCs w:val="20"/>
          <w:color w:val="auto"/>
        </w:rPr>
      </w:pPr>
      <w:r>
        <w:rPr>
          <w:rFonts w:ascii="Times New Roman" w:cs="Times New Roman" w:eastAsia="Times New Roman" w:hAnsi="Times New Roman"/>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Unless otherwise required by regulation, PREA does not apply to any drug for an indication for which orphan designation has been granted. However, compliance may be required if approval is sought for other indications for which the product has not received orphan designation.</w:t>
      </w:r>
    </w:p>
    <w:p>
      <w:pPr>
        <w:spacing w:after="0" w:line="75"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Separately, product candidates intended for the treatment of adult cancer which are directed at molecular targets that the FDA determines to be substantially relevant to the growth or progression of pediatric cancer, must submit, with the marketing application, reports from molecularly targeted pediatric cancer investigations designed to yield clinically meaningful pediatric study data, gathered using appropriate formulations for each applicable age group, to inform potential pediatric labeling. The FDA may, on its own initiative or at the request of the applicant, grant deferrals or waivers of some or all of this data, as above. Orphan products are not exempt from this requirement.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The Best Pharmaceuticals for Children Act, or BPCA, provides NDA holders a six-month extension of any exclusivity—patent or nonpatent—for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40" w:firstLine="479"/>
        <w:spacing w:after="0" w:line="254"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 Promotion and advertising must also be truthful and non-misleading, must be adequately substantiated, and with a fair balance between product benefit claims and risks, among other requirements. In 2023, FDA issued a final rule and a guidance on risk and efficacy disclosures in direct-to-consumer advertising. In 2024, FDA also issued a final guidance on communication of off-label scientific information about approved products. The FDA and other agencies actively enforce the laws and regulations prohibiting the promotion of off-label uses. Failure to comply with the laws and regulations governing advertising and promotion can have negative consequences, including FDA and other governmental authority enforcement actions.</w:t>
      </w:r>
    </w:p>
    <w:p>
      <w:pPr>
        <w:spacing w:after="0" w:line="80"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FDA also may require post-marketing testing, known as Phase 4 testing,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and list the drugs produced. The information that must be submitted to FDA regarding manufactured products was expanded through the Coronavirus Aid, Relief, and Economic Security, or CARES Act to include the volume of drugs produced during the prior year. Registration with FDA subjects entities to periodic unannounced inspections or remote regulatory assessments by FDA, during which the Agency inspects or assesses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Sponsors are further subject to various requirements related to FDA drug shortage and manufacturing volume reporting, supply chain security, such as risk management plan requirements, and the promotion of supply chain redundancy. Legislation and executive actions have also been issued to encourage domestic manufacturing, as well as to decrease drug prices. For instance, FDA approved a plan that was submitted by Florida to import drugs from Canada.</w:t>
      </w:r>
    </w:p>
    <w:p>
      <w:pPr>
        <w:spacing w:after="0" w:line="89"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Changes to the product manufacturing process often require prior FDA approval or notification before being implemented. FDA regulations also require the investigation and correction of any identified deviations from cGMP and specifications, and impose reporting and documentation requirements upon the sponsor and any third-party manufacturers.</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9" w:lineRule="exact"/>
        <w:rPr>
          <w:sz w:val="20"/>
          <w:szCs w:val="20"/>
          <w:color w:val="auto"/>
        </w:rPr>
      </w:pPr>
    </w:p>
    <w:p>
      <w:pPr>
        <w:ind w:right="120" w:firstLine="478"/>
        <w:spacing w:after="0" w:line="254"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 In an effort to clarify which patents must be listed in the Orange Book, in January 2021, Congress passed the Orange Book Transparency Act of 2020, which largely codifies FDA’s existing practices into the FD&amp;C Act. Listing patents in the Orange Book that do not qualify for listing can be considered to be anticompetitive conduct and subject to regulatory scrutiny and challenges. In 2023, the Federal Trade Commission, or FTC, sent letters to a number of companies with respect to certain patents that agency asserted were improperly listed or inaccurate. The FTC has signaled an increased focus on scrutinizing Orange Book listings as part of its broader efforts to combat practices that may delay generic and biosimilar competition. Listing these unqualified patents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(e.g., patents covering unapproved formulations or non-drug product aspects) in the Orange Book has also been the subject of litigation in 2024.</w:t>
      </w:r>
    </w:p>
    <w:p>
      <w:pPr>
        <w:spacing w:after="0" w:line="225"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Drugs listed in the Orange Book can, in turn, be cited by potential generic competitors in support of approval of an abbreviated new drug application, or ANDA or a 505(b)(2) 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 505(b)(2) NDAs are applications that contains full reports of investigations of safety and efficacy but where at least some of the information required for approval comes from investigations that were not conducted by or for the applicant and for which the applicant has not obtained the right of reference or use, and allows the 505(b)(2) applicant to rely, in part, on the FDA’s prior findings of safety and efficacy for an existing product, or published literature.</w:t>
      </w:r>
    </w:p>
    <w:p>
      <w:pPr>
        <w:spacing w:after="0" w:line="194" w:lineRule="exact"/>
        <w:rPr>
          <w:sz w:val="20"/>
          <w:szCs w:val="20"/>
          <w:color w:val="auto"/>
        </w:rPr>
      </w:pPr>
    </w:p>
    <w:p>
      <w:pPr>
        <w:ind w:right="40" w:firstLine="478"/>
        <w:spacing w:after="0" w:line="252" w:lineRule="auto"/>
        <w:rPr>
          <w:sz w:val="20"/>
          <w:szCs w:val="20"/>
          <w:color w:val="auto"/>
        </w:rPr>
      </w:pPr>
      <w:r>
        <w:rPr>
          <w:rFonts w:ascii="Times New Roman" w:cs="Times New Roman" w:eastAsia="Times New Roman" w:hAnsi="Times New Roman"/>
          <w:sz w:val="18"/>
          <w:szCs w:val="18"/>
          <w:color w:val="auto"/>
        </w:rPr>
        <w:t>The ANDA or 505(b)(2) 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applicant may also elect to submit a section viii statement certifying that its proposed label does not contain (or carves out) any language regarding the patented method-of-use rather than certify to a listed method-of-use patent. If the applicant does not challenge the listed patents through a Paragraph IV certification, the application will not be approved until all the listed patents claiming the referenced product have expired. If the applicant has provided a Paragraph IV certification to the FDA, the applicant must also send notice of the Paragraph IV certification to the NDA-holder and patentee(s) within certain specified timeframes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or 505(b)(2) application until the earlier of 30 months from the date the notice letter is received, expiration of the patent, the date of a settlement order or consent decree signed and entered by the court stating that the patent that is the subject of the certification is invalid or not infringed, a decision in the patent case that is favorable to the ANDA or 505(b)(2) NDA applicant, or such shorter or longer period as may be ordered by a court.</w:t>
      </w:r>
    </w:p>
    <w:p>
      <w:pPr>
        <w:spacing w:after="0" w:line="196" w:lineRule="exact"/>
        <w:rPr>
          <w:sz w:val="20"/>
          <w:szCs w:val="20"/>
          <w:color w:val="auto"/>
        </w:rPr>
      </w:pPr>
    </w:p>
    <w:p>
      <w:pPr>
        <w:ind w:right="220" w:firstLine="478"/>
        <w:spacing w:after="0" w:line="266" w:lineRule="auto"/>
        <w:rPr>
          <w:sz w:val="20"/>
          <w:szCs w:val="20"/>
          <w:color w:val="auto"/>
        </w:rPr>
      </w:pPr>
      <w:r>
        <w:rPr>
          <w:rFonts w:ascii="Times New Roman" w:cs="Times New Roman" w:eastAsia="Times New Roman" w:hAnsi="Times New Roman"/>
          <w:sz w:val="18"/>
          <w:szCs w:val="18"/>
          <w:color w:val="auto"/>
        </w:rPr>
        <w:t>The ANDA or 505(b)(2) application also will not be approved until any applicable non-patent exclusivity listed in the Orange Book for the referenced product has expired. In some instances, an applicant may receive approval prior to expiration of certain non-patent exclusivity if the applicant seeks, and FDA permits, the omission of such exclusivity-protected information from the prescribing information.</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119"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Upon NDA approval of a new chemical entity, or NCE, which is a drug that contains no active moiety that has been approved by FDA in any other NDA, that drug receives five years of marketing exclusivity during which FDA cannot receive any ANDA or 505(b)(2) application seeking approval of a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or 505(b)(2) application relying on such drug may be filed before the expiration of the exclusivity period.</w:t>
      </w:r>
    </w:p>
    <w:p>
      <w:pPr>
        <w:spacing w:after="0" w:line="183" w:lineRule="exact"/>
        <w:rPr>
          <w:sz w:val="20"/>
          <w:szCs w:val="20"/>
          <w:color w:val="auto"/>
        </w:rPr>
      </w:pPr>
    </w:p>
    <w:p>
      <w:pPr>
        <w:ind w:right="140" w:firstLine="478"/>
        <w:spacing w:after="0" w:line="256" w:lineRule="auto"/>
        <w:rPr>
          <w:sz w:val="20"/>
          <w:szCs w:val="20"/>
          <w:color w:val="auto"/>
        </w:rPr>
      </w:pPr>
      <w:r>
        <w:rPr>
          <w:rFonts w:ascii="Times New Roman" w:cs="Times New Roman" w:eastAsia="Times New Roman" w:hAnsi="Times New Roman"/>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or 505(b)(2) application for a drug that includes the change. To qualify for three-year exclusivity, there must be new clinical investigations, other than bioavailability studies, supporting the application, that were conducted or sponsored by the applicant, and are deemed by the FDA to be essential to the approval of the application. In some instances, an applicant may receive approval prior to expiration of the three-year exclusivity if the applicant seeks, and FDA permits, the omission of such exclusivity-protected information from the package insert.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19" w:lineRule="exact"/>
        <w:rPr>
          <w:sz w:val="20"/>
          <w:szCs w:val="20"/>
          <w:color w:val="auto"/>
        </w:rPr>
      </w:pPr>
    </w:p>
    <w:p>
      <w:pPr>
        <w:ind w:right="240" w:firstLine="478"/>
        <w:spacing w:after="0" w:line="256"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only applies to one patent per approved product and cannot extend the total term of a patent beyond 14 years from the product’s approval date. After NDA approval, owners of relevant drug patents may apply for the extension. The allowable patent term extension is calculated as the sum of (i) half of the drug’s testing phase (the time between IND application and NDA submission) and (ii) all of the review phase (the time between the full NDA submission and approval), up to a maximum of five years. The time can be reduced for any time the FDA determines the applicant did not pursue approval with due diligence.</w:t>
      </w:r>
    </w:p>
    <w:p>
      <w:pPr>
        <w:spacing w:after="0" w:line="187" w:lineRule="exact"/>
        <w:rPr>
          <w:sz w:val="20"/>
          <w:szCs w:val="20"/>
          <w:color w:val="auto"/>
        </w:rPr>
      </w:pPr>
    </w:p>
    <w:p>
      <w:pPr>
        <w:ind w:right="80" w:firstLine="478"/>
        <w:spacing w:after="0" w:line="256" w:lineRule="auto"/>
        <w:rPr>
          <w:sz w:val="20"/>
          <w:szCs w:val="20"/>
          <w:color w:val="auto"/>
        </w:rPr>
      </w:pPr>
      <w:r>
        <w:rPr>
          <w:rFonts w:ascii="Times New Roman" w:cs="Times New Roman" w:eastAsia="Times New Roman" w:hAnsi="Times New Roman"/>
          <w:sz w:val="18"/>
          <w:szCs w:val="18"/>
          <w:color w:val="auto"/>
        </w:rPr>
        <w:t>The United States Patent and Trademark Office, or USPTO, in consultation with the FDA, reviews and approves the application for any patent term extension or restoration. The FDA provides a factual assessment of regulatory delay, while the USPTO makes the final determination regarding eligibility and the length of the extension. However, the USPTO may deny an application for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7" w:lineRule="exact"/>
        <w:rPr>
          <w:sz w:val="20"/>
          <w:szCs w:val="20"/>
          <w:color w:val="auto"/>
        </w:rPr>
      </w:pPr>
    </w:p>
    <w:p>
      <w:pPr>
        <w:ind w:right="160" w:firstLine="478"/>
        <w:spacing w:after="0" w:line="258" w:lineRule="auto"/>
        <w:rPr>
          <w:sz w:val="20"/>
          <w:szCs w:val="20"/>
          <w:color w:val="auto"/>
        </w:rPr>
      </w:pPr>
      <w:r>
        <w:rPr>
          <w:rFonts w:ascii="Times New Roman" w:cs="Times New Roman" w:eastAsia="Times New Roman" w:hAnsi="Times New Roman"/>
          <w:sz w:val="18"/>
          <w:szCs w:val="18"/>
          <w:color w:val="auto"/>
        </w:rPr>
        <w:t>The application for the extension must be submitted prior to the expiration of the patent. If a patent is set to expire while a patent term extension application is still under review, the patent owner may request an interim extension, which extends the term by one year per request, up to a maximum of four years. For each interim patent extension granted, the post-approval patent extension is reduced by an equal duration (e.g., one year per interim patent extension). The director of the USPTO must determine that approval of the drug covered by the patent for which a patent extension is being sought is likely. Interim patent extensions are not available for a drug for which an NDA has not been submitted.</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21" w:lineRule="exact"/>
        <w:rPr>
          <w:sz w:val="20"/>
          <w:szCs w:val="20"/>
          <w:color w:val="auto"/>
        </w:rPr>
      </w:pPr>
    </w:p>
    <w:p>
      <w:pPr>
        <w:ind w:right="20" w:firstLine="479"/>
        <w:spacing w:after="0" w:line="252" w:lineRule="auto"/>
        <w:rPr>
          <w:sz w:val="20"/>
          <w:szCs w:val="20"/>
          <w:color w:val="auto"/>
        </w:rPr>
      </w:pPr>
      <w:r>
        <w:rPr>
          <w:rFonts w:ascii="Times New Roman" w:cs="Times New Roman" w:eastAsia="Times New Roman" w:hAnsi="Times New Roman"/>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FDA has generally required manufacturers of in vitro companion diagnostics intended to select the patients who will respond to cancer treatment to submit a pre-market approval application, or PMA, for that diagnostic device simultaneously with the submission of the drug approval application by the drug manufacturer (which may be the same company as the device manufacturer or a different company).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 In some cases, FDA may permit the use of a Laboratory Developed Test (LDT) as a companion diagnostic device. In general, tests that meet FDA’s definition of an LDT are subject FDA enforcement discretion and are not required to comply with FDA’s medical device regulatory requirements, including PMA approval requirements. However, LDTs must be developed, manufactured, and used in a single clinical laboratory location that has been certified under the Clinical Laboratory Improvement Amendments (CLIA) and is compliant with the CLIA regulations issued by the Centers for Medicare and Medicaid Services (CMS). Further, FDA issued a final rule in April 2024 to end enforcement discretion for LDTs and actively regulate LDTs as medical devices. Under this final rule, LDTs are required to come into compliance with FDA’s medical device regulatory requirements in a staged approach over the course of four years. The implementation of this LDT final rule could potentially be affected by the Executive Order, Regulatory Freeze Pending Review, issued by President Trump on January 20, 2025 and/or the anticipated change in leadership at FDA under the new administration.</w:t>
      </w:r>
    </w:p>
    <w:p>
      <w:pPr>
        <w:spacing w:after="0" w:line="87" w:lineRule="exact"/>
        <w:rPr>
          <w:sz w:val="20"/>
          <w:szCs w:val="20"/>
          <w:color w:val="auto"/>
        </w:rPr>
      </w:pPr>
    </w:p>
    <w:p>
      <w:pPr>
        <w:ind w:right="140" w:firstLine="479"/>
        <w:spacing w:after="0" w:line="258" w:lineRule="auto"/>
        <w:rPr>
          <w:sz w:val="20"/>
          <w:szCs w:val="20"/>
          <w:color w:val="auto"/>
        </w:rPr>
      </w:pPr>
      <w:r>
        <w:rPr>
          <w:rFonts w:ascii="Times New Roman" w:cs="Times New Roman" w:eastAsia="Times New Roman" w:hAnsi="Times New Roman"/>
          <w:sz w:val="18"/>
          <w:szCs w:val="18"/>
          <w:color w:val="auto"/>
        </w:rPr>
        <w:t>For those companion diagnostics that are not LDTs, the PMA process, including the gathering of extensive clinical and preclinical data and device manufacturing information, as well as the submission to and review by the FDA, can take several years or longer. It involves a rigorous premarket review during which the applicant must prepare and provide the FDA with test data and other information to demonstrate reasonable assurance of the device’s safety and effectiveness for its intended use, along with information about the device and its components regarding, among other things, device design, manufacturing and labeling. PMA applications are subject to a substantial application fee, which is typically increased annually.</w:t>
      </w:r>
    </w:p>
    <w:p>
      <w:pPr>
        <w:spacing w:after="0" w:line="7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22" w:name="page23"/>
    <w:bookmarkEnd w:id="22"/>
    <w:p>
      <w:pPr>
        <w:ind w:right="160"/>
        <w:spacing w:after="0" w:line="261" w:lineRule="auto"/>
        <w:rPr>
          <w:sz w:val="20"/>
          <w:szCs w:val="20"/>
          <w:color w:val="auto"/>
        </w:rPr>
      </w:pPr>
      <w:r>
        <w:rPr>
          <w:rFonts w:ascii="Times New Roman" w:cs="Times New Roman" w:eastAsia="Times New Roman" w:hAnsi="Times New Roman"/>
          <w:sz w:val="18"/>
          <w:szCs w:val="18"/>
          <w:color w:val="auto"/>
        </w:rPr>
        <w:t>adequate specimen and reagent stability, and produces reproducible results when the same sample is tested multiple times by multiple users at multiple laboratories. As part of the PMA review, the FDA will inspect the manufacturer’s facilities for compliance with the Quality System Regulation, or QSR, which imposes good manufacturing practice requirements for medical devices, including requirements for established processes, controls, recordkeeping, reporting, documentation and other quality assurance activities.</w:t>
      </w:r>
    </w:p>
    <w:p>
      <w:pPr>
        <w:spacing w:after="0" w:line="72" w:lineRule="exact"/>
        <w:rPr>
          <w:sz w:val="20"/>
          <w:szCs w:val="20"/>
          <w:color w:val="auto"/>
        </w:rPr>
      </w:pPr>
    </w:p>
    <w:p>
      <w:pPr>
        <w:ind w:right="180" w:firstLine="479"/>
        <w:spacing w:after="0" w:line="254"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submission of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92" w:lineRule="exact"/>
        <w:rPr>
          <w:sz w:val="20"/>
          <w:szCs w:val="20"/>
          <w:color w:val="auto"/>
        </w:rPr>
      </w:pPr>
    </w:p>
    <w:p>
      <w:pPr>
        <w:ind w:right="20" w:firstLine="478"/>
        <w:spacing w:after="0" w:line="272" w:lineRule="auto"/>
        <w:rPr>
          <w:sz w:val="20"/>
          <w:szCs w:val="20"/>
          <w:color w:val="auto"/>
        </w:rPr>
      </w:pPr>
      <w:r>
        <w:rPr>
          <w:rFonts w:ascii="Times New Roman" w:cs="Times New Roman" w:eastAsia="Times New Roman" w:hAnsi="Times New Roman"/>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register each of their establishment(s) engaged in manufacturing or initial importation activities, including payment of an annual establishment registration fee, and list the device(s) at each such establishment with the FDA. A medical device manufacturer’s design and manufacturing processes and those of its contract manufacturers are required to comply with the applicable portions of the QSR, which cover the methods and documentation of the design, testing, production, processes, controls, quality assurance, labeling, packaging and shipping of medical devices. Device manufacturers also have post-market reporting requirements for certain types of adverse events and device malfunctions, as well as for device correction and removal activities (including recalls). Domestic facility records and manufacturing processes are subject to periodic unscheduled inspections by the FDA. The FDA also may inspect foreign facilities that export products to the United States.</w:t>
      </w:r>
    </w:p>
    <w:p>
      <w:pPr>
        <w:spacing w:after="0" w:line="2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right="200" w:firstLine="47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68"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is a criminal statute that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term “remuneration” has been interpreted broadly to include anything of value. Several courts have interpreted the statute’s intent requirement to mean that if any one purpose of an arrangement involving remuneration is to induce or reward referrals of federal healthcare program business, including purchases of products paid by federal healthcare programs, the statute has been violated.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that may be alleged to be intended to induce prescribing, purchases or recommendations may be subject to scrutiny and enforcement action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the facts and circumstances. Additionally, the ACA amended the federal Anti-Kickback Statute such that a violation of that statute is a basis for liability under the federal civil False Claims Act. The Beneficiary Inducement Civil Monetary Penalties Law imposes similar restrictions on interactions between the biopharmaceutical industry and federal healthcare program beneficiaries.</w:t>
      </w:r>
    </w:p>
    <w:p>
      <w:pPr>
        <w:spacing w:after="0" w:line="85"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t>making, or causing to be made, a false statement to have a false claim paid, or avoiding, decreasing or concealing an obligation to pay money to the federal government. Intent to deceive is not required to establish liability under the civil False Claims Act. Rather, a claim may be false for deliberate ignorance of the truth or falsity of the information provided or for acts in reckless disregard of the truth or falsity of that information.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damages, penalties or settlement funds. If the government declines to intervene, the individual may pursue the case alone. The civil False Claims Act provides for treble damages and a civil penalty for each false claim, such as an invoice or pharmacy claim for reimbursement, which can aggregate into tens and even hundreds of millions of dollars. For these reasons, since 2004, False Claims Act lawsuits against biopharmaceutical companies have increased significantly in volume and breadth, leading to several substantial global civil and criminal settlements of as much as $3.0 billion regarding certain sales and promotional practices.</w:t>
      </w:r>
    </w:p>
    <w:p>
      <w:pPr>
        <w:spacing w:after="0" w:line="80"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The civil False Claims Act has been used to assert liability on the basis of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rebates, and for allegedly providing free product to customers with the expectation that the customers would bill federal programs for the product. In addition, certain marketing practices, including off-label promotion, may also violate false claims laws. Private payers have been filing follow-on lawsuits alleging fraudulent misrepresentation, although establishing liability and damages in these cases is more difficult than under the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80"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81" w:lineRule="exact"/>
        <w:rPr>
          <w:sz w:val="20"/>
          <w:szCs w:val="20"/>
          <w:color w:val="auto"/>
        </w:rPr>
      </w:pPr>
    </w:p>
    <w:p>
      <w:pPr>
        <w:ind w:right="60" w:firstLine="524"/>
        <w:spacing w:after="0" w:line="252" w:lineRule="auto"/>
        <w:rPr>
          <w:sz w:val="20"/>
          <w:szCs w:val="20"/>
          <w:color w:val="auto"/>
        </w:rPr>
      </w:pPr>
      <w:r>
        <w:rPr>
          <w:rFonts w:ascii="Times New Roman" w:cs="Times New Roman" w:eastAsia="Times New Roman" w:hAnsi="Times New Roman"/>
          <w:sz w:val="18"/>
          <w:szCs w:val="18"/>
          <w:color w:val="auto"/>
        </w:rPr>
        <w:t>In addition, we may be subject to healthcare data privacy and security regulations promulgated by both the federal government and the states in which we conduct our business. HIPAA, as amended by the Health Information Technology for Economic And Clinical Health Act, (“HITECH Act”), and their respective implementing regulations, impose certain requirements on covered entities relating to the privacy, security, and transmission of certain individually identifiable health information known as protected health information. The HIPAA privacy regulations impose certain requirements with respect to the disclosure of protected health information for research purposes, such as clinical trials. Among other things, the HITECH Act and its implementing regulations, made HIPAA’s security standards and certain privacy standards directly applicable to business associates, who, on behalf of covered entities, other than members of a covered entity’s workforce, create, receive, maintain or transmit protected health information for a function or activity regulated by HIPAA. The HITECH Act also strengthened the civil and criminal sanctions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Other federal and state laws, such as the California Consumer Privacy Act (“CCPA”) and Washington’s My Health My Data Act, may govern the privacy and security of health and other information in certain circumstances, many of which differ from each other in significant ways and may not be preempted by HIPAA, thus complicating compliance efforts. Since the CCPA was signed into law in 2018, numerous other states, including Virginia, Colorado, Utah and Connecticut, have enacted similar privacy laws that may apply to personal information that we collect or maintain.</w:t>
      </w:r>
    </w:p>
    <w:p>
      <w:pPr>
        <w:spacing w:after="0" w:line="89"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or CMS, issued a final rule that requires certain manufacturers of prescription drugs, medical devices and medical products to collect and annually report information on certain payments or transfers of value to U.S.-licensed physicians, as defined by such law, and teaching hospitals, as well as ownership and investment interests held by physicians and their immediate family members. The reported data is made available in searchable form on a public website on an annual basis. Failure to submit timely, accurate and complete required information may result in civil monetary penalties. Beginning calendar year 2021, manufacturers must also collect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120"/>
        <w:spacing w:after="0" w:line="282" w:lineRule="auto"/>
        <w:rPr>
          <w:sz w:val="20"/>
          <w:szCs w:val="20"/>
          <w:color w:val="auto"/>
        </w:rPr>
      </w:pPr>
      <w:r>
        <w:rPr>
          <w:rFonts w:ascii="Times New Roman" w:cs="Times New Roman" w:eastAsia="Times New Roman" w:hAnsi="Times New Roman"/>
          <w:sz w:val="18"/>
          <w:szCs w:val="18"/>
          <w:color w:val="auto"/>
        </w:rPr>
        <w:t>information regarding payments and other transfers of value to physician assistants, nurse practitioners, clinical nurse specialists, certified registered nurse anesthetists, anesthesiologist assistants and certified nurse- midwives for reporting in 2022.</w:t>
      </w:r>
    </w:p>
    <w:p>
      <w:pPr>
        <w:spacing w:after="0" w:line="54"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In addition, several states now require prescription drug companies to report certain expenses relating to the marketing and promotion of drug products to report gifts and payments to individual healthcare practitioners to prohibit various marketing-related activities, such as the provision of certain kinds of gifts or meals, and/or to comply with certain compliance requirements.</w:t>
      </w:r>
    </w:p>
    <w:p>
      <w:pPr>
        <w:spacing w:after="0" w:line="68"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7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sanctions, including civil and administrative penalties and damages, criminal fines and confinement, disgorgement, the curtailment or restructuring of its operations, loss of eligibility to obtain approvals from the FDA, exclusion from participation in federal health care programs, suspension and debarment from government procurement and non-procurement programs, refusal of orders under existing government contracts, integrity oversight and reporting obligations, and reputational harm. Although effective compliance programs can mitigate the risk of investigation and enforcement actions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w:t>
      </w:r>
    </w:p>
    <w:p>
      <w:pPr>
        <w:spacing w:after="0" w:line="2" w:lineRule="exact"/>
        <w:rPr>
          <w:sz w:val="20"/>
          <w:szCs w:val="20"/>
          <w:color w:val="auto"/>
        </w:rPr>
      </w:pPr>
    </w:p>
    <w:p>
      <w:pPr>
        <w:ind w:right="20" w:firstLine="8"/>
        <w:spacing w:after="0" w:line="25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 There have been legislative and judicial efforts to modify, repeal, or otherwise invalidate all, or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440"/>
        <w:spacing w:after="0" w:line="282" w:lineRule="auto"/>
        <w:rPr>
          <w:sz w:val="20"/>
          <w:szCs w:val="20"/>
          <w:color w:val="auto"/>
        </w:rPr>
      </w:pPr>
      <w:r>
        <w:rPr>
          <w:rFonts w:ascii="Times New Roman" w:cs="Times New Roman" w:eastAsia="Times New Roman" w:hAnsi="Times New Roman"/>
          <w:sz w:val="18"/>
          <w:szCs w:val="18"/>
          <w:color w:val="auto"/>
        </w:rPr>
        <w:t>certain provisions of, the ACA. We cannot predict the ultimate content, timing or effect of any healthcare reform legislation or the impact of potential legislation on us.</w:t>
      </w:r>
    </w:p>
    <w:p>
      <w:pPr>
        <w:spacing w:after="0" w:line="162" w:lineRule="exact"/>
        <w:rPr>
          <w:sz w:val="20"/>
          <w:szCs w:val="20"/>
          <w:color w:val="auto"/>
        </w:rPr>
      </w:pPr>
    </w:p>
    <w:p>
      <w:pPr>
        <w:ind w:right="20" w:firstLine="478"/>
        <w:spacing w:after="0" w:line="252"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through 2031. The Consolidated Appropriations Act, 2021 extended the suspension of the 2% Medicare sequester through March 31, 2021.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87"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and price increases, review the relationship between pricing and manufacturer patient programs, and reform government program reimbursement methodologies for drug products.</w:t>
      </w:r>
    </w:p>
    <w:p>
      <w:pPr>
        <w:spacing w:after="0" w:line="72"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 xml:space="preserve">The Trump and Biden administrations both issued executive orders intended to favor and encourage domestic manufacturing. And on August 16, 2022, former President Biden signed into the law the Inflation Reduction Act of 2022, or the IRA. Among other things, the IRA has multiple provisions that may impact the prices of drug products, such as negotiated ceiling prices and penalties for price increases that exceed the rate of inflation, that are both sold into the Medicare program and throughout the United States. Drug price negotiations and other IRA program implementation measures could potentially be affected by the Executive Order, </w:t>
      </w:r>
      <w:r>
        <w:rPr>
          <w:rFonts w:ascii="Times New Roman" w:cs="Times New Roman" w:eastAsia="Times New Roman" w:hAnsi="Times New Roman"/>
          <w:sz w:val="18"/>
          <w:szCs w:val="18"/>
          <w:i w:val="1"/>
          <w:iCs w:val="1"/>
          <w:color w:val="auto"/>
        </w:rPr>
        <w:t>Initial Rescissions of Harmful Executive Orders and Actions,</w:t>
      </w:r>
      <w:r>
        <w:rPr>
          <w:rFonts w:ascii="Times New Roman" w:cs="Times New Roman" w:eastAsia="Times New Roman" w:hAnsi="Times New Roman"/>
          <w:sz w:val="18"/>
          <w:szCs w:val="18"/>
          <w:color w:val="auto"/>
        </w:rPr>
        <w:t xml:space="preserve"> issued by President Trump on January 20, 2025 and/or the anticipated changes in leadership at Health and Human Services (HHS) and the Centers for Medicare and Medicaid Services (CMS) under the new administration.</w:t>
      </w:r>
    </w:p>
    <w:p>
      <w:pPr>
        <w:spacing w:after="0" w:line="189" w:lineRule="exact"/>
        <w:rPr>
          <w:sz w:val="20"/>
          <w:szCs w:val="20"/>
          <w:color w:val="auto"/>
        </w:rPr>
      </w:pPr>
    </w:p>
    <w:p>
      <w:pPr>
        <w:ind w:right="20" w:firstLine="478"/>
        <w:spacing w:after="0" w:line="256"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CMS also published an interim final rule that establishes an MFN Model for Medicare Part B drug payment. This regulation would substantially change the drug reimbursement landscape as it bases Medicare Part B payment for 50 selected drugs on prices in foreign countries instead of ASP and establishes a fixed add-on payment in place of the current 6% (4.3% after sequestration) of average sales price, or ASP.</w:t>
      </w:r>
    </w:p>
    <w:p>
      <w:pPr>
        <w:spacing w:after="0" w:line="187"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or caps, discounts, restrictions on certain product access and marketing cost disclosure and transparency measures, and, in some cases, to encourage importation from other countries and bulk purchasing. States, such as Maryland, have also established Drug Affordability Review Boards for the purpose of establishing upper payment limits for certain high-cost drugs which, if implemented, could result in reduced reimbursement for those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189"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Coverage and reimbursement policies for drug products can differ significantly from payor to payor as there is no uniform policy of coverage and reimbursement for drug products among third-party payors in the United States, although private payors often, but not always, follow CMS’s decisions regarding coverage and reimbursement.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188" w:lineRule="exact"/>
        <w:rPr>
          <w:sz w:val="20"/>
          <w:szCs w:val="20"/>
          <w:color w:val="auto"/>
        </w:rPr>
      </w:pPr>
    </w:p>
    <w:p>
      <w:pPr>
        <w:ind w:right="140" w:firstLine="478"/>
        <w:spacing w:after="0" w:line="255" w:lineRule="auto"/>
        <w:rPr>
          <w:sz w:val="20"/>
          <w:szCs w:val="20"/>
          <w:color w:val="auto"/>
        </w:rPr>
      </w:pPr>
      <w:r>
        <w:rPr>
          <w:rFonts w:ascii="Times New Roman" w:cs="Times New Roman" w:eastAsia="Times New Roman" w:hAnsi="Times New Roman"/>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particular reference listed drug in their formularies or otherwise restrict patient access to a reference listed drug when a less costly generic equivalent or other alternative is available. Third-party payors may require prior authorizations or failure on another type of treatment before covering a particular drug, particularly with respect to higher-priced drugs. Decreases in third-party reimbursement for a product or a decision by a third-party payor to not cover a product could reduce physician usage of the product. If these products do not achieve an adequate level of acceptance, we may not generate significant product revenues or any profits from operations.</w:t>
      </w:r>
    </w:p>
    <w:p>
      <w:pPr>
        <w:spacing w:after="0" w:line="189" w:lineRule="exact"/>
        <w:rPr>
          <w:sz w:val="20"/>
          <w:szCs w:val="20"/>
          <w:color w:val="auto"/>
        </w:rPr>
      </w:pPr>
    </w:p>
    <w:p>
      <w:pPr>
        <w:ind w:right="140" w:firstLine="478"/>
        <w:spacing w:after="0" w:line="261"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180" w:lineRule="exact"/>
        <w:rPr>
          <w:sz w:val="20"/>
          <w:szCs w:val="20"/>
          <w:color w:val="auto"/>
        </w:rPr>
      </w:pPr>
    </w:p>
    <w:p>
      <w:pPr>
        <w:ind w:right="240" w:firstLine="478"/>
        <w:spacing w:after="0" w:line="261"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to continue, which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460" w:firstLine="479"/>
        <w:spacing w:after="0" w:line="266" w:lineRule="auto"/>
        <w:rPr>
          <w:sz w:val="20"/>
          <w:szCs w:val="20"/>
          <w:color w:val="auto"/>
        </w:rPr>
      </w:pPr>
      <w:r>
        <w:rPr>
          <w:rFonts w:ascii="Times New Roman" w:cs="Times New Roman" w:eastAsia="Times New Roman" w:hAnsi="Times New Roman"/>
          <w:sz w:val="18"/>
          <w:szCs w:val="18"/>
          <w:color w:val="auto"/>
        </w:rPr>
        <w:t>As of December 31, 2024, we had 131 full-time employees. Of our employees, 47% have an M.D. or a Ph.D.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2016. Our principal executive offices are located in Wilmington, DE. Our website address is www.preludetx.com. Website references in this Annual Report on Form 10-K are inactive, textual references only, and the information contained on, or that can be accessed through, our website is not part of, and is not incorporated by reference into, this Annual Report on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ind w:firstLine="479"/>
        <w:spacing w:after="0" w:line="281" w:lineRule="auto"/>
        <w:rPr>
          <w:sz w:val="20"/>
          <w:szCs w:val="20"/>
          <w:color w:val="auto"/>
        </w:rPr>
      </w:pPr>
      <w:r>
        <w:rPr>
          <w:rFonts w:ascii="Times New Roman" w:cs="Times New Roman" w:eastAsia="Times New Roman" w:hAnsi="Times New Roman"/>
          <w:sz w:val="17"/>
          <w:szCs w:val="17"/>
          <w:color w:val="auto"/>
        </w:rPr>
        <w:t>The mark “Prelude Therapeutics,” the Prelude logo and all product names are our common law trademarks. All other service marks, trademarks and trade names appearing in this Annual Report on Form 10-K are the property of their respective owners.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We file our annual reports on Form 10-K, quarterly reports on Form 10-Q and current reports on Form 8-K pursuant to Section 13(a) or 15(d) of the Securities Exchange Act of 1934, as amended, or the Exchange Act, electronically with the U.S. Securities and Exchange Commission, or the SEC. The SEC maintains an Internet site that contains reports, proxy and information statements, and other information regarding issuers that file electronically with the SEC. The address of that site is http://www.sec.gov.</w:t>
      </w:r>
    </w:p>
    <w:p>
      <w:pPr>
        <w:spacing w:after="0" w:line="72"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electronic versions of our Annual Report on Form 10-K, quarterly reports on Form 10-Q, current reports on Form 8-K and amendments to those reports on our website, preludetx.com, as soon as reasonably practicable after we electronically file or furnish such materials to the Securities and Exchange Commission, or SEC.</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0"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on Form 10-K,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The occurrence of any of the following risks, or of additional risks and uncertainties not presently known to us or that we currently believe to be immaterial, could materially and adversely affect our business, financial condition, results of operations and prospects. If that were to happen, the trading price of our common stock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840" w:right="2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We expect to incur continued losses for the foreseeable future and may never be profitable.</w:t>
      </w:r>
    </w:p>
    <w:p>
      <w:pPr>
        <w:spacing w:after="0" w:line="53" w:lineRule="exact"/>
        <w:rPr>
          <w:rFonts w:ascii="Times New Roman" w:cs="Times New Roman" w:eastAsia="Times New Roman" w:hAnsi="Times New Roman"/>
          <w:sz w:val="18"/>
          <w:szCs w:val="18"/>
          <w:color w:val="auto"/>
        </w:rPr>
      </w:pPr>
    </w:p>
    <w:p>
      <w:pPr>
        <w:ind w:left="840" w:right="74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any revenue and our inability to execute on our business plan may cause you the total or partial loss of your investment.</w:t>
      </w:r>
    </w:p>
    <w:p>
      <w:pPr>
        <w:spacing w:after="0" w:line="53" w:lineRule="exact"/>
        <w:rPr>
          <w:rFonts w:ascii="Times New Roman" w:cs="Times New Roman" w:eastAsia="Times New Roman" w:hAnsi="Times New Roman"/>
          <w:sz w:val="18"/>
          <w:szCs w:val="18"/>
          <w:color w:val="auto"/>
        </w:rPr>
      </w:pPr>
    </w:p>
    <w:p>
      <w:pPr>
        <w:ind w:left="840" w:right="160" w:hanging="41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do not generate any revenue, we are dependent on working capital to fund our business plan, and 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67" w:lineRule="exact"/>
        <w:rPr>
          <w:rFonts w:ascii="Times New Roman" w:cs="Times New Roman" w:eastAsia="Times New Roman" w:hAnsi="Times New Roman"/>
          <w:sz w:val="18"/>
          <w:szCs w:val="18"/>
          <w:color w:val="auto"/>
        </w:rPr>
      </w:pPr>
    </w:p>
    <w:p>
      <w:pPr>
        <w:ind w:left="840" w:hanging="41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product candidates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67" w:lineRule="exact"/>
        <w:rPr>
          <w:rFonts w:ascii="Times New Roman" w:cs="Times New Roman" w:eastAsia="Times New Roman" w:hAnsi="Times New Roman"/>
          <w:sz w:val="18"/>
          <w:szCs w:val="18"/>
          <w:color w:val="auto"/>
        </w:rPr>
      </w:pPr>
    </w:p>
    <w:p>
      <w:pPr>
        <w:ind w:left="840" w:right="118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and/or commercialization of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enrolling patients in our ongoing or planned clinical trials, our receipt of necessary regulatory approval could be delayed or prevented.</w:t>
      </w:r>
    </w:p>
    <w:p>
      <w:pPr>
        <w:spacing w:after="0" w:line="53" w:lineRule="exact"/>
        <w:rPr>
          <w:rFonts w:ascii="Times New Roman" w:cs="Times New Roman" w:eastAsia="Times New Roman" w:hAnsi="Times New Roman"/>
          <w:sz w:val="18"/>
          <w:szCs w:val="18"/>
          <w:color w:val="auto"/>
        </w:rPr>
      </w:pPr>
    </w:p>
    <w:p>
      <w:pPr>
        <w:ind w:left="840" w:right="20" w:hanging="41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our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ind w:left="840" w:right="44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840" w:hanging="41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policy changes, including U.S. health care reform legislation,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840" w:hanging="416"/>
        <w:spacing w:after="0" w:line="261"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ind w:left="840" w:hanging="416"/>
        <w:spacing w:after="0" w:line="258"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9" w:name="page30"/>
    <w:bookmarkEnd w:id="29"/>
    <w:p>
      <w:pPr>
        <w:ind w:left="420" w:right="10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3" w:lineRule="exact"/>
        <w:rPr>
          <w:rFonts w:ascii="Times New Roman" w:cs="Times New Roman" w:eastAsia="Times New Roman" w:hAnsi="Times New Roman"/>
          <w:sz w:val="18"/>
          <w:szCs w:val="18"/>
          <w:color w:val="auto"/>
        </w:rPr>
      </w:pPr>
    </w:p>
    <w:p>
      <w:pPr>
        <w:ind w:left="420" w:right="140" w:hanging="416"/>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67" w:lineRule="exact"/>
        <w:rPr>
          <w:rFonts w:ascii="Times New Roman" w:cs="Times New Roman" w:eastAsia="Times New Roman" w:hAnsi="Times New Roman"/>
          <w:sz w:val="18"/>
          <w:szCs w:val="18"/>
          <w:color w:val="auto"/>
        </w:rPr>
      </w:pPr>
    </w:p>
    <w:p>
      <w:pPr>
        <w:ind w:left="420" w:right="14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420" w:right="26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 that we may develop.</w:t>
      </w:r>
    </w:p>
    <w:p>
      <w:pPr>
        <w:spacing w:after="0" w:line="53" w:lineRule="exact"/>
        <w:rPr>
          <w:rFonts w:ascii="Times New Roman" w:cs="Times New Roman" w:eastAsia="Times New Roman" w:hAnsi="Times New Roman"/>
          <w:sz w:val="18"/>
          <w:szCs w:val="18"/>
          <w:color w:val="auto"/>
        </w:rPr>
      </w:pPr>
    </w:p>
    <w:p>
      <w:pPr>
        <w:ind w:left="420" w:right="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 and manage our human capital.</w:t>
      </w:r>
    </w:p>
    <w:p>
      <w:pPr>
        <w:spacing w:after="0" w:line="53" w:lineRule="exact"/>
        <w:rPr>
          <w:rFonts w:ascii="Times New Roman" w:cs="Times New Roman" w:eastAsia="Times New Roman" w:hAnsi="Times New Roman"/>
          <w:sz w:val="18"/>
          <w:szCs w:val="18"/>
          <w:color w:val="auto"/>
        </w:rPr>
      </w:pPr>
    </w:p>
    <w:p>
      <w:pPr>
        <w:ind w:left="420" w:right="1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3" w:lineRule="exact"/>
        <w:rPr>
          <w:rFonts w:ascii="Times New Roman" w:cs="Times New Roman" w:eastAsia="Times New Roman" w:hAnsi="Times New Roman"/>
          <w:sz w:val="18"/>
          <w:szCs w:val="18"/>
          <w:color w:val="auto"/>
        </w:rPr>
      </w:pPr>
    </w:p>
    <w:p>
      <w:pPr>
        <w:ind w:left="4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3" w:lineRule="exact"/>
        <w:rPr>
          <w:rFonts w:ascii="Times New Roman" w:cs="Times New Roman" w:eastAsia="Times New Roman" w:hAnsi="Times New Roman"/>
          <w:sz w:val="18"/>
          <w:szCs w:val="18"/>
          <w:color w:val="auto"/>
        </w:rPr>
      </w:pPr>
    </w:p>
    <w:p>
      <w:pPr>
        <w:ind w:left="420" w:right="56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spacing w:after="0" w:line="53" w:lineRule="exact"/>
        <w:rPr>
          <w:rFonts w:ascii="Times New Roman" w:cs="Times New Roman" w:eastAsia="Times New Roman" w:hAnsi="Times New Roman"/>
          <w:sz w:val="18"/>
          <w:szCs w:val="18"/>
          <w:color w:val="auto"/>
        </w:rPr>
      </w:pPr>
    </w:p>
    <w:p>
      <w:pPr>
        <w:ind w:left="420" w:right="360" w:hanging="416"/>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67" w:lineRule="exact"/>
        <w:rPr>
          <w:rFonts w:ascii="Times New Roman" w:cs="Times New Roman" w:eastAsia="Times New Roman" w:hAnsi="Times New Roman"/>
          <w:sz w:val="18"/>
          <w:szCs w:val="18"/>
          <w:color w:val="auto"/>
        </w:rPr>
      </w:pPr>
    </w:p>
    <w:p>
      <w:pPr>
        <w:ind w:left="420" w:right="1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or administrative disputes to protect or enforce our patents or other intellectual property,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420" w:hanging="4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protect or enforce our intellectual property and proprietary rights throughout the world.</w:t>
      </w:r>
    </w:p>
    <w:p>
      <w:pPr>
        <w:spacing w:after="0" w:line="117" w:lineRule="exact"/>
        <w:rPr>
          <w:rFonts w:ascii="Times New Roman" w:cs="Times New Roman" w:eastAsia="Times New Roman" w:hAnsi="Times New Roman"/>
          <w:sz w:val="18"/>
          <w:szCs w:val="18"/>
          <w:color w:val="auto"/>
        </w:rPr>
      </w:pPr>
    </w:p>
    <w:p>
      <w:pPr>
        <w:ind w:left="4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3" w:lineRule="exact"/>
        <w:rPr>
          <w:rFonts w:ascii="Times New Roman" w:cs="Times New Roman" w:eastAsia="Times New Roman" w:hAnsi="Times New Roman"/>
          <w:sz w:val="18"/>
          <w:szCs w:val="18"/>
          <w:color w:val="auto"/>
        </w:rPr>
      </w:pPr>
    </w:p>
    <w:p>
      <w:pPr>
        <w:ind w:left="420" w:hanging="4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improvements to our product candidates may be held by third parties.</w:t>
      </w:r>
    </w:p>
    <w:p>
      <w:pPr>
        <w:spacing w:after="0" w:line="117" w:lineRule="exact"/>
        <w:rPr>
          <w:rFonts w:ascii="Times New Roman" w:cs="Times New Roman" w:eastAsia="Times New Roman" w:hAnsi="Times New Roman"/>
          <w:sz w:val="18"/>
          <w:szCs w:val="18"/>
          <w:color w:val="auto"/>
        </w:rPr>
      </w:pPr>
    </w:p>
    <w:p>
      <w:pPr>
        <w:ind w:left="420" w:right="36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never be sustained. As a result, you may not be able to resell your shares of common stock at or above the purchase price.</w:t>
      </w:r>
    </w:p>
    <w:p>
      <w:pPr>
        <w:spacing w:after="0" w:line="53" w:lineRule="exact"/>
        <w:rPr>
          <w:rFonts w:ascii="Times New Roman" w:cs="Times New Roman" w:eastAsia="Times New Roman" w:hAnsi="Times New Roman"/>
          <w:sz w:val="18"/>
          <w:szCs w:val="18"/>
          <w:color w:val="auto"/>
        </w:rPr>
      </w:pPr>
    </w:p>
    <w:p>
      <w:pPr>
        <w:ind w:left="420" w:right="50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is likely to continue to be highly volatile, which could result in substantial losses for purchasers of our common stock.</w:t>
      </w:r>
    </w:p>
    <w:p>
      <w:pPr>
        <w:spacing w:after="0" w:line="53" w:lineRule="exact"/>
        <w:rPr>
          <w:rFonts w:ascii="Times New Roman" w:cs="Times New Roman" w:eastAsia="Times New Roman" w:hAnsi="Times New Roman"/>
          <w:sz w:val="18"/>
          <w:szCs w:val="18"/>
          <w:color w:val="auto"/>
        </w:rPr>
      </w:pPr>
    </w:p>
    <w:p>
      <w:pPr>
        <w:ind w:left="420" w:right="38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420" w:right="380" w:hanging="416"/>
        <w:spacing w:after="0" w:line="312" w:lineRule="auto"/>
        <w:tabs>
          <w:tab w:leader="none" w:pos="4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31" w:lineRule="exact"/>
        <w:rPr>
          <w:rFonts w:ascii="Times New Roman" w:cs="Times New Roman" w:eastAsia="Times New Roman" w:hAnsi="Times New Roman"/>
          <w:sz w:val="17"/>
          <w:szCs w:val="17"/>
          <w:color w:val="auto"/>
        </w:rPr>
      </w:pPr>
    </w:p>
    <w:p>
      <w:pPr>
        <w:ind w:left="420" w:right="7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and our management will be required to devote substantial time to new compliance initiatives and corporate governance practices.</w:t>
      </w:r>
    </w:p>
    <w:p>
      <w:pPr>
        <w:spacing w:after="0" w:line="27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120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44" w:lineRule="exact"/>
        <w:rPr>
          <w:sz w:val="20"/>
          <w:szCs w:val="20"/>
          <w:color w:val="auto"/>
        </w:rPr>
      </w:pPr>
    </w:p>
    <w:p>
      <w:pPr>
        <w:ind w:left="4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We expect to incur continued losses for the foreseeable future and may never be profitable.</w:t>
      </w:r>
    </w:p>
    <w:p>
      <w:pPr>
        <w:spacing w:after="0" w:line="78"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For the year ended December 31, 2024, we reported a net loss of $127.2 million, compared to a net loss of $121.8 million for the year ended December 31, 2023. As of December 31, 2024, we had an accumulated deficit of $583.6 million. We have not yet commercialized any product, and we do not expect to generate revenue from sales of any products for several years, if at all. We expect to continue to incur significant research and development and other expenses related to our ongoing operations.</w:t>
      </w:r>
    </w:p>
    <w:p>
      <w:pPr>
        <w:spacing w:after="0" w:line="183"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preclinical and clinical development of our product candidates, and our research efforts on other potential product candidates targeting PRMT5, MCL1, CDK9, and BRM, otherwise known as SMARCA2. As of December 31, 2024, our cash, cash equivalents, and marketable securities were $133.6 million.</w:t>
      </w:r>
    </w:p>
    <w:p>
      <w:pPr>
        <w:spacing w:after="0" w:line="176"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expect to incur operating losses for the foreseeable future, particularly as we advance our product candidates through clinical development. Our prior losses, combined with expected future losses, have had and will continue to have an adverse effect on our stockholders’ equity and working capital. We expect to incur research and development expenses in connection with our additional planned clinical trials for our lead product candidates and the development and subsequent INDs of other future product candidates we may choose to pursue. In addition, if we obtain marketing approval for any of our product candidates, we will incur significant sales, marketing and outsourced manufacturing expenses in connection with the commercialization. As a result, we expect to continue to incur significant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90" w:lineRule="exact"/>
        <w:rPr>
          <w:sz w:val="20"/>
          <w:szCs w:val="20"/>
          <w:color w:val="auto"/>
        </w:rPr>
      </w:pPr>
    </w:p>
    <w:p>
      <w:pPr>
        <w:ind w:left="4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generated any product revenue and our inability to execute on our business plan may cause you the total or partial loss of your investment.</w:t>
      </w:r>
    </w:p>
    <w:p>
      <w:pPr>
        <w:spacing w:after="0" w:line="159"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product revenue and we do not know when, or if, we will generate any product revenue. We do not expect to generate significant revenue unless and until we obtain marketing approval for, and begin to sell, one or more of our product candidates. Our ability to generate revenue depends on a number of factors, including, but not limited to, our ability to:</w:t>
      </w:r>
    </w:p>
    <w:p>
      <w:pPr>
        <w:spacing w:after="0" w:line="85" w:lineRule="exact"/>
        <w:rPr>
          <w:sz w:val="20"/>
          <w:szCs w:val="20"/>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successful clinical trials for our product candidates;</w:t>
      </w:r>
    </w:p>
    <w:p>
      <w:pPr>
        <w:spacing w:after="0" w:line="117" w:lineRule="exact"/>
        <w:rPr>
          <w:rFonts w:ascii="Times New Roman" w:cs="Times New Roman" w:eastAsia="Times New Roman" w:hAnsi="Times New Roman"/>
          <w:sz w:val="18"/>
          <w:szCs w:val="18"/>
          <w:color w:val="auto"/>
        </w:rPr>
      </w:pPr>
    </w:p>
    <w:p>
      <w:pPr>
        <w:ind w:left="840" w:right="160" w:hanging="413"/>
        <w:spacing w:after="0" w:line="28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approval for our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may increase the value of our programs;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our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if approved, by building a sales force or entering into collaborations with third parties;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INDs that are made effective by the FDA;</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successful product candidates with the medical community and with third-party payors.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214"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83"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210"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24" w:lineRule="exact"/>
        <w:rPr>
          <w:sz w:val="20"/>
          <w:szCs w:val="20"/>
          <w:color w:val="auto"/>
        </w:rPr>
      </w:pPr>
    </w:p>
    <w:p>
      <w:pPr>
        <w:ind w:left="4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do not generate any revenue, we are dependent on working capital to fund our business plan, and 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80"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activities, particularly as we advance our product candidates through clinical development and seek to design additional product candidates from our discovery programs. We expect to incur continued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215"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for at least the next twelve months from the filing date of this Annual Report on Form 10-K.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89" w:lineRule="exact"/>
        <w:rPr>
          <w:sz w:val="20"/>
          <w:szCs w:val="20"/>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ind w:left="840" w:right="54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53" w:lineRule="exact"/>
        <w:rPr>
          <w:rFonts w:ascii="Times New Roman" w:cs="Times New Roman" w:eastAsia="Times New Roman" w:hAnsi="Times New Roman"/>
          <w:sz w:val="18"/>
          <w:szCs w:val="18"/>
          <w:color w:val="auto"/>
        </w:rPr>
      </w:pPr>
    </w:p>
    <w:p>
      <w:pPr>
        <w:ind w:left="840" w:right="8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and any companion diagnostics we may pursue;</w:t>
      </w:r>
    </w:p>
    <w:p>
      <w:pPr>
        <w:spacing w:after="0" w:line="53" w:lineRule="exact"/>
        <w:rPr>
          <w:rFonts w:ascii="Times New Roman" w:cs="Times New Roman" w:eastAsia="Times New Roman" w:hAnsi="Times New Roman"/>
          <w:sz w:val="18"/>
          <w:szCs w:val="18"/>
          <w:color w:val="auto"/>
        </w:rPr>
      </w:pPr>
    </w:p>
    <w:p>
      <w:pPr>
        <w:ind w:left="840" w:right="28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3"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associated with commercializing any approved product candidates, including establishing sales, marketing and distribution capabilities;</w:t>
      </w:r>
    </w:p>
    <w:p>
      <w:pPr>
        <w:spacing w:after="0" w:line="128" w:lineRule="exact"/>
        <w:rPr>
          <w:rFonts w:ascii="Times New Roman" w:cs="Times New Roman" w:eastAsia="Times New Roman" w:hAnsi="Times New Roman"/>
          <w:sz w:val="17"/>
          <w:szCs w:val="17"/>
          <w:color w:val="auto"/>
        </w:rPr>
      </w:pPr>
    </w:p>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that receive marketing approval;</w:t>
      </w:r>
    </w:p>
    <w:p>
      <w:pPr>
        <w:spacing w:after="0" w:line="117" w:lineRule="exact"/>
        <w:rPr>
          <w:rFonts w:ascii="Times New Roman" w:cs="Times New Roman" w:eastAsia="Times New Roman" w:hAnsi="Times New Roman"/>
          <w:sz w:val="18"/>
          <w:szCs w:val="18"/>
          <w:color w:val="auto"/>
        </w:rPr>
      </w:pPr>
    </w:p>
    <w:p>
      <w:pPr>
        <w:ind w:left="840" w:right="440" w:hanging="413"/>
        <w:spacing w:after="0" w:line="312" w:lineRule="auto"/>
        <w:tabs>
          <w:tab w:leader="none" w:pos="8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31" w:lineRule="exact"/>
        <w:rPr>
          <w:rFonts w:ascii="Times New Roman" w:cs="Times New Roman" w:eastAsia="Times New Roman" w:hAnsi="Times New Roman"/>
          <w:sz w:val="17"/>
          <w:szCs w:val="17"/>
          <w:color w:val="auto"/>
        </w:rPr>
      </w:pPr>
    </w:p>
    <w:p>
      <w:pPr>
        <w:ind w:left="840" w:right="4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53" w:lineRule="exact"/>
        <w:rPr>
          <w:rFonts w:ascii="Times New Roman" w:cs="Times New Roman" w:eastAsia="Times New Roman" w:hAnsi="Times New Roman"/>
          <w:sz w:val="18"/>
          <w:szCs w:val="18"/>
          <w:color w:val="auto"/>
        </w:rPr>
      </w:pPr>
    </w:p>
    <w:p>
      <w:pPr>
        <w:jc w:val="both"/>
        <w:ind w:left="840" w:right="140" w:hanging="413"/>
        <w:spacing w:after="0" w:line="266"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our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76" w:lineRule="exact"/>
        <w:rPr>
          <w:sz w:val="20"/>
          <w:szCs w:val="20"/>
          <w:color w:val="auto"/>
        </w:rPr>
      </w:pPr>
    </w:p>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332"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4" w:lineRule="exact"/>
        <w:rPr>
          <w:sz w:val="20"/>
          <w:szCs w:val="20"/>
          <w:color w:val="auto"/>
        </w:rPr>
      </w:pPr>
    </w:p>
    <w:p>
      <w:pPr>
        <w:ind w:right="240" w:firstLine="416"/>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continue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216"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3" w:name="page34"/>
    <w:bookmarkEnd w:id="33"/>
    <w:p>
      <w:pPr>
        <w:ind w:left="4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economic and political conditions may have serious adverse consequences on our business, financial condition, results of operations and prospects.</w:t>
      </w:r>
    </w:p>
    <w:p>
      <w:pPr>
        <w:spacing w:after="0" w:line="51"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prospects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 if at all. A weak or declining economy could also strain our suppliers, service providers, manufacturers or other partners and there is a risk that one or more would not survive or be able to meet their commitments to us under such circumstances. Global credit and financial markets have experienced volatility and disruptions in the past several years partly due to widespread health concerns, pandemics and other outbreaks of illness as well as the ongoing conflicts in Ukraine and the Middle East. Such volatility includes severely diminished liquidity and credit availability, declines in consumer confidence, declines in economic growth, inflation, increases in unemployment rates and uncertainty about economic stability. There can be no assurances that further deterioration in credit and financial markets and confidence in economic conditions will not occur. For example,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a suspension of the federal debt ceiling in June 2023, ratings agencies have lowered or threatened to lower the long-term sovereign credit rating of the United States. The impact of this or any further downgrades to the U.S. government’s sovereign credit rating or its perceived creditworthiness could adversely affect the U.S. and global financial markets and economic conditions. Any of the foregoing could harm our business and we cannot anticipate all of the ways in which the current economic climate and financial market conditions could adversely impact our business.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Design and Development of our Product Candidates</w:t>
      </w:r>
    </w:p>
    <w:p>
      <w:pPr>
        <w:spacing w:after="0" w:line="131" w:lineRule="exact"/>
        <w:rPr>
          <w:sz w:val="20"/>
          <w:szCs w:val="20"/>
          <w:color w:val="auto"/>
        </w:rPr>
      </w:pPr>
    </w:p>
    <w:p>
      <w:pPr>
        <w:ind w:left="4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9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Our future success is highly dependent on our ability to obtain regulatory approval for, and then successfully commercialize, our product candidates. We are early in our development efforts and our lead product candidates are each currently in early stage clinical development. Our other product candidates are in earlier stages of development. We currently have no products that are approved for sale in any jurisdiction. There can be no assurance that our product candidates in development will achieve success in their clinical trials or obtain regulatory approval. Regulators may also request additional studies, data, and information, that we may need to develop and which were not originally planned. Any delays in obtaining regulatory approval, or if we never obtain regulatory approval, could have a material adverse effect on our business, financial condition and results of operations.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31" w:lineRule="exact"/>
        <w:rPr>
          <w:sz w:val="20"/>
          <w:szCs w:val="20"/>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other similar clinical trial applications from foreign regulatory authorities for our future clinical trials for our pipeline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840" w:right="500" w:hanging="413"/>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w:t>
      </w:r>
    </w:p>
    <w:p>
      <w:pPr>
        <w:spacing w:after="0" w:line="117" w:lineRule="exact"/>
        <w:rPr>
          <w:rFonts w:ascii="Times New Roman" w:cs="Times New Roman" w:eastAsia="Times New Roman" w:hAnsi="Times New Roman"/>
          <w:sz w:val="18"/>
          <w:szCs w:val="18"/>
          <w:color w:val="auto"/>
        </w:rPr>
      </w:pPr>
    </w:p>
    <w:p>
      <w:pPr>
        <w:ind w:left="840" w:right="680" w:hanging="413"/>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840" w:right="200" w:hanging="413"/>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4" w:name="page35"/>
    <w:bookmarkEnd w:id="34"/>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w:t>
      </w:r>
    </w:p>
    <w:p>
      <w:pPr>
        <w:spacing w:after="0" w:line="117"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17" w:lineRule="exact"/>
        <w:rPr>
          <w:rFonts w:ascii="Times New Roman" w:cs="Times New Roman" w:eastAsia="Times New Roman" w:hAnsi="Times New Roman"/>
          <w:sz w:val="18"/>
          <w:szCs w:val="18"/>
          <w:color w:val="auto"/>
        </w:rPr>
      </w:pPr>
    </w:p>
    <w:p>
      <w:pPr>
        <w:ind w:left="840" w:right="140" w:hanging="413"/>
        <w:spacing w:after="0" w:line="28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 and compliance with any post-approval requirements and commitments, including REMS and post-approval studies required by FDA.</w:t>
      </w:r>
    </w:p>
    <w:p>
      <w:pPr>
        <w:spacing w:after="0" w:line="202"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vary adversely from our expectations.</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and clinical testing is uncertain as to the outcome.</w:t>
      </w:r>
    </w:p>
    <w:p>
      <w:pPr>
        <w:spacing w:after="0" w:line="135"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We currently have several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210"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w:t>
      </w:r>
    </w:p>
    <w:p>
      <w:pPr>
        <w:spacing w:after="0" w:line="328"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and/or commercialization of our product candidates.</w:t>
      </w:r>
    </w:p>
    <w:p>
      <w:pPr>
        <w:spacing w:after="0" w:line="64"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76" w:lineRule="exact"/>
        <w:rPr>
          <w:sz w:val="20"/>
          <w:szCs w:val="20"/>
          <w:color w:val="auto"/>
        </w:rPr>
      </w:pPr>
    </w:p>
    <w:p>
      <w:pPr>
        <w:ind w:right="300" w:firstLine="416"/>
        <w:spacing w:after="0" w:line="282"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62"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81" w:lineRule="exact"/>
        <w:rPr>
          <w:sz w:val="20"/>
          <w:szCs w:val="20"/>
          <w:color w:val="auto"/>
        </w:rPr>
      </w:pPr>
    </w:p>
    <w:p>
      <w:pPr>
        <w:ind w:left="840" w:right="12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ethics committees, or ECs,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40" w:hanging="413"/>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 or with our proposed dose for any of our pipeline programs. For instance, in the oncology space, FDA has recently focused not only on maximum tolerated dose but also on dose optimization, with the issuance of a guidance on this topic. FDA has also expressed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840"/>
        <w:spacing w:after="0"/>
        <w:rPr>
          <w:sz w:val="20"/>
          <w:szCs w:val="20"/>
          <w:color w:val="auto"/>
        </w:rPr>
      </w:pPr>
      <w:r>
        <w:rPr>
          <w:rFonts w:ascii="Times New Roman" w:cs="Times New Roman" w:eastAsia="Times New Roman" w:hAnsi="Times New Roman"/>
          <w:sz w:val="18"/>
          <w:szCs w:val="18"/>
          <w:color w:val="auto"/>
        </w:rPr>
        <w:t>a preference for randomized controlled clinical trials to support accelerated approval, rather than single arm trials with response endpoint;</w:t>
      </w:r>
    </w:p>
    <w:p>
      <w:pPr>
        <w:spacing w:after="0" w:line="117" w:lineRule="exact"/>
        <w:rPr>
          <w:sz w:val="20"/>
          <w:szCs w:val="20"/>
          <w:color w:val="auto"/>
        </w:rPr>
      </w:pPr>
    </w:p>
    <w:p>
      <w:pPr>
        <w:ind w:left="840" w:right="56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contract research organizations, or CROs, and prospective trial sites;</w:t>
      </w:r>
    </w:p>
    <w:p>
      <w:pPr>
        <w:spacing w:after="0" w:line="53" w:lineRule="exact"/>
        <w:rPr>
          <w:rFonts w:ascii="Times New Roman" w:cs="Times New Roman" w:eastAsia="Times New Roman" w:hAnsi="Times New Roman"/>
          <w:sz w:val="18"/>
          <w:szCs w:val="18"/>
          <w:color w:val="auto"/>
        </w:rPr>
      </w:pPr>
    </w:p>
    <w:p>
      <w:pPr>
        <w:ind w:left="840" w:right="8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that may produce negative or inconclusive results, and we may decide, or regulators may require us, to conduct additional clinical trials, delay or halt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840" w:right="20" w:hanging="413"/>
        <w:spacing w:after="0" w:line="26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1"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clinical trial participants from investigational and approved therapies may make it more difficult to enroll patients in our clinical trials;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contact with patients after treatment, resulting in incomplete data;</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to obtain regulatory approval of companion diagnostic tests, if required, on a timely basis, or at all;</w:t>
      </w:r>
    </w:p>
    <w:p>
      <w:pPr>
        <w:spacing w:after="0" w:line="117" w:lineRule="exact"/>
        <w:rPr>
          <w:rFonts w:ascii="Times New Roman" w:cs="Times New Roman" w:eastAsia="Times New Roman" w:hAnsi="Times New Roman"/>
          <w:sz w:val="18"/>
          <w:szCs w:val="18"/>
          <w:color w:val="auto"/>
        </w:rPr>
      </w:pPr>
    </w:p>
    <w:p>
      <w:pPr>
        <w:ind w:left="840" w:right="6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by our third-party contractors to meet their contractual obligations to us in a timely manner, or at all, or failure to comply with regulatory requirements;</w:t>
      </w:r>
    </w:p>
    <w:p>
      <w:pPr>
        <w:spacing w:after="0" w:line="53" w:lineRule="exact"/>
        <w:rPr>
          <w:rFonts w:ascii="Times New Roman" w:cs="Times New Roman" w:eastAsia="Times New Roman" w:hAnsi="Times New Roman"/>
          <w:sz w:val="18"/>
          <w:szCs w:val="18"/>
          <w:color w:val="auto"/>
        </w:rPr>
      </w:pPr>
    </w:p>
    <w:p>
      <w:pPr>
        <w:ind w:left="840" w:right="6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clinical trials for our product candidates for various reasons, including a finding by us or by a Data Monitoring Committee for a trial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840" w:right="68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or unexpected side effects or other unexpected characteristics from our product candidates, causing us or our investigators, regulators or IRBs/ECs to suspend or terminate the trials;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for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17" w:lineRule="exact"/>
        <w:rPr>
          <w:rFonts w:ascii="Times New Roman" w:cs="Times New Roman" w:eastAsia="Times New Roman" w:hAnsi="Times New Roman"/>
          <w:sz w:val="18"/>
          <w:szCs w:val="18"/>
          <w:color w:val="auto"/>
        </w:rPr>
      </w:pPr>
    </w:p>
    <w:p>
      <w:pPr>
        <w:ind w:left="840" w:right="68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53" w:lineRule="exact"/>
        <w:rPr>
          <w:rFonts w:ascii="Times New Roman" w:cs="Times New Roman" w:eastAsia="Times New Roman" w:hAnsi="Times New Roman"/>
          <w:sz w:val="18"/>
          <w:szCs w:val="18"/>
          <w:color w:val="auto"/>
        </w:rPr>
      </w:pPr>
    </w:p>
    <w:p>
      <w:pPr>
        <w:ind w:left="840" w:right="4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widespread outbreak of a communicable disease, which may slow potential enrollment, reduce the number of eligible patients for clinical trials, or reduce the number of patients that remain in our trials.</w:t>
      </w:r>
    </w:p>
    <w:p>
      <w:pPr>
        <w:spacing w:after="0" w:line="189"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97" w:lineRule="exact"/>
        <w:rPr>
          <w:sz w:val="20"/>
          <w:szCs w:val="20"/>
          <w:color w:val="auto"/>
        </w:rPr>
      </w:pPr>
    </w:p>
    <w:p>
      <w:pPr>
        <w:jc w:val="both"/>
        <w:ind w:right="360" w:firstLine="416"/>
        <w:spacing w:after="0" w:line="266"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51"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Patient enrollment is also affected by other factors, including:</w:t>
      </w:r>
    </w:p>
    <w:p>
      <w:pPr>
        <w:spacing w:after="0" w:line="75" w:lineRule="exact"/>
        <w:rPr>
          <w:sz w:val="20"/>
          <w:szCs w:val="20"/>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03" w:lineRule="exact"/>
        <w:rPr>
          <w:rFonts w:ascii="Times New Roman" w:cs="Times New Roman" w:eastAsia="Times New Roman" w:hAnsi="Times New Roman"/>
          <w:sz w:val="18"/>
          <w:szCs w:val="18"/>
          <w:color w:val="auto"/>
        </w:rPr>
      </w:pPr>
    </w:p>
    <w:p>
      <w:pPr>
        <w:ind w:left="840" w:right="340" w:hanging="413"/>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40"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and the willingness of patients to enroll in a clinical trial during outbreaks of contagious disease;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to encourage patient participation in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39" w:lineRule="exact"/>
        <w:rPr>
          <w:sz w:val="20"/>
          <w:szCs w:val="20"/>
          <w:color w:val="auto"/>
        </w:rPr>
      </w:pPr>
    </w:p>
    <w:p>
      <w:pPr>
        <w:ind w:right="260" w:firstLine="416"/>
        <w:spacing w:after="0" w:line="266"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which would cause the value of our company to decline and limit our ability to obtain additional financing.</w:t>
      </w:r>
    </w:p>
    <w:p>
      <w:pPr>
        <w:spacing w:after="0" w:line="172"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our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80"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or could result in a FDA determination not to approve the product.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210"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Additionally, due to the high mortality rates of the cancers for which we are initially pursuing development and the pretreated nature of many patients in our ongoing clinical trials, a material percentage of patients in these clinical trials may die during a trial, which could impact the development of product candidates. If we elect or are required to delay, suspend 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7" w:name="page38"/>
    <w:bookmarkEnd w:id="37"/>
    <w:p>
      <w:pPr>
        <w:ind w:right="140"/>
        <w:spacing w:after="0" w:line="261" w:lineRule="auto"/>
        <w:rPr>
          <w:sz w:val="20"/>
          <w:szCs w:val="20"/>
          <w:color w:val="auto"/>
        </w:rPr>
      </w:pPr>
      <w:r>
        <w:rPr>
          <w:rFonts w:ascii="Times New Roman" w:cs="Times New Roman" w:eastAsia="Times New Roman" w:hAnsi="Times New Roman"/>
          <w:sz w:val="18"/>
          <w:szCs w:val="18"/>
          <w:color w:val="auto"/>
        </w:rPr>
        <w:t>terminate any clinical trial, the commercial prospects of our product candidates will be harmed and our ability to generate product revenues from this product candidate will be delayed or eliminated. Adverse events observed in clinical trials could prevent approval of the product or, if approved, hinder or prevent market acceptance of our product candidates. Any of these occurrences may harm our business, prospects, financial condition and results of operations significantly.</w:t>
      </w:r>
    </w:p>
    <w:p>
      <w:pPr>
        <w:spacing w:after="0" w:line="207"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216"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210"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7" w:lineRule="exact"/>
        <w:rPr>
          <w:sz w:val="20"/>
          <w:szCs w:val="20"/>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7"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840" w:right="160" w:hanging="413"/>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66"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306"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64"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40"/>
        <w:spacing w:after="0" w:line="254" w:lineRule="auto"/>
        <w:rPr>
          <w:sz w:val="20"/>
          <w:szCs w:val="20"/>
          <w:color w:val="auto"/>
        </w:rPr>
      </w:pPr>
      <w:r>
        <w:rPr>
          <w:rFonts w:ascii="Times New Roman" w:cs="Times New Roman" w:eastAsia="Times New Roman" w:hAnsi="Times New Roman"/>
          <w:sz w:val="18"/>
          <w:szCs w:val="18"/>
          <w:color w:val="auto"/>
        </w:rPr>
        <w:t>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78"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252" w:lineRule="exact"/>
        <w:rPr>
          <w:sz w:val="20"/>
          <w:szCs w:val="20"/>
          <w:color w:val="auto"/>
        </w:rPr>
      </w:pPr>
    </w:p>
    <w:p>
      <w:pPr>
        <w:ind w:left="4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4" w:lineRule="exact"/>
        <w:rPr>
          <w:sz w:val="20"/>
          <w:szCs w:val="20"/>
          <w:color w:val="auto"/>
        </w:rPr>
      </w:pPr>
    </w:p>
    <w:p>
      <w:pPr>
        <w:ind w:right="260" w:firstLine="416"/>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design additional potential product candidates.</w:t>
      </w:r>
    </w:p>
    <w:p>
      <w:pPr>
        <w:spacing w:after="0" w:line="108"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48" w:lineRule="exact"/>
        <w:rPr>
          <w:sz w:val="20"/>
          <w:szCs w:val="20"/>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selection methodology used may not be successful in identifying potential product candidates;</w:t>
      </w:r>
    </w:p>
    <w:p>
      <w:pPr>
        <w:spacing w:after="0" w:line="90" w:lineRule="exact"/>
        <w:rPr>
          <w:rFonts w:ascii="Times New Roman" w:cs="Times New Roman" w:eastAsia="Times New Roman" w:hAnsi="Times New Roman"/>
          <w:sz w:val="18"/>
          <w:szCs w:val="18"/>
          <w:color w:val="auto"/>
        </w:rPr>
      </w:pPr>
    </w:p>
    <w:p>
      <w:pPr>
        <w:ind w:left="840" w:right="380" w:hanging="413"/>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2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25"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4" w:lineRule="exact"/>
        <w:rPr>
          <w:sz w:val="20"/>
          <w:szCs w:val="20"/>
          <w:color w:val="auto"/>
        </w:rPr>
      </w:pPr>
    </w:p>
    <w:p>
      <w:pPr>
        <w:ind w:left="4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any product candidates, on a timely basis or at all.</w:t>
      </w:r>
    </w:p>
    <w:p>
      <w:pPr>
        <w:spacing w:after="0" w:line="64"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216"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207"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 The results of preclinical and early clinical trials of any product candidate may not be predictive of the results of our later-stage clinical trials.</w:t>
      </w:r>
    </w:p>
    <w:p>
      <w:pPr>
        <w:spacing w:after="0" w:line="207"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could delay, limit or deny approval of a product candidate for many reasons, including because the FDA:</w:t>
      </w:r>
    </w:p>
    <w:p>
      <w:pPr>
        <w:spacing w:after="0" w:line="131" w:lineRule="exact"/>
        <w:rPr>
          <w:sz w:val="20"/>
          <w:szCs w:val="20"/>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our product candidate to be safe and effective;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117" w:lineRule="exact"/>
        <w:rPr>
          <w:rFonts w:ascii="Times New Roman" w:cs="Times New Roman" w:eastAsia="Times New Roman" w:hAnsi="Times New Roman"/>
          <w:sz w:val="18"/>
          <w:szCs w:val="18"/>
          <w:color w:val="auto"/>
        </w:rPr>
      </w:pPr>
    </w:p>
    <w:p>
      <w:pPr>
        <w:ind w:left="840" w:right="120" w:hanging="413"/>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the case of an NDA seeking accelerated approval, that the NDA does not provide evidence that the product candidate represents a meaningful advantage over available therapies;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objective response rate, or ORR, and duration of response are not clinically meaningful;</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that we do additional work to determine the optimal dose;</w:t>
      </w:r>
    </w:p>
    <w:p>
      <w:pPr>
        <w:spacing w:after="0" w:line="117"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117" w:lineRule="exact"/>
        <w:rPr>
          <w:rFonts w:ascii="Times New Roman" w:cs="Times New Roman" w:eastAsia="Times New Roman" w:hAnsi="Times New Roman"/>
          <w:sz w:val="18"/>
          <w:szCs w:val="18"/>
          <w:color w:val="auto"/>
        </w:rPr>
      </w:pPr>
    </w:p>
    <w:p>
      <w:pPr>
        <w:ind w:left="840" w:right="140" w:hanging="413"/>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agree with the design of our clinical or preclinical trials, or may not agree with the method of data analysis;</w:t>
      </w:r>
    </w:p>
    <w:p>
      <w:pPr>
        <w:spacing w:after="0" w:line="117" w:lineRule="exact"/>
        <w:rPr>
          <w:rFonts w:ascii="Times New Roman" w:cs="Times New Roman" w:eastAsia="Times New Roman" w:hAnsi="Times New Roman"/>
          <w:sz w:val="18"/>
          <w:szCs w:val="18"/>
          <w:color w:val="auto"/>
        </w:rPr>
      </w:pPr>
    </w:p>
    <w:p>
      <w:pPr>
        <w:ind w:left="840" w:right="580" w:hanging="413"/>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which are conducted at clinical facilities or in countries where the standard of care is potentially different from that of the United States or the population is different than in the United States;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the specifications;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left="840" w:right="260" w:hanging="413"/>
        <w:spacing w:after="0" w:line="282"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our product candidate or may determine that a manufacturing facility does not have an acceptable compliance status;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66"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the Oncology Center of Excellence, or OCE, within the FDA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OCE initiatives have included Project FrontRunner, a new initiative with a goal of developing a framework for encouraging sponsors to consider developing cancer drugs in the earlier advanced setting rather than for treatment of patients who have received numerous prior lines of therapies or have exhausted available treatment options. We are considering these and any other policy changes, including initiatives with respect to accelerated approval and to coordinate review of oncology products among international regulators, as they relate to our programs.</w:t>
      </w:r>
    </w:p>
    <w:p>
      <w:pPr>
        <w:spacing w:after="0" w:line="221" w:lineRule="exact"/>
        <w:rPr>
          <w:sz w:val="20"/>
          <w:szCs w:val="20"/>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w:t>
      </w:r>
    </w:p>
    <w:p>
      <w:pPr>
        <w:spacing w:after="0" w:line="162"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our commercial prospects will be harmed and our ability to generate revenues will be materially impaired which would adversely affect our business, prospects, financial condition and results of operations.</w:t>
      </w:r>
    </w:p>
    <w:p>
      <w:pPr>
        <w:spacing w:after="0" w:line="320"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4" w:lineRule="exact"/>
        <w:rPr>
          <w:sz w:val="20"/>
          <w:szCs w:val="20"/>
          <w:color w:val="auto"/>
        </w:rPr>
      </w:pPr>
    </w:p>
    <w:p>
      <w:pPr>
        <w:ind w:right="160" w:firstLine="419"/>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79"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By the date of approval of an accelerated approval product, the FDA must specify the conditions for the required post approval studies, including enrollment targets, the study protocol, milestones, and target completion dates. The FDA may also, and frequently does, require that the confirmatory Phase 4 studies be commenced prior to the FDA granting a product accelerated approval. Reports on the progress of the required Phase 4 confirmatory studies must be submitted to the FDA every 180 days after approval. If the trials fail to verify the clinical benefit of the drug or biologics product, the FDA may withdraw approval of the application through a statutorily defined streamlined process or we may voluntarily decide to withdraw the product from the market. Failure to conduct the required Phase 4 confirmatory studies or to conduct such studies with due diligence, as well as failure to submit the required update reports can subject a sponsor to penalties. The FDA may also require that we conduct additional confirmatory studies, which would require a significant dedication of time and resources.</w:t>
      </w:r>
    </w:p>
    <w:p>
      <w:pPr>
        <w:spacing w:after="0" w:line="80" w:lineRule="exact"/>
        <w:rPr>
          <w:sz w:val="20"/>
          <w:szCs w:val="20"/>
          <w:color w:val="auto"/>
        </w:rPr>
      </w:pPr>
    </w:p>
    <w:p>
      <w:pPr>
        <w:ind w:right="220" w:firstLine="419"/>
        <w:spacing w:after="0" w:line="261" w:lineRule="auto"/>
        <w:rPr>
          <w:sz w:val="20"/>
          <w:szCs w:val="20"/>
          <w:color w:val="auto"/>
        </w:rPr>
      </w:pPr>
      <w:r>
        <w:rPr>
          <w:rFonts w:ascii="Times New Roman" w:cs="Times New Roman" w:eastAsia="Times New Roman" w:hAnsi="Times New Roman"/>
          <w:sz w:val="18"/>
          <w:szCs w:val="18"/>
          <w:color w:val="auto"/>
        </w:rPr>
        <w:t>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impossible, to obtain. Also, the existing treatment landscape may change, which may necessitate that we conduct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right="120"/>
        <w:spacing w:after="0" w:line="282" w:lineRule="auto"/>
        <w:rPr>
          <w:sz w:val="20"/>
          <w:szCs w:val="20"/>
          <w:color w:val="auto"/>
        </w:rPr>
      </w:pPr>
      <w:r>
        <w:rPr>
          <w:rFonts w:ascii="Times New Roman" w:cs="Times New Roman" w:eastAsia="Times New Roman" w:hAnsi="Times New Roman"/>
          <w:sz w:val="18"/>
          <w:szCs w:val="18"/>
          <w:color w:val="auto"/>
        </w:rPr>
        <w:t>additional studies or collect additional data to obtain accelerated approval. Moreover, the FDA may withdraw approval of our product candidate approved under the accelerated approval pathway if, for example:</w:t>
      </w:r>
    </w:p>
    <w:p>
      <w:pPr>
        <w:spacing w:after="0" w:line="135" w:lineRule="exact"/>
        <w:rPr>
          <w:sz w:val="20"/>
          <w:szCs w:val="20"/>
          <w:color w:val="auto"/>
        </w:rPr>
      </w:pPr>
    </w:p>
    <w:p>
      <w:pPr>
        <w:ind w:left="840" w:right="520" w:hanging="413"/>
        <w:spacing w:after="0" w:line="282"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144"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the Department of Health and Human Services, and by Congress. The FDA has put increased focus on ensuring that confirmatory studies are conducted with diligence and, ultimately, that such studies confirm the benefit. For example, FDA convened its Oncologic Drugs Advisory Committee to review what the FDA has called dangling or delinquent accelerated approvals where confirmatory studies have not been completed or where results did not confirm benefit. In addition, the OCE implemented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We may see further legislative or regulatory changes to this program in the future.</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changes in legal and regulatory requirements that may materially impact our results of operation.</w:t>
      </w:r>
    </w:p>
    <w:p>
      <w:pPr>
        <w:spacing w:after="0" w:line="229"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Future changes in legal and regulatory requirements may introduce new risks into our operations and future prospects, which we are not able to currently anticipate. By example, changes taking place in the United States associated with a new federal administration, as well as changes in legal standards, including the reduced level of judicial deference due to administrative agencies following a 2024 Supreme Court decision, may introduce uncertainties with respect to our current and future operations and our future likelihood of success. It is possible that new federal or state laws or regulations may be passed, or laws and regulations may be enforced differently than they were before, which may expose us to additional legal and regulatory risk or uncertainty and require the expenditure of additional resources to ensure that we are able to comply. Such actions could also adversely restrict our business and operations. There could also be changes in FDA’s approval standards that could impact our ability to obtain product approval and market our product candidates within the currently anticipated timeframes or otherwise impact the competitive market for our product candidates. Such changes may necessitate the conduct of additional development work, including preclinical and clinical trials, and manufacturing development. By example, for products intended for rare and serious diseases with unmet medical needs, FDA is authorized to exercise regulatory flexibility when making a medical risk-benefit judgment. It is possible that whether and how FDA exercises any regulatory flexibility, including with respect to specialized pathways, such as accelerated approval, may change, which could impact our ability to obtain product approval. Further, legal and regulatory changes may impact how we may market and sell our products in the future, if they are approved, as well as how they are reimbursed. Moreover, there could be changes in the federal workforce and agency policies that may result in regulatory delays, including with respect to FDA’s review of marketing applications and other submissions, and that may impact the ability to communicate with and obtain guidance from the agencies. At this time, it is too early to predict the exact nature of any changes that may take place or whether and how they may impact our business and results of operation.</w:t>
      </w:r>
    </w:p>
    <w:p>
      <w:pPr>
        <w:spacing w:after="0" w:line="200" w:lineRule="exact"/>
        <w:rPr>
          <w:sz w:val="20"/>
          <w:szCs w:val="20"/>
          <w:color w:val="auto"/>
        </w:rPr>
      </w:pPr>
    </w:p>
    <w:p>
      <w:pPr>
        <w:spacing w:after="0" w:line="315"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53"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spacing w:after="0" w:line="261" w:lineRule="auto"/>
        <w:rPr>
          <w:sz w:val="20"/>
          <w:szCs w:val="20"/>
          <w:color w:val="auto"/>
        </w:rPr>
      </w:pPr>
      <w:r>
        <w:rPr>
          <w:rFonts w:ascii="Times New Roman" w:cs="Times New Roman" w:eastAsia="Times New Roman" w:hAnsi="Times New Roman"/>
          <w:sz w:val="18"/>
          <w:szCs w:val="18"/>
          <w:color w:val="auto"/>
        </w:rPr>
        <w:t>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08"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3"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Orphan drug designation can provide opportunities for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89"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may apply for an orphan drug designation in the United States or other geographies for our product candidates, where such designation is available,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due to the uncertainties associated with developing pharmaceutical products, in which case we may be blocked by other’s periods of regulatory exclusivity or may need to demonstrate clinical superiority, which we may not be able to do. We also may never obtain orphan drug exclusivity, even if we obtain a designation.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 Moreover, the scope of and protection offered by orphan drug exclusivity, and any advantages of the designation, may change.</w:t>
      </w:r>
    </w:p>
    <w:p>
      <w:pPr>
        <w:spacing w:after="0" w:line="334" w:lineRule="exact"/>
        <w:rPr>
          <w:sz w:val="20"/>
          <w:szCs w:val="20"/>
          <w:color w:val="auto"/>
        </w:rPr>
      </w:pPr>
    </w:p>
    <w:p>
      <w:pPr>
        <w:ind w:left="4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64"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Drugs designated as breakthrough therapies by the FDA are also eligible for priority review if supported by clinical data at the time of the submission of the NDA.</w:t>
      </w:r>
    </w:p>
    <w:p>
      <w:pPr>
        <w:spacing w:after="0" w:line="214"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40"/>
        <w:spacing w:after="0" w:line="256" w:lineRule="auto"/>
        <w:rPr>
          <w:sz w:val="20"/>
          <w:szCs w:val="20"/>
          <w:color w:val="auto"/>
        </w:rPr>
      </w:pPr>
      <w:r>
        <w:rPr>
          <w:rFonts w:ascii="Times New Roman" w:cs="Times New Roman" w:eastAsia="Times New Roman" w:hAnsi="Times New Roman"/>
          <w:sz w:val="18"/>
          <w:szCs w:val="18"/>
          <w:color w:val="auto"/>
        </w:rPr>
        <w:t>faster development process, review, or approval compared to drugs considered for approval under conventional FDA procedures and it would not assure ultimate approval by the FDA. Further, even if any of our product candidates do receive Breakthrough Therapy Designation, or any other special designation intended to facilitate development, we will need to be prepared for a more rapid pace of development, including with respect to manufacturing and any necessary companion diagnostics, which we may not be able to do.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332" w:lineRule="exact"/>
        <w:rPr>
          <w:sz w:val="20"/>
          <w:szCs w:val="20"/>
          <w:color w:val="auto"/>
        </w:rPr>
      </w:pPr>
    </w:p>
    <w:p>
      <w:pPr>
        <w:ind w:left="4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8"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209"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A companion diagnostic is generally developed in conjunction with the clinical program for an associated therapeutic product. To date, the FDA has required premarket approval of the vast majority of companion diagnostics for cancer therapies, except in limited cases where FDA allows the use of an LDT as a companion diagnostic (as discussed above, LDTs are generally subject to FDA enforcement discretion and do not require FDA premarket approval, but remain subject to CLIA regulatory requirements).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216" w:lineRule="exact"/>
        <w:rPr>
          <w:sz w:val="20"/>
          <w:szCs w:val="20"/>
          <w:color w:val="auto"/>
        </w:rPr>
      </w:pPr>
    </w:p>
    <w:p>
      <w:pPr>
        <w:ind w:right="220" w:firstLine="416"/>
        <w:spacing w:after="0" w:line="261"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a “significant risk device,” approval of an investigational device exemption by the FDA and IRB is required before such diagnostic is used in conjunction with the clinical trials for a corresponding product candidate.</w:t>
      </w:r>
    </w:p>
    <w:p>
      <w:pPr>
        <w:spacing w:after="0" w:line="207"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If we seek to develop an LDT as a companion diagnostic, we will need to establish a CLIA-certified clinical laboratory and ensure both the laboratory and LDT comply with the applicable CLIA regulations. For companion diagnostics that are not LDTs,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and approval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3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4" w:name="page45"/>
    <w:bookmarkEnd w:id="44"/>
    <w:p>
      <w:pPr>
        <w:ind w:firstLine="416"/>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32" w:lineRule="exact"/>
        <w:rPr>
          <w:sz w:val="20"/>
          <w:szCs w:val="20"/>
          <w:color w:val="auto"/>
        </w:rPr>
      </w:pPr>
    </w:p>
    <w:p>
      <w:pPr>
        <w:ind w:left="4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80"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approval. There is no assurance that any such product candidate will successfully advance through its confirmatory clinical trial(s). Therefore, even if a product candidate receives accelerated approval from the FDA, such approval may be withdrawn at a later date.</w:t>
      </w:r>
    </w:p>
    <w:p>
      <w:pPr>
        <w:spacing w:after="0" w:line="180"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76"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among other requirements. Thus, we will not be able to promote any products we develop for indications or uses for which they are not approved.</w:t>
      </w:r>
    </w:p>
    <w:p>
      <w:pPr>
        <w:spacing w:after="0" w:line="180"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180"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314" w:lineRule="exact"/>
        <w:rPr>
          <w:sz w:val="20"/>
          <w:szCs w:val="20"/>
          <w:color w:val="auto"/>
        </w:rPr>
      </w:pPr>
    </w:p>
    <w:p>
      <w:pPr>
        <w:ind w:left="4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175" w:lineRule="exact"/>
        <w:rPr>
          <w:sz w:val="20"/>
          <w:szCs w:val="20"/>
          <w:color w:val="auto"/>
        </w:rPr>
      </w:pPr>
    </w:p>
    <w:p>
      <w:pPr>
        <w:ind w:right="240" w:firstLine="416"/>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7" w:lineRule="exact"/>
        <w:rPr>
          <w:sz w:val="20"/>
          <w:szCs w:val="20"/>
          <w:color w:val="auto"/>
        </w:rPr>
      </w:pPr>
    </w:p>
    <w:p>
      <w:pPr>
        <w:ind w:right="400" w:firstLine="416"/>
        <w:spacing w:after="0" w:line="282"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both before and after approval, including requirements pertaining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spacing w:after="0" w:line="255" w:lineRule="auto"/>
        <w:rPr>
          <w:sz w:val="20"/>
          <w:szCs w:val="20"/>
          <w:color w:val="auto"/>
        </w:rPr>
      </w:pPr>
      <w:r>
        <w:rPr>
          <w:rFonts w:ascii="Times New Roman" w:cs="Times New Roman" w:eastAsia="Times New Roman" w:hAnsi="Times New Roman"/>
          <w:sz w:val="18"/>
          <w:szCs w:val="18"/>
          <w:color w:val="auto"/>
        </w:rPr>
        <w:t>clinical trials,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either before or after approval, and later discovery of previously unknown adverse events or other problems with our products, manufacturers or manufacturing processes, may yield various adverse results, including:</w:t>
      </w:r>
    </w:p>
    <w:p>
      <w:pPr>
        <w:spacing w:after="0" w:line="81" w:lineRule="exact"/>
        <w:rPr>
          <w:sz w:val="20"/>
          <w:szCs w:val="20"/>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 or clinical trials;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or exclusion;</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39" w:lineRule="exact"/>
        <w:rPr>
          <w:sz w:val="20"/>
          <w:szCs w:val="20"/>
          <w:color w:val="auto"/>
        </w:rPr>
      </w:pPr>
    </w:p>
    <w:p>
      <w:pPr>
        <w:ind w:right="720" w:firstLine="416"/>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79"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sanctions, including criminal, civil, and administrative penalties, contractual damages, reputational harm and diminished profits and future earnings.</w:t>
      </w:r>
    </w:p>
    <w:p>
      <w:pPr>
        <w:spacing w:after="0" w:line="67"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any product candidates, as well as market, sell and distribute any products for which we obtain marketing approval. Restrictions under applicable federal and state healthcare laws and regulations that may be applicable to our business include the following:</w:t>
      </w:r>
    </w:p>
    <w:p>
      <w:pPr>
        <w:spacing w:after="0" w:line="75" w:lineRule="exact"/>
        <w:rPr>
          <w:sz w:val="20"/>
          <w:szCs w:val="20"/>
          <w:color w:val="auto"/>
        </w:rPr>
      </w:pPr>
    </w:p>
    <w:p>
      <w:pPr>
        <w:ind w:left="840" w:right="80" w:hanging="413"/>
        <w:spacing w:after="0" w:line="261"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6" w:name="page47"/>
    <w:bookmarkEnd w:id="46"/>
    <w:p>
      <w:pPr>
        <w:ind w:left="840" w:right="140" w:hanging="413"/>
        <w:spacing w:after="0" w:line="258"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which can be enforced by individual whistleblowers in “qui tam” actions brought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48" w:lineRule="exact"/>
        <w:rPr>
          <w:rFonts w:ascii="Times New Roman" w:cs="Times New Roman" w:eastAsia="Times New Roman" w:hAnsi="Times New Roman"/>
          <w:sz w:val="18"/>
          <w:szCs w:val="18"/>
          <w:color w:val="auto"/>
        </w:rPr>
      </w:pPr>
    </w:p>
    <w:p>
      <w:pPr>
        <w:ind w:left="840" w:right="40" w:hanging="413"/>
        <w:spacing w:after="0" w:line="261"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prohibits, among other things, knowingly and willfully executing, or attempting to execute, a scheme to defraud any healthcare benefit program, regardless of the payor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58" w:lineRule="exact"/>
        <w:rPr>
          <w:rFonts w:ascii="Times New Roman" w:cs="Times New Roman" w:eastAsia="Times New Roman" w:hAnsi="Times New Roman"/>
          <w:sz w:val="18"/>
          <w:szCs w:val="18"/>
          <w:color w:val="auto"/>
        </w:rPr>
      </w:pPr>
    </w:p>
    <w:p>
      <w:pPr>
        <w:ind w:left="840" w:hanging="413"/>
        <w:spacing w:after="0" w:line="261"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58" w:lineRule="exact"/>
        <w:rPr>
          <w:rFonts w:ascii="Times New Roman" w:cs="Times New Roman" w:eastAsia="Times New Roman" w:hAnsi="Times New Roman"/>
          <w:sz w:val="18"/>
          <w:szCs w:val="18"/>
          <w:color w:val="auto"/>
        </w:rPr>
      </w:pPr>
    </w:p>
    <w:p>
      <w:pPr>
        <w:ind w:left="840" w:hanging="413"/>
        <w:spacing w:after="0" w:line="258"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requires certain manufacturers of drugs, devices, biologics and medical supplies to annually report to CMS information related to certain payments and other transfers of value provided to teaching hospitals and to U.S.-licensed physicians, (defined to include doctors, dentists, optometrists, podiatrists and chiropractors), physician assistants, nurse practitioners, clinical nurse specialists, certified registered nurse anesthetists and anesthesiologist assistants, and certified nurse-midwives. Applicable manufacturers also must report ownership and investment interests held by physicians and their immediate family members; and</w:t>
      </w:r>
    </w:p>
    <w:p>
      <w:pPr>
        <w:spacing w:after="0" w:line="48" w:lineRule="exact"/>
        <w:rPr>
          <w:rFonts w:ascii="Times New Roman" w:cs="Times New Roman" w:eastAsia="Times New Roman" w:hAnsi="Times New Roman"/>
          <w:sz w:val="18"/>
          <w:szCs w:val="18"/>
          <w:color w:val="auto"/>
        </w:rPr>
      </w:pPr>
    </w:p>
    <w:p>
      <w:pPr>
        <w:ind w:left="840" w:right="60" w:hanging="413"/>
        <w:spacing w:after="0" w:line="254"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or the Compliance Program Guidance for Pharmaceutical Manufacturers published by the U.S. Department of Health &amp; Human Services, Office of Inspector General; to implement gift bans, and to report information related to payments and other transfers of value to physicians and other healthcare providers, marketing expenditures, or drug pricing, including price increases. Some state and local laws require the registration of pharmaceutical sales representatives. Various state and non-U.S. laws also govern the privacy and security of health information in some circumstances, many of which differ from each other in significant ways and often are not preempted by HIPAA, thus complicating compliance efforts.</w:t>
      </w:r>
    </w:p>
    <w:p>
      <w:pPr>
        <w:spacing w:after="0" w:line="283"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or the operations of vendors or third parties working on our behalf are found to be in violation of any of these laws or any other governmental regulations that may apply to us, we may be subject to significant sanctions, including civil and administrative penalties and damages, criminal fines and confinement, disgorgement, exclusion from participation in government funded healthcare programs, such as Medicare and Medicaid and other federal healthcare programs, suspension and debarment from government procurement and non-procurement programs, refusal of orders under existing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are found to be not in compliance with applicable laws, they may be subject to significant criminal, civil and administrative sanctions, including exclusion from participation in government funded healthcare programs, which could have a material adverse effect on our business, results of operations, financial condition and prospects.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Health care policy changes, including U.S. health care reform legislation, may have a material adverse effect on our business.</w:t>
      </w:r>
    </w:p>
    <w:p>
      <w:pPr>
        <w:spacing w:after="0" w:line="121" w:lineRule="exact"/>
        <w:rPr>
          <w:sz w:val="20"/>
          <w:szCs w:val="20"/>
          <w:color w:val="auto"/>
        </w:rPr>
      </w:pPr>
    </w:p>
    <w:p>
      <w:pPr>
        <w:jc w:val="both"/>
        <w:ind w:right="20" w:firstLine="479"/>
        <w:spacing w:after="0" w:line="266" w:lineRule="auto"/>
        <w:rPr>
          <w:sz w:val="20"/>
          <w:szCs w:val="20"/>
          <w:color w:val="auto"/>
        </w:rPr>
      </w:pPr>
      <w:r>
        <w:rPr>
          <w:rFonts w:ascii="Times New Roman" w:cs="Times New Roman" w:eastAsia="Times New Roman" w:hAnsi="Times New Roman"/>
          <w:sz w:val="18"/>
          <w:szCs w:val="18"/>
          <w:color w:val="auto"/>
        </w:rPr>
        <w:t>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47" w:name="page48"/>
    <w:bookmarkEnd w:id="47"/>
    <w:p>
      <w:pPr>
        <w:ind w:right="180"/>
        <w:spacing w:after="0" w:line="258" w:lineRule="auto"/>
        <w:rPr>
          <w:sz w:val="20"/>
          <w:szCs w:val="20"/>
          <w:color w:val="auto"/>
        </w:rPr>
      </w:pPr>
      <w:r>
        <w:rPr>
          <w:rFonts w:ascii="Times New Roman" w:cs="Times New Roman" w:eastAsia="Times New Roman" w:hAnsi="Times New Roman"/>
          <w:sz w:val="18"/>
          <w:szCs w:val="18"/>
          <w:color w:val="auto"/>
        </w:rPr>
        <w:t>the amounts of reimbursement available for our products and could limit the acceptance and availability of our products. Further, while the United States has begun experimenting with pay-for-performance rather than fee-for-service models and has been embracing many shared-risk arrangements, CMS and OIG specifically excluded manufacturers and others from utilizing certain beneficial exceptions and safe harbors. The exclusion of manufacturers from utilizing these exceptions and safe harbors will not allow us to avail ourselves of immunity from liability under the laws, potentially inviting greater scrutiny over our shared risk arrangements.</w:t>
      </w:r>
    </w:p>
    <w:p>
      <w:pPr>
        <w:spacing w:after="0" w:line="75" w:lineRule="exact"/>
        <w:rPr>
          <w:sz w:val="20"/>
          <w:szCs w:val="20"/>
          <w:color w:val="auto"/>
        </w:rPr>
      </w:pPr>
    </w:p>
    <w:p>
      <w:pPr>
        <w:ind w:right="440" w:firstLine="479"/>
        <w:spacing w:after="0" w:line="266" w:lineRule="auto"/>
        <w:rPr>
          <w:sz w:val="20"/>
          <w:szCs w:val="20"/>
          <w:color w:val="auto"/>
        </w:rPr>
      </w:pPr>
      <w:r>
        <w:rPr>
          <w:rFonts w:ascii="Times New Roman" w:cs="Times New Roman" w:eastAsia="Times New Roman" w:hAnsi="Times New Roman"/>
          <w:sz w:val="18"/>
          <w:szCs w:val="18"/>
          <w:color w:val="auto"/>
        </w:rPr>
        <w:t>The ACA imposes certain stringent compliance, recordkeeping, and reporting requirements on companies in various sectors of the life sciences industry, and enhanced penalties for non-compliance. Despite the ACA going into effect over a decade ago, there have been numerous legal and Congressional challenges to the law’s provisions and the effect of certain provisions have made compliance costly.</w:t>
      </w:r>
    </w:p>
    <w:p>
      <w:pPr>
        <w:spacing w:after="0" w:line="68" w:lineRule="exact"/>
        <w:rPr>
          <w:sz w:val="20"/>
          <w:szCs w:val="20"/>
          <w:color w:val="auto"/>
        </w:rPr>
      </w:pPr>
    </w:p>
    <w:p>
      <w:pPr>
        <w:ind w:right="520" w:firstLine="479"/>
        <w:spacing w:after="0" w:line="261" w:lineRule="auto"/>
        <w:rPr>
          <w:sz w:val="20"/>
          <w:szCs w:val="20"/>
          <w:color w:val="auto"/>
        </w:rPr>
      </w:pPr>
      <w:r>
        <w:rPr>
          <w:rFonts w:ascii="Times New Roman" w:cs="Times New Roman" w:eastAsia="Times New Roman" w:hAnsi="Times New Roman"/>
          <w:sz w:val="18"/>
          <w:szCs w:val="18"/>
          <w:color w:val="auto"/>
        </w:rPr>
        <w:t>We cannot predict what additional new legislation, agency priorities, and rulemakings may be on the horizon as the United States continues to reassess how it pays for healthcare. As a result, we cannot quantify or predict what impact any changes might have on our business and results of operations. However, any changes that restrict coverage or lower reimbursement for our products could materially and adversely affect our business, financial condition and results of operations.</w:t>
      </w:r>
    </w:p>
    <w:p>
      <w:pPr>
        <w:spacing w:after="0" w:line="72"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 xml:space="preserve">Other legal, regulatory and commercial policy influences are subjecting our industry to significant changes, and we cannot predict whether new regulations or policies will emerge from U.S. federal or state governments, foreign governments, or third-party payors. Government and commercial payors may, in the future, consider healthcare policies and proposals intended to curb rising healthcare costs, including those that could significantly affect reimbursement for healthcare products such as our systems. These policies have included and may in the future include: basing reimbursement policies and rates on clinical outcomes, the comparative effectiveness, and costs, of different treatment technologies and modalities; imposing price controls and taxes on medical device providers; and other measures. These policies culminated in the enactment of the Inflation Reduction Act, or IRA, in August 2022, which, among other things, allows the U.S. Department of Health and Human Services, or HHS, to negotiate the selling price of certain drugs and biologics that CMS reimburses under Medicare Part B and Part D. The IRA requires manufacturers of selected drugs to negotiate discounted prices with the Secretary of HHS. Failure of a manufacturer to reach an agreement can subject manufacturers to an excise tax or withdraw of all drug products from coverage under Medicare and Medicaid. The negotiated prices, which will first become effective in 2026 and were capped at a statutory ceiling price beginning in October 2023,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began taking effect in 2023 and have since been subject to multiple legal challenges. Future significant changes in the healthcare systems in the United States or elsewhere could also have a negative impact on the demand for our current and future products. These include changes that may reduce reimbursement rates for our products and changes that may be proposed or implemented by the current or future laws or regulations. It is unclear exactly how the 2024 presidential election will impact healthcare reform measures of the existing administration or whether a new administration could impose other reform efforts, including what, if any, impact such changes will have on our business. For example, drug price negotiations and other IRA program implementation measures could potentially be affected by the Executive Order, </w:t>
      </w:r>
      <w:r>
        <w:rPr>
          <w:rFonts w:ascii="Times New Roman" w:cs="Times New Roman" w:eastAsia="Times New Roman" w:hAnsi="Times New Roman"/>
          <w:sz w:val="18"/>
          <w:szCs w:val="18"/>
          <w:i w:val="1"/>
          <w:iCs w:val="1"/>
          <w:color w:val="auto"/>
        </w:rPr>
        <w:t>Initial Rescissions of Harmful Executive Orders and Actions,</w:t>
      </w:r>
      <w:r>
        <w:rPr>
          <w:rFonts w:ascii="Times New Roman" w:cs="Times New Roman" w:eastAsia="Times New Roman" w:hAnsi="Times New Roman"/>
          <w:sz w:val="18"/>
          <w:szCs w:val="18"/>
          <w:color w:val="auto"/>
        </w:rPr>
        <w:t xml:space="preserve"> issued by President Trump on January 20, 2025 and/or the anticipated changes in leadership at HHS and CMS under the new administration.</w:t>
      </w:r>
    </w:p>
    <w:p>
      <w:pPr>
        <w:spacing w:after="0" w:line="2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35" w:lineRule="exact"/>
        <w:rPr>
          <w:sz w:val="20"/>
          <w:szCs w:val="20"/>
          <w:color w:val="auto"/>
        </w:rPr>
      </w:pPr>
    </w:p>
    <w:p>
      <w:pPr>
        <w:ind w:right="140" w:firstLine="479"/>
        <w:spacing w:after="0" w:line="254"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4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67"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We currently are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For example, if we expand our operations outside of the United States, we must dedicate additional resources to comply with numerous laws and regulations in each jurisdiction in which we plan to operate, including anti-corruption laws. The U.S. Foreign Corrupt Practices Act, or FCPA, prohibits any U.S. individual or business, and third-party agents acting on their behalf, from paying, offering, or authorizing the payment or offering of anything of value, directly or indirectly, to any foreign official, foreign political party or official thereof, or candidate for foreign political office, for the purpose of influencing any act or decision of such official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and disposition of the company’s assets, including international subsidiaries, and to devise and maintain an adequate system of internal accounting controls for international operations.</w:t>
      </w:r>
    </w:p>
    <w:p>
      <w:pPr>
        <w:spacing w:after="0" w:line="86"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Compliance with the FCPA’s provisions can be costly and challenging, particularly in countries in which corruption is deemed to be a significant risk and in the life sciences industries, where, in many countries, hospitals are operated by the government, and doctors and other hospital employees are considered foreign officials per se. Certain payments to hospitals in connection with clinical trials and other work have been considered improper payments to government officials and led to FCPA enforcement actions with significant fines and penalties.</w:t>
      </w:r>
    </w:p>
    <w:p>
      <w:pPr>
        <w:spacing w:after="0" w:line="72" w:lineRule="exact"/>
        <w:rPr>
          <w:sz w:val="20"/>
          <w:szCs w:val="20"/>
          <w:color w:val="auto"/>
        </w:rPr>
      </w:pPr>
    </w:p>
    <w:p>
      <w:pPr>
        <w:ind w:right="60" w:firstLine="524"/>
        <w:spacing w:after="0" w:line="256" w:lineRule="auto"/>
        <w:rPr>
          <w:sz w:val="20"/>
          <w:szCs w:val="20"/>
          <w:color w:val="auto"/>
        </w:rPr>
      </w:pPr>
      <w:r>
        <w:rPr>
          <w:rFonts w:ascii="Times New Roman" w:cs="Times New Roman" w:eastAsia="Times New Roman" w:hAnsi="Times New Roman"/>
          <w:sz w:val="18"/>
          <w:szCs w:val="18"/>
          <w:color w:val="auto"/>
        </w:rPr>
        <w:t>Various international trade, export control and sanctions laws, regulations and executive orders also restrict the use and dissemination outside of the United States, or the sharing with certain non-U.S. persons in the United States, of personal identifying information and products, technology or sensitive personal data controlled for export, as well as restricting our ability to deal with certain persons subject to sanctions.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79" w:lineRule="exact"/>
        <w:rPr>
          <w:sz w:val="20"/>
          <w:szCs w:val="20"/>
          <w:color w:val="auto"/>
        </w:rPr>
      </w:pPr>
    </w:p>
    <w:p>
      <w:pPr>
        <w:ind w:right="360" w:firstLine="524"/>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for both the company and individuals, as well as possible suspension or debarment from government contracting. The Securities and Exchange Commission, or the SEC, also may suspend or bar issuers from trading securities on U.S. exchanges for violations of the FCPA’s accounting provisions.</w:t>
      </w:r>
    </w:p>
    <w:p>
      <w:pPr>
        <w:spacing w:after="0" w:line="293" w:lineRule="exact"/>
        <w:rPr>
          <w:sz w:val="20"/>
          <w:szCs w:val="20"/>
          <w:color w:val="auto"/>
        </w:rPr>
      </w:pPr>
    </w:p>
    <w:p>
      <w:pPr>
        <w:ind w:left="4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201"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207"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jc w:val="both"/>
        <w:ind w:right="200" w:firstLine="479"/>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3" w:lineRule="exact"/>
        <w:rPr>
          <w:sz w:val="20"/>
          <w:szCs w:val="20"/>
          <w:color w:val="auto"/>
        </w:rPr>
      </w:pPr>
    </w:p>
    <w:p>
      <w:pPr>
        <w:jc w:val="both"/>
        <w:ind w:right="180" w:firstLine="47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exposed to liabilities under the FCPA and Chinese anti-corruption law.</w:t>
      </w:r>
    </w:p>
    <w:p>
      <w:pPr>
        <w:spacing w:after="0" w:line="121"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The Company is subject to the FCPA, and other laws that prohibit improper payments or offers of payments to foreign governments, foreign government officials and political parties by U.S. persons as defined by the statute for purposes of obtaining or retaining businesses. The Company may have agreements with third parties who may make sales in mainland China and the U.S., during the process of which the Company may be exposed to corruption. Activities in Taiwan create the risk of unauthorized payments or offers of payments by an employee, consultant or agent of the Company because these parties are not always subject to the Company’s control.</w:t>
      </w:r>
    </w:p>
    <w:p>
      <w:pPr>
        <w:spacing w:after="0" w:line="75"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Although the Company believes to date it has complied in all material aspects with the provisions of the FCPA and Chinese anti-corruption law, the existing safeguards and any future improvements may prove to be less than effective and any of the Company’s employees, consultants or agents may engage in corruptive conduct for which the Company might be held responsible. Violations of the FCPA or Chinese anti-corruption law may result in severe criminal or civil sanctions against the Company and individuals and therefore could negatively affect the Company’s business, operating results and financial condition. In addition, the Taiwanese government may seek to hold the Company liable as a successor for FCPA violations committed by companies in which the Company invests or acquires.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2"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testing or clinical trials ourselves. As a result, we are dependent on third parties to conduct our ongoing and planned clinical trials of our product candidates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laboratories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By example, we are required to monitor the activities of third parties undertaking clinical trials on our behalf, but our monitoring may not be able to detect any existing or emerging issues.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50" w:name="page51"/>
    <w:bookmarkEnd w:id="50"/>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and our CROs, as well as other third parties, including investigators,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or to conduct a trial in accordance with its investigational plan,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applicable to the stage of product development and our preclinical trials must be conducted in accordance with good laboratory practices. Our failure or the failure of third parties on whom we rely on to comply with these regulations may require us to stop and/or repeat clinical trials or other studies, which would delay the marketing approval process.</w:t>
      </w:r>
    </w:p>
    <w:p>
      <w:pPr>
        <w:spacing w:after="0" w:line="215"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We may also have to conduct additional clinical or preclinical trials.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214"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products.</w:t>
      </w:r>
    </w:p>
    <w:p>
      <w:pPr>
        <w:spacing w:after="0" w:line="328"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9" w:lineRule="exact"/>
        <w:rPr>
          <w:sz w:val="20"/>
          <w:szCs w:val="20"/>
          <w:color w:val="auto"/>
        </w:rPr>
      </w:pPr>
    </w:p>
    <w:p>
      <w:pPr>
        <w:jc w:val="both"/>
        <w:ind w:right="80" w:firstLine="479"/>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3" w:lineRule="exact"/>
        <w:rPr>
          <w:sz w:val="20"/>
          <w:szCs w:val="20"/>
          <w:color w:val="auto"/>
        </w:rPr>
      </w:pPr>
    </w:p>
    <w:p>
      <w:pPr>
        <w:ind w:right="740" w:firstLine="47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7" w:lineRule="exact"/>
        <w:rPr>
          <w:sz w:val="20"/>
          <w:szCs w:val="20"/>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jc w:val="both"/>
        <w:ind w:left="840" w:right="120" w:hanging="413"/>
        <w:spacing w:after="0" w:line="266"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6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117"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75"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72"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While we would not be manufacturing the products ourselves, we will still be responsible for the ultimate quality of any product or product candidate that we put into distribution. If the FDA determines that our CMOs are not in compliance with FDA laws and regulations, including those governing cGMPs, or if FDA determines that our manufacturing processes are not sufficient,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the need to repeat clinical or preclinical trials,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90"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210"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203"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14" w:lineRule="exact"/>
        <w:rPr>
          <w:sz w:val="20"/>
          <w:szCs w:val="20"/>
          <w:color w:val="auto"/>
        </w:rPr>
      </w:pPr>
    </w:p>
    <w:p>
      <w:pPr>
        <w:jc w:val="both"/>
        <w:ind w:right="380" w:firstLine="416"/>
        <w:spacing w:after="0" w:line="26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right="40"/>
        <w:spacing w:after="0" w:line="255" w:lineRule="auto"/>
        <w:rPr>
          <w:sz w:val="20"/>
          <w:szCs w:val="20"/>
          <w:color w:val="auto"/>
        </w:rPr>
      </w:pPr>
      <w:r>
        <w:rPr>
          <w:rFonts w:ascii="Times New Roman" w:cs="Times New Roman" w:eastAsia="Times New Roman" w:hAnsi="Times New Roman"/>
          <w:sz w:val="18"/>
          <w:szCs w:val="18"/>
          <w:color w:val="auto"/>
        </w:rPr>
        <w:t>such CMOs. Additionally, if legal and regulatory requirements change, we may need to seek CMOs outside of certain territories or domestically.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including the ongoing conflicts in Ukraine and the Middle East, or public health epidemics such as the COVID-19 pandemic. If our current third-party manufacturers cannot perform as agreed, we may be required to replace such manufacturers and we may be unable to replace them on a timely basis or at all.</w:t>
      </w:r>
    </w:p>
    <w:p>
      <w:pPr>
        <w:spacing w:after="0" w:line="216"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306" w:lineRule="exact"/>
        <w:rPr>
          <w:sz w:val="20"/>
          <w:szCs w:val="20"/>
          <w:color w:val="auto"/>
        </w:rPr>
      </w:pPr>
    </w:p>
    <w:p>
      <w:pPr>
        <w:ind w:left="4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further development and commercialization of our product candidates. If those collaborations are not successful, we may not be able to capitalize on the market potential of these product candidates.</w:t>
      </w:r>
    </w:p>
    <w:p>
      <w:pPr>
        <w:spacing w:after="0" w:line="64"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may seek third-party collaborators for the further development and commercialization of some of our product candidates on a select basis. Our likely collaborators for any future collaboration arrangements include large and mid-size pharmaceutical companies and biotechnology companies. We face significant competition in seeking appropriate collaborators and may not be able to secure an appropriate collaborator.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210"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85" w:lineRule="exact"/>
        <w:rPr>
          <w:sz w:val="20"/>
          <w:szCs w:val="20"/>
          <w:color w:val="auto"/>
        </w:rPr>
      </w:pPr>
    </w:p>
    <w:p>
      <w:pPr>
        <w:ind w:left="840" w:right="540" w:hanging="413"/>
        <w:spacing w:after="0" w:line="282"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40" w:lineRule="exact"/>
        <w:rPr>
          <w:rFonts w:ascii="Times New Roman" w:cs="Times New Roman" w:eastAsia="Times New Roman" w:hAnsi="Times New Roman"/>
          <w:sz w:val="18"/>
          <w:szCs w:val="18"/>
          <w:color w:val="auto"/>
        </w:rPr>
      </w:pPr>
    </w:p>
    <w:p>
      <w:pPr>
        <w:ind w:left="840" w:right="220" w:hanging="413"/>
        <w:spacing w:after="0" w:line="261"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840" w:right="620" w:hanging="413"/>
        <w:spacing w:after="0" w:line="282"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0"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the applicable legal and regulatory requirements;</w:t>
      </w:r>
    </w:p>
    <w:p>
      <w:pPr>
        <w:spacing w:after="0" w:line="103" w:lineRule="exact"/>
        <w:rPr>
          <w:rFonts w:ascii="Times New Roman" w:cs="Times New Roman" w:eastAsia="Times New Roman" w:hAnsi="Times New Roman"/>
          <w:sz w:val="18"/>
          <w:szCs w:val="18"/>
          <w:color w:val="auto"/>
        </w:rPr>
      </w:pPr>
    </w:p>
    <w:p>
      <w:pPr>
        <w:ind w:left="840" w:right="40" w:hanging="413"/>
        <w:spacing w:after="0" w:line="266"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840" w:right="40" w:hanging="413"/>
        <w:spacing w:after="0" w:line="282"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40" w:lineRule="exact"/>
        <w:rPr>
          <w:rFonts w:ascii="Times New Roman" w:cs="Times New Roman" w:eastAsia="Times New Roman" w:hAnsi="Times New Roman"/>
          <w:sz w:val="18"/>
          <w:szCs w:val="18"/>
          <w:color w:val="auto"/>
        </w:rPr>
      </w:pPr>
    </w:p>
    <w:p>
      <w:pPr>
        <w:ind w:left="840" w:right="20" w:hanging="413"/>
        <w:spacing w:after="0" w:line="266"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left="840" w:right="60" w:hanging="413"/>
        <w:spacing w:after="0" w:line="282"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840" w:right="1180" w:hanging="413"/>
        <w:spacing w:after="0" w:line="282"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40"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03" w:lineRule="exact"/>
        <w:rPr>
          <w:rFonts w:ascii="Times New Roman" w:cs="Times New Roman" w:eastAsia="Times New Roman" w:hAnsi="Times New Roman"/>
          <w:sz w:val="18"/>
          <w:szCs w:val="18"/>
          <w:color w:val="auto"/>
        </w:rPr>
      </w:pPr>
    </w:p>
    <w:p>
      <w:pPr>
        <w:ind w:left="840" w:right="140" w:hanging="413"/>
        <w:spacing w:after="0" w:line="282"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5" w:lineRule="exact"/>
        <w:rPr>
          <w:sz w:val="20"/>
          <w:szCs w:val="20"/>
          <w:color w:val="auto"/>
        </w:rPr>
      </w:pPr>
    </w:p>
    <w:p>
      <w:pPr>
        <w:ind w:right="400" w:firstLine="416"/>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50" w:lineRule="exact"/>
        <w:rPr>
          <w:sz w:val="20"/>
          <w:szCs w:val="20"/>
          <w:color w:val="auto"/>
        </w:rPr>
      </w:pPr>
    </w:p>
    <w:p>
      <w:pPr>
        <w:ind w:left="4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and China relations, as well as relations with other countries, and/or regulations may adversely impact our business, our operating results, our ability to raise capital and the market price of our shares.</w:t>
      </w:r>
    </w:p>
    <w:p>
      <w:pPr>
        <w:spacing w:after="0" w:line="51"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Any unfavorable government policies on cross-border relations and/or international trade, including increased scrutiny on companies with significant China-based operations and escalation of tensions between China and Taiwan, such as the ongoing step up of military exercises around Taiwan by China, capital controls or tariffs, may affect our ability to raise capital and the market price of our shares.</w:t>
      </w:r>
    </w:p>
    <w:p>
      <w:pPr>
        <w:spacing w:after="0" w:line="84"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There have been Congressional legislative proposals, such as the recent bill titled the Biosecure Act, to discourage contracting with Chinese companies on the development or manufacturing of pharmaceutical products. 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shares.</w:t>
      </w:r>
    </w:p>
    <w:p>
      <w:pPr>
        <w:spacing w:after="0" w:line="71" w:lineRule="exact"/>
        <w:rPr>
          <w:sz w:val="20"/>
          <w:szCs w:val="20"/>
          <w:color w:val="auto"/>
        </w:rPr>
      </w:pPr>
    </w:p>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developing our PRMT5 inhibitor, PRT811, and are dependent on our license agreement with Pathos AI, Inc. to develop and commercialize the asset.</w:t>
      </w:r>
    </w:p>
    <w:p>
      <w:pPr>
        <w:spacing w:after="0" w:line="51"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Pursuant to the terms of the license agreement with Pathos (the “Pathos License Agreement”), we granted an exclusive, world-wide license for our selective, brain-penetrant PRMT5 inhibitor, PRT811. Consequently, the commercial success of PRT811 will depend in significant part on the efforts of Pathos. Pathos will pay us milestone payments upon the achievement of specified development and sales milestone events, as well as royalties on sales of the licensed products. If Pathos is unable to commercialize PRT811 or determines not to pursue development or commercialization of PRT811, we will not receive any sales milestones or royalty payments under the Pathos License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left="4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80"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any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4" w:name="page55"/>
    <w:bookmarkEnd w:id="54"/>
    <w:p>
      <w:pPr>
        <w:ind w:right="560"/>
        <w:spacing w:after="0" w:line="282" w:lineRule="auto"/>
        <w:rPr>
          <w:sz w:val="20"/>
          <w:szCs w:val="20"/>
          <w:color w:val="auto"/>
        </w:rPr>
      </w:pPr>
      <w:r>
        <w:rPr>
          <w:rFonts w:ascii="Times New Roman" w:cs="Times New Roman" w:eastAsia="Times New Roman" w:hAnsi="Times New Roman"/>
          <w:sz w:val="18"/>
          <w:szCs w:val="18"/>
          <w:color w:val="auto"/>
        </w:rPr>
        <w:t>or new patients may become increasingly difficult to identify or gain access to, all of which would adversely affect our results of operations and our business.</w:t>
      </w:r>
    </w:p>
    <w:p>
      <w:pPr>
        <w:spacing w:after="0" w:line="293"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78" w:lineRule="exact"/>
        <w:rPr>
          <w:sz w:val="20"/>
          <w:szCs w:val="20"/>
          <w:color w:val="auto"/>
        </w:rPr>
      </w:pPr>
    </w:p>
    <w:p>
      <w:pPr>
        <w:ind w:right="260" w:firstLine="416"/>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9" w:lineRule="exact"/>
        <w:rPr>
          <w:sz w:val="20"/>
          <w:szCs w:val="20"/>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as front-line treatment for various indications;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distribution and/or use restrictions, such as through a REMS;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70" w:lineRule="exact"/>
        <w:rPr>
          <w:sz w:val="20"/>
          <w:szCs w:val="20"/>
          <w:color w:val="auto"/>
        </w:rPr>
      </w:pPr>
    </w:p>
    <w:p>
      <w:pPr>
        <w:jc w:val="both"/>
        <w:ind w:left="4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80"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76"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44" w:lineRule="exact"/>
        <w:rPr>
          <w:sz w:val="20"/>
          <w:szCs w:val="20"/>
          <w:color w:val="auto"/>
        </w:rPr>
      </w:pPr>
    </w:p>
    <w:p>
      <w:pPr>
        <w:ind w:left="5540" w:right="3120" w:hanging="5113"/>
        <w:spacing w:after="0" w:line="532" w:lineRule="auto"/>
        <w:tabs>
          <w:tab w:leader="none" w:pos="8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build our commercialization infrastructure;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or marketing personnel’s failure to comply with applicable legal or regulatory requirements;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third-party payor coverage and reimbursement in any geography;</w:t>
      </w:r>
    </w:p>
    <w:p>
      <w:pPr>
        <w:spacing w:after="0" w:line="117" w:lineRule="exact"/>
        <w:rPr>
          <w:rFonts w:ascii="Times New Roman" w:cs="Times New Roman" w:eastAsia="Times New Roman" w:hAnsi="Times New Roman"/>
          <w:sz w:val="18"/>
          <w:szCs w:val="18"/>
          <w:color w:val="auto"/>
        </w:rPr>
      </w:pPr>
    </w:p>
    <w:p>
      <w:pPr>
        <w:ind w:left="840" w:right="34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or may not do so in a compliant manner, for which we could be held responsible.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333"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Amgen Inc., Arvinas Inc., AstraZeneca plc, Aurigene, Boehringer Ingelheim, C4 Therapeutics, Eli Lilly and Company, F. Hoffman-La Roche, Foghorn Therapeutics Inc., Gan &amp; Lee, Genentech, Gilead Sciences, Inc., GlaxoSmithKline plc, Johnson &amp; Johnson, Kronos Bio, Inc., Kymera Therapeutics Inc., Nanjing Zaiming Pharmaceutical Co. Ltd., Nurix Therapeutics, Oncopia Therapeutics, Pfizer Inc., Plexium, Sellas Life Science Group, Inc., Suzhou Zanrong Pharmaceutical Technology Co. Ltd, Vincerx Pharma, Inc., Novartis AG, and Shanghai Haiyan Pharmaceutical Technology Co Ltd.</w:t>
      </w:r>
    </w:p>
    <w:p>
      <w:pPr>
        <w:spacing w:after="0" w:line="188"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For our SMARCA 2 (BRM) degrader program, other companies, including Amgen, Aurigene, C4 Therapeutics, Foghorn Therapeutics, Inc., Kymera Therapeutics, Arvinas, Genentech, Boehringer Ingelheim, and Lilly have publicly disclosed their pre-clinical research efforts.</w:t>
      </w:r>
    </w:p>
    <w:p>
      <w:pPr>
        <w:spacing w:after="0" w:line="162"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right="500"/>
        <w:spacing w:after="0" w:line="266" w:lineRule="auto"/>
        <w:rPr>
          <w:sz w:val="20"/>
          <w:szCs w:val="20"/>
          <w:color w:val="auto"/>
        </w:rPr>
      </w:pPr>
      <w:r>
        <w:rPr>
          <w:rFonts w:ascii="Times New Roman" w:cs="Times New Roman" w:eastAsia="Times New Roman" w:hAnsi="Times New Roman"/>
          <w:sz w:val="18"/>
          <w:szCs w:val="18"/>
          <w:color w:val="auto"/>
        </w:rPr>
        <w:t>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203"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332" w:lineRule="exact"/>
        <w:rPr>
          <w:sz w:val="20"/>
          <w:szCs w:val="20"/>
          <w:color w:val="auto"/>
        </w:rPr>
      </w:pPr>
    </w:p>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4"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15"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(e.g., Medicare and Medicaid),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21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to cover the costs of research, development, manufacture, sale and distribution. Reimbursement may affect the demand for, or the price of, any product candidate for which we obtain marketing approval. Obtaining and maintaining coverage and adequate reimbursement for our products may be difficult and can change over time.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215"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uncertainty regarding our ability to obtain coverage and adequate reimbursement for the same reasons applicable to our product candidates.</w:t>
      </w:r>
    </w:p>
    <w:p>
      <w:pPr>
        <w:spacing w:after="0" w:line="252"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4" w:lineRule="exact"/>
        <w:rPr>
          <w:sz w:val="20"/>
          <w:szCs w:val="20"/>
          <w:color w:val="auto"/>
        </w:rPr>
      </w:pPr>
    </w:p>
    <w:p>
      <w:pPr>
        <w:ind w:right="300" w:firstLine="416"/>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81" w:lineRule="exact"/>
        <w:rPr>
          <w:sz w:val="20"/>
          <w:szCs w:val="20"/>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66"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44"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 and manage our human capital.</w:t>
      </w:r>
    </w:p>
    <w:p>
      <w:pPr>
        <w:spacing w:after="0" w:line="172"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120"/>
        <w:spacing w:after="0" w:line="282" w:lineRule="auto"/>
        <w:rPr>
          <w:sz w:val="20"/>
          <w:szCs w:val="20"/>
          <w:color w:val="auto"/>
        </w:rPr>
      </w:pPr>
      <w:r>
        <w:rPr>
          <w:rFonts w:ascii="Times New Roman" w:cs="Times New Roman" w:eastAsia="Times New Roman" w:hAnsi="Times New Roman"/>
          <w:sz w:val="18"/>
          <w:szCs w:val="18"/>
          <w:color w:val="auto"/>
        </w:rPr>
        <w:t>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54"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We may not be able to attract or retain qualified personnel in the future due to the intense competition for a limited number of qualified personnel among pharmaceutical companies, including from companies in other geographic areas hiring remote workers.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346" w:lineRule="exact"/>
        <w:rPr>
          <w:sz w:val="20"/>
          <w:szCs w:val="20"/>
          <w:color w:val="auto"/>
        </w:rPr>
      </w:pPr>
    </w:p>
    <w:p>
      <w:pPr>
        <w:ind w:left="420"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expand our development and regulatory capabilities and potentially implement sales, marketing and distribution capabilities, and as a result, we may encounter difficulties in managing our growth, which could disrupt our operations.</w:t>
      </w:r>
    </w:p>
    <w:p>
      <w:pPr>
        <w:spacing w:after="0" w:line="145"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As of December 31, 2024, we had 131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8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manufacturing of any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repeated, or terminated, and we may not be able to obtain marketing approval of any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84"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our product candidates and, accordingly, may not achieve our research, development and commercialization goals.</w:t>
      </w:r>
    </w:p>
    <w:p>
      <w:pPr>
        <w:spacing w:after="0" w:line="252"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7"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laws, or (v) laws that require the true, complete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ind w:right="440"/>
        <w:spacing w:after="0" w:line="282" w:lineRule="auto"/>
        <w:rPr>
          <w:sz w:val="20"/>
          <w:szCs w:val="20"/>
          <w:color w:val="auto"/>
        </w:rPr>
      </w:pPr>
      <w:r>
        <w:rPr>
          <w:rFonts w:ascii="Times New Roman" w:cs="Times New Roman" w:eastAsia="Times New Roman" w:hAnsi="Times New Roman"/>
          <w:sz w:val="18"/>
          <w:szCs w:val="18"/>
          <w:color w:val="auto"/>
        </w:rPr>
        <w:t>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62"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consultants, vendors and other potential commercial partners,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an alleged failure to comply with these laws or regulations. If any such actions are instituted against us, and we are not successful in defending ourselves or asserting our rights, those actions could have a significant impact on our business, including the imposition of significant civil and administrative penalties and damages, criminal fines and confinement, disgorgement, exclusion from participation in government funded healthcare programs, such as Medicare, Medicaid and other federal healthcare programs, suspension and debarment from government procurement and non-procurement programs, refusal of orders under existing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339" w:lineRule="exact"/>
        <w:rPr>
          <w:sz w:val="20"/>
          <w:szCs w:val="20"/>
          <w:color w:val="auto"/>
        </w:rPr>
      </w:pPr>
    </w:p>
    <w:p>
      <w:pPr>
        <w:ind w:left="48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86"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w:t>
      </w:r>
    </w:p>
    <w:p>
      <w:pPr>
        <w:spacing w:after="0" w:line="183"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Despite the implementation of reasonable technical, administrative, and physical security measures, our internal information technology systems and those of our third-party CROs, CMOs, vendors and other contractors and consultants (collectively, “Third Parties”) are potentially vulnerable to breakdown or other damage or interruption from service interruptions, system malfunction, accidents by our employees or third party service providers, natural disasters, terrorism, war and telecommunication and electrical failures.</w:t>
      </w:r>
    </w:p>
    <w:p>
      <w:pPr>
        <w:spacing w:after="0" w:line="180" w:lineRule="exact"/>
        <w:rPr>
          <w:sz w:val="20"/>
          <w:szCs w:val="20"/>
          <w:color w:val="auto"/>
        </w:rPr>
      </w:pPr>
    </w:p>
    <w:p>
      <w:pPr>
        <w:ind w:right="20" w:firstLine="479"/>
        <w:spacing w:after="0" w:line="252" w:lineRule="auto"/>
        <w:rPr>
          <w:sz w:val="20"/>
          <w:szCs w:val="20"/>
          <w:color w:val="auto"/>
        </w:rPr>
      </w:pPr>
      <w:r>
        <w:rPr>
          <w:rFonts w:ascii="Times New Roman" w:cs="Times New Roman" w:eastAsia="Times New Roman" w:hAnsi="Times New Roman"/>
          <w:sz w:val="18"/>
          <w:szCs w:val="18"/>
          <w:color w:val="auto"/>
        </w:rPr>
        <w:t>Our systems, and those of Third Parties, may also experience security breaches from inadvertent or intentional actions by our employees, or from cyber-attacks by malicious third parties including the deployment of harmful malware, ransomware, denial-of-service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If a disruption or security breach were to result in a loss of, or damage to, our data or applications, or those of our Third Parties, or inappropriate disclosure of confidential information, we could incur liability and reputational damage and the further development and commercialization of our product candidates could be delayed. Any breach, loss or compromise of clinical trial participant personal data may also subject us to civil damages and penalties, under HIPAA and other relevant state and federal privacy laws. The costs related to significant security breaches or disruptions could be material and exceed the limits of the cybersecurity insurance we maintain against such risks. If the information technology systems of our Third Parties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such incident that leads to unauthorized access, use, or disclosure of personal information, including personal information regarding our clinical trial subjects or employees, could require public</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200"/>
        <w:spacing w:after="0" w:line="266" w:lineRule="auto"/>
        <w:rPr>
          <w:sz w:val="20"/>
          <w:szCs w:val="20"/>
          <w:color w:val="auto"/>
        </w:rPr>
      </w:pPr>
      <w:r>
        <w:rPr>
          <w:rFonts w:ascii="Times New Roman" w:cs="Times New Roman" w:eastAsia="Times New Roman" w:hAnsi="Times New Roman"/>
          <w:sz w:val="18"/>
          <w:szCs w:val="18"/>
          <w:color w:val="auto"/>
        </w:rPr>
        <w:t>notification and/or notification to governmental entities and individuals, harm our reputation directly,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00" w:lineRule="exact"/>
        <w:rPr>
          <w:sz w:val="20"/>
          <w:szCs w:val="20"/>
          <w:color w:val="auto"/>
        </w:rPr>
      </w:pPr>
    </w:p>
    <w:p>
      <w:pPr>
        <w:spacing w:after="0" w:line="255" w:lineRule="exact"/>
        <w:rPr>
          <w:sz w:val="20"/>
          <w:szCs w:val="20"/>
          <w:color w:val="auto"/>
        </w:rPr>
      </w:pPr>
    </w:p>
    <w:p>
      <w:pPr>
        <w:ind w:left="420"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privacy, cybersecurity, artificial intelligence (AI), and operational resilience laws and regulations (including enacted by governmental authorities in the European Economic Area (“EEA”), Switzerland, and the UK, collectively, “Europe”) could lead to government enforcement actions (which could include civil or criminal penalties), private litigation and/or adverse publicity and could negatively affect our operating results and business.</w:t>
      </w:r>
    </w:p>
    <w:p>
      <w:pPr>
        <w:spacing w:after="0" w:line="45"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data protection, privacy and data security). In the United States, numerous federal and state laws and regulations, including federal health information privacy laws, state data breach notification laws, state health information privacy laws, state consumer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data protection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381" w:lineRule="exact"/>
        <w:rPr>
          <w:sz w:val="20"/>
          <w:szCs w:val="20"/>
          <w:color w:val="auto"/>
        </w:rPr>
      </w:pPr>
    </w:p>
    <w:p>
      <w:pPr>
        <w:ind w:right="240" w:firstLine="419"/>
        <w:spacing w:after="0" w:line="253" w:lineRule="auto"/>
        <w:rPr>
          <w:sz w:val="20"/>
          <w:szCs w:val="20"/>
          <w:color w:val="auto"/>
        </w:rPr>
      </w:pPr>
      <w:r>
        <w:rPr>
          <w:rFonts w:ascii="Times New Roman" w:cs="Times New Roman" w:eastAsia="Times New Roman" w:hAnsi="Times New Roman"/>
          <w:sz w:val="18"/>
          <w:szCs w:val="18"/>
          <w:color w:val="auto"/>
        </w:rPr>
        <w:t>International data protection laws, including EU Regulation 2016/679, known as the EU General Data Protection Regulation, or along with related data protection, privacy, and cybersecurity laws in Europe, including the UK General Data Protection Regulation, collectively, the “GDPR”), may also apply to health-related and other personal information obtained outside of the United States. The GDPR imposes numerous new requirements for the collection, use and disclosure of personal information and the protection and resiliency of certain network and information systems, including more stringent requirements relating to consent and the information that must be shared with data subjects about how their personal information is used, the obligation to notify regulators and affected individuals of personal data breaches, internal privacy governance obligations and obligations to honor expanded rights of individuals in relation to their personal information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right to access, correct and delete their data). In addition, the GDPR includes restrictions on cross-border data transfer, which may require ongoing changes to our business operations, implementation of revised legal mechanisms, and other challenges. We are also required to undertake appropriate measures to ensure the confidentiality, availability, and integrity of personal information, which may be challenging considering ever-growing and impactful cyber threats.</w:t>
      </w:r>
    </w:p>
    <w:p>
      <w:pPr>
        <w:spacing w:after="0" w:line="194" w:lineRule="exact"/>
        <w:rPr>
          <w:sz w:val="20"/>
          <w:szCs w:val="20"/>
          <w:color w:val="auto"/>
        </w:rPr>
      </w:pPr>
    </w:p>
    <w:p>
      <w:pPr>
        <w:ind w:right="100" w:firstLine="419"/>
        <w:spacing w:after="0" w:line="254" w:lineRule="auto"/>
        <w:rPr>
          <w:sz w:val="20"/>
          <w:szCs w:val="20"/>
          <w:color w:val="auto"/>
        </w:rPr>
      </w:pPr>
      <w:r>
        <w:rPr>
          <w:rFonts w:ascii="Times New Roman" w:cs="Times New Roman" w:eastAsia="Times New Roman" w:hAnsi="Times New Roman"/>
          <w:sz w:val="18"/>
          <w:szCs w:val="18"/>
          <w:color w:val="auto"/>
        </w:rPr>
        <w:t>The EU GDPR allows European Economic Area supervisory authorities to impose penalties for non-compliance of up to the greater of EUR 20.0 million and 4% of annual worldwide gross revenue of the corporate group in question. (There are similar caps in GBP under the UK GDPR). Supervisory authorities in the EEA and UK may potentially levy such fines directly upon on the non-compliant entity and/or on the parent company of the non-compliant entity. Separate from regulatory enforcement actions, individuals may bring private actions (including potentially group or representative actions) against us. There is no statutory cap in the GDPR on the amount of compensation or the damages which individuals may recover. The GDPR and other international data protection laws will increase our responsibility and liability in relation to personal data that we process, and we may be required to put in place additional mechanisms to ensure compliance. Any failure to do so could have an adverse impact on our business, reputation, financial condition, and results of operations. We may also be subject to additional industry-specific privacy, cybersecurity, data protection, operational and information systems resilience, and AI-related laws in Europe which may subject us to additional similar risks and impacts as under the GDPR.</w:t>
      </w:r>
    </w:p>
    <w:p>
      <w:pPr>
        <w:spacing w:after="0" w:line="188"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In addition, data protection requirements and risk are increasing in the United States. The state of California enacted the California Consumer Privacy Act, or CCPA, which creates new individual privacy rights for California consumers (as defined in the CCPA), including the rights to access, correction, and deletion and places increased privacy and security obligations on entities handling certain personal data of consumers or households. The CCPA requires covered companies to provide detailed disclosures to consumers about such companies’ data collection, use and sharing practices, provide such consumers new ways to opt-out of certain sales or transfers of personal information, and provide consumers with additional causes of action. Following California’s lead, other states have adopted similar comprehensive consumer privacy laws, all 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ind w:right="60"/>
        <w:spacing w:after="0" w:line="261" w:lineRule="auto"/>
        <w:rPr>
          <w:sz w:val="20"/>
          <w:szCs w:val="20"/>
          <w:color w:val="auto"/>
        </w:rPr>
      </w:pPr>
      <w:r>
        <w:rPr>
          <w:rFonts w:ascii="Times New Roman" w:cs="Times New Roman" w:eastAsia="Times New Roman" w:hAnsi="Times New Roman"/>
          <w:sz w:val="18"/>
          <w:szCs w:val="18"/>
          <w:color w:val="auto"/>
        </w:rPr>
        <w:t>which may impact our business activities and exemplifies the vulnerability of our business to the evolving regulatory environment related to personal data and protected health information. The CCPA and other state privacy laws provide for significant civil penalties for violations, and California now provides for a private right of action for data breaches that is expected to increase data breach litigation. These regulatory changes may increase our compliance costs and potential liability, particularly in the event of a data breach.</w:t>
      </w:r>
    </w:p>
    <w:p>
      <w:pPr>
        <w:spacing w:after="0" w:line="180"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36" w:lineRule="exact"/>
        <w:rPr>
          <w:sz w:val="20"/>
          <w:szCs w:val="20"/>
          <w:color w:val="auto"/>
        </w:rPr>
      </w:pPr>
    </w:p>
    <w:p>
      <w:pPr>
        <w:ind w:left="4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4"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Our company is located in Delaware. Any unplanned event, such as flood, fire, explosion, earthquake, extreme weather condition, medical epidemic,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in particular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42" w:lineRule="exact"/>
        <w:rPr>
          <w:sz w:val="20"/>
          <w:szCs w:val="20"/>
          <w:color w:val="auto"/>
        </w:rPr>
      </w:pPr>
    </w:p>
    <w:p>
      <w:pPr>
        <w:ind w:left="4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government shutdowns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w:t>
      </w:r>
    </w:p>
    <w:p>
      <w:pPr>
        <w:spacing w:after="0" w:line="67"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72"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ind w:right="520"/>
        <w:spacing w:after="0" w:line="282" w:lineRule="auto"/>
        <w:rPr>
          <w:sz w:val="20"/>
          <w:szCs w:val="20"/>
          <w:color w:val="auto"/>
        </w:rPr>
      </w:pPr>
      <w:r>
        <w:rPr>
          <w:rFonts w:ascii="Times New Roman" w:cs="Times New Roman" w:eastAsia="Times New Roman" w:hAnsi="Times New Roman"/>
          <w:sz w:val="18"/>
          <w:szCs w:val="18"/>
          <w:color w:val="auto"/>
        </w:rPr>
        <w:t>shutdown occurs, it could significantly impact the ability of the FDA and the SEC to timely review and process our submissions, which could have a material adverse effect on our business.</w:t>
      </w:r>
    </w:p>
    <w:p>
      <w:pPr>
        <w:spacing w:after="0" w:line="212" w:lineRule="exact"/>
        <w:rPr>
          <w:sz w:val="20"/>
          <w:szCs w:val="20"/>
          <w:color w:val="auto"/>
        </w:rPr>
      </w:pPr>
    </w:p>
    <w:p>
      <w:pPr>
        <w:ind w:left="4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35"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88" w:lineRule="exact"/>
        <w:rPr>
          <w:sz w:val="20"/>
          <w:szCs w:val="20"/>
          <w:color w:val="auto"/>
        </w:rPr>
      </w:pPr>
    </w:p>
    <w:p>
      <w:pPr>
        <w:ind w:left="4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1"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93" w:lineRule="exact"/>
        <w:rPr>
          <w:sz w:val="20"/>
          <w:szCs w:val="20"/>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left="840" w:right="200" w:hanging="413"/>
        <w:spacing w:after="0" w:line="282"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investments or bank deposits may be subject to market, interest and credit risk that may reduce in value.</w:t>
      </w:r>
    </w:p>
    <w:p>
      <w:pPr>
        <w:spacing w:after="0" w:line="148"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Furthermore, a possible recession, rising inflation, and the lingering effects of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4" w:lineRule="exact"/>
        <w:rPr>
          <w:sz w:val="20"/>
          <w:szCs w:val="20"/>
          <w:color w:val="auto"/>
        </w:rPr>
      </w:pPr>
    </w:p>
    <w:p>
      <w:pPr>
        <w:ind w:left="4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80"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214" w:lineRule="exact"/>
        <w:rPr>
          <w:sz w:val="20"/>
          <w:szCs w:val="20"/>
          <w:color w:val="auto"/>
        </w:rPr>
      </w:pPr>
    </w:p>
    <w:p>
      <w:pPr>
        <w:jc w:val="both"/>
        <w:ind w:right="60" w:firstLine="416"/>
        <w:spacing w:after="0" w:line="266" w:lineRule="auto"/>
        <w:rPr>
          <w:sz w:val="20"/>
          <w:szCs w:val="20"/>
          <w:color w:val="auto"/>
        </w:rPr>
      </w:pPr>
      <w:r>
        <w:rPr>
          <w:rFonts w:ascii="Times New Roman" w:cs="Times New Roman" w:eastAsia="Times New Roman" w:hAnsi="Times New Roman"/>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in foreign jurisdictions relating to our product candidates.</w:t>
      </w:r>
    </w:p>
    <w:p>
      <w:pPr>
        <w:spacing w:after="0" w:line="176"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We do not yet have issued patents on all of our product candidates.</w:t>
      </w:r>
    </w:p>
    <w:p>
      <w:pPr>
        <w:spacing w:after="0" w:line="215"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217"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214"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210"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214"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285"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24"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The Leahy-Smith America Invents Act, or the Leahy-Smith Act, was signed into law in September 2011.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560"/>
        <w:spacing w:after="0" w:line="282" w:lineRule="auto"/>
        <w:rPr>
          <w:sz w:val="20"/>
          <w:szCs w:val="20"/>
          <w:color w:val="auto"/>
        </w:rPr>
      </w:pPr>
      <w:r>
        <w:rPr>
          <w:rFonts w:ascii="Times New Roman" w:cs="Times New Roman" w:eastAsia="Times New Roman" w:hAnsi="Times New Roman"/>
          <w:sz w:val="18"/>
          <w:szCs w:val="18"/>
          <w:color w:val="auto"/>
        </w:rPr>
        <w:t>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62"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69"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24"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210" w:lineRule="exact"/>
        <w:rPr>
          <w:sz w:val="20"/>
          <w:szCs w:val="20"/>
          <w:color w:val="auto"/>
        </w:rPr>
      </w:pPr>
    </w:p>
    <w:p>
      <w:pPr>
        <w:ind w:right="320" w:firstLine="416"/>
        <w:spacing w:after="0" w:line="258"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210"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17"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7" w:name="page68"/>
    <w:bookmarkEnd w:id="67"/>
    <w:p>
      <w:pPr>
        <w:ind w:right="540"/>
        <w:spacing w:after="0" w:line="282" w:lineRule="auto"/>
        <w:rPr>
          <w:sz w:val="20"/>
          <w:szCs w:val="20"/>
          <w:color w:val="auto"/>
        </w:rPr>
      </w:pPr>
      <w:r>
        <w:rPr>
          <w:rFonts w:ascii="Times New Roman" w:cs="Times New Roman" w:eastAsia="Times New Roman" w:hAnsi="Times New Roman"/>
          <w:sz w:val="18"/>
          <w:szCs w:val="18"/>
          <w:color w:val="auto"/>
        </w:rPr>
        <w:t>such litigation and the diversion of the attention of our management and scientific personnel could outweigh any benefit we receive as a result of the proceedings.</w:t>
      </w:r>
    </w:p>
    <w:p>
      <w:pPr>
        <w:spacing w:after="0" w:line="189"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3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or enforce our intellectual property and proprietary rights throughout the world.</w:t>
      </w:r>
    </w:p>
    <w:p>
      <w:pPr>
        <w:spacing w:after="0" w:line="135"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215"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340"/>
        <w:spacing w:after="0" w:line="282" w:lineRule="auto"/>
        <w:rPr>
          <w:sz w:val="20"/>
          <w:szCs w:val="20"/>
          <w:color w:val="auto"/>
        </w:rPr>
      </w:pPr>
      <w:r>
        <w:rPr>
          <w:rFonts w:ascii="Times New Roman" w:cs="Times New Roman" w:eastAsia="Times New Roman" w:hAnsi="Times New Roman"/>
          <w:sz w:val="18"/>
          <w:szCs w:val="18"/>
          <w:color w:val="auto"/>
        </w:rPr>
        <w:t>which we may wish to market our products. Accordingly, our efforts to protect our intellectual property and proprietary rights in such countries may be inadequate.</w:t>
      </w:r>
    </w:p>
    <w:p>
      <w:pPr>
        <w:spacing w:after="0" w:line="162"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Further, the complexity and uncertainty of European patent laws have increased in recent years. In Europe, the unitary patent system was introduced in early 2023, which could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could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42"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64"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210"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219"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339"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4"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22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product candidates may be held by third parties.</w:t>
      </w:r>
    </w:p>
    <w:p>
      <w:pPr>
        <w:spacing w:after="0" w:line="148"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spacing w:after="0" w:line="255" w:lineRule="auto"/>
        <w:rPr>
          <w:sz w:val="20"/>
          <w:szCs w:val="20"/>
          <w:color w:val="auto"/>
        </w:rPr>
      </w:pPr>
      <w:r>
        <w:rPr>
          <w:rFonts w:ascii="Times New Roman" w:cs="Times New Roman" w:eastAsia="Times New Roman" w:hAnsi="Times New Roman"/>
          <w:sz w:val="18"/>
          <w:szCs w:val="18"/>
          <w:color w:val="auto"/>
        </w:rPr>
        <w:t>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be inadequate to protect our competitive position on our products.</w:t>
      </w:r>
    </w:p>
    <w:p>
      <w:pPr>
        <w:spacing w:after="0" w:line="148"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total term of a patent beyond 14 years from the date of product approval, only one patent applicable to an approved drug is eligible for the extension,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be denied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336" w:lineRule="exact"/>
        <w:rPr>
          <w:sz w:val="20"/>
          <w:szCs w:val="20"/>
          <w:color w:val="auto"/>
        </w:rPr>
      </w:pPr>
    </w:p>
    <w:p>
      <w:pPr>
        <w:ind w:left="4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80" w:lineRule="exact"/>
        <w:rPr>
          <w:sz w:val="20"/>
          <w:szCs w:val="20"/>
          <w:color w:val="auto"/>
        </w:rPr>
      </w:pPr>
    </w:p>
    <w:p>
      <w:pPr>
        <w:ind w:right="80" w:firstLine="416"/>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ind w:left="4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51"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840" w:right="340" w:hanging="413"/>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53" w:lineRule="exact"/>
        <w:rPr>
          <w:rFonts w:ascii="Times New Roman" w:cs="Times New Roman" w:eastAsia="Times New Roman" w:hAnsi="Times New Roman"/>
          <w:sz w:val="18"/>
          <w:szCs w:val="18"/>
          <w:color w:val="auto"/>
        </w:rPr>
      </w:pPr>
    </w:p>
    <w:p>
      <w:pPr>
        <w:ind w:left="840" w:right="120" w:hanging="413"/>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840" w:right="120" w:hanging="413"/>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840" w:right="60" w:hanging="413"/>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840" w:right="100" w:hanging="413"/>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840" w:right="240" w:hanging="413"/>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840" w:right="440" w:hanging="413"/>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 how, and a third party may subsequently file a patent covering such intellectual property.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4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159"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As of December 31, 2024, our executive officers, directors, beneficial owners of 5% or more of our capital stock and their respective affiliates beneficially owned approximately 50% of our common stock and securities convertible into shares of our common stock. The voting power of this group may increase to the extent they convert shares of non-voting common stock or pre-funded warrants that they hold into shares of our common stock.</w:t>
      </w:r>
    </w:p>
    <w:p>
      <w:pPr>
        <w:spacing w:after="0" w:line="176"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This concentration of control creates a number of risks. This group of stockholders has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and other stockholders may find it difficult to replace members of management should they disagree with the manner in which the Company is operated.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80" w:lineRule="exact"/>
        <w:rPr>
          <w:sz w:val="20"/>
          <w:szCs w:val="20"/>
          <w:color w:val="auto"/>
        </w:rPr>
      </w:pPr>
    </w:p>
    <w:p>
      <w:pPr>
        <w:ind w:left="4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be sustained. As a result, you may not be able to resell your shares of common stock at or above the original price paid to acquire such shares.</w:t>
      </w:r>
    </w:p>
    <w:p>
      <w:pPr>
        <w:spacing w:after="0" w:line="1" w:lineRule="exact"/>
        <w:rPr>
          <w:sz w:val="20"/>
          <w:szCs w:val="20"/>
          <w:color w:val="auto"/>
        </w:rPr>
      </w:pPr>
    </w:p>
    <w:p>
      <w:pPr>
        <w:ind w:right="60" w:firstLine="416"/>
        <w:spacing w:after="0" w:line="252" w:lineRule="auto"/>
        <w:rPr>
          <w:sz w:val="20"/>
          <w:szCs w:val="20"/>
          <w:color w:val="auto"/>
        </w:rPr>
      </w:pPr>
      <w:r>
        <w:rPr>
          <w:rFonts w:ascii="Times New Roman" w:cs="Times New Roman" w:eastAsia="Times New Roman" w:hAnsi="Times New Roman"/>
          <w:sz w:val="18"/>
          <w:szCs w:val="18"/>
          <w:color w:val="auto"/>
        </w:rPr>
        <w:t>An active trading market for our common stock may not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99" w:lineRule="exact"/>
        <w:rPr>
          <w:sz w:val="20"/>
          <w:szCs w:val="20"/>
          <w:color w:val="auto"/>
        </w:rPr>
      </w:pPr>
    </w:p>
    <w:p>
      <w:pPr>
        <w:ind w:left="4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40" w:lineRule="exact"/>
        <w:rPr>
          <w:sz w:val="20"/>
          <w:szCs w:val="20"/>
          <w:color w:val="auto"/>
        </w:rPr>
      </w:pPr>
    </w:p>
    <w:p>
      <w:pPr>
        <w:ind w:left="840" w:right="200" w:hanging="413"/>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planned and ongoing development of our product candidates or future development programs, including scale-up CMC expenses;</w:t>
      </w:r>
    </w:p>
    <w:p>
      <w:pPr>
        <w:spacing w:after="0" w:line="53" w:lineRule="exact"/>
        <w:rPr>
          <w:rFonts w:ascii="Times New Roman" w:cs="Times New Roman" w:eastAsia="Times New Roman" w:hAnsi="Times New Roman"/>
          <w:sz w:val="18"/>
          <w:szCs w:val="18"/>
          <w:color w:val="auto"/>
        </w:rPr>
      </w:pPr>
    </w:p>
    <w:p>
      <w:pPr>
        <w:ind w:left="840" w:right="160" w:hanging="413"/>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future preclinical or clinical trials or funding support by us, or future collaborators or licensing partners;</w:t>
      </w:r>
    </w:p>
    <w:p>
      <w:pPr>
        <w:spacing w:after="0" w:line="53" w:lineRule="exact"/>
        <w:rPr>
          <w:rFonts w:ascii="Times New Roman" w:cs="Times New Roman" w:eastAsia="Times New Roman" w:hAnsi="Times New Roman"/>
          <w:sz w:val="18"/>
          <w:szCs w:val="18"/>
          <w:color w:val="auto"/>
        </w:rPr>
      </w:pPr>
    </w:p>
    <w:p>
      <w:pPr>
        <w:ind w:left="840" w:right="280" w:hanging="413"/>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840" w:right="400" w:hanging="413"/>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840" w:right="160" w:hanging="413"/>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840" w:right="100" w:hanging="413"/>
        <w:spacing w:after="0" w:line="266"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and general macroeconomic conditions, including but not limited to the ongoing conflicts in Ukraine and the Middle East, supply chain disruptions, rising interest rates, rising inflation rates, a potential recession or the lingering effects of the COVID-19 pandemic.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3" w:name="page74"/>
    <w:bookmarkEnd w:id="73"/>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378"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be, highly volatile, which could result in substantial losses for purchasers of our common stock.</w:t>
      </w:r>
    </w:p>
    <w:p>
      <w:pPr>
        <w:spacing w:after="0" w:line="78"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From January 1, 2024 to December 31, 2024, the closing price of common stock on the Nasdaq Global Select Market ranged from $0.80 to $6.37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Annual Report on Form 10-K and the following:</w:t>
      </w:r>
    </w:p>
    <w:p>
      <w:pPr>
        <w:spacing w:after="0" w:line="102" w:lineRule="exact"/>
        <w:rPr>
          <w:sz w:val="20"/>
          <w:szCs w:val="20"/>
          <w:color w:val="auto"/>
        </w:rPr>
      </w:pPr>
    </w:p>
    <w:p>
      <w:pPr>
        <w:ind w:left="840" w:right="560" w:hanging="413"/>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results of clinical trials of our product candidates, or those of our competitors or our future collaborators,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product candidates;</w:t>
      </w:r>
    </w:p>
    <w:p>
      <w:pPr>
        <w:spacing w:after="0" w:line="117" w:lineRule="exact"/>
        <w:rPr>
          <w:rFonts w:ascii="Times New Roman" w:cs="Times New Roman" w:eastAsia="Times New Roman" w:hAnsi="Times New Roman"/>
          <w:sz w:val="18"/>
          <w:szCs w:val="18"/>
          <w:color w:val="auto"/>
        </w:rPr>
      </w:pPr>
    </w:p>
    <w:p>
      <w:pPr>
        <w:ind w:left="840" w:right="260" w:hanging="413"/>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840" w:right="380" w:hanging="413"/>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840" w:right="360" w:hanging="413"/>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 including but not limited to a potential recession, rising interest rates, rising inflation, and the lingering effects of the COVID-19 pandemic.</w:t>
      </w:r>
    </w:p>
    <w:p>
      <w:pPr>
        <w:spacing w:after="0" w:line="189" w:lineRule="exact"/>
        <w:rPr>
          <w:sz w:val="20"/>
          <w:szCs w:val="20"/>
          <w:color w:val="auto"/>
        </w:rPr>
      </w:pPr>
    </w:p>
    <w:p>
      <w:pPr>
        <w:ind w:right="180" w:firstLine="41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4" w:name="page75"/>
    <w:bookmarkEnd w:id="74"/>
    <w:p>
      <w:pPr>
        <w:spacing w:after="0" w:line="41"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4"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as well as our pre-funded warrants, may be converted at any time into one share of our common stock at the option of its holder by providing written notice to us, subject to the limitations provided for in our restated certificate of incorporation. Consequently, if holders of our non-voting common stock and pre-funded warrants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on March 6, 2025, the common stock will have 100% of the voting power, but if the holders of non-voting common stock or pre-funded warrants were to convert all of their shares or pre-funded warrants into common stock, the prior common stock would have 56% of the voting power, and the former non-voting common stock and holders of pre-funded warrants would represent 44% of the voting power. Additionally, stockholders who hold, in the aggregate, more than 10% of our common stock, non-voting common stock and pre-funded warrants,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332" w:lineRule="exact"/>
        <w:rPr>
          <w:sz w:val="20"/>
          <w:szCs w:val="20"/>
          <w:color w:val="auto"/>
        </w:rPr>
      </w:pPr>
    </w:p>
    <w:p>
      <w:pPr>
        <w:ind w:left="48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28"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Annual Report on Form 10-K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in this Annual Report on Form 10-K.</w:t>
      </w:r>
    </w:p>
    <w:p>
      <w:pPr>
        <w:spacing w:after="0" w:line="8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79"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When we cease to be an emerging growth company, we could be required to incur additional professional fees and internal costs related to any heightened disclosure.</w:t>
      </w:r>
    </w:p>
    <w:p>
      <w:pPr>
        <w:spacing w:after="0" w:line="7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However,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Annual Report on Form 10-K as well as our periodic reports and proxy statements. We cannot predict if investors will find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ind w:right="120"/>
        <w:spacing w:after="0" w:line="282" w:lineRule="auto"/>
        <w:rPr>
          <w:sz w:val="20"/>
          <w:szCs w:val="20"/>
          <w:color w:val="auto"/>
        </w:rPr>
      </w:pPr>
      <w:r>
        <w:rPr>
          <w:rFonts w:ascii="Times New Roman" w:cs="Times New Roman" w:eastAsia="Times New Roman" w:hAnsi="Times New Roman"/>
          <w:sz w:val="18"/>
          <w:szCs w:val="18"/>
          <w:color w:val="auto"/>
        </w:rPr>
        <w:t>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54"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44"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4"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81" w:lineRule="exact"/>
        <w:rPr>
          <w:sz w:val="20"/>
          <w:szCs w:val="20"/>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75" w:lineRule="exact"/>
        <w:rPr>
          <w:sz w:val="20"/>
          <w:szCs w:val="20"/>
          <w:color w:val="auto"/>
        </w:rPr>
      </w:pPr>
    </w:p>
    <w:p>
      <w:pPr>
        <w:jc w:val="both"/>
        <w:ind w:right="60" w:firstLine="416"/>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6" w:name="page77"/>
    <w:bookmarkEnd w:id="76"/>
    <w:p>
      <w:pPr>
        <w:ind w:left="4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5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75"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2"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84"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17"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70" w:lineRule="exact"/>
        <w:rPr>
          <w:sz w:val="20"/>
          <w:szCs w:val="20"/>
          <w:color w:val="auto"/>
        </w:rPr>
      </w:pPr>
    </w:p>
    <w:p>
      <w:pPr>
        <w:ind w:left="48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180" w:firstLine="479"/>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ind w:right="580"/>
        <w:spacing w:after="0" w:line="282" w:lineRule="auto"/>
        <w:rPr>
          <w:sz w:val="20"/>
          <w:szCs w:val="20"/>
          <w:color w:val="auto"/>
        </w:rPr>
      </w:pPr>
      <w:r>
        <w:rPr>
          <w:rFonts w:ascii="Times New Roman" w:cs="Times New Roman" w:eastAsia="Times New Roman" w:hAnsi="Times New Roman"/>
          <w:sz w:val="18"/>
          <w:szCs w:val="18"/>
          <w:color w:val="auto"/>
        </w:rPr>
        <w:t>regulatory and governing bodies. This could result in continuing uncertainty regarding compliance matters and higher costs necessitated by ongoing revisions to disclosure and governance practices.</w:t>
      </w:r>
    </w:p>
    <w:p>
      <w:pPr>
        <w:spacing w:after="0" w:line="158" w:lineRule="exact"/>
        <w:rPr>
          <w:sz w:val="20"/>
          <w:szCs w:val="20"/>
          <w:color w:val="auto"/>
        </w:rPr>
      </w:pPr>
    </w:p>
    <w:p>
      <w:pPr>
        <w:ind w:left="4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4"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332" w:lineRule="exact"/>
        <w:rPr>
          <w:sz w:val="20"/>
          <w:szCs w:val="20"/>
          <w:color w:val="auto"/>
        </w:rPr>
      </w:pPr>
    </w:p>
    <w:p>
      <w:pPr>
        <w:ind w:left="48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51"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the listing requirements of the Nasdaq Global Select Market. The Sarbanes-Oxley Act requires, among other things, that we maintain effective disclosure controls and procedures and internal control over financial reporting.</w:t>
      </w:r>
    </w:p>
    <w:p>
      <w:pPr>
        <w:spacing w:after="0" w:line="176"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We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404(a) of the Sarbanes-Oxley Act. This requires that we incur substantial additional professional fees and internal costs to expand our accounting and finance functions and that we expend significant management efforts.</w:t>
      </w:r>
    </w:p>
    <w:p>
      <w:pPr>
        <w:spacing w:after="0" w:line="180" w:lineRule="exact"/>
        <w:rPr>
          <w:sz w:val="20"/>
          <w:szCs w:val="20"/>
          <w:color w:val="auto"/>
        </w:rPr>
      </w:pPr>
    </w:p>
    <w:p>
      <w:pPr>
        <w:jc w:val="both"/>
        <w:ind w:right="260" w:firstLine="47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0"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left="48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These systems are connected to and/or accessed from the Internet and, as a result, are susceptible to cyber-attacks.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material cyber-attack on our systems, or any other third-party partners or vendors and their key operating systems, may interrupt our ability to operate our business, damage our reputation, or result in monetary damages.</w:t>
      </w:r>
    </w:p>
    <w:p>
      <w:pPr>
        <w:spacing w:after="0" w:line="79"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Prelude has established an Information Security Policy ("IS Policy") in order to establish the high-level direction for properly managing the use, privacy, security, retention, and disposal of Prelude’s information and its assets. The IS Policy was prepared using relevant guidance issued and technology standards that are used across various industries. The IS policy applies to all entities who are using Prelude’s equipment and resources, including but not limited to: employees, contractors, temporary workers, any third parties with access to the Prelude's resources, and cloud IT providers. Prelude's Head of Information Technology ("IT") also serves as our Information Security Officer and is primarily responsible for implementing and overseeing the IS Policy and identifying, measuring, monitoring, and reporting on key enterprise-wide risks, including cybersecurity risks.</w:t>
      </w:r>
    </w:p>
    <w:p>
      <w:pPr>
        <w:spacing w:after="0" w:line="79" w:lineRule="exact"/>
        <w:rPr>
          <w:sz w:val="20"/>
          <w:szCs w:val="20"/>
          <w:color w:val="auto"/>
        </w:rPr>
      </w:pPr>
    </w:p>
    <w:p>
      <w:pPr>
        <w:jc w:val="both"/>
        <w:ind w:right="880" w:firstLine="479"/>
        <w:spacing w:after="0" w:line="266" w:lineRule="auto"/>
        <w:rPr>
          <w:sz w:val="20"/>
          <w:szCs w:val="20"/>
          <w:color w:val="auto"/>
        </w:rPr>
      </w:pPr>
      <w:r>
        <w:rPr>
          <w:rFonts w:ascii="Times New Roman" w:cs="Times New Roman" w:eastAsia="Times New Roman" w:hAnsi="Times New Roman"/>
          <w:sz w:val="18"/>
          <w:szCs w:val="18"/>
          <w:color w:val="auto"/>
        </w:rPr>
        <w:t>Prelude has also established an Incident Response Policy which includes reporting thresholds and follows standardized identification and authentication practices. If an incident is identified, it is documented by Prelude's Head of IT, who in turn, will report the incident to necessary management members.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Board Governance and Management</w:t>
      </w:r>
    </w:p>
    <w:p>
      <w:pPr>
        <w:spacing w:after="0" w:line="22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Prelude’s Information Security Officer provides updates on information technology risks, controls and procedure, including Prelude’s plans to mitigate cybersecurity risks and respond to data breaches to Prelude's executive leadership team. Our Information Security Officer has over 20 years of experience in information security and possesses the requisite education, skills, experience, and industry certifications expected of an individual assigned to these duties. The Chief Financial Officer and the Chief Legal Officer report to the Chair of the Audit Committee prompt and timely information regarding any significant cybersecurity incident. The significant incident will be reported to the remaining Audit Committee members, as well as ongoing updates regarding any such incident until it has been addressed. Such incidents, as warranted, will be reviewed by the Board of Directors.</w:t>
      </w:r>
    </w:p>
    <w:p>
      <w:pPr>
        <w:spacing w:after="0" w:line="187" w:lineRule="exact"/>
        <w:rPr>
          <w:sz w:val="20"/>
          <w:szCs w:val="20"/>
          <w:color w:val="auto"/>
        </w:rPr>
      </w:pPr>
    </w:p>
    <w:p>
      <w:pPr>
        <w:ind w:right="160" w:firstLine="524"/>
        <w:spacing w:after="0" w:line="258" w:lineRule="auto"/>
        <w:rPr>
          <w:sz w:val="20"/>
          <w:szCs w:val="20"/>
          <w:color w:val="auto"/>
        </w:rPr>
      </w:pPr>
      <w:r>
        <w:rPr>
          <w:rFonts w:ascii="Times New Roman" w:cs="Times New Roman" w:eastAsia="Times New Roman" w:hAnsi="Times New Roman"/>
          <w:sz w:val="18"/>
          <w:szCs w:val="18"/>
          <w:color w:val="auto"/>
        </w:rPr>
        <w:t>The Board of Directors has delegated responsibility for cybersecurity risk oversight to the Audit Committee, which is responsible for (i) regularly reviewing with management significant cybersecurity, privacy, and IT risks or exposures, and the Company’s policies and processes with respect to risk assessment and risk management of the same; (ii) regularly reviewing with management an assessment of the steps management has taken to monitor and control such risks; and (iii) regularly reporting to the full Board of Directors on such matters. The Chair of the Audit Committee has expertise in risk management which includes IT and cybersecurity.</w:t>
      </w:r>
    </w:p>
    <w:p>
      <w:pPr>
        <w:spacing w:after="0" w:line="183" w:lineRule="exact"/>
        <w:rPr>
          <w:sz w:val="20"/>
          <w:szCs w:val="20"/>
          <w:color w:val="auto"/>
        </w:rPr>
      </w:pPr>
    </w:p>
    <w:p>
      <w:pPr>
        <w:ind w:right="360" w:firstLine="479"/>
        <w:spacing w:after="0" w:line="282" w:lineRule="auto"/>
        <w:rPr>
          <w:sz w:val="20"/>
          <w:szCs w:val="20"/>
          <w:color w:val="auto"/>
        </w:rPr>
      </w:pPr>
      <w:r>
        <w:rPr>
          <w:rFonts w:ascii="Times New Roman" w:cs="Times New Roman" w:eastAsia="Times New Roman" w:hAnsi="Times New Roman"/>
          <w:sz w:val="18"/>
          <w:szCs w:val="18"/>
          <w:color w:val="auto"/>
        </w:rPr>
        <w:t>Notwithstanding the approach we take to cybersecurity, we may not be successful in preventing or mitigating a cybersecurity incident that could have a material adverse effect on us. See Item 1A. “Risk Factors” for a discussion of cybersecurity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20" w:firstLine="47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Chestnut Run Plaza in Wilmington, Delaware. The facility has approximately 81,000 square feet of office and laboratory space that we use for administrative, research and development and other activities. The Chestnut Run Lease commenced in December 2023 and has an initial term of 162 months with three five-year extension options and certain expansion rights.</w:t>
      </w:r>
    </w:p>
    <w:p>
      <w:pPr>
        <w:spacing w:after="0" w:line="6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 believe that our facilities are sufficient to meet our current needs and that suitable additional space will be available as and when needed.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left="480" w:right="1900" w:hanging="478"/>
        <w:spacing w:after="0" w:line="41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22"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("Nasdaq") under the symbol “PRLD” since September 25, 2020. Prior to that there was no public trading market for our common stock.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As of March 6, 2025, there were approximately 19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02"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did not issue or sell any unregistered securities not previously disclosed in a Quarterly Report on Form 10-Q or in a Current Report on Form 8-K.</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35"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479"/>
        <w:spacing w:after="0" w:line="254" w:lineRule="auto"/>
        <w:rPr>
          <w:sz w:val="20"/>
          <w:szCs w:val="20"/>
          <w:color w:val="auto"/>
        </w:rPr>
      </w:pPr>
      <w:r>
        <w:rPr>
          <w:rFonts w:ascii="Times New Roman" w:cs="Times New Roman" w:eastAsia="Times New Roman" w:hAnsi="Times New Roman"/>
          <w:sz w:val="18"/>
          <w:szCs w:val="18"/>
          <w:color w:val="auto"/>
        </w:rPr>
        <w:t>Prelude is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supported by our steady progress in creating a wholly-owned, internally developed pipeline. We also began work with our partner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80"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72" w:lineRule="exact"/>
        <w:rPr>
          <w:sz w:val="20"/>
          <w:szCs w:val="20"/>
          <w:color w:val="auto"/>
        </w:rPr>
      </w:pPr>
    </w:p>
    <w:p>
      <w:pPr>
        <w:ind w:right="760" w:firstLine="479"/>
        <w:spacing w:after="0" w:line="282"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w:t>
      </w:r>
    </w:p>
    <w:p>
      <w:pPr>
        <w:spacing w:after="0" w:line="54"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Our novel, first-in-class SMARCA2 degrader compounds represent our best opportunities for demonstrating clinical proof-of-concept in 2025 and advancing into potential Phase 2/3 registration studies. In 2023, we announced a global partnership with AbCellera Biologics Incorporated ("AbCellera") that will allow us to combine our small molecules and degraders expertise with their antibody expertise to develop precision antibody drug conjugates. We also intend to explore continued clinical development with external partners for our CDK4/6 inhibitor.</w:t>
      </w:r>
    </w:p>
    <w:p>
      <w:pPr>
        <w:spacing w:after="0" w:line="72" w:lineRule="exact"/>
        <w:rPr>
          <w:sz w:val="20"/>
          <w:szCs w:val="20"/>
          <w:color w:val="auto"/>
        </w:rPr>
      </w:pPr>
    </w:p>
    <w:p>
      <w:pPr>
        <w:ind w:right="220" w:firstLine="524"/>
        <w:spacing w:after="0" w:line="256"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in preclinical models. PRT3789 has been shown to be efficacious and well tolerated in multiple preclinical models of SMARCA4 deleted/mutated cancers as monotherapy and in combination with standards of care therapies. We believe a selective SMARCA2 degrader has the potential to be of benefit in up to 10% of non-small cell lung cancer ("NSCLC") patients in the United States including many other tumor types with the SMARCA4 mutation.</w:t>
      </w:r>
    </w:p>
    <w:p>
      <w:pPr>
        <w:spacing w:after="0" w:line="79" w:lineRule="exact"/>
        <w:rPr>
          <w:sz w:val="20"/>
          <w:szCs w:val="20"/>
          <w:color w:val="auto"/>
        </w:rPr>
      </w:pPr>
    </w:p>
    <w:p>
      <w:pPr>
        <w:jc w:val="both"/>
        <w:ind w:right="40" w:firstLine="479"/>
        <w:spacing w:after="0" w:line="266" w:lineRule="auto"/>
        <w:rPr>
          <w:sz w:val="20"/>
          <w:szCs w:val="20"/>
          <w:color w:val="auto"/>
        </w:rPr>
      </w:pPr>
      <w:r>
        <w:rPr>
          <w:rFonts w:ascii="Times New Roman" w:cs="Times New Roman" w:eastAsia="Times New Roman" w:hAnsi="Times New Roman"/>
          <w:sz w:val="18"/>
          <w:szCs w:val="18"/>
          <w:color w:val="auto"/>
        </w:rPr>
        <w:t>Patients with SMARCA4 mutated cancer have a poor prognosis. We believe this represents an area of high unmet medical need. Therefore, mutated or deleted SMARCA4 cancers provide a potential biomarker to select those patients most likely to respond to treatment with a highly selective SMARCA2 degrader.</w:t>
      </w:r>
    </w:p>
    <w:p>
      <w:pPr>
        <w:spacing w:after="0" w:line="68"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PRT3789 is currently in Phase 1 clinical development in patients with biomarker selected SMARCA4 mutated cancers. Objectives for this first Phase 1 clinical trial are to establish the safety and tolerability profile of PRT3789 as both monotherapy and in combination with docetaxel, evaluate activity, pharmacokinetics and pharmacodynamics and determine a dose and potential indications for advancement into a future trial. We presented Phase 1 trial data updates at the 2025 Japanese Society of Medical Oncology Annual Meeting on March 8, 2025. As reported by investigators, PRT3789 was generally safe and well-tolerated at doses tested to date. Of the 32 advanced NSCLC, esophageal or gastric patients in monotherapy with Class 1 (loss of function) mutations who were evaluable for efficacy as of the November 30, 2024 data cutoff, RECIST confirmed partial responses (PRs) were observed in 5 patients (2 esophageal, 2 NSCLC, 1 gastric). Of the 13 patients with Class 1 mutations treated at doses of 283 mg or higher, three had RECIST confirmed partial responses (2 NSCLC, 1 gastric). Tumor shrinkage was observed in patients with both Class 1 and Class 2 SMARCA4 mutations.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3" w:name="page84"/>
    <w:bookmarkEnd w:id="83"/>
    <w:p>
      <w:pPr>
        <w:ind w:right="80"/>
        <w:spacing w:after="0" w:line="282" w:lineRule="auto"/>
        <w:rPr>
          <w:sz w:val="20"/>
          <w:szCs w:val="20"/>
          <w:color w:val="auto"/>
        </w:rPr>
      </w:pPr>
      <w:r>
        <w:rPr>
          <w:rFonts w:ascii="Times New Roman" w:cs="Times New Roman" w:eastAsia="Times New Roman" w:hAnsi="Times New Roman"/>
          <w:sz w:val="18"/>
          <w:szCs w:val="18"/>
          <w:color w:val="auto"/>
        </w:rPr>
        <w:t>Additional patients on-study demonstrated clinical benefit as measured by prolonged SD, including one advanced NSCLC patient on study for more than a year.</w:t>
      </w:r>
    </w:p>
    <w:p>
      <w:pPr>
        <w:spacing w:after="0" w:line="54" w:lineRule="exact"/>
        <w:rPr>
          <w:sz w:val="20"/>
          <w:szCs w:val="20"/>
          <w:color w:val="auto"/>
        </w:rPr>
      </w:pPr>
    </w:p>
    <w:p>
      <w:pPr>
        <w:ind w:right="760" w:firstLine="479"/>
        <w:spacing w:after="0" w:line="282" w:lineRule="auto"/>
        <w:rPr>
          <w:sz w:val="20"/>
          <w:szCs w:val="20"/>
          <w:color w:val="auto"/>
        </w:rPr>
      </w:pPr>
      <w:r>
        <w:rPr>
          <w:rFonts w:ascii="Times New Roman" w:cs="Times New Roman" w:eastAsia="Times New Roman" w:hAnsi="Times New Roman"/>
          <w:sz w:val="18"/>
          <w:szCs w:val="18"/>
          <w:color w:val="auto"/>
        </w:rPr>
        <w:t>Initial observations of safety from evaluable patients in the PRT3789 plus docetaxel combination dose escalation arm of the trial were also presented. To date, PRT3789 in combination with docetaxel has demonstrated an acceptable safety profile.</w:t>
      </w:r>
    </w:p>
    <w:p>
      <w:pPr>
        <w:spacing w:after="0" w:line="54"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The Company is nearing conclusion of monotherapy dose escalation, which is now at the 665mg once weekly IV dose and identifying dose(s) for advancement to any potential future trials. In addition, enrollment of patients in dose escalation in the combination of PRT3789 with docetaxel is ongoing.</w:t>
      </w:r>
    </w:p>
    <w:p>
      <w:pPr>
        <w:spacing w:after="0" w:line="54" w:lineRule="exact"/>
        <w:rPr>
          <w:sz w:val="20"/>
          <w:szCs w:val="20"/>
          <w:color w:val="auto"/>
        </w:rPr>
      </w:pPr>
    </w:p>
    <w:p>
      <w:pPr>
        <w:ind w:right="100" w:firstLine="479"/>
        <w:spacing w:after="0" w:line="254" w:lineRule="auto"/>
        <w:rPr>
          <w:sz w:val="20"/>
          <w:szCs w:val="20"/>
          <w:color w:val="auto"/>
        </w:rPr>
      </w:pPr>
      <w:r>
        <w:rPr>
          <w:rFonts w:ascii="Times New Roman" w:cs="Times New Roman" w:eastAsia="Times New Roman" w:hAnsi="Times New Roman"/>
          <w:sz w:val="18"/>
          <w:szCs w:val="18"/>
          <w:color w:val="auto"/>
        </w:rPr>
        <w:t>The Company also initiated a Phase 2 clinical trial evaluating PRT3789 in combination with KEYTRUDA (pembrolizumab) in patients with SMARCA4-mutated cancers, per the previously announced collaboration with Merck &amp; Co., Inc. PRT3789 has been shown to increase antigen processing and presentation of unique MHC class I peptides, and increased T-cell activity and IFN-γ production in SMARCA4-mutated cancer cells. SMARCA2 degradation by PRT3789 promoted the effects of anti-PD1 therapy in SMARCA4-deficient mouse models, and PRT3789 combined with pembrolizumab, promoted cell death of SMARCA4-deficient NSCLC cells. While inhibitors targeting the PD-1/PD-L1 axis have shown clinical activity across a broad range of tumor types, some patients demonstrated an inadequate response and disease progression consistent with the natural disease course that may be tied to innate resistance mechanisms. Other patients progressed after a period of disease control, which may be associated with acquired resistance mechanisms. It is believed that PRT3789 plus pembrolizumab may re-sensitize resistant cancers to subsequent anti–PD(L)-1 therapy.</w:t>
      </w:r>
    </w:p>
    <w:p>
      <w:pPr>
        <w:spacing w:after="0" w:line="84" w:lineRule="exact"/>
        <w:rPr>
          <w:sz w:val="20"/>
          <w:szCs w:val="20"/>
          <w:color w:val="auto"/>
        </w:rPr>
      </w:pPr>
    </w:p>
    <w:p>
      <w:pPr>
        <w:ind w:right="140" w:firstLine="479"/>
        <w:spacing w:after="0" w:line="258" w:lineRule="auto"/>
        <w:rPr>
          <w:sz w:val="20"/>
          <w:szCs w:val="20"/>
          <w:color w:val="auto"/>
        </w:rPr>
      </w:pPr>
      <w:r>
        <w:rPr>
          <w:rFonts w:ascii="Times New Roman" w:cs="Times New Roman" w:eastAsia="Times New Roman" w:hAnsi="Times New Roman"/>
          <w:sz w:val="18"/>
          <w:szCs w:val="18"/>
          <w:color w:val="auto"/>
        </w:rPr>
        <w:t>Our discovery team has identified a series of potent, selective and orally bioavailable SMARCA2 degraders. In July 2024, we received IND clearance for the lead oral molecule, PRT7732. PRT7732 is &gt;1000-fold selective for SMARCA2 vs. SMARCA4 and demonstrates robust activity in SMARCA4 deficient cancer models both as monotherapy and in combination with docetaxel at well-tolerated doses. PRT7732 demonstrates good oral bioavailability and half suitable for once daily oral dosing. The Company initiated and enrolled our first patients in a phase 1 multi-dose escalation trial of PRT7732 (NCT06560645) in biomarker selected SMARCA4 mutated cancers.</w:t>
      </w:r>
    </w:p>
    <w:p>
      <w:pPr>
        <w:spacing w:after="0" w:line="75"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As one of our first precision ADC programs we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we and AbCellera will jointly discover, develop, and commercialize products emerging from the collaboration. AbCellera will lead manufacturing activities and we will lead clinical development and global commercialization, subject to AbCellera’s option to co-promote any resulting commercial products in the United States.</w:t>
      </w:r>
    </w:p>
    <w:p>
      <w:pPr>
        <w:spacing w:after="0" w:line="81"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Outside of the AbCellera collaboration, the Company has discovered and optimized a number of pre-clinical precision payloads. We disclosed first data at the 36th EORTC-NCI-AACR Symposium describing preclinical proof-of-concept using a novel, potent SMARCA2/4 dual degrader as a “Precision Payload” conjugated to multiple antibodies. Prelude’s SMARCA2/4 dual degraders have shown picomolar potency with potential for increased efficacy, selectivity and improved therapeutic index. Precision ADCs have potential to expand the reach of SMARCA degrader technology to cancers without SMARCA4 mutations.</w:t>
      </w:r>
    </w:p>
    <w:p>
      <w:pPr>
        <w:spacing w:after="0" w:line="75"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Our CDK9 candidate, PRT2527, is a potent and highly selective CDK9 inhibitor that has the potential to avoid off-target toxicities observed with other less selective CDK9 inhibitors. The Company presented interim phase 1 results of the dose-escalation study as part of a poster session at the 66th American Society of Hematology Annual Meeting (ASH) in the fourth quarter of 2024. PRT2527 demonstrated activity across a range of relapsed/refractory lymphoid malignancies, including patients who received prior CAR-T therapy. The Company also announced that it intends to seek a partner for any future continued advancement of PRT2527, as a result of the Company’s strategic focus on the SMARCA2 degrader development program.</w:t>
      </w:r>
    </w:p>
    <w:p>
      <w:pPr>
        <w:spacing w:after="0" w:line="75"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funded our operations primarily through the sale of convertible preferred stock and common stock. Our primary use of cash is to fund operating expenses, which consist primarily of research and development expenditures, and to a lesser extent, general and administrative expenditures.</w:t>
      </w:r>
    </w:p>
    <w:p>
      <w:pPr>
        <w:spacing w:after="0" w:line="72"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We have incurred recurring losses, the majority of which are attributable to research and development activities, and negative cash flows from operations. Our net loss was $127.2 million and $121.8 million for the years ended December 31, 2024 and 2023, respectively. As of December 31, 2024, we had an accumulated deficit of $583.6 million. Our ability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120"/>
        <w:spacing w:after="0" w:line="256" w:lineRule="auto"/>
        <w:rPr>
          <w:sz w:val="20"/>
          <w:szCs w:val="20"/>
          <w:color w:val="auto"/>
        </w:rPr>
      </w:pPr>
      <w:r>
        <w:rPr>
          <w:rFonts w:ascii="Times New Roman" w:cs="Times New Roman" w:eastAsia="Times New Roman" w:hAnsi="Times New Roman"/>
          <w:sz w:val="18"/>
          <w:szCs w:val="18"/>
          <w:color w:val="auto"/>
        </w:rPr>
        <w:t>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 significantly from quarter-to-quarter and year-to-year, depending on the timing of our clinical trials and our expenditures on other research and development activities.</w:t>
      </w:r>
    </w:p>
    <w:p>
      <w:pPr>
        <w:spacing w:after="0" w:line="79" w:lineRule="exact"/>
        <w:rPr>
          <w:sz w:val="20"/>
          <w:szCs w:val="20"/>
          <w:color w:val="auto"/>
        </w:rPr>
      </w:pPr>
    </w:p>
    <w:p>
      <w:pPr>
        <w:ind w:right="40" w:firstLine="479"/>
        <w:spacing w:after="0" w:line="282" w:lineRule="auto"/>
        <w:rPr>
          <w:sz w:val="20"/>
          <w:szCs w:val="20"/>
          <w:color w:val="auto"/>
        </w:rPr>
      </w:pPr>
      <w:r>
        <w:rPr>
          <w:rFonts w:ascii="Times New Roman" w:cs="Times New Roman" w:eastAsia="Times New Roman" w:hAnsi="Times New Roman"/>
          <w:sz w:val="18"/>
          <w:szCs w:val="18"/>
          <w:color w:val="auto"/>
        </w:rPr>
        <w:t>As of December 31, 2024, we had $133.6 million in cash, cash equivalents, and marketable securities. We expect our existing cash, cash equivalents and marketable securities will enable us to fund our operating expense and capital expenditures into the second quarter of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40" w:firstLine="478"/>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6"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included a near term $4.0 million payment upon the earlier of 180 days following the effective date of the license agreement or the execution of a quality agreement between the parties pursuant to which the Company will transfer title to certain quantities of Active Pharmaceutical 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189" w:lineRule="exact"/>
        <w:rPr>
          <w:sz w:val="20"/>
          <w:szCs w:val="20"/>
          <w:color w:val="auto"/>
        </w:rPr>
      </w:pPr>
    </w:p>
    <w:p>
      <w:pPr>
        <w:ind w:right="280" w:firstLine="523"/>
        <w:spacing w:after="0" w:line="258" w:lineRule="auto"/>
        <w:rPr>
          <w:sz w:val="20"/>
          <w:szCs w:val="20"/>
          <w:color w:val="auto"/>
        </w:rPr>
      </w:pPr>
      <w:r>
        <w:rPr>
          <w:rFonts w:ascii="Times New Roman" w:cs="Times New Roman" w:eastAsia="Times New Roman" w:hAnsi="Times New Roman"/>
          <w:sz w:val="18"/>
          <w:szCs w:val="18"/>
          <w:color w:val="auto"/>
        </w:rPr>
        <w:t>The Company assessed the license agreement with Pathos in accordance with ASC Topic 606, Revenue from Contracts with Customers, and concluded that Pathos is a customer. The Company evaluated all of the promised goods or services within the contract and determined which goods and services were separate performance obligations. The Company determined that the exclusive license and transfer of related know-how and materials represents one combined performance obligation. The execution of a quality agreement pursuant to which the Company will transfer title to certain API was identified as a separate performance obligation.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year ended December 31, 2024, the Company satisfied both performance obligations identified and recognized revenue of $7.0 million.</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hanging="47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40" w:hanging="47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60" w:hanging="47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5" w:name="page86"/>
    <w:bookmarkEnd w:id="85"/>
    <w:p>
      <w:pPr>
        <w:ind w:left="960" w:right="20" w:hanging="47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over the next several years related to personnel costs, including stock-based compensation, our clinical trials, including later-stage clinical trials, for current and future product candidates and regulatory filings for our product candidates.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160" w:firstLine="478"/>
        <w:spacing w:after="0" w:line="256"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 in the future to support our continued research and development activities and potential commercialization efforts. These expenses will likely include costs related to personnel and fees to outside consultants and legal support,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20" w:firstLine="478"/>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research and development tax credits, and grant income received from the State of Delaware. We anticipate re-applying for the grant from the State of Delaware from time to time as long as we maintain qualifying headcount levels in the State of Delaware.</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10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license agreement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146,714</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132,277</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(139,714 )</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(132,277 )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(7,437 )</w:t>
            </w: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(127,173 )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(121,832 )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(5,341 )</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-599440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Revenue for the year ended December 31, 2024 related solely to our license agreement. In 2024, we satisfied both performance obligations related to the exclusive license and transfer of related know-how and materials and transferred title to certain API which resulted in the recognition of revenue for $7.0 million.</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$14.6 million to $118.0 million for the year ended December 31, 2024 from $103.4 million for the year ended December 31, 2023. Included in research and development expenses for the year ended December 31, 2024, was $12.1 million of non-cash expense related to stock-based compensation expense, including employee stock options, compared to $12.6 million for the year ended December 31, 2023. Research and development expenses increased due to a higher number of patients enrolled in clinical trials during 2024 driving an increase in related costs, such as chemistry, manufacturing and controls (“CMC”) expense, to support the trials. Research and development expenses may fluctuate from period to period depending upon the stage of certain projects and the level of preclinical and clinical trial-related activities.</w:t>
      </w:r>
    </w:p>
    <w:p>
      <w:pPr>
        <w:spacing w:after="0" w:line="79" w:lineRule="exact"/>
        <w:rPr>
          <w:sz w:val="20"/>
          <w:szCs w:val="20"/>
          <w:color w:val="auto"/>
        </w:rPr>
      </w:pPr>
    </w:p>
    <w:p>
      <w:pPr>
        <w:ind w:right="660" w:firstLine="47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PRT7732</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117,995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20" w:firstLine="47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$0.2 million to $28.7 million for the year ended December 31, 2024 from $28.9 million for the year ended December 31, 2023. Included in the general and administrative expenses for the year ended December 31, 2024 was $9.2 million of non-cash expense related to stock-based compensation expense, including employee stock options, as compared to $13.0 million for the same period in 2023. The decrease in general and administrative expense was primarily due to a decrease in stock-based compensation, offset by an increase in professional fees incurred to support our research and development efforts.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20" w:firstLine="478"/>
        <w:spacing w:after="0" w:line="266" w:lineRule="auto"/>
        <w:rPr>
          <w:sz w:val="20"/>
          <w:szCs w:val="20"/>
          <w:color w:val="auto"/>
        </w:rPr>
      </w:pPr>
      <w:r>
        <w:rPr>
          <w:rFonts w:ascii="Times New Roman" w:cs="Times New Roman" w:eastAsia="Times New Roman" w:hAnsi="Times New Roman"/>
          <w:sz w:val="18"/>
          <w:szCs w:val="18"/>
          <w:color w:val="auto"/>
        </w:rPr>
        <w:t>Other income, net increased by $2.1 million to $12.5 million for the year ended December 31, 2024 from $10.4 million for the year ended December 31, 2023, primarily due to the receipt and recognition of research and development tax credits from the State of Delaware of $2.4 million in 2024 compared to $1.3 million in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20" w:firstLine="478"/>
        <w:spacing w:after="0" w:line="258" w:lineRule="auto"/>
        <w:rPr>
          <w:sz w:val="20"/>
          <w:szCs w:val="20"/>
          <w:color w:val="auto"/>
        </w:rPr>
      </w:pPr>
      <w:r>
        <w:rPr>
          <w:rFonts w:ascii="Times New Roman" w:cs="Times New Roman" w:eastAsia="Times New Roman" w:hAnsi="Times New Roman"/>
          <w:sz w:val="18"/>
          <w:szCs w:val="18"/>
          <w:color w:val="auto"/>
        </w:rPr>
        <w:t>Since our inception, we have not recognized any product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December 31, 2024, we had $133.6 million in cash, cash equivalents, and marketable securities and had an accumulated deficit of $583.6 million. We expect our existing cash, cash equivalents, and marketable securities will enable us to fund our operating expense and capital expenditures into the second quarter of 2026.</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second quarter of 2023, we sold 6,761,200 shares of common stock which comprised of (i) 5,312,978 shares of voting common stock and</w:t>
      </w:r>
    </w:p>
    <w:p>
      <w:pPr>
        <w:spacing w:after="0" w:line="27" w:lineRule="exact"/>
        <w:rPr>
          <w:sz w:val="20"/>
          <w:szCs w:val="20"/>
          <w:color w:val="auto"/>
        </w:rPr>
      </w:pPr>
    </w:p>
    <w:p>
      <w:pPr>
        <w:ind w:firstLine="8"/>
        <w:spacing w:after="0" w:line="253"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1,448,222 shares of non-voting common stock at a price of $5.75 per share and to certain investors in lieu of common stock, we sold pre-funded warrants to purchase 12,895,256 shares of voting common stock at a price of $5.7499 per pre-funded warrant, resulting in gross proceeds of $113.0 million. We incurred offering costs of $2.6 million which resulted in net proceeds of $110.4 million. The purchase price per share of each pre-funded warrant represents the per share offering price for the common stock, minus the $0.0001 per share exercise price of such pre-funded warrant. Of the voting common stock sold, 2,264,456 were purchased by our underwriters in connection with a 30-day option at a price of $5.75 per share.</w:t>
      </w:r>
    </w:p>
    <w:p>
      <w:pPr>
        <w:spacing w:after="0" w:line="79" w:lineRule="exact"/>
        <w:rPr>
          <w:sz w:val="20"/>
          <w:szCs w:val="20"/>
          <w:color w:val="auto"/>
        </w:rPr>
      </w:pPr>
    </w:p>
    <w:p>
      <w:pPr>
        <w:ind w:right="320" w:firstLine="47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we sold in a private placement pre-funded warrants to purchase 7,936,759 shares of voting common stock at a price of $3.1499 per pre-funded warrant, resulting in net proceeds of $24.8 million after deducting offering costs of $0.2 million.</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68"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9"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60" w:hanging="47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60" w:hanging="47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88" w:name="page89"/>
    <w:bookmarkEnd w:id="88"/>
    <w:p>
      <w:pPr>
        <w:ind w:left="960" w:hanging="47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20" w:hanging="474"/>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8"/>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$400.0 million. The 2024 Shelf Registration statement was declared effective on June 10, 2024. As of December 31, 2024, there was $400.0 million remaining under the 2024 Shelf Registration Statement.</w:t>
      </w:r>
    </w:p>
    <w:p>
      <w:pPr>
        <w:spacing w:after="0" w:line="288"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our 2021 Shelf Registration Statement, we entered into an Open Market Sales Agreement (the "Sales Agreement") with Jefferies LLC, as the sales agent, pursuant to which we may offer and sell shares of our common stock having an aggregate offering amount of up to $75.0 million. We will pay Jefferies LLC a commission rate of up to 3.0% of the aggregate gross proceeds from the sale of any shares of common stock pursuant to the Sales Agreement. In November 2024, the 2021 Shelf Registration Statement expired with respect to the shares to be sold under the Sales Agreement. Accordingly, we expect to file a prospectus supplement to the 2024 Shelf Registration Statement in order to continue to allow us to access the Sales Agreement. We have $75.0 million remaining under the Sales Agreement as of December 31, 2024.</w:t>
      </w:r>
    </w:p>
    <w:p>
      <w:pPr>
        <w:spacing w:after="0" w:line="187"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31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(102,888 )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(107,063 )</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(34,646 )</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(12,817 )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(5,314 )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12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used $102.9 million of cash in operating activities. Cash used in operating activities reflected our net loss of $127.2 million offset by noncash charges of $20.1 million, which consisted primarily of $21.3 million in stock-based compensation, along with a $4.2 million net decrease in our operating assets and liabilities. The primary use of cash was to fund our operations related to the development of our product candidates.</w:t>
      </w:r>
    </w:p>
    <w:p>
      <w:pPr>
        <w:spacing w:after="0" w:line="72"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used $107.1 million of cash in operating activities. Cash used in operating activities reflected our net loss of $121.8 million along with a $10.5 million net increase in our operating assets and liabilities offset by noncash charges of $25.2 million, which consisted primarily of $25.6 million in stock-based compensation. The primary use of cash was to fund our operations related to the development of our product candidates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investing activities of $90.2 million consisted primarily of $143.6 million in proceeds from maturities of marketable securities, partially offset by $52.7 million in purchases of marketable securities. During the year ended December 31, 2023 we used $34.6 million of cash in investing activities primarily due to net purchases of marketable securities of $31.1 million.</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0" w:firstLine="47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used by financing activities was primarily for principal payments on our finance lease and the payment of offering costs related to the shelf registration statement, partially offset by proceeds received from the issuance of common stock under the employee stock purchase plan. During the year ended December 31, 2023, financing activities provided cash of $136.4 million which was primarily the result of $135.7 million in proceeds received from the sale of common stock and pre-funded warrants, net of issuance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have one operating lease for office and lab space. Our leased facility includes approximately 81,000 rentable square feet and has approximately 12 years remaining along with three five-year extension options and certain expansion rights. The gross obligation for our operating lease over the next twelve months is $2.7 million, and we expect to make total lease payments of $38.7 million from January 2025 through May 2037. See Note 8 to our financial statements included elsewhere in this Annual Report on Form 10-K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periods. On an ongoing basis, management evaluates its estimates and judgments.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regard an accounting estimate or assumption underlying our financial statements as a “critical accounting estimate” if:</w:t>
      </w:r>
    </w:p>
    <w:p>
      <w:pPr>
        <w:spacing w:after="0" w:line="117" w:lineRule="exact"/>
        <w:rPr>
          <w:sz w:val="20"/>
          <w:szCs w:val="20"/>
          <w:color w:val="auto"/>
        </w:rPr>
      </w:pPr>
    </w:p>
    <w:p>
      <w:pPr>
        <w:ind w:left="1020" w:right="2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estimate or assumption is material due to the level of subjectivity and judgment necessary to account for highly uncertain matters or the susceptibility of such matters to change;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estimates and assumptions on financial condition or operating performance is material.</w:t>
      </w:r>
    </w:p>
    <w:p>
      <w:pPr>
        <w:spacing w:after="0" w:line="225" w:lineRule="exact"/>
        <w:rPr>
          <w:sz w:val="20"/>
          <w:szCs w:val="20"/>
          <w:color w:val="auto"/>
        </w:rPr>
      </w:pPr>
    </w:p>
    <w:p>
      <w:pPr>
        <w:ind w:right="440" w:firstLine="478"/>
        <w:spacing w:after="0" w:line="28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3 (Summary of Significant Accounting Policies) to our audited financial statements included elsewhere in this Annual Report on Form 10-K, we believe the following accounting policies are the most critical to the judgments and estimates used in the preparation of our financial statements.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90" w:name="page91"/>
    <w:bookmarkEnd w:id="90"/>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The Company recognizes revenue under Accounting Standard Codification 606 – Revenue from Contracts with Customers. Under ASC 606, we recognize revenue when our customer obtains control of promised goods or services, in an amount that reflects the consideration which we expect to receive in exchange for those goods or services. Our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75" w:lineRule="exact"/>
        <w:rPr>
          <w:sz w:val="20"/>
          <w:szCs w:val="20"/>
          <w:color w:val="auto"/>
        </w:rPr>
      </w:pPr>
    </w:p>
    <w:p>
      <w:pPr>
        <w:ind w:right="280" w:firstLine="478"/>
        <w:spacing w:after="0" w:line="261" w:lineRule="auto"/>
        <w:rPr>
          <w:sz w:val="20"/>
          <w:szCs w:val="20"/>
          <w:color w:val="auto"/>
        </w:rPr>
      </w:pPr>
      <w:r>
        <w:rPr>
          <w:rFonts w:ascii="Times New Roman" w:cs="Times New Roman" w:eastAsia="Times New Roman" w:hAnsi="Times New Roman"/>
          <w:sz w:val="18"/>
          <w:szCs w:val="18"/>
          <w:color w:val="auto"/>
        </w:rPr>
        <w:t>We apply significant judgment when we determine which goods and services are separate performance obligations, allocate the transaction price, and determine when a performance obligation has been satisfied. We recognize as revenue the amount of the transaction price that is allocated to the respective performance obligations when (or as) the performance obligations are satisfied. We recognize a liability when we have received payment but have not yet satisfied the related performance obligations.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40" w:firstLine="47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We expense research and development costs as incurred.</w:t>
      </w:r>
    </w:p>
    <w:p>
      <w:pPr>
        <w:spacing w:after="0" w:line="162"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We accrue an expense for preclinical studies and clinical trial activities performed by our CROs and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3" w:lineRule="exact"/>
        <w:rPr>
          <w:sz w:val="20"/>
          <w:szCs w:val="20"/>
          <w:color w:val="auto"/>
        </w:rPr>
      </w:pPr>
    </w:p>
    <w:p>
      <w:pPr>
        <w:ind w:right="40" w:firstLine="478"/>
        <w:spacing w:after="0" w:line="258"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35" w:lineRule="exact"/>
        <w:rPr>
          <w:sz w:val="20"/>
          <w:szCs w:val="20"/>
          <w:color w:val="auto"/>
        </w:rPr>
      </w:pPr>
    </w:p>
    <w:p>
      <w:pPr>
        <w:ind w:right="200" w:firstLine="478"/>
        <w:spacing w:after="0" w:line="261" w:lineRule="auto"/>
        <w:rPr>
          <w:sz w:val="20"/>
          <w:szCs w:val="20"/>
          <w:color w:val="auto"/>
        </w:rPr>
      </w:pPr>
      <w:r>
        <w:rPr>
          <w:rFonts w:ascii="Times New Roman" w:cs="Times New Roman" w:eastAsia="Times New Roman" w:hAnsi="Times New Roman"/>
          <w:sz w:val="18"/>
          <w:szCs w:val="18"/>
          <w:color w:val="auto"/>
        </w:rPr>
        <w:t>We recognize compensation costs related to share-based awards granted to employees and directors, including stock options and vesting restricted stock, based on the estimated fair value of the awards on the date of grant. We estimate the grant date fair value of stock options, and the resulting stock-based compensation, using the Black-Scholes option-pricing model. The grant date fair value of the stock-based awards is recognized on a straight-line basis over the requisite service period, which is generally the vesting period of the respective awards.</w:t>
      </w:r>
    </w:p>
    <w:p>
      <w:pPr>
        <w:spacing w:after="0" w:line="180" w:lineRule="exact"/>
        <w:rPr>
          <w:sz w:val="20"/>
          <w:szCs w:val="20"/>
          <w:color w:val="auto"/>
        </w:rPr>
      </w:pPr>
    </w:p>
    <w:p>
      <w:pPr>
        <w:ind w:right="140" w:firstLine="478"/>
        <w:spacing w:after="0" w:line="258"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which requires assumptions, including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subjective assumptions are estimated as follows:</w:t>
      </w:r>
    </w:p>
    <w:p>
      <w:pPr>
        <w:spacing w:after="0" w:line="223"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—Prior to becoming a public company in 2020, we did not have any trading history for our common stock; accordingly,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volatility was estimated based on the average volatility for comparable publicly traded biotechnology companies over a period equal to the expected term of the stock option grants. The comparable companies were chosen based on their similar size, stage in the life cycle or area of specialty. As a public company we have computed the historical volatility of our own stock price and will continue to use the average volatility for comparable publicly traded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biotechnology companies until we have ample trading history of our own stock commensurate with the estimated expected term of our options.</w:t>
      </w:r>
    </w:p>
    <w:p>
      <w:pPr>
        <w:spacing w:after="0" w:line="223" w:lineRule="exact"/>
        <w:rPr>
          <w:sz w:val="20"/>
          <w:szCs w:val="20"/>
          <w:color w:val="auto"/>
        </w:rPr>
      </w:pPr>
    </w:p>
    <w:p>
      <w:pPr>
        <w:jc w:val="both"/>
        <w:ind w:right="360"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 The expected term represents the period that stock-based awards are expected to be outstanding. The expected term for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is determined using the simplified method. The simplified method deems the expected term to be the midpoint between the vesting date and the contractual life of the stock-based awards.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 Emerging Growth Company and Smaller Reporting Company Status</w:t>
      </w:r>
    </w:p>
    <w:p>
      <w:pPr>
        <w:spacing w:after="0" w:line="121"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w:t>
      </w:r>
    </w:p>
    <w:p>
      <w:pPr>
        <w:spacing w:after="0" w:line="187" w:lineRule="exact"/>
        <w:rPr>
          <w:sz w:val="20"/>
          <w:szCs w:val="20"/>
          <w:color w:val="auto"/>
        </w:rPr>
      </w:pPr>
    </w:p>
    <w:p>
      <w:pPr>
        <w:ind w:right="40" w:firstLine="479"/>
        <w:spacing w:after="0" w:line="239"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in which we have total annual gross revenues of at least $1.235 billion, or (b) in which we are deemed to be a large accelerated filer, which means the market value of our common stock that is held by non-affiliates exceeds $700.0 million as of the prior June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 the date on which we have issued more than $1.0 billion in non-convertible debt securities during the prior three-year period and (3) December 31, 2025.</w:t>
      </w:r>
    </w:p>
    <w:p>
      <w:pPr>
        <w:spacing w:after="0" w:line="200" w:lineRule="exact"/>
        <w:rPr>
          <w:sz w:val="20"/>
          <w:szCs w:val="20"/>
          <w:color w:val="auto"/>
        </w:rPr>
      </w:pPr>
    </w:p>
    <w:p>
      <w:pPr>
        <w:ind w:right="220" w:firstLine="478"/>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180" w:firstLine="479"/>
        <w:spacing w:after="0" w:line="282" w:lineRule="auto"/>
        <w:rPr>
          <w:sz w:val="20"/>
          <w:szCs w:val="20"/>
          <w:color w:val="auto"/>
        </w:rPr>
      </w:pPr>
      <w:r>
        <w:rPr>
          <w:rFonts w:ascii="Times New Roman" w:cs="Times New Roman" w:eastAsia="Times New Roman" w:hAnsi="Times New Roman"/>
          <w:sz w:val="18"/>
          <w:szCs w:val="18"/>
          <w:color w:val="auto"/>
        </w:rPr>
        <w:t>See Note 3 to our financial statements included elsewhere in this Annual Report on Form 10-K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4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9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9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18"/>
        </w:trPr>
        <w:tc>
          <w:tcPr>
            <w:tcW w:w="20" w:type="dxa"/>
            <w:vAlign w:val="bottom"/>
            <w:tcBorders>
              <w:top w:val="single" w:sz="8" w:color="0000EE"/>
              <w:bottom w:val="single" w:sz="8" w:color="0000EE"/>
            </w:tcBorders>
          </w:tcPr>
          <w:p>
            <w:pPr>
              <w:spacing w:after="0"/>
              <w:rPr>
                <w:sz w:val="24"/>
                <w:szCs w:val="24"/>
                <w:color w:val="auto"/>
              </w:rPr>
            </w:pPr>
          </w:p>
        </w:tc>
        <w:tc>
          <w:tcPr>
            <w:tcW w:w="3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Balance Sheets as of December 31, 2024 and 2023</w:t>
            </w:r>
          </w:p>
        </w:tc>
        <w:tc>
          <w:tcPr>
            <w:tcW w:w="20" w:type="dxa"/>
            <w:vAlign w:val="bottom"/>
            <w:tcBorders>
              <w:top w:val="single" w:sz="8" w:color="0000FF"/>
              <w:bottom w:val="single" w:sz="8" w:color="0000EE"/>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2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18"/>
        </w:trPr>
        <w:tc>
          <w:tcPr>
            <w:tcW w:w="20" w:type="dxa"/>
            <w:vAlign w:val="bottom"/>
            <w:tcBorders>
              <w:bottom w:val="single" w:sz="8" w:color="0000EE"/>
            </w:tcBorders>
          </w:tcPr>
          <w:p>
            <w:pPr>
              <w:spacing w:after="0"/>
              <w:rPr>
                <w:sz w:val="24"/>
                <w:szCs w:val="24"/>
                <w:color w:val="auto"/>
              </w:rPr>
            </w:pPr>
          </w:p>
        </w:tc>
        <w:tc>
          <w:tcPr>
            <w:tcW w:w="7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2024 and 2023</w:t>
            </w:r>
          </w:p>
        </w:tc>
        <w:tc>
          <w:tcPr>
            <w:tcW w:w="19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18"/>
        </w:trPr>
        <w:tc>
          <w:tcPr>
            <w:tcW w:w="20" w:type="dxa"/>
            <w:vAlign w:val="bottom"/>
            <w:tcBorders>
              <w:bottom w:val="single" w:sz="8" w:color="0000EE"/>
            </w:tcBorders>
          </w:tcPr>
          <w:p>
            <w:pPr>
              <w:spacing w:after="0"/>
              <w:rPr>
                <w:sz w:val="24"/>
                <w:szCs w:val="24"/>
                <w:color w:val="auto"/>
              </w:rPr>
            </w:pPr>
          </w:p>
        </w:tc>
        <w:tc>
          <w:tcPr>
            <w:tcW w:w="7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Changes in Stockholders’ Equity for the Years ended December 31, 2024 and 2023</w:t>
            </w:r>
          </w:p>
        </w:tc>
        <w:tc>
          <w:tcPr>
            <w:tcW w:w="2200" w:type="dxa"/>
            <w:vAlign w:val="bottom"/>
            <w:gridSpan w:val="2"/>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18"/>
        </w:trPr>
        <w:tc>
          <w:tcPr>
            <w:tcW w:w="20" w:type="dxa"/>
            <w:vAlign w:val="bottom"/>
          </w:tcPr>
          <w:p>
            <w:pPr>
              <w:spacing w:after="0"/>
              <w:rPr>
                <w:sz w:val="24"/>
                <w:szCs w:val="24"/>
                <w:color w:val="auto"/>
              </w:rPr>
            </w:pPr>
          </w:p>
        </w:tc>
        <w:tc>
          <w:tcPr>
            <w:tcW w:w="9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2024 and 2023</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18"/>
        </w:trPr>
        <w:tc>
          <w:tcPr>
            <w:tcW w:w="20" w:type="dxa"/>
            <w:vAlign w:val="bottom"/>
            <w:tcBorders>
              <w:top w:val="single" w:sz="8" w:color="0000EE"/>
            </w:tcBorders>
          </w:tcPr>
          <w:p>
            <w:pPr>
              <w:spacing w:after="0"/>
              <w:rPr>
                <w:sz w:val="24"/>
                <w:szCs w:val="24"/>
                <w:color w:val="auto"/>
              </w:rPr>
            </w:pPr>
          </w:p>
        </w:tc>
        <w:tc>
          <w:tcPr>
            <w:tcW w:w="2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3340" w:type="dxa"/>
            <w:vAlign w:val="bottom"/>
            <w:tcBorders>
              <w:top w:val="single" w:sz="8" w:color="0000FF"/>
            </w:tcBorders>
            <w:gridSpan w:val="4"/>
          </w:tcPr>
          <w:p>
            <w:pPr>
              <w:spacing w:after="0"/>
              <w:rPr>
                <w:sz w:val="24"/>
                <w:szCs w:val="24"/>
                <w:color w:val="auto"/>
              </w:rPr>
            </w:pPr>
          </w:p>
        </w:tc>
        <w:tc>
          <w:tcPr>
            <w:tcW w:w="374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668"/>
        </w:trPr>
        <w:tc>
          <w:tcPr>
            <w:tcW w:w="7060" w:type="dxa"/>
            <w:vAlign w:val="bottom"/>
            <w:gridSpan w:val="7"/>
          </w:tcPr>
          <w:p>
            <w:pPr>
              <w:jc w:val="right"/>
              <w:ind w:right="134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ind w:right="2540" w:firstLine="2532"/>
        <w:spacing w:after="0" w:line="4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Prelude Therapeutics Incorporated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Prelude Therapeutics Incorporated (the Company) as of December 31, 2024 and 2023, the related statements of operations and comprehensive loss, changes in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Calibri" w:cs="Calibri" w:eastAsia="Calibri" w:hAnsi="Calibri"/>
          <w:sz w:val="18"/>
          <w:szCs w:val="18"/>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6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175,515</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25,641</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Voting common stock, $0.0001 par value: 487,149,741 shares authorized; 42,298,859 and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42,063,995 shares issued and outstanding at December 31, 2024 and 2023, respectively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12,850,259 shares authorized; 12,850,259 shares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at both December 31, 2024 and 2023</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714,982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(583,563 )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(456,390 )</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175,515</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-3813810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-2973705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-2956560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-2125345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-1559560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60" w:type="dxa"/>
            <w:vAlign w:val="bottom"/>
          </w:tcPr>
          <w:p>
            <w:pPr>
              <w:spacing w:after="0"/>
              <w:rPr>
                <w:sz w:val="15"/>
                <w:szCs w:val="15"/>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6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license agreement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jc w:val="center"/>
              <w:ind w:right="5511"/>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shd w:val="clear" w:color="auto" w:fill="CFF0FC"/>
          </w:tcPr>
          <w:p>
            <w:pPr>
              <w:jc w:val="center"/>
              <w:ind w:right="5491"/>
              <w:spacing w:after="0"/>
              <w:rPr>
                <w:sz w:val="20"/>
                <w:szCs w:val="20"/>
                <w:color w:val="auto"/>
              </w:rPr>
            </w:pPr>
            <w:r>
              <w:rPr>
                <w:rFonts w:ascii="Times New Roman" w:cs="Times New Roman" w:eastAsia="Times New Roman" w:hAnsi="Times New Roman"/>
                <w:sz w:val="18"/>
                <w:szCs w:val="18"/>
                <w:color w:val="auto"/>
                <w:w w:val="99"/>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jc w:val="center"/>
              <w:ind w:right="5471"/>
              <w:spacing w:after="0"/>
              <w:rPr>
                <w:sz w:val="20"/>
                <w:szCs w:val="20"/>
                <w:color w:val="auto"/>
              </w:rPr>
            </w:pPr>
            <w:r>
              <w:rPr>
                <w:rFonts w:ascii="Times New Roman" w:cs="Times New Roman" w:eastAsia="Times New Roman" w:hAnsi="Times New Roman"/>
                <w:sz w:val="18"/>
                <w:szCs w:val="18"/>
                <w:color w:val="auto"/>
                <w:w w:val="99"/>
              </w:rPr>
              <w:t>Total operating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146,714</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(139,714 )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(132,277 )</w:t>
            </w:r>
          </w:p>
        </w:tc>
        <w:tc>
          <w:tcPr>
            <w:tcW w:w="0" w:type="dxa"/>
            <w:vAlign w:val="bottom"/>
          </w:tcPr>
          <w:p>
            <w:pPr>
              <w:spacing w:after="0"/>
              <w:rPr>
                <w:sz w:val="1"/>
                <w:szCs w:val="1"/>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(127,173 )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(121,832 )</w:t>
            </w:r>
          </w:p>
        </w:tc>
        <w:tc>
          <w:tcPr>
            <w:tcW w:w="0" w:type="dxa"/>
            <w:vAlign w:val="bottom"/>
          </w:tcPr>
          <w:p>
            <w:pPr>
              <w:spacing w:after="0"/>
              <w:rPr>
                <w:sz w:val="1"/>
                <w:szCs w:val="1"/>
                <w:color w:val="auto"/>
              </w:rPr>
            </w:pPr>
          </w:p>
        </w:tc>
      </w:tr>
      <w:tr>
        <w:trPr>
          <w:trHeight w:val="197"/>
        </w:trPr>
        <w:tc>
          <w:tcPr>
            <w:tcW w:w="77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(1.68 )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197"/>
        </w:trPr>
        <w:tc>
          <w:tcPr>
            <w:tcW w:w="77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75,805,840</w:t>
            </w: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60,357,052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(127,173 )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(121,832 )</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(188 )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(127,361 )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(119,917 )</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-1645285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-1071245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-1053465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-770890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-753745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Comprehensi</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20" w:type="dxa"/>
            <w:vAlign w:val="bottom"/>
          </w:tcPr>
          <w:p>
            <w:pPr>
              <w:spacing w:after="0"/>
              <w:rPr>
                <w:sz w:val="17"/>
                <w:szCs w:val="17"/>
                <w:color w:val="auto"/>
              </w:rPr>
            </w:pP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Non-voting common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Pr>
          <w:p>
            <w:pPr>
              <w:spacing w:after="0"/>
              <w:rPr>
                <w:sz w:val="17"/>
                <w:szCs w:val="17"/>
                <w:color w:val="auto"/>
              </w:rPr>
            </w:pPr>
          </w:p>
        </w:tc>
        <w:tc>
          <w:tcPr>
            <w:tcW w:w="98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Voting common stock</w:t>
            </w:r>
          </w:p>
        </w:tc>
        <w:tc>
          <w:tcPr>
            <w:tcW w:w="1160" w:type="dxa"/>
            <w:vAlign w:val="bottom"/>
            <w:gridSpan w:val="2"/>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20" w:type="dxa"/>
            <w:vAlign w:val="bottom"/>
          </w:tcPr>
          <w:p>
            <w:pPr>
              <w:spacing w:after="0"/>
              <w:rPr>
                <w:sz w:val="18"/>
                <w:szCs w:val="18"/>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6"/>
        </w:trPr>
        <w:tc>
          <w:tcPr>
            <w:tcW w:w="28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w:t>
            </w: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0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8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960" w:type="dxa"/>
            <w:vAlign w:val="bottom"/>
            <w:tcBorders>
              <w:top w:val="single" w:sz="8" w:color="auto"/>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tcBorders>
              <w:top w:val="single" w:sz="8" w:color="auto"/>
              <w:left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693,25</w:t>
            </w:r>
          </w:p>
        </w:tc>
        <w:tc>
          <w:tcPr>
            <w:tcW w:w="26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28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42,063,995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CFF0FC"/>
            </w:tcBorders>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12,850,259</w:t>
            </w:r>
          </w:p>
        </w:tc>
        <w:tc>
          <w:tcPr>
            <w:tcW w:w="200" w:type="dxa"/>
            <w:vAlign w:val="bottom"/>
            <w:shd w:val="clear" w:color="auto" w:fill="CFF0FC"/>
          </w:tcPr>
          <w:p>
            <w:pPr>
              <w:spacing w:after="0"/>
              <w:rPr>
                <w:sz w:val="20"/>
                <w:szCs w:val="20"/>
                <w:color w:val="auto"/>
              </w:rPr>
            </w:pPr>
          </w:p>
        </w:tc>
        <w:tc>
          <w:tcPr>
            <w:tcW w:w="20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(456,390 )</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00" w:type="dxa"/>
            <w:vAlign w:val="bottom"/>
            <w:shd w:val="clear" w:color="auto" w:fill="CFF0FC"/>
          </w:tcPr>
          <w:p>
            <w:pPr>
              <w:spacing w:after="0"/>
              <w:rPr>
                <w:sz w:val="20"/>
                <w:szCs w:val="20"/>
                <w:color w:val="auto"/>
              </w:rPr>
            </w:pPr>
          </w:p>
        </w:tc>
      </w:tr>
      <w:tr>
        <w:trPr>
          <w:trHeight w:val="198"/>
        </w:trPr>
        <w:tc>
          <w:tcPr>
            <w:tcW w:w="2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RSUs, net of 15,455 shares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198"/>
        </w:trPr>
        <w:tc>
          <w:tcPr>
            <w:tcW w:w="28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192,864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20"/>
                <w:szCs w:val="20"/>
                <w:color w:val="auto"/>
              </w:rPr>
            </w:pPr>
          </w:p>
        </w:tc>
      </w:tr>
      <w:tr>
        <w:trPr>
          <w:trHeight w:val="198"/>
        </w:trPr>
        <w:tc>
          <w:tcPr>
            <w:tcW w:w="2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100" w:type="dxa"/>
            <w:vAlign w:val="bottom"/>
          </w:tcPr>
          <w:p>
            <w:pPr>
              <w:spacing w:after="0"/>
              <w:rPr>
                <w:sz w:val="20"/>
                <w:szCs w:val="20"/>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100" w:type="dxa"/>
            <w:vAlign w:val="bottom"/>
            <w:shd w:val="clear" w:color="auto" w:fill="CFF0FC"/>
          </w:tcPr>
          <w:p>
            <w:pPr>
              <w:spacing w:after="0"/>
              <w:rPr>
                <w:sz w:val="18"/>
                <w:szCs w:val="18"/>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(127,173 )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(127,173 )</w:t>
            </w:r>
          </w:p>
        </w:tc>
      </w:tr>
      <w:tr>
        <w:trPr>
          <w:trHeight w:val="191"/>
        </w:trPr>
        <w:tc>
          <w:tcPr>
            <w:tcW w:w="28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960" w:type="dxa"/>
            <w:vAlign w:val="bottom"/>
            <w:tcBorders>
              <w:top w:val="single" w:sz="8" w:color="auto"/>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tcBorders>
              <w:top w:val="single" w:sz="8" w:color="auto"/>
              <w:left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714,98</w:t>
            </w:r>
          </w:p>
        </w:tc>
        <w:tc>
          <w:tcPr>
            <w:tcW w:w="26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74"/>
        </w:trPr>
        <w:tc>
          <w:tcPr>
            <w:tcW w:w="288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42,298,859</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CFF0FC"/>
            </w:tcBorders>
            <w:shd w:val="clear" w:color="auto" w:fill="CFF0FC"/>
          </w:tcPr>
          <w:p>
            <w:pPr>
              <w:spacing w:after="0"/>
              <w:rPr>
                <w:sz w:val="23"/>
                <w:szCs w:val="23"/>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12,850,259</w:t>
            </w:r>
          </w:p>
        </w:tc>
        <w:tc>
          <w:tcPr>
            <w:tcW w:w="200" w:type="dxa"/>
            <w:vAlign w:val="bottom"/>
            <w:shd w:val="clear" w:color="auto" w:fill="CFF0FC"/>
          </w:tcPr>
          <w:p>
            <w:pPr>
              <w:spacing w:after="0"/>
              <w:rPr>
                <w:sz w:val="23"/>
                <w:szCs w:val="23"/>
                <w:color w:val="auto"/>
              </w:rPr>
            </w:pPr>
          </w:p>
        </w:tc>
        <w:tc>
          <w:tcPr>
            <w:tcW w:w="20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CFF0FC"/>
            </w:tcBorders>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CFF0FC"/>
            </w:tcBorders>
            <w:shd w:val="clear" w:color="auto" w:fill="CFF0FC"/>
          </w:tcPr>
          <w:p>
            <w:pPr>
              <w:spacing w:after="0"/>
              <w:rPr>
                <w:sz w:val="23"/>
                <w:szCs w:val="23"/>
                <w:color w:val="auto"/>
              </w:rPr>
            </w:pPr>
          </w:p>
        </w:tc>
        <w:tc>
          <w:tcPr>
            <w:tcW w:w="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(583,563 )</w:t>
            </w:r>
          </w:p>
        </w:tc>
        <w:tc>
          <w:tcPr>
            <w:tcW w:w="16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shd w:val="clear" w:color="auto" w:fill="CFF0FC"/>
          </w:tcPr>
          <w:p>
            <w:pPr>
              <w:spacing w:after="0"/>
              <w:rPr>
                <w:sz w:val="23"/>
                <w:szCs w:val="23"/>
                <w:color w:val="auto"/>
              </w:rPr>
            </w:pPr>
          </w:p>
        </w:tc>
      </w:tr>
      <w:tr>
        <w:trPr>
          <w:trHeight w:val="413"/>
        </w:trPr>
        <w:tc>
          <w:tcPr>
            <w:tcW w:w="28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FF0FC"/>
              <w:bottom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2"/>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80"/>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w:t>
            </w:r>
          </w:p>
        </w:tc>
        <w:tc>
          <w:tcPr>
            <w:tcW w:w="1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16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Non-voting common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3"/>
              </w:rPr>
              <w:t>e</w:t>
            </w:r>
          </w:p>
        </w:tc>
        <w:tc>
          <w:tcPr>
            <w:tcW w:w="16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shares)</w:t>
            </w:r>
          </w:p>
        </w:tc>
        <w:tc>
          <w:tcPr>
            <w:tcW w:w="100" w:type="dxa"/>
            <w:vAlign w:val="bottom"/>
          </w:tcPr>
          <w:p>
            <w:pPr>
              <w:spacing w:after="0"/>
              <w:rPr>
                <w:sz w:val="18"/>
                <w:szCs w:val="18"/>
                <w:color w:val="auto"/>
              </w:rPr>
            </w:pPr>
          </w:p>
        </w:tc>
        <w:tc>
          <w:tcPr>
            <w:tcW w:w="200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Voting common stock</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Amou</w:t>
            </w: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Amou</w:t>
            </w: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nt</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36,496,994</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0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$ 531,682</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(1,692 )</w:t>
            </w: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9"/>
              </w:rPr>
              <w:t>$ (334,558 )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195,437</w:t>
            </w:r>
          </w:p>
        </w:tc>
        <w:tc>
          <w:tcPr>
            <w:tcW w:w="100" w:type="dxa"/>
            <w:vAlign w:val="bottom"/>
            <w:shd w:val="clear" w:color="auto" w:fill="CFF0FC"/>
          </w:tcPr>
          <w:p>
            <w:pPr>
              <w:spacing w:after="0"/>
              <w:rPr>
                <w:sz w:val="18"/>
                <w:szCs w:val="18"/>
                <w:color w:val="auto"/>
              </w:rPr>
            </w:pPr>
          </w:p>
        </w:tc>
      </w:tr>
      <w:tr>
        <w:trPr>
          <w:trHeight w:val="198"/>
        </w:trPr>
        <w:tc>
          <w:tcPr>
            <w:tcW w:w="2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and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 net of issuance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$2.8 million</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5,312,978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1,448,222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135,290</w:t>
            </w:r>
          </w:p>
        </w:tc>
        <w:tc>
          <w:tcPr>
            <w:tcW w:w="100" w:type="dxa"/>
            <w:vAlign w:val="bottom"/>
          </w:tcPr>
          <w:p>
            <w:pPr>
              <w:spacing w:after="0"/>
              <w:rPr>
                <w:sz w:val="20"/>
                <w:szCs w:val="20"/>
                <w:color w:val="auto"/>
              </w:rPr>
            </w:pPr>
          </w:p>
        </w:tc>
      </w:tr>
      <w:tr>
        <w:trPr>
          <w:trHeight w:val="198"/>
        </w:trPr>
        <w:tc>
          <w:tcPr>
            <w:tcW w:w="28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net of 3,983 shares withheld for</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r>
      <w:tr>
        <w:trPr>
          <w:trHeight w:val="198"/>
        </w:trPr>
        <w:tc>
          <w:tcPr>
            <w:tcW w:w="2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169,857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0"/>
                <w:szCs w:val="20"/>
                <w:color w:val="auto"/>
              </w:rPr>
            </w:pPr>
          </w:p>
        </w:tc>
      </w:tr>
      <w:tr>
        <w:trPr>
          <w:trHeight w:val="198"/>
        </w:trPr>
        <w:tc>
          <w:tcPr>
            <w:tcW w:w="28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10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FF0FC"/>
          </w:tcPr>
          <w:p>
            <w:pPr>
              <w:spacing w:after="0"/>
              <w:rPr>
                <w:sz w:val="20"/>
                <w:szCs w:val="20"/>
                <w:color w:val="auto"/>
              </w:rPr>
            </w:pPr>
          </w:p>
        </w:tc>
      </w:tr>
      <w:tr>
        <w:trPr>
          <w:trHeight w:val="198"/>
        </w:trPr>
        <w:tc>
          <w:tcPr>
            <w:tcW w:w="2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forfeitures of restricted stock</w:t>
            </w:r>
          </w:p>
        </w:tc>
        <w:tc>
          <w:tcPr>
            <w:tcW w:w="10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20"/>
                <w:szCs w:val="20"/>
                <w:color w:val="auto"/>
              </w:rPr>
            </w:pPr>
          </w:p>
        </w:tc>
      </w:tr>
      <w:tr>
        <w:trPr>
          <w:trHeight w:val="198"/>
        </w:trPr>
        <w:tc>
          <w:tcPr>
            <w:tcW w:w="28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(121,83</w:t>
            </w:r>
          </w:p>
        </w:tc>
        <w:tc>
          <w:tcPr>
            <w:tcW w:w="100" w:type="dxa"/>
            <w:vAlign w:val="bottom"/>
            <w:shd w:val="clear" w:color="auto" w:fill="CFF0FC"/>
          </w:tcPr>
          <w:p>
            <w:pPr>
              <w:spacing w:after="0"/>
              <w:rPr>
                <w:sz w:val="17"/>
                <w:szCs w:val="17"/>
                <w:color w:val="auto"/>
              </w:rPr>
            </w:pPr>
          </w:p>
        </w:tc>
      </w:tr>
      <w:tr>
        <w:trPr>
          <w:trHeight w:val="234"/>
        </w:trPr>
        <w:tc>
          <w:tcPr>
            <w:tcW w:w="2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tcBorders>
              <w:left w:val="single" w:sz="8" w:color="CFF0FC"/>
            </w:tcBorders>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(121,832 )</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2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42,063,995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12,850,259</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$ 693,252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 (456,390 )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0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-3591560</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-3573780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-3591560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-3573780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-3591560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-3573780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-3591560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-3573780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-3591560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-3573780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-3591560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-3573780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-3591560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-3573780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-3591560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-170815</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-170815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3"/>
                <w:szCs w:val="13"/>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6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(127,173 )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(121,832 )</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(4,639 )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(3,473 )</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(2,270 )</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(808 )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prepaid expenses and other long-term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(8,810 )</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(1,624 )</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(102,888 )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(107,063 )</w:t>
            </w: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(52,694 )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(221,633 )</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143,649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(764 )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(3,513 )</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(34,646 )</w:t>
            </w: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offering costs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(110 )</w:t>
            </w: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the exercise of stock options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finance lease</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(395 )</w:t>
            </w: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(12,817 )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(5,314 )</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(188 )</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6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Offering costs in accrued expenses and other current liabilities</w:t>
            </w: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7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-3950970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-3102610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-1988185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-1704975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-1096645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is a clinical-stage precision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121"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$583.6 million at December 31, 2024. The Company has no product revenue to 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right="400" w:firstLine="478"/>
        <w:spacing w:after="0" w:line="282"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as of December 31, 2024 will be sufficient to fund its operating expenses and capital expenditure requirements for at least the next twelve months from the filing date of this Annual Report on Form 10-K.</w:t>
      </w:r>
    </w:p>
    <w:p>
      <w:pPr>
        <w:spacing w:after="0" w:line="162"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ind w:left="480" w:right="7680" w:hanging="472"/>
        <w:spacing w:after="0" w:line="378" w:lineRule="auto"/>
        <w:tabs>
          <w:tab w:leader="none" w:pos="18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140" w:firstLine="478"/>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generally accepted accounting principles (“GAAP”). Any reference in these notes to applicable guidance is meant to refer to GAAP as found in the Accounting Standards Codification (“ASC”) and Accounting Standards Updates (“ASU”) promulgated by the Financial Accounting Standards Board (“FASB”).</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ind w:right="240" w:firstLine="478"/>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financial statements in the period they are determined to be necessary. The most significant estimate relates to accrued clinical trial expenses.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40" w:firstLine="47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The Company maintains deposits in federally insured financial institutions in excess of federally insured limits. The Company has not experienced any losses in such accounts and believes it is not exposed to significant credit risk beyond the normal credit risk associated with commercial banking relationships.</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60" w:firstLine="47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(CODM) is its Chief Executive Officer. The Company views and manages its operations as a single operating segment. See Note 9 (Segments) for further details.</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80" w:firstLine="478"/>
        <w:spacing w:after="0" w:line="282" w:lineRule="auto"/>
        <w:rPr>
          <w:sz w:val="20"/>
          <w:szCs w:val="20"/>
          <w:color w:val="auto"/>
        </w:rPr>
      </w:pPr>
      <w:r>
        <w:rPr>
          <w:rFonts w:ascii="Times New Roman" w:cs="Times New Roman" w:eastAsia="Times New Roman" w:hAnsi="Times New Roman"/>
          <w:sz w:val="18"/>
          <w:szCs w:val="18"/>
          <w:color w:val="auto"/>
        </w:rPr>
        <w:t>Management believes the carrying amounts of the Company’s financial instruments, including cash, restricted cash, accounts payable, and accrued expenses, approximate fair value due to the short-term nature of these instruments.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00" w:firstLine="478"/>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54" w:lineRule="exact"/>
        <w:rPr>
          <w:sz w:val="20"/>
          <w:szCs w:val="20"/>
          <w:color w:val="auto"/>
        </w:rPr>
      </w:pPr>
    </w:p>
    <w:p>
      <w:pPr>
        <w:ind w:right="1160" w:firstLine="478"/>
        <w:spacing w:after="0" w:line="282" w:lineRule="auto"/>
        <w:rPr>
          <w:sz w:val="20"/>
          <w:szCs w:val="20"/>
          <w:color w:val="auto"/>
        </w:rPr>
      </w:pPr>
      <w:r>
        <w:rPr>
          <w:rFonts w:ascii="Times New Roman" w:cs="Times New Roman" w:eastAsia="Times New Roman" w:hAnsi="Times New Roman"/>
          <w:sz w:val="18"/>
          <w:szCs w:val="18"/>
          <w:color w:val="auto"/>
        </w:rPr>
        <w:t>Restricted cash comprises a letter of credit for the benefit of the landlord in connection with the Company’s lease facility. See Note 8 (Commitments) for further details.</w:t>
      </w:r>
    </w:p>
    <w:p>
      <w:pPr>
        <w:spacing w:after="0" w:line="54"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2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United States, or U.S., government debt securities, and agency securities that are classified as available-for-sale. The securities are carried at fair value with the unrealized gains and losses, net of tax, included in accumulated other comprehensive income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60" w:firstLine="47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expense is recognized using the straight-line method over the estimated useful life of the asset, ranging from 5-7 years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Fixed Asset Type</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estimated useful life of the assets or the remaining lease term.</w:t>
      </w:r>
    </w:p>
    <w:p>
      <w:pPr>
        <w:spacing w:after="0" w:line="225" w:lineRule="exact"/>
        <w:rPr>
          <w:sz w:val="20"/>
          <w:szCs w:val="20"/>
          <w:color w:val="auto"/>
        </w:rPr>
      </w:pPr>
    </w:p>
    <w:p>
      <w:pPr>
        <w:ind w:right="180" w:firstLine="478"/>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in the statements of operations.</w:t>
      </w:r>
    </w:p>
    <w:p>
      <w:pPr>
        <w:spacing w:after="0" w:line="176"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amount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right="20" w:firstLine="47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Company's lease for office and laboratory space located in Wilmington, DE is classified as an operating lease. The lease results in an operating right-of-use (ROU) asset, a current operating lease liability, and a non-current operating lease liability in the balance sheet and has a remaining lease term of approximately 12 years. The Company has a finance lease for a piece of equipment which is included in the balance sheet in property and equipment, net, and as a finance lease liability with a remaining term of 4 months. Leases with a term of 12 months or less are considered short-term and a ROU asset and lease obligation are not recognized.</w:t>
      </w:r>
    </w:p>
    <w:p>
      <w:pPr>
        <w:spacing w:after="0" w:line="185" w:lineRule="exact"/>
        <w:rPr>
          <w:sz w:val="20"/>
          <w:szCs w:val="20"/>
          <w:color w:val="auto"/>
        </w:rPr>
      </w:pPr>
    </w:p>
    <w:p>
      <w:pPr>
        <w:ind w:right="140" w:firstLine="478"/>
        <w:spacing w:after="0" w:line="261"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the lease liabilities represent an obligation to make lease payments arising from the lease, measured at the present value of the lease payments not yet paid discounted using the discount rate for the lease established at the lease commencement date. The operating lease ROU asset also includes any prepaid lease payments made. Lease expense is recognized over the expected lease term on a straight-line basis.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60" w:firstLine="47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and certain changes in stockholders’ equity that are excluded from net loss. The Company’s comprehensive loss for the years ended December 31, 2024 and 2023 comprised net loss and unrealized gain or loss on marketable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ASC Topic 606, </w:t>
      </w:r>
      <w:r>
        <w:rPr>
          <w:rFonts w:ascii="Times New Roman" w:cs="Times New Roman" w:eastAsia="Times New Roman" w:hAnsi="Times New Roman"/>
          <w:sz w:val="18"/>
          <w:szCs w:val="18"/>
          <w:i w:val="1"/>
          <w:iCs w:val="1"/>
          <w:color w:val="auto"/>
        </w:rPr>
        <w:t>Revenue from Contracts with Customers ("ASC 606")</w:t>
      </w:r>
      <w:r>
        <w:rPr>
          <w:rFonts w:ascii="Times New Roman" w:cs="Times New Roman" w:eastAsia="Times New Roman" w:hAnsi="Times New Roman"/>
          <w:sz w:val="18"/>
          <w:szCs w:val="18"/>
          <w:color w:val="auto"/>
        </w:rPr>
        <w:t>.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it satisfies each performance obligation.</w:t>
      </w:r>
    </w:p>
    <w:p>
      <w:pPr>
        <w:spacing w:after="0" w:line="77"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w:t>
      </w:r>
    </w:p>
    <w:p>
      <w:pPr>
        <w:spacing w:after="0" w:line="68"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The Company measures share-based awards at their grant-date fair value and records compensation expense on a straight-line basis over the vesting period of the awards.</w:t>
      </w:r>
    </w:p>
    <w:p>
      <w:pPr>
        <w:spacing w:after="0" w:line="54"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Estimating the fair value of share-based awards requires the input of subjective assumptions, including, for stock options, the expected life of the options and stock price volatility. The Company accounts for forfeitures for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83"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its own historical volatility along with comparable public companies as a basis for its expected volatility to calculate the fair value of option grants. The risk-free rate is based on the U.S. Treasury yield curve commensurate with the expected life of the option.</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Grant Income and Research and Development Tax Credits</w:t>
      </w:r>
    </w:p>
    <w:p>
      <w:pPr>
        <w:spacing w:after="0" w:line="121" w:lineRule="exact"/>
        <w:rPr>
          <w:sz w:val="20"/>
          <w:szCs w:val="20"/>
          <w:color w:val="auto"/>
        </w:rPr>
      </w:pPr>
    </w:p>
    <w:p>
      <w:pPr>
        <w:ind w:right="140" w:firstLine="478"/>
        <w:spacing w:after="0" w:line="258" w:lineRule="auto"/>
        <w:rPr>
          <w:sz w:val="20"/>
          <w:szCs w:val="20"/>
          <w:color w:val="auto"/>
        </w:rPr>
      </w:pPr>
      <w:r>
        <w:rPr>
          <w:rFonts w:ascii="Times New Roman" w:cs="Times New Roman" w:eastAsia="Times New Roman" w:hAnsi="Times New Roman"/>
          <w:sz w:val="18"/>
          <w:szCs w:val="18"/>
          <w:color w:val="auto"/>
        </w:rPr>
        <w:t>The Company recognizes grants related to income and Delaware research and development tax credits in other income, net in the statements of operations when the necessary qualifying conditions, as stated in the agreements, are met and all contingencies have been resolved. For the years ended December 31, 2024 and 2023, the Company recorded other income related to these items of $2.5 million and $1.5 million, respectively. The Company recognizes grants related to assets as deferred income which is included in the balance sheet as other liabilities. The deferred income is then recognized as grant income over the useful life of the related assets.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80" w:firstLine="47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of employees, and other operational costs related to the Company’s research and development activities, including allocated facility-related expenses and external costs of outside vendors, such as clinical research organizations and clinical manufacturing organizations, and other direct and indirect costs.</w:t>
      </w:r>
    </w:p>
    <w:p>
      <w:pPr>
        <w:spacing w:after="0" w:line="180"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Management makes estimates of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80" w:firstLine="478"/>
        <w:spacing w:after="0" w:line="256"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asset-and-liability method as required by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83"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 xml:space="preserve">ASC Subtopic 740-10, </w:t>
      </w:r>
      <w:r>
        <w:rPr>
          <w:rFonts w:ascii="Times New Roman" w:cs="Times New Roman" w:eastAsia="Times New Roman" w:hAnsi="Times New Roman"/>
          <w:sz w:val="18"/>
          <w:szCs w:val="18"/>
          <w:i w:val="1"/>
          <w:iCs w:val="1"/>
          <w:color w:val="auto"/>
        </w:rPr>
        <w:t>Accounting for Uncertainty of Income Taxes</w:t>
      </w:r>
      <w:r>
        <w:rPr>
          <w:rFonts w:ascii="Times New Roman" w:cs="Times New Roman" w:eastAsia="Times New Roman" w:hAnsi="Times New Roman"/>
          <w:sz w:val="18"/>
          <w:szCs w:val="18"/>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a component of income tax expense.</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The weighted-average number of shares of common stock outstanding used in the basic net loss per share calculation does not include unvested restricted stock awards, as these instruments are considered contingently issuable shares until they vest, or restricted stock units.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94"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3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156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230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14,212,538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14,268,788</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12,029,204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9" w:lineRule="exact"/>
        <w:rPr>
          <w:sz w:val="20"/>
          <w:szCs w:val="20"/>
          <w:color w:val="auto"/>
        </w:rPr>
      </w:pPr>
    </w:p>
    <w:p>
      <w:pPr>
        <w:ind w:right="60" w:firstLine="478"/>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The Company will remain an emerging growth company until the earliest of (i) the last day of the Company's first fiscal year (a) in which the Company has total annual gross revenues of at least $1.235 billion, or (b) in which the Company is deemed to be a large accelerated filer, which means the market value of the Company's common stock that is held by non-affiliates exceeds $700.0 million as of the prior June 30, (ii) the date on which the Company has issued more than $1.0 billion in non-convertible debt securities during the prior three-year period or (iii) December 31, 2025. As a result, these financial statements may not be comparable to companies that comply with the new or revised accounting pronouncements as of public company effective dates.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117"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Update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ASU 2023-09 requires enhanced income tax disclosures related to the rate reconciliation and income taxes paid information. For public business entities, the amendments in this Update are effective for annual periods beginning after December 15, 2024 with early adoption permitted. The Company is currently evaluating the impact of this standard but does not expect that it will have a material impact on the financial statements and related disclosures.</w:t>
      </w:r>
    </w:p>
    <w:p>
      <w:pPr>
        <w:spacing w:after="0" w:line="72" w:lineRule="exact"/>
        <w:rPr>
          <w:sz w:val="20"/>
          <w:szCs w:val="20"/>
          <w:color w:val="auto"/>
        </w:rPr>
      </w:pPr>
    </w:p>
    <w:p>
      <w:pPr>
        <w:ind w:right="260" w:firstLine="47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Update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2024-03 requires disclosure, in the notes to the financial statements, of specified information about certain costs and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are effective for annual reporting periods beginning after December 15, 2026, and interim reporting periods within annual reporting periods beginning after December 15, 2027. Early adoption is permitted. The Company is currently evaluating the impact of this standard but does not expect that it will have a material impact on the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 as of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4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120" w:type="dxa"/>
            <w:vAlign w:val="bottom"/>
            <w:shd w:val="clear" w:color="auto" w:fill="CFF0FC"/>
          </w:tcPr>
          <w:p>
            <w:pPr>
              <w:spacing w:after="0"/>
              <w:rPr>
                <w:sz w:val="18"/>
                <w:szCs w:val="18"/>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120" w:type="dxa"/>
            <w:vAlign w:val="bottom"/>
          </w:tcPr>
          <w:p>
            <w:pPr>
              <w:spacing w:after="0"/>
              <w:rPr>
                <w:sz w:val="18"/>
                <w:szCs w:val="18"/>
                <w:color w:val="auto"/>
              </w:rPr>
            </w:pPr>
          </w:p>
        </w:tc>
      </w:tr>
      <w:tr>
        <w:trPr>
          <w:trHeight w:val="249"/>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121,105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20" w:type="dxa"/>
            <w:vAlign w:val="bottom"/>
            <w:shd w:val="clear" w:color="auto" w:fill="CFF0FC"/>
          </w:tcPr>
          <w:p>
            <w:pPr>
              <w:spacing w:after="0"/>
              <w:rPr>
                <w:sz w:val="21"/>
                <w:szCs w:val="21"/>
                <w:color w:val="auto"/>
              </w:rPr>
            </w:pPr>
          </w:p>
        </w:tc>
      </w:tr>
      <w:tr>
        <w:trPr>
          <w:trHeight w:val="197"/>
        </w:trPr>
        <w:tc>
          <w:tcPr>
            <w:tcW w:w="35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20" w:type="dxa"/>
            <w:vAlign w:val="bottom"/>
          </w:tcPr>
          <w:p>
            <w:pPr>
              <w:spacing w:after="0"/>
              <w:rPr>
                <w:sz w:val="18"/>
                <w:szCs w:val="18"/>
                <w:color w:val="auto"/>
              </w:rPr>
            </w:pPr>
          </w:p>
        </w:tc>
      </w:tr>
      <w:tr>
        <w:trPr>
          <w:trHeight w:val="216"/>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(20 )</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120" w:type="dxa"/>
            <w:vAlign w:val="bottom"/>
            <w:shd w:val="clear" w:color="auto" w:fill="CFF0FC"/>
          </w:tcPr>
          <w:p>
            <w:pPr>
              <w:spacing w:after="0"/>
              <w:rPr>
                <w:sz w:val="18"/>
                <w:szCs w:val="18"/>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(41 )</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12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20" w:type="dxa"/>
            <w:vAlign w:val="bottom"/>
            <w:shd w:val="clear" w:color="auto" w:fill="CFF0FC"/>
          </w:tcPr>
          <w:p>
            <w:pPr>
              <w:spacing w:after="0"/>
              <w:rPr>
                <w:sz w:val="19"/>
                <w:szCs w:val="19"/>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-882015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-864870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-882015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-864870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-882015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-864870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13 months or less. As of December 31, 2024, the Company had 16 securities with a total fair market value of $18.6 million in an unrealized loss position. The Company believes that any unrealized losses associated with the decline in value of its securities is temporary and is primarily related to the change in market interest rates since purchase and believes that it is more likely than not that it will be able to hold its marketable securities to maturity.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21"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Topic 820, Fair Value Measurement,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7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hanging="474"/>
        <w:spacing w:after="0" w:line="284"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20" w:hanging="474"/>
        <w:spacing w:after="0" w:line="284"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2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3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320" w:type="dxa"/>
            <w:vAlign w:val="bottom"/>
            <w:tcBorders>
              <w:top w:val="single" w:sz="8" w:color="CFF0FC"/>
            </w:tcBorders>
          </w:tcPr>
          <w:p>
            <w:pPr>
              <w:spacing w:after="0"/>
              <w:rPr>
                <w:sz w:val="17"/>
                <w:szCs w:val="17"/>
                <w:color w:val="auto"/>
              </w:rPr>
            </w:pPr>
          </w:p>
        </w:tc>
        <w:tc>
          <w:tcPr>
            <w:tcW w:w="23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2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2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-2202180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-2185670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-2202180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-2185670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-2202180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-2185670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-1079500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-1079500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4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2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2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(5,258 )</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(3,566 )</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7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4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2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260" w:type="dxa"/>
            <w:vAlign w:val="bottom"/>
          </w:tcPr>
          <w:p>
            <w:pPr>
              <w:spacing w:after="0"/>
              <w:rPr>
                <w:sz w:val="18"/>
                <w:szCs w:val="18"/>
                <w:color w:val="auto"/>
              </w:rPr>
            </w:pPr>
          </w:p>
        </w:tc>
        <w:tc>
          <w:tcPr>
            <w:tcW w:w="4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-2099945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-1816735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“Chestnut Run Lease”). The premises includes approximately 81,000 rentable square feet and has an initial term of 162 months with 3 five-year extension options and certain expansion rights. Neither the option to extend nor the expansion rights were recognized as part of the Company's measurement of the ROU asset and operating lease liability as of December 31, 2024. Under the terms of the Chestnut Run Lease, the landlord provided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tenant improvements in excess of the landlord's allowance were treated as prepaid rent and increased the right-of-use asset on the commencement date. The discount rate used to account for the Company’s operating lease under ASC 842 is the Company’s estimated incremental borrowing rate of 15.0%. The Company's incremental borrowing rate reflects a collateralized borrowing with a similar term and amount as the Chestnut Run Lease.</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April 2024, the Company entered into a 12 month finance lease for equipment.</w:t>
      </w:r>
    </w:p>
    <w:p>
      <w:pPr>
        <w:spacing w:after="0" w:line="225" w:lineRule="exact"/>
        <w:rPr>
          <w:sz w:val="20"/>
          <w:szCs w:val="20"/>
          <w:color w:val="auto"/>
        </w:rPr>
      </w:pPr>
    </w:p>
    <w:p>
      <w:pPr>
        <w:ind w:right="320" w:firstLine="479"/>
        <w:spacing w:after="0" w:line="282" w:lineRule="auto"/>
        <w:rPr>
          <w:sz w:val="20"/>
          <w:szCs w:val="20"/>
          <w:color w:val="auto"/>
        </w:rPr>
      </w:pPr>
      <w:r>
        <w:rPr>
          <w:rFonts w:ascii="Times New Roman" w:cs="Times New Roman" w:eastAsia="Times New Roman" w:hAnsi="Times New Roman"/>
          <w:sz w:val="18"/>
          <w:szCs w:val="18"/>
          <w:color w:val="auto"/>
        </w:rPr>
        <w:t>Lease cost for the year ended December 31, 2024 was $4.4 million, including $0.2 million of short-term lease cost. Lease cost for the year ended December 31, 2023 was $2.5 million, including $0.2 million of short-term lease cost.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29"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Supplemental balance sheet and other information related to our operating and finance leases as of December 31, 2024 and December 31, 2023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13"/>
                <w:szCs w:val="13"/>
                <w:color w:val="auto"/>
              </w:rPr>
            </w:pPr>
          </w:p>
        </w:tc>
        <w:tc>
          <w:tcPr>
            <w:tcW w:w="2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100" w:type="dxa"/>
            <w:vAlign w:val="bottom"/>
            <w:tcBorders>
              <w:bottom w:val="single" w:sz="8" w:color="CFF0FC"/>
            </w:tcBorders>
            <w:shd w:val="clear" w:color="auto" w:fill="CFF0FC"/>
          </w:tcPr>
          <w:p>
            <w:pPr>
              <w:spacing w:after="0"/>
              <w:rPr>
                <w:sz w:val="18"/>
                <w:szCs w:val="18"/>
                <w:color w:val="auto"/>
              </w:rPr>
            </w:pPr>
          </w:p>
        </w:tc>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leased assets</w:t>
            </w: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w:t>
            </w:r>
          </w:p>
        </w:tc>
        <w:tc>
          <w:tcPr>
            <w:tcW w:w="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100" w:type="dxa"/>
            <w:vAlign w:val="bottom"/>
            <w:shd w:val="clear" w:color="auto" w:fill="CFF0FC"/>
          </w:tcPr>
          <w:p>
            <w:pPr>
              <w:spacing w:after="0"/>
              <w:rPr>
                <w:sz w:val="17"/>
                <w:szCs w:val="17"/>
                <w:color w:val="auto"/>
              </w:rPr>
            </w:pPr>
          </w:p>
        </w:tc>
        <w:tc>
          <w:tcPr>
            <w:tcW w:w="29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Current liabilities, operating lease</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finance lease liability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9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15.0 %</w:t>
            </w:r>
          </w:p>
        </w:tc>
        <w:tc>
          <w:tcPr>
            <w:tcW w:w="220" w:type="dxa"/>
            <w:vAlign w:val="bottom"/>
          </w:tcPr>
          <w:p>
            <w:pPr>
              <w:spacing w:after="0"/>
              <w:rPr>
                <w:sz w:val="18"/>
                <w:szCs w:val="18"/>
                <w:color w:val="auto"/>
              </w:rPr>
            </w:pP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10.5 %</w:t>
            </w: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-2411095</wp:posOffset>
            </wp:positionV>
            <wp:extent cx="120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-2411095</wp:posOffset>
            </wp:positionV>
            <wp:extent cx="120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-1134110</wp:posOffset>
            </wp:positionV>
            <wp:extent cx="1200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-1116965</wp:posOffset>
            </wp:positionV>
            <wp:extent cx="1200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-1134110</wp:posOffset>
            </wp:positionV>
            <wp:extent cx="1200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-1116965</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twelve months ended December 31, 2024 and 2023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100" w:type="dxa"/>
            <w:vAlign w:val="bottom"/>
          </w:tcPr>
          <w:p>
            <w:pPr>
              <w:spacing w:after="0"/>
              <w:rPr>
                <w:sz w:val="18"/>
                <w:szCs w:val="18"/>
                <w:color w:val="auto"/>
              </w:rPr>
            </w:pPr>
          </w:p>
        </w:tc>
        <w:tc>
          <w:tcPr>
            <w:tcW w:w="2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transaction</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Right-of-use asset obtained in exchange for lease obligations: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936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rPr>
              <w:t>As of December 31, 2024 future minimum annual lease payments for operating and finance lease are as follows:</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3"/>
          </w:tcPr>
          <w:p>
            <w:pPr>
              <w:jc w:val="right"/>
              <w:ind w:right="1200"/>
              <w:spacing w:after="0" w:line="160" w:lineRule="exact"/>
              <w:rPr>
                <w:sz w:val="20"/>
                <w:szCs w:val="20"/>
                <w:color w:val="auto"/>
              </w:rPr>
            </w:pPr>
            <w:r>
              <w:rPr>
                <w:rFonts w:ascii="Times New Roman" w:cs="Times New Roman" w:eastAsia="Times New Roman" w:hAnsi="Times New Roman"/>
                <w:sz w:val="14"/>
                <w:szCs w:val="14"/>
                <w:b w:val="1"/>
                <w:bCs w:val="1"/>
                <w:color w:val="auto"/>
              </w:rPr>
              <w:t>Operating lease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Finance lease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41,430</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8"/>
                <w:szCs w:val="18"/>
                <w:color w:val="auto"/>
              </w:rPr>
            </w:pPr>
          </w:p>
        </w:tc>
        <w:tc>
          <w:tcPr>
            <w:tcW w:w="2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(23,613 )</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right"/>
              <w:ind w:right="1652"/>
              <w:spacing w:after="0"/>
              <w:rPr>
                <w:sz w:val="20"/>
                <w:szCs w:val="20"/>
                <w:color w:val="auto"/>
              </w:rPr>
            </w:pPr>
            <w:r>
              <w:rPr>
                <w:rFonts w:ascii="Times New Roman" w:cs="Times New Roman" w:eastAsia="Times New Roman" w:hAnsi="Times New Roman"/>
                <w:sz w:val="18"/>
                <w:szCs w:val="18"/>
                <w:color w:val="auto"/>
                <w:w w:val="96"/>
              </w:rPr>
              <w:t>105</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-1362075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-1070610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-1053465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ind w:right="48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in the form of a letter of credit of $4.0 million which is included in the accompanying balance sheet as restricted cash as of December 31, 2024 and 2023. The security deposit may be reduced to $0.5 million over time in accordance with the terms of the Chestnut Run Lease.</w:t>
      </w:r>
    </w:p>
    <w:p>
      <w:pPr>
        <w:spacing w:after="0" w:line="68"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$2.4 million in reimbursements over three years for the development of lab space and up to $3.1 million to increase jobs in Delaware to meet specific targeted levels through 2023, which was extended to 2026 during the second quarter of 2024. During the third quarter of 2022, the Company was approved for an additional grant from the State of Delaware for the development of lab space in the amount of $1.0 million. In 2022, the Company received cash grants of $3.4 million from the State of Delaware for the development of lab space. The Company has met the minimum requirements stated in the grant agreement in order to not be required to pay back any portion of the $3.4 million disbursed. The Company deferred the recognition of these grant funds as they relate to capitalized costs and has classified them as long-term liabilities in the accompanying balance sheet. The Company recognizes the grant funds in other income over the length of the lease term. Additionally, if the Company leaves the State of Delaware within five years of the disbursement, the Company is required to return an amount equal to the amount of grant funds disbursed on a pro-rated basis. During the year ended December 31, 2024, the Company recognized $0.2 million of other income related to this grant.</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460" w:firstLine="478"/>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80" w:lineRule="exact"/>
        <w:rPr>
          <w:sz w:val="20"/>
          <w:szCs w:val="20"/>
          <w:color w:val="auto"/>
        </w:rPr>
      </w:pPr>
    </w:p>
    <w:p>
      <w:pPr>
        <w:ind w:right="440" w:firstLine="479"/>
        <w:spacing w:after="0" w:line="231"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with a maximum amount of 3% of the participant’s compensation. During the years ended December 31, 2024 and 2023 the Company made matching contributions of $0.8 million and $0.7 million, respectively.</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right="220" w:firstLine="479"/>
        <w:spacing w:after="0" w:line="255"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included a near term $4.0 million payment due to the Company upon the earlier of 180 days following the effective date of the license agreement or the execution of a quality agreement between the parties pursuant to which the Company will transfer title to certain quantities of Active Pharmaceutical 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81" w:lineRule="exact"/>
        <w:rPr>
          <w:sz w:val="20"/>
          <w:szCs w:val="20"/>
          <w:color w:val="auto"/>
        </w:rPr>
      </w:pPr>
    </w:p>
    <w:p>
      <w:pPr>
        <w:ind w:right="20" w:firstLine="524"/>
        <w:spacing w:after="0" w:line="254" w:lineRule="auto"/>
        <w:rPr>
          <w:sz w:val="20"/>
          <w:szCs w:val="20"/>
          <w:color w:val="auto"/>
        </w:rPr>
      </w:pPr>
      <w:r>
        <w:rPr>
          <w:rFonts w:ascii="Times New Roman" w:cs="Times New Roman" w:eastAsia="Times New Roman" w:hAnsi="Times New Roman"/>
          <w:sz w:val="18"/>
          <w:szCs w:val="18"/>
          <w:color w:val="auto"/>
        </w:rPr>
        <w:t>The Company assessed the license agreement with Pathos in accordance with ASC 606 and concluded that Pathos is a customer. The license agreement with Pathos includes the transfer of the following goods or services: (i) exclusive license to PRT811, (ii) transfer of licensed know-how and materials (i.e. datasets, regulatory and manufacturing documents, etc.), (iii) participation in a Joint Communication Committee ("JCC"), and (iv) execution of a quality agreement pursuant to which the Company will transfer title to certain API. The Company evaluated all of the promised goods or services within the contract and determined which goods and services were separate performance obligations. The Company determined that Pathos could not benefit from the license separately from the related know-how and materials, and accordingly, they represent one combined performance obligation. The execution of a quality agreement pursuant to which the Company will transfer title to certain API was identified as a separate performance obligation. The Company also determined the participation in the JCC is immaterial in the context of the license agreement as the Company has no decision-making ability through its participation in the JCC.</w:t>
      </w:r>
    </w:p>
    <w:p>
      <w:pPr>
        <w:spacing w:after="0" w:line="80" w:lineRule="exact"/>
        <w:rPr>
          <w:sz w:val="20"/>
          <w:szCs w:val="20"/>
          <w:color w:val="auto"/>
        </w:rPr>
      </w:pPr>
    </w:p>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The transaction price is allocated to the performance obligations based upon their relative standalone selling prices, which were estimated for (i) the exclusive license and know-how and materials at $3.0 million using an adjusted market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approach and (ii) execution of a quality agreement pursuant to which the Company will transfer title to certain API at $4.0 million using a cost plus margin approach.</w:t>
      </w:r>
    </w:p>
    <w:p>
      <w:pPr>
        <w:spacing w:after="0" w:line="5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With respect to the accounting principles identified above, each performance obligation will be recognized at a point in time. The Company determined that the performance obligation for the license and transfer of related know-how and materials would be fully satisfied when the license is granted and key know-how and materials are transferred to Pathos as that is the point at which Pathos can fully use and benefit from the license to PRT811. The performance obligation for the execution of a quality agreement pursuant to which the Company will transfer title to certain API will be satisfied when the legal title to the API is transferred. During 2024, the Company satisfied both performance obligations, resulting in $7.0 million of revenue recognized in the statement of operations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2023, the Company entered into a multi-year, multi-program agreement with AbCellera to jointly discover, develop, and commercialize novel oncology medicines for up to five programs. Under the terms of the agreement, AbCellera will lead manufacturing activities and the Company will lead clinical development and global commercialization, subject to AbCellera’s option to co-promote any resulting commercial products in the United States. If, at any point one party in the collaboration opts-out of future co-development cost sharing, that party will be entitled to a royalty from commercialization of the collaboration target, dependent on the proportion of their co-development contributions compared to the total development costs of a target as defined within the agreement. The Company concluded that the agreement with AbCellera will be accounted for under the scope of ASC 808 as both parties will actively participate in joint operating activities and are exposed to significant risks and rewards. Under ASC 808, certain transactions between collaborative arrangement participants should follow the accounting for revenue under ASC 606 when the collaborative arrangement participant is a customer for a distinct good or service. The Company determined that the co-development arrangement, as defined in its agreement with AbCellera, does not meet the definition of a customer as defined by ASC 606. As a result, these activities will be accounted for as research and development costs. Costs related to the AbCellera collaboration were not material for the years ended December 31, 2024 and 2023.</w:t>
      </w: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121" w:lineRule="exact"/>
        <w:rPr>
          <w:sz w:val="20"/>
          <w:szCs w:val="20"/>
          <w:color w:val="auto"/>
        </w:rPr>
      </w:pPr>
    </w:p>
    <w:p>
      <w:pPr>
        <w:ind w:right="320" w:firstLine="478"/>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CROs to assist in the performance of research and development activities. Expenditures to CROs will represent a significant cost in clinical development for the Company.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currently operates as one operating business segment focused on developing innovative medicines in areas of high unmet need for cancer patients. The Company's determination that it operates as a single segment is consistent with the financial information regularly reviewed by the chief operating decision maker for purposes of evaluating performance, allocating resources, and planning and forecasting for future periods.</w:t>
      </w:r>
    </w:p>
    <w:p>
      <w:pPr>
        <w:spacing w:after="0" w:line="6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loss, which is reported on the statement of operations and comprehensive loss as net loss. The measure of segment assets is reported on the balance sheet as total assets.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To-date, the Company has not recognized any revenue from product sales, and the Company does not expect to generate any revenue from the sale of products in the foreseeable future. Net loss is used to monitor budget versus actual results. Monitoring budgeted versus actual results is used in assessing performance of the segment and to make decisions about the allocation of resources, along with cash forecast models.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summarizes the significant expense categories regularly reviewed by the CODM for the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50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license agreement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PRT2527</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PRT7732</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117,995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146,714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(139,714 )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(132,277 )</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(127,173 )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(121,832 )</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-745490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-454025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As of December 31, 2024, there was $400.0 million remaining under the 2024 Shelf Registration Statement.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its 2021 Shelf Registration Statement, the Company entered into an Open Market Sales Agreement (the "Sales Agreement") with Jefferies LLC, as the sales agent, pursuant to which the Company may offer and sell shares of its common stock having an aggregate offering amount of up to $75.0 million. In November 2024, the 2021 Shelf Registration Statement expired with respect to the shares to be sold under the Sales Agreement. Accordingly, the Company will need to register the $75.0 million of common stock that may be issued and sold pursuant to the Sales Agreement on a subsequent registration statement before any future sales are permitted. The Company will pay Jefferies LLC a commission rate of up to 3.0% of the aggregate gross proceeds from the sale of any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pursuant to the Sales Agreement. At December 31, 2024, there was $75.0 million remaining under the Sales Agreement.</w:t>
      </w: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2023 financings</w:t>
      </w:r>
    </w:p>
    <w:p>
      <w:pPr>
        <w:spacing w:after="0" w:line="121"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the Company sold 6,761,200 shares of its common stock which comprised of (i) 5,312,978 shares of its voting common stock and (ii) 1,448,222 shares of its non-voting common stock at a price of $5.75 per share and to certain investors in lieu of common stock, the Company sold pre-funded warrants to purchase 12,895,256 shares of voting common stock at a price of $5.7499 per pre-funded warrant, resulting in gross proceeds to the Company of $113.0 million. Of the voting common stock issued, 2,264,456 shares were purchased by the Company’s underwriters in connection with a 30-day option at a price of $5.75 per share. Offering costs of $2.6 million, of which $0.3 million were previously paid and deferred, were recorded to additional paid-in capital in the accompanying balance sheets, resulting in net proceeds of $110.4 million.</w:t>
      </w:r>
    </w:p>
    <w:p>
      <w:pPr>
        <w:spacing w:after="0" w:line="79"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Company sold in a private placement pre-funded warrants to purchase 7,936,759 shares of voting common stock at a price of $3.1499 per pre-funded warrant, resulting in net proceeds of $24.8 million after deducting offering costs of $0.2 million.</w:t>
      </w:r>
    </w:p>
    <w:p>
      <w:pPr>
        <w:spacing w:after="0" w:line="54"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The purchase price per share of each pre-funded warrant represents the per share offering price for the common stock, minus the $0.0001 per share exercise price of such pre-funded warrant. As of December 31, 2024, no pre-funded warrants had been exercised.</w:t>
      </w:r>
    </w:p>
    <w:p>
      <w:pPr>
        <w:spacing w:after="0" w:line="54"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did not conduct any financings in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The total number of shares initially authorized under the Plan was 4,680,000, which was increased on January 1, 2021 and will automatically increase on January 1st of each year, continuing for ten years, in an amount equal to five percent of the total number of shares of the Company’s common stock outstanding on December 31 of the preceding calendar year, subject to the discretion of the board of directors or compensation committee to determine a lesser number of shares shall be added for such year. At December 31, 2024, 5,417,370 shares were available for future grants and on January 1, 2025, 2,757,455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w:t>
      </w:r>
    </w:p>
    <w:p>
      <w:pPr>
        <w:spacing w:after="0" w:line="188" w:lineRule="exact"/>
        <w:rPr>
          <w:sz w:val="20"/>
          <w:szCs w:val="20"/>
          <w:color w:val="auto"/>
        </w:rPr>
      </w:pPr>
    </w:p>
    <w:p>
      <w:pPr>
        <w:ind w:right="100" w:firstLine="478"/>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40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shd w:val="clear" w:color="auto" w:fill="CFF0FC"/>
          </w:tcPr>
          <w:p>
            <w:pPr>
              <w:spacing w:after="0"/>
              <w:rPr>
                <w:sz w:val="21"/>
                <w:szCs w:val="21"/>
                <w:color w:val="auto"/>
              </w:rPr>
            </w:pPr>
          </w:p>
        </w:tc>
        <w:tc>
          <w:tcPr>
            <w:tcW w:w="4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372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Plan in the years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6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1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4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9,390,930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3,238,898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(26,899 )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(704,483 )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3,922,800</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(14,955 )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(1,593,753 )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14,212,538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8,518,940</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11.09</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-770890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-753745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520" w:firstLine="47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was $20 thousand and $0.1 million during the year ended December 31, 2024 and 2023, respectively. At December 31, 2024, the aggregate intrinsic value of outstanding options and exercisable options was $0.1 million and $40 thousand, respectively.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2024 under the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ind w:left="28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left="28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140" w:type="dxa"/>
            <w:vAlign w:val="bottom"/>
          </w:tcPr>
          <w:p>
            <w:pPr>
              <w:jc w:val="center"/>
              <w:ind w:left="28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5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$0.31</w:t>
            </w:r>
          </w:p>
        </w:tc>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$4.56</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2,991,916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2,051,205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$4.57</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$5.43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3,741,327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841,091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$5.44</w:t>
            </w:r>
          </w:p>
        </w:tc>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$11.72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4,088,593</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2,404,123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$11.73 - $88.98</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3,390,702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21.20</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3,222,521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14,212,538</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8,518,940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300" w:firstLine="47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$3.25 and $4.87 per share for the years ended December 31, 2024 and 2023, respectively. The Company recorded stock-based compensation expense of $20.8 million and $24.6 million for the years ended December 31, 2024 and 2023, respectively, related to stock options. As of December 31, 2024, the total unrecognized compensation expense related to unvested stock option awards was $21.9 million, which the Company expects to recognize over a weighted-average period of 2.04 years.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4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8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09"/>
        </w:trPr>
        <w:tc>
          <w:tcPr>
            <w:tcW w:w="8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84.96 %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83.57 %</w:t>
            </w: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3.82 %</w:t>
            </w:r>
          </w:p>
        </w:tc>
      </w:tr>
      <w:tr>
        <w:trPr>
          <w:trHeight w:val="216"/>
        </w:trPr>
        <w:tc>
          <w:tcPr>
            <w:tcW w:w="8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shd w:val="clear" w:color="auto" w:fill="CFF0FC"/>
          </w:tcPr>
          <w:p>
            <w:pPr>
              <w:spacing w:after="0"/>
              <w:rPr>
                <w:sz w:val="18"/>
                <w:szCs w:val="18"/>
                <w:color w:val="auto"/>
              </w:rPr>
            </w:pPr>
          </w:p>
        </w:tc>
      </w:tr>
      <w:tr>
        <w:trPr>
          <w:trHeight w:val="234"/>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75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121" w:lineRule="exact"/>
        <w:rPr>
          <w:sz w:val="20"/>
          <w:szCs w:val="20"/>
          <w:color w:val="auto"/>
        </w:rPr>
      </w:pPr>
    </w:p>
    <w:p>
      <w:pPr>
        <w:jc w:val="both"/>
        <w:ind w:right="200" w:firstLine="478"/>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1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201,716</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(174,708 )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(27,008 )</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520" w:firstLine="47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$0.1 million and $0.5 million for the years ended December 31, 2024 and 2023, respectively, related to RSAs.</w:t>
      </w:r>
    </w:p>
    <w:p>
      <w:pPr>
        <w:spacing w:after="0" w:line="54" w:lineRule="exact"/>
        <w:rPr>
          <w:sz w:val="20"/>
          <w:szCs w:val="20"/>
          <w:color w:val="auto"/>
        </w:rPr>
      </w:pPr>
    </w:p>
    <w:p>
      <w:pPr>
        <w:ind w:right="60" w:firstLine="478"/>
        <w:spacing w:after="0" w:line="282" w:lineRule="auto"/>
        <w:rPr>
          <w:sz w:val="20"/>
          <w:szCs w:val="20"/>
          <w:color w:val="auto"/>
        </w:rPr>
      </w:pPr>
      <w:r>
        <w:rPr>
          <w:rFonts w:ascii="Times New Roman" w:cs="Times New Roman" w:eastAsia="Times New Roman" w:hAnsi="Times New Roman"/>
          <w:sz w:val="18"/>
          <w:szCs w:val="18"/>
          <w:color w:val="auto"/>
        </w:rPr>
        <w:t>The Company issues restricted stock units (“RSU”) to employees that generally vest over a four-year period with 25% of awards vesting after 1 year and then quarterly thereafter. Any unvested shares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tbl>
      <w:tblPr>
        <w:tblLayout w:type="fixed"/>
        <w:tblInd w:w="0" w:type="dxa"/>
        <w:tblCellMar>
          <w:top w:w="0" w:type="dxa"/>
          <w:left w:w="0" w:type="dxa"/>
          <w:bottom w:w="0" w:type="dxa"/>
          <w:right w:w="0" w:type="dxa"/>
        </w:tblCellMar>
      </w:tblPr>
      <w:tr>
        <w:trPr>
          <w:trHeight w:val="151"/>
        </w:trPr>
        <w:tc>
          <w:tcPr>
            <w:tcW w:w="7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(61,250 )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(42,500 )</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(5,000 )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-471170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340" w:firstLine="478"/>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$0.3 million for each of the years ended December 31, 2024 and 2023, related to RSUs. At December 31, 2024 the total unrecognized expense related to the RSUs was $0.2 million, which the Company expects to recognize over 1.25 years.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December 31, 2024 had 1,975,570 shares of common stock reserved for future issuance. The Company issued 192,864 shares under the ESPP in 2024.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As such, on January 1, 2025, 551,491 shares were added to the ESPP.</w:t>
      </w:r>
    </w:p>
    <w:p>
      <w:pPr>
        <w:spacing w:after="0" w:line="187" w:lineRule="exact"/>
        <w:rPr>
          <w:sz w:val="20"/>
          <w:szCs w:val="20"/>
          <w:color w:val="auto"/>
        </w:rPr>
      </w:pPr>
    </w:p>
    <w:p>
      <w:pPr>
        <w:ind w:right="280" w:firstLine="479"/>
        <w:spacing w:after="0" w:line="261"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compensation. Under the ESPP, a participant may not accrue rights to purchase more than $25,000 worth of the Company’s common stock for each calendar year in which such right is outstanding.</w:t>
      </w:r>
    </w:p>
    <w:p>
      <w:pPr>
        <w:spacing w:after="0" w:line="162"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$0.2 million and $0.3 million for the years ended December 31, 2024 and 2023, respectively, related to the ESPP.</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6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81,520</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(182,642 )</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(147,616 )</w:t>
            </w:r>
          </w:p>
        </w:tc>
        <w:tc>
          <w:tcPr>
            <w:tcW w:w="0" w:type="dxa"/>
            <w:vAlign w:val="bottom"/>
          </w:tcPr>
          <w:p>
            <w:pPr>
              <w:spacing w:after="0"/>
              <w:rPr>
                <w:sz w:val="1"/>
                <w:szCs w:val="1"/>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(4,595 )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(4,641 )</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(420 )</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(5,015 )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(5,013 )</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-1156335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The deferred tax assets as of December 31, 2024 and 2023, includes capitalized research and development expenses of $59.3 million and $39.9 million, respectively. The Tax Cuts and Jobs Act passed in 2017 included a provision which requires taxpayers to capitalize and amortize U.S. based research development expenses over a period of five years and non-U.S. based research and development expenses over a period of 15 years effective for tax years beginning after December 31, 2021. 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2024 and December 31, 2023. The valuation allowance increased by $35.0 million and $36.6 million during the years ended December 31, 2024 and 2023,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is as follows:</w:t>
      </w:r>
    </w:p>
    <w:p>
      <w:pPr>
        <w:spacing w:after="0" w:line="246"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44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carryforwards of federal and state net operating losses (“NOL”) and research tax credits: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NOL carryforwards - Federal</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292,193</w:t>
            </w: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 carryforwards - State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293,621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tax credits - Federal</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23,634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credits - State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-1382395</wp:posOffset>
            </wp:positionV>
            <wp:extent cx="1543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-1382395</wp:posOffset>
            </wp:positionV>
            <wp:extent cx="1543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86" w:lineRule="exact"/>
        <w:rPr>
          <w:sz w:val="20"/>
          <w:szCs w:val="20"/>
          <w:color w:val="auto"/>
        </w:rPr>
      </w:pPr>
    </w:p>
    <w:p>
      <w:pPr>
        <w:ind w:right="80" w:firstLine="478"/>
        <w:spacing w:after="0" w:line="258" w:lineRule="auto"/>
        <w:rPr>
          <w:sz w:val="20"/>
          <w:szCs w:val="20"/>
          <w:color w:val="auto"/>
        </w:rPr>
      </w:pPr>
      <w:r>
        <w:rPr>
          <w:rFonts w:ascii="Times New Roman" w:cs="Times New Roman" w:eastAsia="Times New Roman" w:hAnsi="Times New Roman"/>
          <w:sz w:val="18"/>
          <w:szCs w:val="18"/>
          <w:color w:val="auto"/>
        </w:rPr>
        <w:t>The NOL carryforwards begin expiring in 2036 for federal and Delaware state income tax purposes, however; all federal, Delaware state, and Kansas state NOL carryforwards generated subsequent to January 1, 2018, are able to be carried forward indefinitely. The NOL carryforwards begin expiring in 2037 and 2042 for Tennessee and Massachusetts, respectively. As of December 31, 2024, the Company also had federal and Delaware research and development tax credit carryforwards of $23.6 million and $43 thousand, respectively, that will begin to expire in 2039 and 2031, respectively, unless previously utilized.</w:t>
      </w:r>
    </w:p>
    <w:p>
      <w:pPr>
        <w:spacing w:after="0" w:line="183" w:lineRule="exact"/>
        <w:rPr>
          <w:sz w:val="20"/>
          <w:szCs w:val="20"/>
          <w:color w:val="auto"/>
        </w:rPr>
      </w:pPr>
    </w:p>
    <w:p>
      <w:pPr>
        <w:ind w:right="100" w:firstLine="478"/>
        <w:spacing w:after="0" w:line="255" w:lineRule="auto"/>
        <w:rPr>
          <w:sz w:val="20"/>
          <w:szCs w:val="20"/>
          <w:color w:val="auto"/>
        </w:rPr>
      </w:pPr>
      <w:r>
        <w:rPr>
          <w:rFonts w:ascii="Times New Roman" w:cs="Times New Roman" w:eastAsia="Times New Roman" w:hAnsi="Times New Roman"/>
          <w:sz w:val="18"/>
          <w:szCs w:val="18"/>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Delaware state NOLs may also be limited.</w:t>
      </w:r>
    </w:p>
    <w:p>
      <w:pPr>
        <w:spacing w:after="0" w:line="189"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no accrued interest or penalties related to uncertain tax positions and no amounts have been recognized in the Company’s statement of operations. Due to NOL and tax credit carry-forwards that remain unutilized, income tax returns for all tax years remain subject to examination by the taxing jurisdictions. The NOL carryforwards remain subject to review until utilized.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12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(our principal executive officer) and our Chief Financial Officer (our principal accounting officer), we evaluated the effectiveness of the design and operation of our disclosure controls and procedures (as defined in Rules 13a-15(e) and 15d-15(e) under the Exchange Act)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management’s evaluation (with the participation of our Chief Executive Officer and our Chief Financial Officer), as of the end of the period covered by this report, our Chief Executive Officer and our Chief Financial Officer have concluded that our disclosure controls and procedures were effective at the reasonable assurance level.</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promulgated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89" w:lineRule="exact"/>
        <w:rPr>
          <w:sz w:val="20"/>
          <w:szCs w:val="20"/>
          <w:color w:val="auto"/>
        </w:rPr>
      </w:pPr>
    </w:p>
    <w:p>
      <w:pPr>
        <w:jc w:val="both"/>
        <w:ind w:right="580" w:firstLine="479"/>
        <w:spacing w:after="0" w:line="266" w:lineRule="auto"/>
        <w:rPr>
          <w:sz w:val="20"/>
          <w:szCs w:val="20"/>
          <w:color w:val="auto"/>
        </w:rPr>
      </w:pPr>
      <w:r>
        <w:rPr>
          <w:rFonts w:ascii="Times New Roman" w:cs="Times New Roman" w:eastAsia="Times New Roman" w:hAnsi="Times New Roman"/>
          <w:sz w:val="18"/>
          <w:szCs w:val="18"/>
          <w:color w:val="auto"/>
        </w:rPr>
        <w:t>Our management conducted an assessment of our internal control over financial reporting based on the framework established in 2013 by the Committee of Sponsoring Organizations of the Treadway Commission in Internal Control-Integrated Framework (2013). Based on the assessment, management concluded that our internal control over financial reporting was effective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220" w:firstLine="479"/>
        <w:spacing w:after="0" w:line="236"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occurred during the quarter ended December 31, 2024 that have materially affected, or are reasonably likely to materially affect, our internal controls over financial reporting.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w:t>
      </w:r>
    </w:p>
    <w:p>
      <w:pPr>
        <w:spacing w:after="0" w:line="54"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The Company has adopted a policy statement regarding securities transactions (the "Trading Policy") that applies to all officers, directors, employees, consultants, and contractors of the Company and its subsidiaries, as well as the Company itself. The Company believes that the Trading Policy is reasonably designed to promote compliance with insider trading laws, rules and regulations with respect to the purchase, sale and/or other dispositions of the Company's securities. A copy of the Trading Policy is filed as Exhibit 19 to this Annual Report on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17" w:name="page118"/>
    <w:bookmarkEnd w:id="1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19" w:lineRule="exact"/>
        <w:rPr>
          <w:sz w:val="20"/>
          <w:szCs w:val="20"/>
          <w:color w:val="auto"/>
        </w:rPr>
      </w:pPr>
    </w:p>
    <w:p>
      <w:pPr>
        <w:ind w:left="840" w:hanging="368"/>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580" w:firstLine="47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160" w:lineRule="exact"/>
        <w:rPr>
          <w:sz w:val="20"/>
          <w:szCs w:val="20"/>
          <w:color w:val="auto"/>
        </w:rPr>
      </w:pPr>
    </w:p>
    <w:p>
      <w:pPr>
        <w:ind w:left="840" w:hanging="368"/>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160" w:lineRule="exact"/>
        <w:rPr>
          <w:sz w:val="20"/>
          <w:szCs w:val="20"/>
          <w:color w:val="auto"/>
        </w:rPr>
      </w:pPr>
    </w:p>
    <w:p>
      <w:pPr>
        <w:ind w:left="840" w:hanging="368"/>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73"/>
        </w:trPr>
        <w:tc>
          <w:tcPr>
            <w:tcW w:w="72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tcPr>
          <w:p>
            <w:pPr>
              <w:ind w:left="840"/>
              <w:spacing w:after="0" w:line="153" w:lineRule="exact"/>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Herewith</w:t>
            </w:r>
          </w:p>
        </w:tc>
      </w:tr>
      <w:tr>
        <w:trPr>
          <w:trHeight w:val="149"/>
        </w:trPr>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9"/>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Form</w:t>
            </w:r>
          </w:p>
        </w:tc>
        <w:tc>
          <w:tcPr>
            <w:tcW w:w="1460" w:type="dxa"/>
            <w:vAlign w:val="bottom"/>
            <w:tcBorders>
              <w:bottom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color w:val="auto"/>
              </w:rPr>
              <w:t>File No.</w:t>
            </w:r>
          </w:p>
        </w:tc>
        <w:tc>
          <w:tcPr>
            <w:tcW w:w="122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Exhibit</w:t>
            </w:r>
          </w:p>
        </w:tc>
        <w:tc>
          <w:tcPr>
            <w:tcW w:w="2820" w:type="dxa"/>
            <w:vAlign w:val="bottom"/>
            <w:tcBorders>
              <w:bottom w:val="single" w:sz="8" w:color="auto"/>
            </w:tcBorders>
            <w:gridSpan w:val="2"/>
          </w:tcPr>
          <w:p>
            <w:pPr>
              <w:jc w:val="center"/>
              <w:ind w:right="1208"/>
              <w:spacing w:after="0" w:line="142" w:lineRule="exact"/>
              <w:rPr>
                <w:sz w:val="20"/>
                <w:szCs w:val="20"/>
                <w:color w:val="auto"/>
              </w:rPr>
            </w:pPr>
            <w:r>
              <w:rPr>
                <w:rFonts w:ascii="Times New Roman" w:cs="Times New Roman" w:eastAsia="Times New Roman" w:hAnsi="Times New Roman"/>
                <w:sz w:val="14"/>
                <w:szCs w:val="14"/>
                <w:color w:val="auto"/>
              </w:rPr>
              <w:t>Filing Date</w:t>
            </w:r>
          </w:p>
        </w:tc>
      </w:tr>
      <w:tr>
        <w:trPr>
          <w:trHeight w:val="284"/>
        </w:trPr>
        <w:tc>
          <w:tcPr>
            <w:tcW w:w="7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24"/>
                <w:szCs w:val="24"/>
                <w:color w:val="auto"/>
              </w:rPr>
            </w:pPr>
          </w:p>
        </w:tc>
        <w:tc>
          <w:tcPr>
            <w:tcW w:w="3800" w:type="dxa"/>
            <w:vAlign w:val="bottom"/>
            <w:gridSpan w:val="10"/>
          </w:tcPr>
          <w:p>
            <w:pPr>
              <w:spacing w:after="0"/>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Amended and Restated Certificate of Incorporation of Prelude</w:t>
              </w:r>
            </w:hyperlink>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3.1</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August 3, 2023</w:t>
            </w:r>
          </w:p>
        </w:tc>
      </w:tr>
      <w:tr>
        <w:trPr>
          <w:trHeight w:val="128"/>
        </w:trPr>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2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Therapeutics Incorporated.</w:t>
              </w:r>
            </w:hyperlink>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r>
      <w:tr>
        <w:trPr>
          <w:trHeight w:val="277"/>
        </w:trPr>
        <w:tc>
          <w:tcPr>
            <w:tcW w:w="7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24"/>
                <w:szCs w:val="24"/>
                <w:color w:val="auto"/>
              </w:rPr>
            </w:pPr>
          </w:p>
        </w:tc>
        <w:tc>
          <w:tcPr>
            <w:tcW w:w="3800" w:type="dxa"/>
            <w:vAlign w:val="bottom"/>
            <w:gridSpan w:val="10"/>
          </w:tcPr>
          <w:p>
            <w:pPr>
              <w:spacing w:after="0"/>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Amended and Restated Bylaws of Prelude Therapeutics</w:t>
              </w:r>
            </w:hyperlink>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January 23, 2023</w:t>
            </w:r>
          </w:p>
        </w:tc>
      </w:tr>
      <w:tr>
        <w:trPr>
          <w:trHeight w:val="128"/>
        </w:trPr>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40" w:type="dxa"/>
            <w:vAlign w:val="bottom"/>
            <w:tcBorders>
              <w:top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Incorporated.</w:t>
              </w:r>
            </w:hyperlink>
          </w:p>
        </w:tc>
        <w:tc>
          <w:tcPr>
            <w:tcW w:w="22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r>
      <w:tr>
        <w:trPr>
          <w:trHeight w:val="277"/>
        </w:trPr>
        <w:tc>
          <w:tcPr>
            <w:tcW w:w="7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24"/>
                <w:szCs w:val="24"/>
                <w:color w:val="auto"/>
              </w:rPr>
            </w:pPr>
          </w:p>
        </w:tc>
        <w:tc>
          <w:tcPr>
            <w:tcW w:w="3800" w:type="dxa"/>
            <w:vAlign w:val="bottom"/>
            <w:gridSpan w:val="10"/>
          </w:tcPr>
          <w:p>
            <w:pPr>
              <w:spacing w:after="0"/>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Form of Common Stock Certificate</w:t>
              </w:r>
            </w:hyperlink>
            <w:r>
              <w:rPr>
                <w:rFonts w:ascii="Times New Roman" w:cs="Times New Roman" w:eastAsia="Times New Roman" w:hAnsi="Times New Roman"/>
                <w:sz w:val="14"/>
                <w:szCs w:val="14"/>
                <w:u w:val="single" w:color="auto"/>
                <w:color w:val="0563C1"/>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4.1</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16, 2020</w:t>
            </w:r>
          </w:p>
        </w:tc>
      </w:tr>
      <w:tr>
        <w:trPr>
          <w:trHeight w:val="20"/>
        </w:trPr>
        <w:tc>
          <w:tcPr>
            <w:tcW w:w="7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r>
      <w:tr>
        <w:trPr>
          <w:trHeight w:val="277"/>
        </w:trPr>
        <w:tc>
          <w:tcPr>
            <w:tcW w:w="7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24"/>
                <w:szCs w:val="24"/>
                <w:color w:val="auto"/>
              </w:rPr>
            </w:pPr>
          </w:p>
        </w:tc>
        <w:tc>
          <w:tcPr>
            <w:tcW w:w="3800" w:type="dxa"/>
            <w:vAlign w:val="bottom"/>
            <w:gridSpan w:val="10"/>
          </w:tcPr>
          <w:p>
            <w:pPr>
              <w:spacing w:after="0"/>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Amended and Restated Investors’ Rights Agreement, dated</w:t>
              </w:r>
            </w:hyperlink>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4.2</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4, 2020</w:t>
            </w:r>
          </w:p>
        </w:tc>
      </w:tr>
      <w:tr>
        <w:trPr>
          <w:trHeight w:val="128"/>
        </w:trPr>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tcBorders>
              <w:top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August 21, 2020, by and among Prelude Therapeutics</w:t>
              </w:r>
            </w:hyperlink>
          </w:p>
        </w:tc>
        <w:tc>
          <w:tcPr>
            <w:tcW w:w="340" w:type="dxa"/>
            <w:vAlign w:val="bottom"/>
            <w:gridSpan w:val="2"/>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Incorporated and certain of its stockholders</w:t>
              </w:r>
            </w:hyperlink>
          </w:p>
        </w:tc>
        <w:tc>
          <w:tcPr>
            <w:tcW w:w="20" w:type="dxa"/>
            <w:vAlign w:val="bottom"/>
            <w:tcBorders>
              <w:top w:val="single" w:sz="8" w:color="0000FF"/>
              <w:bottom w:val="single" w:sz="8" w:color="0000EE"/>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660" w:type="dxa"/>
            <w:vAlign w:val="bottom"/>
            <w:gridSpan w:val="4"/>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26" w:lineRule="exact"/>
        <w:rPr>
          <w:sz w:val="20"/>
          <w:szCs w:val="20"/>
          <w:color w:val="auto"/>
        </w:rPr>
      </w:pPr>
    </w:p>
    <w:p>
      <w:pPr>
        <w:sectPr>
          <w:pgSz w:w="11900" w:h="16838" w:orient="portrait"/>
          <w:cols w:equalWidth="0" w:num="1">
            <w:col w:w="11240"/>
          </w:cols>
          <w:pgMar w:left="320" w:top="1089"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4.3</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br w:type="column"/>
      </w:r>
    </w:p>
    <w:p>
      <w:pPr>
        <w:spacing w:after="0" w:line="261" w:lineRule="auto"/>
        <w:rPr>
          <w:rFonts w:ascii="Times New Roman" w:cs="Times New Roman" w:eastAsia="Times New Roman" w:hAnsi="Times New Roman"/>
          <w:sz w:val="14"/>
          <w:szCs w:val="14"/>
          <w:u w:val="single" w:color="auto"/>
          <w:color w:val="0000FF"/>
        </w:rPr>
      </w:pPr>
      <w:hyperlink r:id="rId303">
        <w:r>
          <w:rPr>
            <w:rFonts w:ascii="Times New Roman" w:cs="Times New Roman" w:eastAsia="Times New Roman" w:hAnsi="Times New Roman"/>
            <w:sz w:val="14"/>
            <w:szCs w:val="14"/>
            <w:u w:val="single" w:color="auto"/>
            <w:color w:val="0000FF"/>
          </w:rPr>
          <w:t>Form of Registration Rights Agreement, by and among Prelude</w:t>
        </w:r>
      </w:hyperlink>
      <w:r>
        <w:rPr>
          <w:rFonts w:ascii="Times New Roman" w:cs="Times New Roman" w:eastAsia="Times New Roman" w:hAnsi="Times New Roman"/>
          <w:sz w:val="14"/>
          <w:szCs w:val="14"/>
          <w:u w:val="single" w:color="auto"/>
          <w:color w:val="0000FF"/>
        </w:rPr>
        <w:t xml:space="preserve"> </w:t>
      </w:r>
      <w:hyperlink r:id="rId303">
        <w:r>
          <w:rPr>
            <w:rFonts w:ascii="Times New Roman" w:cs="Times New Roman" w:eastAsia="Times New Roman" w:hAnsi="Times New Roman"/>
            <w:sz w:val="14"/>
            <w:szCs w:val="14"/>
            <w:u w:val="single" w:color="auto"/>
            <w:color w:val="0000FF"/>
          </w:rPr>
          <w:t>Therapeutics Incorporated and certain of its stockholders</w:t>
        </w:r>
        <w:r>
          <w:rPr>
            <w:rFonts w:ascii="Times New Roman" w:cs="Times New Roman" w:eastAsia="Times New Roman" w:hAnsi="Times New Roman"/>
            <w:sz w:val="14"/>
            <w:szCs w:val="14"/>
            <w:u w:val="single" w:color="auto"/>
            <w:color w:val="0563C1"/>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23444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23444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-27305</wp:posOffset>
            </wp:positionV>
            <wp:extent cx="20796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16"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306">
        <w:r>
          <w:rPr>
            <w:rFonts w:ascii="Times New Roman" w:cs="Times New Roman" w:eastAsia="Times New Roman" w:hAnsi="Times New Roman"/>
            <w:sz w:val="14"/>
            <w:szCs w:val="14"/>
            <w:u w:val="single" w:color="auto"/>
            <w:color w:val="0000FF"/>
          </w:rPr>
          <w:t>Form of Amended and Restated Registration Rights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2354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7" w:lineRule="exact"/>
        <w:rPr>
          <w:sz w:val="20"/>
          <w:szCs w:val="20"/>
          <w:color w:val="auto"/>
        </w:rPr>
      </w:pPr>
    </w:p>
    <w:p>
      <w:pPr>
        <w:ind w:right="160"/>
        <w:spacing w:after="0" w:line="243" w:lineRule="auto"/>
        <w:rPr>
          <w:rFonts w:ascii="Times New Roman" w:cs="Times New Roman" w:eastAsia="Times New Roman" w:hAnsi="Times New Roman"/>
          <w:sz w:val="14"/>
          <w:szCs w:val="14"/>
          <w:u w:val="single" w:color="auto"/>
          <w:color w:val="0000FF"/>
        </w:rPr>
      </w:pPr>
      <w:hyperlink r:id="rId306">
        <w:r>
          <w:rPr>
            <w:rFonts w:ascii="Times New Roman" w:cs="Times New Roman" w:eastAsia="Times New Roman" w:hAnsi="Times New Roman"/>
            <w:sz w:val="14"/>
            <w:szCs w:val="14"/>
            <w:u w:val="single" w:color="auto"/>
            <w:color w:val="0000FF"/>
          </w:rPr>
          <w:t>by and among Prelude Therapeutics Incorporated and certain</w:t>
        </w:r>
      </w:hyperlink>
      <w:r>
        <w:rPr>
          <w:rFonts w:ascii="Times New Roman" w:cs="Times New Roman" w:eastAsia="Times New Roman" w:hAnsi="Times New Roman"/>
          <w:sz w:val="14"/>
          <w:szCs w:val="14"/>
          <w:u w:val="single" w:color="auto"/>
          <w:color w:val="0000FF"/>
        </w:rPr>
        <w:t xml:space="preserve"> </w:t>
      </w:r>
      <w:hyperlink r:id="rId306">
        <w:r>
          <w:rPr>
            <w:rFonts w:ascii="Times New Roman" w:cs="Times New Roman" w:eastAsia="Times New Roman" w:hAnsi="Times New Roman"/>
            <w:sz w:val="14"/>
            <w:szCs w:val="14"/>
            <w:u w:val="single" w:color="auto"/>
            <w:color w:val="0000FF"/>
          </w:rPr>
          <w:t>Investors.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22523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22523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-19685</wp:posOffset>
            </wp:positionV>
            <wp:extent cx="35750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3575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S-1</w:t>
            </w:r>
          </w:p>
        </w:tc>
        <w:tc>
          <w:tcPr>
            <w:tcW w:w="1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333-251874</w:t>
            </w: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4.3</w:t>
            </w:r>
          </w:p>
        </w:tc>
        <w:tc>
          <w:tcPr>
            <w:tcW w:w="146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January 4, 2021</w:t>
            </w:r>
          </w:p>
        </w:tc>
      </w:tr>
      <w:tr>
        <w:trPr>
          <w:trHeight w:val="445"/>
        </w:trPr>
        <w:tc>
          <w:tcPr>
            <w:tcW w:w="70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10-K</w:t>
            </w:r>
          </w:p>
        </w:tc>
        <w:tc>
          <w:tcPr>
            <w:tcW w:w="15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001-39527</w:t>
            </w: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4.4</w:t>
            </w:r>
          </w:p>
        </w:tc>
        <w:tc>
          <w:tcPr>
            <w:tcW w:w="146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February 15, 2024</w:t>
            </w:r>
          </w:p>
        </w:tc>
      </w:tr>
    </w:tbl>
    <w:p>
      <w:pPr>
        <w:spacing w:after="0" w:line="470" w:lineRule="exact"/>
        <w:rPr>
          <w:sz w:val="20"/>
          <w:szCs w:val="20"/>
          <w:color w:val="auto"/>
        </w:rPr>
      </w:pPr>
    </w:p>
    <w:p>
      <w:pPr>
        <w:sectPr>
          <w:pgSz w:w="11900" w:h="16838" w:orient="portrait"/>
          <w:cols w:equalWidth="0" w:num="3">
            <w:col w:w="200" w:space="660"/>
            <w:col w:w="3660" w:space="520"/>
            <w:col w:w="6200"/>
          </w:cols>
          <w:pgMar w:left="320" w:top="1089"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3720" w:type="dxa"/>
            <w:vAlign w:val="bottom"/>
            <w:gridSpan w:val="12"/>
          </w:tcPr>
          <w:p>
            <w:pPr>
              <w:spacing w:after="0"/>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Description of Voting Common Stock Registered Under Section</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5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69"/>
        </w:trPr>
        <w:tc>
          <w:tcPr>
            <w:tcW w:w="86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12 of the Securities Exchange Act of 1943, as amended</w:t>
              </w:r>
              <w:r>
                <w:rPr>
                  <w:rFonts w:ascii="Times New Roman" w:cs="Times New Roman" w:eastAsia="Times New Roman" w:hAnsi="Times New Roman"/>
                  <w:sz w:val="17"/>
                  <w:szCs w:val="17"/>
                  <w:color w:val="0000FF"/>
                </w:rPr>
                <w:t>.</w:t>
              </w:r>
            </w:hyperlink>
          </w:p>
        </w:tc>
        <w:tc>
          <w:tcPr>
            <w:tcW w:w="500" w:type="dxa"/>
            <w:vAlign w:val="bottom"/>
            <w:tcBorders>
              <w:top w:val="single" w:sz="8" w:color="0000FF"/>
            </w:tcBorders>
            <w:gridSpan w:val="8"/>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453"/>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3720" w:type="dxa"/>
            <w:vAlign w:val="bottom"/>
            <w:gridSpan w:val="12"/>
          </w:tcPr>
          <w:p>
            <w:pPr>
              <w:spacing w:after="0"/>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Form of Pre-Funded Warrant</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May 19, 2023</w:t>
            </w: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3720" w:type="dxa"/>
            <w:vAlign w:val="bottom"/>
            <w:gridSpan w:val="12"/>
          </w:tcPr>
          <w:p>
            <w:pPr>
              <w:spacing w:after="0"/>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Form of Pre-Funded Warrant</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5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3720" w:type="dxa"/>
            <w:vAlign w:val="bottom"/>
            <w:gridSpan w:val="12"/>
          </w:tcPr>
          <w:p>
            <w:pPr>
              <w:spacing w:after="0"/>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Form of Indemnification Agreement with directors and officers</w:t>
              </w:r>
            </w:hyperlink>
            <w:r>
              <w:rPr>
                <w:rFonts w:ascii="Times New Roman" w:cs="Times New Roman" w:eastAsia="Times New Roman" w:hAnsi="Times New Roman"/>
                <w:sz w:val="14"/>
                <w:szCs w:val="14"/>
                <w:u w:val="single" w:color="auto"/>
                <w:color w:val="0563C1"/>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September 4, 2020</w:t>
            </w: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280" w:type="dxa"/>
            <w:vAlign w:val="bottom"/>
          </w:tcPr>
          <w:p>
            <w:pPr>
              <w:spacing w:after="0"/>
              <w:rPr>
                <w:rFonts w:ascii="Times New Roman" w:cs="Times New Roman" w:eastAsia="Times New Roman" w:hAnsi="Times New Roman"/>
                <w:sz w:val="14"/>
                <w:szCs w:val="14"/>
                <w:color w:val="0000FF"/>
                <w:w w:val="92"/>
              </w:rPr>
            </w:pPr>
            <w:hyperlink r:id="rId314">
              <w:r>
                <w:rPr>
                  <w:rFonts w:ascii="Times New Roman" w:cs="Times New Roman" w:eastAsia="Times New Roman" w:hAnsi="Times New Roman"/>
                  <w:sz w:val="14"/>
                  <w:szCs w:val="14"/>
                  <w:color w:val="0000FF"/>
                  <w:w w:val="92"/>
                </w:rPr>
                <w:t>2016</w:t>
              </w:r>
            </w:hyperlink>
          </w:p>
        </w:tc>
        <w:tc>
          <w:tcPr>
            <w:tcW w:w="3440" w:type="dxa"/>
            <w:vAlign w:val="bottom"/>
            <w:gridSpan w:val="11"/>
          </w:tcPr>
          <w:p>
            <w:pPr>
              <w:ind w:left="20"/>
              <w:spacing w:after="0"/>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Stock Incentive Plan, as amended, and forms of award</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September 4, 2020</w:t>
            </w:r>
          </w:p>
        </w:tc>
      </w:tr>
      <w:tr>
        <w:trPr>
          <w:trHeight w:val="128"/>
        </w:trPr>
        <w:tc>
          <w:tcPr>
            <w:tcW w:w="860" w:type="dxa"/>
            <w:vAlign w:val="bottom"/>
          </w:tcPr>
          <w:p>
            <w:pPr>
              <w:spacing w:after="0"/>
              <w:rPr>
                <w:sz w:val="11"/>
                <w:szCs w:val="11"/>
                <w:color w:val="auto"/>
              </w:rPr>
            </w:pPr>
          </w:p>
        </w:tc>
        <w:tc>
          <w:tcPr>
            <w:tcW w:w="3480" w:type="dxa"/>
            <w:vAlign w:val="bottom"/>
            <w:tcBorders>
              <w:top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agreements</w:t>
              </w:r>
              <w:r>
                <w:rPr>
                  <w:rFonts w:ascii="Times New Roman" w:cs="Times New Roman" w:eastAsia="Times New Roman" w:hAnsi="Times New Roman"/>
                  <w:sz w:val="14"/>
                  <w:szCs w:val="14"/>
                  <w:u w:val="single" w:color="auto"/>
                  <w:color w:val="0563C1"/>
                </w:rPr>
                <w:t>.</w:t>
              </w:r>
            </w:hyperlink>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280" w:type="dxa"/>
            <w:vAlign w:val="bottom"/>
          </w:tcPr>
          <w:p>
            <w:pPr>
              <w:spacing w:after="0"/>
              <w:rPr>
                <w:rFonts w:ascii="Times New Roman" w:cs="Times New Roman" w:eastAsia="Times New Roman" w:hAnsi="Times New Roman"/>
                <w:sz w:val="14"/>
                <w:szCs w:val="14"/>
                <w:color w:val="0000FF"/>
                <w:w w:val="92"/>
              </w:rPr>
            </w:pPr>
            <w:hyperlink r:id="rId315">
              <w:r>
                <w:rPr>
                  <w:rFonts w:ascii="Times New Roman" w:cs="Times New Roman" w:eastAsia="Times New Roman" w:hAnsi="Times New Roman"/>
                  <w:sz w:val="14"/>
                  <w:szCs w:val="14"/>
                  <w:color w:val="0000FF"/>
                  <w:w w:val="92"/>
                </w:rPr>
                <w:t>2020</w:t>
              </w:r>
            </w:hyperlink>
          </w:p>
        </w:tc>
        <w:tc>
          <w:tcPr>
            <w:tcW w:w="3440" w:type="dxa"/>
            <w:vAlign w:val="bottom"/>
            <w:gridSpan w:val="11"/>
          </w:tcPr>
          <w:p>
            <w:pPr>
              <w:ind w:left="20"/>
              <w:spacing w:after="0"/>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Equity Incentive Plan and forms of award agreements</w:t>
              </w:r>
            </w:hyperlink>
            <w:r>
              <w:rPr>
                <w:rFonts w:ascii="Times New Roman" w:cs="Times New Roman" w:eastAsia="Times New Roman" w:hAnsi="Times New Roman"/>
                <w:sz w:val="14"/>
                <w:szCs w:val="14"/>
                <w:u w:val="single" w:color="auto"/>
                <w:color w:val="0563C1"/>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September 21, 2020</w:t>
            </w: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Pr>
          <w:p>
            <w:pPr>
              <w:spacing w:after="0"/>
              <w:rPr>
                <w:rFonts w:ascii="Times New Roman" w:cs="Times New Roman" w:eastAsia="Times New Roman" w:hAnsi="Times New Roman"/>
                <w:sz w:val="14"/>
                <w:szCs w:val="14"/>
                <w:color w:val="0000FF"/>
                <w:w w:val="92"/>
              </w:rPr>
            </w:pPr>
            <w:hyperlink r:id="rId316">
              <w:r>
                <w:rPr>
                  <w:rFonts w:ascii="Times New Roman" w:cs="Times New Roman" w:eastAsia="Times New Roman" w:hAnsi="Times New Roman"/>
                  <w:sz w:val="14"/>
                  <w:szCs w:val="14"/>
                  <w:color w:val="0000FF"/>
                  <w:w w:val="92"/>
                </w:rPr>
                <w:t>2020</w:t>
              </w:r>
            </w:hyperlink>
          </w:p>
        </w:tc>
        <w:tc>
          <w:tcPr>
            <w:tcW w:w="3440" w:type="dxa"/>
            <w:vAlign w:val="bottom"/>
            <w:gridSpan w:val="11"/>
          </w:tcPr>
          <w:p>
            <w:pPr>
              <w:ind w:left="20"/>
              <w:spacing w:after="0"/>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Employee Stock Purchase Plan and forms of award</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September 21, 2020</w:t>
            </w:r>
          </w:p>
        </w:tc>
      </w:tr>
      <w:tr>
        <w:trPr>
          <w:trHeight w:val="128"/>
        </w:trPr>
        <w:tc>
          <w:tcPr>
            <w:tcW w:w="860" w:type="dxa"/>
            <w:vAlign w:val="bottom"/>
          </w:tcPr>
          <w:p>
            <w:pPr>
              <w:spacing w:after="0"/>
              <w:rPr>
                <w:sz w:val="11"/>
                <w:szCs w:val="11"/>
                <w:color w:val="auto"/>
              </w:rPr>
            </w:pPr>
          </w:p>
        </w:tc>
        <w:tc>
          <w:tcPr>
            <w:tcW w:w="3300" w:type="dxa"/>
            <w:vAlign w:val="bottom"/>
            <w:tcBorders>
              <w:top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agreements</w:t>
              </w:r>
              <w:r>
                <w:rPr>
                  <w:rFonts w:ascii="Times New Roman" w:cs="Times New Roman" w:eastAsia="Times New Roman" w:hAnsi="Times New Roman"/>
                  <w:sz w:val="14"/>
                  <w:szCs w:val="14"/>
                  <w:u w:val="single" w:color="auto"/>
                  <w:color w:val="0563C1"/>
                </w:rPr>
                <w:t>.</w:t>
              </w:r>
            </w:hyperlink>
          </w:p>
        </w:tc>
        <w:tc>
          <w:tcPr>
            <w:tcW w:w="160" w:type="dxa"/>
            <w:vAlign w:val="bottom"/>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3720" w:type="dxa"/>
            <w:vAlign w:val="bottom"/>
            <w:gridSpan w:val="12"/>
          </w:tcPr>
          <w:p>
            <w:pPr>
              <w:spacing w:after="0"/>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Second Amended and Restated Entrepreneur Client License</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November 4, 2020</w:t>
            </w:r>
          </w:p>
        </w:tc>
      </w:tr>
      <w:tr>
        <w:trPr>
          <w:trHeight w:val="128"/>
        </w:trPr>
        <w:tc>
          <w:tcPr>
            <w:tcW w:w="860" w:type="dxa"/>
            <w:vAlign w:val="bottom"/>
          </w:tcPr>
          <w:p>
            <w:pPr>
              <w:spacing w:after="0"/>
              <w:rPr>
                <w:sz w:val="11"/>
                <w:szCs w:val="11"/>
                <w:color w:val="auto"/>
              </w:rPr>
            </w:pPr>
          </w:p>
        </w:tc>
        <w:tc>
          <w:tcPr>
            <w:tcW w:w="346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w w:val="98"/>
              </w:rPr>
            </w:pPr>
            <w:hyperlink r:id="rId317">
              <w:r>
                <w:rPr>
                  <w:rFonts w:ascii="Times New Roman" w:cs="Times New Roman" w:eastAsia="Times New Roman" w:hAnsi="Times New Roman"/>
                  <w:sz w:val="14"/>
                  <w:szCs w:val="14"/>
                  <w:color w:val="0000FF"/>
                  <w:w w:val="98"/>
                </w:rPr>
                <w:t>Agreement, dated November 1, 2020, by and between Prelude</w:t>
              </w:r>
            </w:hyperlink>
          </w:p>
        </w:tc>
        <w:tc>
          <w:tcPr>
            <w:tcW w:w="160" w:type="dxa"/>
            <w:vAlign w:val="bottom"/>
            <w:tcBorders>
              <w:bottom w:val="single" w:sz="8" w:color="0000FF"/>
            </w:tcBorders>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9"/>
        </w:trPr>
        <w:tc>
          <w:tcPr>
            <w:tcW w:w="860" w:type="dxa"/>
            <w:vAlign w:val="bottom"/>
          </w:tcPr>
          <w:p>
            <w:pPr>
              <w:spacing w:after="0"/>
              <w:rPr>
                <w:sz w:val="11"/>
                <w:szCs w:val="11"/>
                <w:color w:val="auto"/>
              </w:rPr>
            </w:pPr>
          </w:p>
        </w:tc>
        <w:tc>
          <w:tcPr>
            <w:tcW w:w="3660" w:type="dxa"/>
            <w:vAlign w:val="bottom"/>
            <w:tcBorders>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Therapeutics Incorporated and Delaware Innovation Space, Inc.</w:t>
              </w:r>
            </w:hyperlink>
          </w:p>
        </w:tc>
        <w:tc>
          <w:tcPr>
            <w:tcW w:w="20" w:type="dxa"/>
            <w:vAlign w:val="bottom"/>
            <w:tcBorders>
              <w:bottom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18" w:name="page119"/>
    <w:bookmarkEnd w:id="118"/>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0"/>
        </w:trPr>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8"/>
              </w:rPr>
              <w:t>10.6+</w:t>
            </w:r>
          </w:p>
        </w:tc>
        <w:tc>
          <w:tcPr>
            <w:tcW w:w="3640" w:type="dxa"/>
            <w:vAlign w:val="bottom"/>
            <w:gridSpan w:val="5"/>
          </w:tcPr>
          <w:p>
            <w:pPr>
              <w:spacing w:after="0"/>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Executive Employment Agreement, dated December 30, 2020,</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20" w:type="dxa"/>
            <w:vAlign w:val="bottom"/>
            <w:tcBorders>
              <w:top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by and between the Prelude Therapeutics Incorporated and</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86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8"/>
              </w:rPr>
            </w:pPr>
            <w:hyperlink r:id="rId319">
              <w:r>
                <w:rPr>
                  <w:rFonts w:ascii="Times New Roman" w:cs="Times New Roman" w:eastAsia="Times New Roman" w:hAnsi="Times New Roman"/>
                  <w:sz w:val="14"/>
                  <w:szCs w:val="14"/>
                  <w:color w:val="0000FF"/>
                  <w:w w:val="98"/>
                </w:rPr>
                <w:t>Krishna Vaddi.</w:t>
              </w:r>
            </w:hyperlink>
          </w:p>
        </w:tc>
        <w:tc>
          <w:tcPr>
            <w:tcW w:w="40" w:type="dxa"/>
            <w:vAlign w:val="bottom"/>
            <w:tcBorders>
              <w:top w:val="single" w:sz="8" w:color="0000FF"/>
              <w:bottom w:val="single" w:sz="8" w:color="0000EE"/>
            </w:tcBorders>
          </w:tcPr>
          <w:p>
            <w:pPr>
              <w:spacing w:after="0"/>
              <w:rPr>
                <w:sz w:val="11"/>
                <w:szCs w:val="11"/>
                <w:color w:val="auto"/>
              </w:rPr>
            </w:pPr>
          </w:p>
        </w:tc>
        <w:tc>
          <w:tcPr>
            <w:tcW w:w="250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7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2"/>
            <w:vMerge w:val="continue"/>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Form</w:t>
            </w:r>
          </w:p>
        </w:tc>
        <w:tc>
          <w:tcPr>
            <w:tcW w:w="1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File No.</w:t>
            </w:r>
          </w:p>
        </w:tc>
        <w:tc>
          <w:tcPr>
            <w:tcW w:w="12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Exhibit</w:t>
            </w:r>
          </w:p>
        </w:tc>
        <w:tc>
          <w:tcPr>
            <w:tcW w:w="166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rPr>
              <w:t>Filing Date</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333-251874</w:t>
            </w: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10.6</w:t>
            </w:r>
          </w:p>
        </w:tc>
        <w:tc>
          <w:tcPr>
            <w:tcW w:w="2760" w:type="dxa"/>
            <w:vAlign w:val="bottom"/>
            <w:gridSpan w:val="2"/>
          </w:tcPr>
          <w:p>
            <w:pPr>
              <w:jc w:val="center"/>
              <w:ind w:right="1248"/>
              <w:spacing w:after="0"/>
              <w:rPr>
                <w:sz w:val="20"/>
                <w:szCs w:val="20"/>
                <w:color w:val="auto"/>
              </w:rPr>
            </w:pPr>
            <w:r>
              <w:rPr>
                <w:rFonts w:ascii="Times New Roman" w:cs="Times New Roman" w:eastAsia="Times New Roman" w:hAnsi="Times New Roman"/>
                <w:sz w:val="14"/>
                <w:szCs w:val="14"/>
                <w:color w:val="auto"/>
              </w:rPr>
              <w:t>January 4, 2021</w:t>
            </w:r>
          </w:p>
        </w:tc>
        <w:tc>
          <w:tcPr>
            <w:tcW w:w="0" w:type="dxa"/>
            <w:vAlign w:val="bottom"/>
          </w:tcPr>
          <w:p>
            <w:pPr>
              <w:spacing w:after="0"/>
              <w:rPr>
                <w:sz w:val="1"/>
                <w:szCs w:val="1"/>
                <w:color w:val="auto"/>
              </w:rPr>
            </w:pPr>
          </w:p>
        </w:tc>
      </w:tr>
    </w:tbl>
    <w:p>
      <w:pPr>
        <w:spacing w:after="0" w:line="403" w:lineRule="exact"/>
        <w:rPr>
          <w:sz w:val="20"/>
          <w:szCs w:val="20"/>
          <w:color w:val="auto"/>
        </w:rPr>
      </w:pPr>
    </w:p>
    <w:p>
      <w:pPr>
        <w:sectPr>
          <w:pgSz w:w="11900" w:h="16838" w:orient="portrait"/>
          <w:cols w:equalWidth="0" w:num="2">
            <w:col w:w="4480" w:space="160"/>
            <w:col w:w="6580"/>
          </w:cols>
          <w:pgMar w:left="340" w:top="1074"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378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Amended Executive Employment Agreement, dated February 4,</w:t>
            </w:r>
          </w:p>
        </w:tc>
        <w:tc>
          <w:tcPr>
            <w:tcW w:w="1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720" w:type="dxa"/>
            <w:vAlign w:val="bottom"/>
            <w:tcBorders>
              <w:top w:val="single" w:sz="8" w:color="0000FF"/>
            </w:tcBorders>
            <w:gridSpan w:val="29"/>
          </w:tcPr>
          <w:p>
            <w:pPr>
              <w:spacing w:after="0" w:line="129" w:lineRule="exact"/>
              <w:rPr>
                <w:sz w:val="20"/>
                <w:szCs w:val="20"/>
                <w:color w:val="auto"/>
              </w:rPr>
            </w:pPr>
            <w:r>
              <w:rPr>
                <w:rFonts w:ascii="Times New Roman" w:cs="Times New Roman" w:eastAsia="Times New Roman" w:hAnsi="Times New Roman"/>
                <w:sz w:val="14"/>
                <w:szCs w:val="14"/>
                <w:color w:val="0000FF"/>
              </w:rPr>
              <w:t>2025, by and between Prelude Therapeutics Incorporated and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540" w:type="dxa"/>
            <w:vAlign w:val="bottom"/>
            <w:tcBorders>
              <w:top w:val="single" w:sz="8" w:color="0000FF"/>
            </w:tcBorders>
            <w:gridSpan w:val="21"/>
          </w:tcPr>
          <w:p>
            <w:pPr>
              <w:spacing w:after="0" w:line="129" w:lineRule="exact"/>
              <w:rPr>
                <w:sz w:val="20"/>
                <w:szCs w:val="20"/>
                <w:color w:val="auto"/>
              </w:rPr>
            </w:pPr>
            <w:r>
              <w:rPr>
                <w:rFonts w:ascii="Times New Roman" w:cs="Times New Roman" w:eastAsia="Times New Roman" w:hAnsi="Times New Roman"/>
                <w:sz w:val="14"/>
                <w:szCs w:val="14"/>
                <w:color w:val="0000FF"/>
              </w:rPr>
              <w:t>Bryant Lim.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3780" w:type="dxa"/>
            <w:vAlign w:val="bottom"/>
            <w:gridSpan w:val="31"/>
          </w:tcPr>
          <w:p>
            <w:pPr>
              <w:spacing w:after="0"/>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Executive Employment Agreement, dated January 21, 2022, by</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May 10, 2022</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700" w:type="dxa"/>
            <w:vAlign w:val="bottom"/>
            <w:tcBorders>
              <w:top w:val="single" w:sz="8" w:color="0000FF"/>
              <w:bottom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and between Prelude Therapeutics Incorporated and Jane Huang.</w:t>
              </w:r>
            </w:hyperlink>
          </w:p>
        </w:tc>
        <w:tc>
          <w:tcPr>
            <w:tcW w:w="20" w:type="dxa"/>
            <w:vAlign w:val="bottom"/>
            <w:tcBorders>
              <w:bottom w:val="single" w:sz="8" w:color="0000FF"/>
            </w:tcBorders>
          </w:tcPr>
          <w:p>
            <w:pPr>
              <w:spacing w:after="0"/>
              <w:rPr>
                <w:sz w:val="11"/>
                <w:szCs w:val="11"/>
                <w:color w:val="auto"/>
              </w:rPr>
            </w:pPr>
          </w:p>
        </w:tc>
        <w:tc>
          <w:tcPr>
            <w:tcW w:w="0" w:type="dxa"/>
            <w:vAlign w:val="bottom"/>
            <w:tcBorders>
              <w:bottom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3780" w:type="dxa"/>
            <w:vAlign w:val="bottom"/>
            <w:gridSpan w:val="31"/>
          </w:tcPr>
          <w:p>
            <w:pPr>
              <w:spacing w:after="0"/>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Single-Tenant Triple Net Lease, dated September 13, 2021, by</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366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and between Prelude Therapeutics Incorporated and Crisp</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36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Partners, LLC.</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3780" w:type="dxa"/>
            <w:vAlign w:val="bottom"/>
            <w:gridSpan w:val="31"/>
          </w:tcPr>
          <w:p>
            <w:pPr>
              <w:spacing w:after="0"/>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First Amendment to Single-Tenant Triple Net Lease, dated</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42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w w:val="97"/>
              </w:rPr>
            </w:pPr>
            <w:hyperlink r:id="rId322">
              <w:r>
                <w:rPr>
                  <w:rFonts w:ascii="Times New Roman" w:cs="Times New Roman" w:eastAsia="Times New Roman" w:hAnsi="Times New Roman"/>
                  <w:sz w:val="14"/>
                  <w:szCs w:val="14"/>
                  <w:color w:val="0000FF"/>
                  <w:w w:val="97"/>
                </w:rPr>
                <w:t>November 15, 2021, by and between the Prelude Therapeutics</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6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2200" w:type="dxa"/>
            <w:vAlign w:val="bottom"/>
            <w:tcBorders>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Incorporated and Crisp Partners, LLC.</w:t>
              </w:r>
            </w:hyperlink>
          </w:p>
        </w:tc>
        <w:tc>
          <w:tcPr>
            <w:tcW w:w="40" w:type="dxa"/>
            <w:vAlign w:val="bottom"/>
            <w:tcBorders>
              <w:bottom w:val="single" w:sz="8" w:color="0000EE"/>
            </w:tcBorders>
          </w:tcPr>
          <w:p>
            <w:pPr>
              <w:spacing w:after="0"/>
              <w:rPr>
                <w:sz w:val="11"/>
                <w:szCs w:val="11"/>
                <w:color w:val="auto"/>
              </w:rPr>
            </w:pPr>
          </w:p>
        </w:tc>
        <w:tc>
          <w:tcPr>
            <w:tcW w:w="1400" w:type="dxa"/>
            <w:vAlign w:val="bottom"/>
            <w:gridSpan w:val="1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3780" w:type="dxa"/>
            <w:vAlign w:val="bottom"/>
            <w:gridSpan w:val="31"/>
          </w:tcPr>
          <w:p>
            <w:pPr>
              <w:spacing w:after="0"/>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Second Amendment to Single-Tenant Triple Net Lease, dated</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2460" w:type="dxa"/>
            <w:vAlign w:val="bottom"/>
          </w:tcPr>
          <w:p>
            <w:pPr>
              <w:jc w:val="center"/>
              <w:ind w:right="568"/>
              <w:spacing w:after="0"/>
              <w:rPr>
                <w:sz w:val="20"/>
                <w:szCs w:val="20"/>
                <w:color w:val="auto"/>
              </w:rPr>
            </w:pPr>
            <w:r>
              <w:rPr>
                <w:rFonts w:ascii="Times New Roman" w:cs="Times New Roman" w:eastAsia="Times New Roman" w:hAnsi="Times New Roman"/>
                <w:sz w:val="14"/>
                <w:szCs w:val="14"/>
                <w:color w:val="auto"/>
              </w:rPr>
              <w:t>November 14, 2022</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62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August 8, 2022, by and between Prelude Therapeutics</w:t>
              </w:r>
            </w:hyperlink>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12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Incorporated and CRISP Partners LLC.</w:t>
              </w:r>
            </w:hyperlink>
          </w:p>
        </w:tc>
        <w:tc>
          <w:tcPr>
            <w:tcW w:w="14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10.12</w:t>
            </w:r>
          </w:p>
        </w:tc>
        <w:tc>
          <w:tcPr>
            <w:tcW w:w="1740" w:type="dxa"/>
            <w:vAlign w:val="bottom"/>
            <w:gridSpan w:val="7"/>
            <w:vMerge w:val="restart"/>
          </w:tcPr>
          <w:p>
            <w:pPr>
              <w:spacing w:after="0"/>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Open Market Sale Agreement</w:t>
              </w:r>
            </w:hyperlink>
          </w:p>
        </w:tc>
        <w:tc>
          <w:tcPr>
            <w:tcW w:w="140" w:type="dxa"/>
            <w:vAlign w:val="bottom"/>
            <w:tcBorders>
              <w:bottom w:val="single" w:sz="8" w:color="0000FF"/>
            </w:tcBorders>
          </w:tcPr>
          <w:p>
            <w:pPr>
              <w:spacing w:after="0"/>
              <w:rPr>
                <w:rFonts w:ascii="Times New Roman" w:cs="Times New Roman" w:eastAsia="Times New Roman" w:hAnsi="Times New Roman"/>
                <w:sz w:val="10"/>
                <w:szCs w:val="10"/>
                <w:color w:val="0000FF"/>
                <w:w w:val="82"/>
              </w:rPr>
            </w:pPr>
            <w:hyperlink r:id="rId324">
              <w:r>
                <w:rPr>
                  <w:rFonts w:ascii="Times New Roman" w:cs="Times New Roman" w:eastAsia="Times New Roman" w:hAnsi="Times New Roman"/>
                  <w:sz w:val="10"/>
                  <w:szCs w:val="10"/>
                  <w:color w:val="0000FF"/>
                  <w:w w:val="82"/>
                </w:rPr>
                <w:t>SM</w:t>
              </w:r>
            </w:hyperlink>
          </w:p>
        </w:tc>
        <w:tc>
          <w:tcPr>
            <w:tcW w:w="1900" w:type="dxa"/>
            <w:vAlign w:val="bottom"/>
            <w:gridSpan w:val="23"/>
            <w:vMerge w:val="restart"/>
          </w:tcPr>
          <w:p>
            <w:pPr>
              <w:spacing w:after="0"/>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 dated March 15, 2023, by and</w:t>
              </w:r>
            </w:hyperlink>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6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color w:val="auto"/>
              </w:rPr>
              <w:t>March 15, 2023</w:t>
            </w:r>
          </w:p>
        </w:tc>
        <w:tc>
          <w:tcPr>
            <w:tcW w:w="0" w:type="dxa"/>
            <w:vAlign w:val="bottom"/>
          </w:tcPr>
          <w:p>
            <w:pPr>
              <w:spacing w:after="0"/>
              <w:rPr>
                <w:sz w:val="1"/>
                <w:szCs w:val="1"/>
                <w:color w:val="auto"/>
              </w:rPr>
            </w:pPr>
          </w:p>
        </w:tc>
      </w:tr>
      <w:tr>
        <w:trPr>
          <w:trHeight w:val="48"/>
        </w:trPr>
        <w:tc>
          <w:tcPr>
            <w:tcW w:w="860" w:type="dxa"/>
            <w:vAlign w:val="bottom"/>
            <w:vMerge w:val="continue"/>
          </w:tcPr>
          <w:p>
            <w:pPr>
              <w:spacing w:after="0"/>
              <w:rPr>
                <w:sz w:val="4"/>
                <w:szCs w:val="4"/>
                <w:color w:val="auto"/>
              </w:rPr>
            </w:pPr>
          </w:p>
        </w:tc>
        <w:tc>
          <w:tcPr>
            <w:tcW w:w="1740" w:type="dxa"/>
            <w:vAlign w:val="bottom"/>
            <w:gridSpan w:val="7"/>
            <w:vMerge w:val="continue"/>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60" w:type="dxa"/>
            <w:vAlign w:val="bottom"/>
          </w:tcPr>
          <w:p>
            <w:pPr>
              <w:spacing w:after="0"/>
              <w:rPr>
                <w:sz w:val="11"/>
                <w:szCs w:val="11"/>
                <w:color w:val="auto"/>
              </w:rPr>
            </w:pPr>
          </w:p>
        </w:tc>
        <w:tc>
          <w:tcPr>
            <w:tcW w:w="1740" w:type="dxa"/>
            <w:vAlign w:val="bottom"/>
            <w:gridSpan w:val="7"/>
          </w:tcPr>
          <w:p>
            <w:pPr>
              <w:spacing w:after="0" w:line="12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between Prelude Therapeutics</w:t>
              </w:r>
            </w:hyperlink>
          </w:p>
        </w:tc>
        <w:tc>
          <w:tcPr>
            <w:tcW w:w="140" w:type="dxa"/>
            <w:vAlign w:val="bottom"/>
            <w:vMerge w:val="continue"/>
          </w:tcPr>
          <w:p>
            <w:pPr>
              <w:spacing w:after="0"/>
              <w:rPr>
                <w:sz w:val="11"/>
                <w:szCs w:val="11"/>
                <w:color w:val="auto"/>
              </w:rPr>
            </w:pPr>
          </w:p>
        </w:tc>
        <w:tc>
          <w:tcPr>
            <w:tcW w:w="1840" w:type="dxa"/>
            <w:vAlign w:val="bottom"/>
            <w:gridSpan w:val="20"/>
          </w:tcPr>
          <w:p>
            <w:pPr>
              <w:spacing w:after="0" w:line="12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Incorporated and Jefferies LLC.</w:t>
              </w:r>
            </w:hyperlink>
          </w:p>
        </w:tc>
        <w:tc>
          <w:tcPr>
            <w:tcW w:w="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3780" w:type="dxa"/>
            <w:vAlign w:val="bottom"/>
            <w:gridSpan w:val="31"/>
          </w:tcPr>
          <w:p>
            <w:pPr>
              <w:spacing w:after="0"/>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Form of Securities Purchase Agreement by and among Prelude</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2460" w:type="dxa"/>
            <w:vAlign w:val="bottom"/>
          </w:tcPr>
          <w:p>
            <w:pPr>
              <w:jc w:val="center"/>
              <w:ind w:right="568"/>
              <w:spacing w:after="0"/>
              <w:rPr>
                <w:sz w:val="20"/>
                <w:szCs w:val="20"/>
                <w:color w:val="auto"/>
              </w:rPr>
            </w:pPr>
            <w:r>
              <w:rPr>
                <w:rFonts w:ascii="Times New Roman" w:cs="Times New Roman" w:eastAsia="Times New Roman" w:hAnsi="Times New Roman"/>
                <w:sz w:val="14"/>
                <w:szCs w:val="14"/>
                <w:color w:val="auto"/>
              </w:rPr>
              <w:t>February 15, 2024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68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Therapeutics Incorporated and certain Investors.</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3780" w:type="dxa"/>
            <w:vAlign w:val="bottom"/>
            <w:gridSpan w:val="31"/>
          </w:tcPr>
          <w:p>
            <w:pPr>
              <w:spacing w:after="0"/>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Consulting Agreement, dated April 10, 2024, by and between</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April 10, 2024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440" w:type="dxa"/>
            <w:vAlign w:val="bottom"/>
            <w:tcBorders>
              <w:top w:val="single" w:sz="8" w:color="0000FF"/>
              <w:bottom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Prelude Therapeutics Incorporated and Laurent Chardonnet.</w:t>
              </w:r>
            </w:hyperlink>
          </w:p>
        </w:tc>
        <w:tc>
          <w:tcPr>
            <w:tcW w:w="120" w:type="dxa"/>
            <w:vAlign w:val="bottom"/>
            <w:tcBorders>
              <w:top w:val="single" w:sz="8" w:color="0000FF"/>
            </w:tcBorders>
            <w:gridSpan w:val="5"/>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3780" w:type="dxa"/>
            <w:vAlign w:val="bottom"/>
            <w:gridSpan w:val="31"/>
          </w:tcPr>
          <w:p>
            <w:pPr>
              <w:spacing w:after="0"/>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Separation Agreement and General Release, dated April 10,</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April 10, 2024</w:t>
            </w: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346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2024, by and between Prelude Therapeutics Incorporated and</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1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54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Laurent Chardonnet.</w:t>
              </w:r>
            </w:hyperlink>
          </w:p>
        </w:tc>
        <w:tc>
          <w:tcPr>
            <w:tcW w:w="80" w:type="dxa"/>
            <w:vAlign w:val="bottom"/>
            <w:gridSpan w:val="2"/>
          </w:tcPr>
          <w:p>
            <w:pPr>
              <w:spacing w:after="0"/>
              <w:rPr>
                <w:sz w:val="11"/>
                <w:szCs w:val="11"/>
                <w:color w:val="auto"/>
              </w:rPr>
            </w:pPr>
          </w:p>
        </w:tc>
        <w:tc>
          <w:tcPr>
            <w:tcW w:w="1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19</w:t>
            </w:r>
          </w:p>
        </w:tc>
        <w:tc>
          <w:tcPr>
            <w:tcW w:w="378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Insider Trading Policy</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3780" w:type="dxa"/>
            <w:vAlign w:val="bottom"/>
            <w:gridSpan w:val="31"/>
          </w:tcPr>
          <w:p>
            <w:pPr>
              <w:spacing w:after="0"/>
              <w:rPr>
                <w:rFonts w:ascii="Times New Roman" w:cs="Times New Roman" w:eastAsia="Times New Roman" w:hAnsi="Times New Roman"/>
                <w:sz w:val="14"/>
                <w:szCs w:val="14"/>
                <w:color w:val="0000FF"/>
              </w:rPr>
            </w:pPr>
            <w:hyperlink r:id="rId328">
              <w:r>
                <w:rPr>
                  <w:rFonts w:ascii="Times New Roman" w:cs="Times New Roman" w:eastAsia="Times New Roman" w:hAnsi="Times New Roman"/>
                  <w:sz w:val="14"/>
                  <w:szCs w:val="14"/>
                  <w:color w:val="0000FF"/>
                </w:rPr>
                <w:t>Subsidiaries of Prelude Therapeutics Incorporated.</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21.1</w:t>
            </w:r>
          </w:p>
        </w:tc>
        <w:tc>
          <w:tcPr>
            <w:tcW w:w="2460" w:type="dxa"/>
            <w:vAlign w:val="bottom"/>
          </w:tcPr>
          <w:p>
            <w:pPr>
              <w:jc w:val="center"/>
              <w:ind w:right="568"/>
              <w:spacing w:after="0"/>
              <w:rPr>
                <w:sz w:val="20"/>
                <w:szCs w:val="20"/>
                <w:color w:val="auto"/>
              </w:rPr>
            </w:pPr>
            <w:r>
              <w:rPr>
                <w:rFonts w:ascii="Times New Roman" w:cs="Times New Roman" w:eastAsia="Times New Roman" w:hAnsi="Times New Roman"/>
                <w:sz w:val="14"/>
                <w:szCs w:val="14"/>
                <w:color w:val="auto"/>
              </w:rPr>
              <w:t>February 15, 2024</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78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Consent of Ernst and Young LLP, an independent registered</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3500" w:type="dxa"/>
            <w:vAlign w:val="bottom"/>
            <w:tcBorders>
              <w:top w:val="single" w:sz="8" w:color="0000FF"/>
            </w:tcBorders>
            <w:gridSpan w:val="19"/>
          </w:tcPr>
          <w:p>
            <w:pPr>
              <w:spacing w:after="0" w:line="129" w:lineRule="exact"/>
              <w:rPr>
                <w:sz w:val="20"/>
                <w:szCs w:val="20"/>
                <w:color w:val="auto"/>
              </w:rPr>
            </w:pPr>
            <w:r>
              <w:rPr>
                <w:rFonts w:ascii="Times New Roman" w:cs="Times New Roman" w:eastAsia="Times New Roman" w:hAnsi="Times New Roman"/>
                <w:sz w:val="14"/>
                <w:szCs w:val="14"/>
                <w:color w:val="0000FF"/>
              </w:rPr>
              <w:t>public accounting firm.</w:t>
            </w:r>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1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378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620" w:type="dxa"/>
            <w:vAlign w:val="bottom"/>
            <w:tcBorders>
              <w:top w:val="single" w:sz="8" w:color="0000FF"/>
              <w:bottom w:val="single" w:sz="8" w:color="0000FF"/>
            </w:tcBorders>
            <w:gridSpan w:val="23"/>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1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780" w:type="dxa"/>
            <w:vAlign w:val="bottom"/>
            <w:gridSpan w:val="31"/>
          </w:tcPr>
          <w:p>
            <w:pPr>
              <w:spacing w:after="0" w:line="129" w:lineRule="exact"/>
              <w:rPr>
                <w:sz w:val="20"/>
                <w:szCs w:val="20"/>
                <w:color w:val="auto"/>
              </w:rPr>
            </w:pPr>
            <w:r>
              <w:rPr>
                <w:rFonts w:ascii="Times New Roman" w:cs="Times New Roman" w:eastAsia="Times New Roman" w:hAnsi="Times New Roman"/>
                <w:sz w:val="14"/>
                <w:szCs w:val="14"/>
                <w:color w:val="0000FF"/>
              </w:rPr>
              <w:t>1934, as Adopted Pursuant to Section 302 of the Sarbanes-Oxley</w:t>
            </w: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3760" w:type="dxa"/>
            <w:vAlign w:val="bottom"/>
            <w:tcBorders>
              <w:top w:val="single" w:sz="8" w:color="0000FF"/>
            </w:tcBorders>
            <w:gridSpan w:val="30"/>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378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Pr>
          <w:p>
            <w:pPr>
              <w:spacing w:after="0"/>
              <w:rPr>
                <w:sz w:val="11"/>
                <w:szCs w:val="11"/>
                <w:color w:val="auto"/>
              </w:rPr>
            </w:pPr>
          </w:p>
        </w:tc>
        <w:tc>
          <w:tcPr>
            <w:tcW w:w="3620" w:type="dxa"/>
            <w:vAlign w:val="bottom"/>
            <w:tcBorders>
              <w:bottom w:val="single" w:sz="8" w:color="0000FF"/>
            </w:tcBorders>
            <w:gridSpan w:val="23"/>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160" w:type="dxa"/>
            <w:vAlign w:val="bottom"/>
            <w:gridSpan w:val="8"/>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780" w:type="dxa"/>
            <w:vAlign w:val="bottom"/>
            <w:gridSpan w:val="31"/>
          </w:tcPr>
          <w:p>
            <w:pPr>
              <w:spacing w:after="0" w:line="129" w:lineRule="exact"/>
              <w:rPr>
                <w:sz w:val="20"/>
                <w:szCs w:val="20"/>
                <w:color w:val="auto"/>
              </w:rPr>
            </w:pPr>
            <w:r>
              <w:rPr>
                <w:rFonts w:ascii="Times New Roman" w:cs="Times New Roman" w:eastAsia="Times New Roman" w:hAnsi="Times New Roman"/>
                <w:sz w:val="14"/>
                <w:szCs w:val="14"/>
                <w:color w:val="0000FF"/>
              </w:rPr>
              <w:t>1934, as Adopted Pursuant to Section 302 of the Sarbanes-Oxley</w:t>
            </w: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3760" w:type="dxa"/>
            <w:vAlign w:val="bottom"/>
            <w:tcBorders>
              <w:top w:val="single" w:sz="8" w:color="0000FF"/>
            </w:tcBorders>
            <w:gridSpan w:val="30"/>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520" w:type="dxa"/>
            <w:vAlign w:val="bottom"/>
            <w:gridSpan w:val="1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378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3780" w:type="dxa"/>
            <w:vAlign w:val="bottom"/>
            <w:tcBorders>
              <w:top w:val="single" w:sz="8" w:color="0000FF"/>
            </w:tcBorders>
            <w:gridSpan w:val="31"/>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166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80" w:type="dxa"/>
            <w:vAlign w:val="bottom"/>
            <w:tcBorders>
              <w:top w:val="single" w:sz="8" w:color="0000FF"/>
              <w:bottom w:val="single" w:sz="8" w:color="0000EE"/>
            </w:tcBorders>
          </w:tcPr>
          <w:p>
            <w:pPr>
              <w:spacing w:after="0"/>
              <w:rPr>
                <w:sz w:val="11"/>
                <w:szCs w:val="11"/>
                <w:color w:val="auto"/>
              </w:rPr>
            </w:pPr>
          </w:p>
        </w:tc>
        <w:tc>
          <w:tcPr>
            <w:tcW w:w="1520" w:type="dxa"/>
            <w:vAlign w:val="bottom"/>
            <w:tcBorders>
              <w:top w:val="single" w:sz="8" w:color="0000FF"/>
            </w:tcBorders>
            <w:gridSpan w:val="7"/>
          </w:tcPr>
          <w:p>
            <w:pPr>
              <w:spacing w:after="0"/>
              <w:rPr>
                <w:sz w:val="11"/>
                <w:szCs w:val="11"/>
                <w:color w:val="auto"/>
              </w:rPr>
            </w:pPr>
          </w:p>
        </w:tc>
        <w:tc>
          <w:tcPr>
            <w:tcW w:w="520" w:type="dxa"/>
            <w:vAlign w:val="bottom"/>
            <w:gridSpan w:val="17"/>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74" w:right="339" w:bottom="1440" w:gutter="0" w:footer="0" w:header="0"/>
          <w:type w:val="continuous"/>
        </w:sectPr>
      </w:pPr>
    </w:p>
    <w:bookmarkStart w:id="119" w:name="page120"/>
    <w:bookmarkEnd w:id="119"/>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51"/>
        </w:trPr>
        <w:tc>
          <w:tcPr>
            <w:tcW w:w="840" w:type="dxa"/>
            <w:vAlign w:val="bottom"/>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32.2*</w:t>
            </w:r>
          </w:p>
        </w:tc>
        <w:tc>
          <w:tcPr>
            <w:tcW w:w="3780" w:type="dxa"/>
            <w:vAlign w:val="bottom"/>
            <w:gridSpan w:val="8"/>
          </w:tcPr>
          <w:p>
            <w:pPr>
              <w:spacing w:after="0" w:line="158"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 U.S.C.</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60" w:type="dxa"/>
            <w:vAlign w:val="bottom"/>
            <w:tcBorders>
              <w:top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66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1580" w:type="dxa"/>
            <w:vAlign w:val="bottom"/>
            <w:tcBorders>
              <w:top w:val="single" w:sz="8" w:color="0000FF"/>
            </w:tcBorders>
            <w:gridSpan w:val="2"/>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3780" w:type="dxa"/>
            <w:vAlign w:val="bottom"/>
            <w:gridSpan w:val="8"/>
          </w:tcPr>
          <w:p>
            <w:pPr>
              <w:spacing w:after="0"/>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Compensation Recovery Policy of Prelude Therapeutics</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7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7"/>
              </w:rPr>
            </w:pPr>
            <w:hyperlink r:id="rId330">
              <w:r>
                <w:rPr>
                  <w:rFonts w:ascii="Times New Roman" w:cs="Times New Roman" w:eastAsia="Times New Roman" w:hAnsi="Times New Roman"/>
                  <w:sz w:val="14"/>
                  <w:szCs w:val="14"/>
                  <w:color w:val="0000FF"/>
                  <w:w w:val="97"/>
                </w:rPr>
                <w:t>Incorporated</w:t>
              </w:r>
            </w:hyperlink>
          </w:p>
        </w:tc>
        <w:tc>
          <w:tcPr>
            <w:tcW w:w="20" w:type="dxa"/>
            <w:vAlign w:val="bottom"/>
            <w:tcBorders>
              <w:top w:val="single" w:sz="8" w:color="0000FF"/>
              <w:bottom w:val="single" w:sz="8" w:color="0000EE"/>
            </w:tcBorders>
          </w:tcPr>
          <w:p>
            <w:pPr>
              <w:spacing w:after="0"/>
              <w:rPr>
                <w:sz w:val="11"/>
                <w:szCs w:val="11"/>
                <w:color w:val="auto"/>
              </w:rPr>
            </w:pPr>
          </w:p>
        </w:tc>
        <w:tc>
          <w:tcPr>
            <w:tcW w:w="2500" w:type="dxa"/>
            <w:vAlign w:val="bottom"/>
            <w:tcBorders>
              <w:top w:val="single" w:sz="8" w:color="0000FF"/>
            </w:tcBorders>
            <w:gridSpan w:val="3"/>
          </w:tcPr>
          <w:p>
            <w:pPr>
              <w:spacing w:after="0"/>
              <w:rPr>
                <w:sz w:val="11"/>
                <w:szCs w:val="11"/>
                <w:color w:val="auto"/>
              </w:rPr>
            </w:pPr>
          </w:p>
        </w:tc>
        <w:tc>
          <w:tcPr>
            <w:tcW w:w="5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37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7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auto"/>
              </w:rPr>
              <w:t>not appear in the Interactive Data File as its XBRL tags are</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37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7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37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Linkbase Documents.</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60" w:hanging="839"/>
        <w:spacing w:after="0" w:line="261" w:lineRule="auto"/>
        <w:tabs>
          <w:tab w:leader="none" w:pos="8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9512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6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00" w:type="dxa"/>
            <w:vAlign w:val="bottom"/>
          </w:tcPr>
          <w:p>
            <w:pPr>
              <w:spacing w:after="0"/>
              <w:rPr>
                <w:sz w:val="13"/>
                <w:szCs w:val="13"/>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vMerge w:val="continue"/>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110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Form</w:t>
            </w: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File No.</w:t>
            </w:r>
          </w:p>
        </w:tc>
        <w:tc>
          <w:tcPr>
            <w:tcW w:w="126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Exhibit</w:t>
            </w:r>
          </w:p>
        </w:tc>
        <w:tc>
          <w:tcPr>
            <w:tcW w:w="2800" w:type="dxa"/>
            <w:vAlign w:val="bottom"/>
            <w:gridSpan w:val="2"/>
          </w:tcPr>
          <w:p>
            <w:pPr>
              <w:jc w:val="center"/>
              <w:ind w:right="1228"/>
              <w:spacing w:after="0" w:line="142" w:lineRule="exact"/>
              <w:rPr>
                <w:sz w:val="20"/>
                <w:szCs w:val="20"/>
                <w:color w:val="auto"/>
              </w:rPr>
            </w:pPr>
            <w:r>
              <w:rPr>
                <w:rFonts w:ascii="Times New Roman" w:cs="Times New Roman" w:eastAsia="Times New Roman" w:hAnsi="Times New Roman"/>
                <w:sz w:val="14"/>
                <w:szCs w:val="14"/>
                <w:color w:val="auto"/>
              </w:rPr>
              <w:t>Filing Date</w:t>
            </w:r>
          </w:p>
        </w:tc>
        <w:tc>
          <w:tcPr>
            <w:tcW w:w="0" w:type="dxa"/>
            <w:vAlign w:val="bottom"/>
          </w:tcPr>
          <w:p>
            <w:pPr>
              <w:spacing w:after="0"/>
              <w:rPr>
                <w:sz w:val="1"/>
                <w:szCs w:val="1"/>
                <w:color w:val="auto"/>
              </w:rPr>
            </w:pPr>
          </w:p>
        </w:tc>
      </w:tr>
      <w:tr>
        <w:trPr>
          <w:trHeight w:val="168"/>
        </w:trPr>
        <w:tc>
          <w:tcPr>
            <w:tcW w:w="1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585"/>
        </w:trPr>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10-K</w:t>
            </w: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001-39527</w:t>
            </w: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97.1</w:t>
            </w:r>
          </w:p>
        </w:tc>
        <w:tc>
          <w:tcPr>
            <w:tcW w:w="2800" w:type="dxa"/>
            <w:vAlign w:val="bottom"/>
            <w:gridSpan w:val="2"/>
          </w:tcPr>
          <w:p>
            <w:pPr>
              <w:jc w:val="center"/>
              <w:ind w:right="1228"/>
              <w:spacing w:after="0"/>
              <w:rPr>
                <w:sz w:val="20"/>
                <w:szCs w:val="20"/>
                <w:color w:val="auto"/>
              </w:rPr>
            </w:pPr>
            <w:r>
              <w:rPr>
                <w:rFonts w:ascii="Times New Roman" w:cs="Times New Roman" w:eastAsia="Times New Roman" w:hAnsi="Times New Roman"/>
                <w:sz w:val="14"/>
                <w:szCs w:val="14"/>
                <w:color w:val="auto"/>
              </w:rPr>
              <w:t>February 15, 2024</w:t>
            </w: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X</w:t>
      </w:r>
    </w:p>
    <w:p>
      <w:pPr>
        <w:spacing w:after="0" w:line="2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X</w:t>
      </w:r>
    </w:p>
    <w:p>
      <w:pPr>
        <w:spacing w:after="0" w:line="389" w:lineRule="exact"/>
        <w:rPr>
          <w:sz w:val="20"/>
          <w:szCs w:val="20"/>
          <w:color w:val="auto"/>
        </w:rPr>
      </w:pPr>
    </w:p>
    <w:p>
      <w:pPr>
        <w:sectPr>
          <w:pgSz w:w="11900" w:h="16838" w:orient="portrait"/>
          <w:cols w:equalWidth="0" w:num="2">
            <w:col w:w="4640" w:space="20"/>
            <w:col w:w="6580"/>
          </w:cols>
          <w:pgMar w:left="320" w:top="1074" w:right="339" w:bottom="1440" w:gutter="0" w:footer="0" w:header="0"/>
        </w:sectPr>
      </w:pPr>
    </w:p>
    <w:p>
      <w:pPr>
        <w:spacing w:after="0" w:line="134" w:lineRule="exact"/>
        <w:rPr>
          <w:sz w:val="20"/>
          <w:szCs w:val="20"/>
          <w:color w:val="auto"/>
        </w:rPr>
      </w:pPr>
    </w:p>
    <w:p>
      <w:pPr>
        <w:ind w:left="140" w:hanging="131"/>
        <w:spacing w:after="0"/>
        <w:tabs>
          <w:tab w:leader="none" w:pos="1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Indicates a management contract or compensatory plan, contract or arrangement.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registrant has omitted portions of the exhibit as permitted under Item 601(b)(10) of Regulation S-K.</w:t>
      </w:r>
    </w:p>
    <w:p>
      <w:pPr>
        <w:spacing w:after="0" w:line="26" w:lineRule="exact"/>
        <w:rPr>
          <w:sz w:val="20"/>
          <w:szCs w:val="20"/>
          <w:color w:val="auto"/>
        </w:rPr>
      </w:pPr>
    </w:p>
    <w:p>
      <w:pPr>
        <w:ind w:right="80" w:firstLine="8"/>
        <w:spacing w:after="0" w:line="273" w:lineRule="auto"/>
        <w:tabs>
          <w:tab w:leader="none" w:pos="1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Certain of the exhibits and schedules to these exhibits have been omitted in accordance with Regulation S-K Item 601(a)(5). The registrant agrees to furnish a copy of all omitted exhibits and schedules to the SEC upon its request.</w:t>
      </w:r>
    </w:p>
    <w:p>
      <w:pPr>
        <w:spacing w:after="0" w:line="19" w:lineRule="exact"/>
        <w:rPr>
          <w:sz w:val="20"/>
          <w:szCs w:val="20"/>
          <w:color w:val="auto"/>
        </w:rPr>
      </w:pPr>
    </w:p>
    <w:p>
      <w:pPr>
        <w:ind w:left="480" w:right="60" w:hanging="471"/>
        <w:spacing w:after="0" w:line="268" w:lineRule="auto"/>
        <w:tabs>
          <w:tab w:leader="none" w:pos="1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0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ectPr>
          <w:pgSz w:w="11900" w:h="16838" w:orient="portrait"/>
          <w:cols w:equalWidth="0" w:num="1">
            <w:col w:w="11240"/>
          </w:cols>
          <w:pgMar w:left="320" w:top="1089"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10,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8"/>
          <w:szCs w:val="18"/>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17145</wp:posOffset>
            </wp:positionV>
            <wp:extent cx="32746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4940" w:space="720"/>
            <w:col w:w="1640" w:space="720"/>
            <w:col w:w="3220"/>
          </w:cols>
          <w:pgMar w:left="320" w:top="1089" w:right="339" w:bottom="1440" w:gutter="0" w:footer="0" w:header="0"/>
          <w:type w:val="continuous"/>
        </w:sectPr>
      </w:pPr>
    </w:p>
    <w:p>
      <w:pPr>
        <w:jc w:val="center"/>
        <w:ind w:left="606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36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0" w:type="dxa"/>
            <w:vAlign w:val="bottom"/>
          </w:tcPr>
          <w:p>
            <w:pPr>
              <w:spacing w:after="0"/>
              <w:rPr>
                <w:sz w:val="16"/>
                <w:szCs w:val="16"/>
                <w:color w:val="auto"/>
              </w:rPr>
            </w:pPr>
          </w:p>
        </w:tc>
        <w:tc>
          <w:tcPr>
            <w:tcW w:w="18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r>
      <w:tr>
        <w:trPr>
          <w:trHeight w:val="412"/>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Krishna Vaddi</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Krishna Vaddi, Ph.D.</w:t>
            </w:r>
          </w:p>
        </w:tc>
        <w:tc>
          <w:tcPr>
            <w:tcW w:w="14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43"/>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Bryant Lim</w:t>
            </w:r>
          </w:p>
        </w:tc>
        <w:tc>
          <w:tcPr>
            <w:tcW w:w="14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43"/>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A. Friedman</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A. Friedman, M.D.</w:t>
            </w:r>
          </w:p>
        </w:tc>
        <w:tc>
          <w:tcPr>
            <w:tcW w:w="1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Babler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Martin Babler</w:t>
            </w:r>
          </w:p>
        </w:tc>
        <w:tc>
          <w:tcPr>
            <w:tcW w:w="1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Julian Baker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Julian Baker</w:t>
            </w:r>
          </w:p>
        </w:tc>
        <w:tc>
          <w:tcPr>
            <w:tcW w:w="1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Bonita</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Bonita, M.D.</w:t>
            </w:r>
          </w:p>
        </w:tc>
        <w:tc>
          <w:tcPr>
            <w:tcW w:w="1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Mardi C. Dier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Mardi C. Dier</w:t>
            </w:r>
          </w:p>
        </w:tc>
        <w:tc>
          <w:tcPr>
            <w:tcW w:w="1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Victor Sandor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 Sandor, M.D.C.M.</w:t>
            </w:r>
          </w:p>
        </w:tc>
        <w:tc>
          <w:tcPr>
            <w:tcW w:w="1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40" w:type="dxa"/>
            <w:vAlign w:val="bottom"/>
            <w:gridSpan w:val="2"/>
          </w:tcPr>
          <w:p>
            <w:pPr>
              <w:jc w:val="right"/>
              <w:ind w:right="3252"/>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AMENDED EXECUTIVE EMPLOYMENT AGREEMENT</w:t>
      </w:r>
    </w:p>
    <w:p>
      <w:pPr>
        <w:spacing w:after="0" w:line="206" w:lineRule="exact"/>
        <w:rPr>
          <w:sz w:val="20"/>
          <w:szCs w:val="20"/>
          <w:color w:val="auto"/>
        </w:rPr>
      </w:pPr>
    </w:p>
    <w:p>
      <w:pPr>
        <w:jc w:val="both"/>
        <w:ind w:left="40" w:right="1480" w:firstLine="746"/>
        <w:spacing w:after="0" w:line="246" w:lineRule="auto"/>
        <w:rPr>
          <w:sz w:val="20"/>
          <w:szCs w:val="20"/>
          <w:color w:val="auto"/>
        </w:rPr>
      </w:pPr>
      <w:r>
        <w:rPr>
          <w:rFonts w:ascii="Times New Roman" w:cs="Times New Roman" w:eastAsia="Times New Roman" w:hAnsi="Times New Roman"/>
          <w:sz w:val="22"/>
          <w:szCs w:val="22"/>
          <w:color w:val="auto"/>
        </w:rPr>
        <w:t>This Amended Executive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made between Prelude Therapeutics Incorporated,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Bryant Lim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collectively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is entered into as of February 4, 2025.</w:t>
      </w:r>
    </w:p>
    <w:p>
      <w:pPr>
        <w:spacing w:after="0" w:line="167" w:lineRule="exact"/>
        <w:rPr>
          <w:sz w:val="20"/>
          <w:szCs w:val="20"/>
          <w:color w:val="auto"/>
        </w:rPr>
      </w:pPr>
    </w:p>
    <w:p>
      <w:pPr>
        <w:jc w:val="both"/>
        <w:ind w:left="40" w:right="1500" w:firstLine="746"/>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to employ Executive as the Company’s Chief Legal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Corporate Secretary, and Chief Financial Officer, by adding the title, responsibilities and duties of Chief Financial Officer.</w:t>
      </w:r>
    </w:p>
    <w:p>
      <w:pPr>
        <w:spacing w:after="0" w:line="167" w:lineRule="exact"/>
        <w:rPr>
          <w:sz w:val="20"/>
          <w:szCs w:val="20"/>
          <w:color w:val="auto"/>
        </w:rPr>
      </w:pPr>
    </w:p>
    <w:p>
      <w:pPr>
        <w:jc w:val="both"/>
        <w:ind w:left="40" w:right="1480" w:firstLine="746"/>
        <w:spacing w:after="0" w:line="246"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promises and covenants contained herein and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good and valuable consideration, the receipt and sufficiency of which is hereby acknowledged, the Parties hereto agree as follows:</w:t>
      </w:r>
    </w:p>
    <w:p>
      <w:pPr>
        <w:spacing w:after="0" w:line="167" w:lineRule="exact"/>
        <w:rPr>
          <w:sz w:val="20"/>
          <w:szCs w:val="20"/>
          <w:color w:val="auto"/>
        </w:rPr>
      </w:pPr>
    </w:p>
    <w:p>
      <w:pPr>
        <w:ind w:left="1540" w:hanging="758"/>
        <w:spacing w:after="0"/>
        <w:tabs>
          <w:tab w:leader="none" w:pos="15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by the Company.</w:t>
      </w:r>
    </w:p>
    <w:p>
      <w:pPr>
        <w:spacing w:after="0" w:line="206" w:lineRule="exact"/>
        <w:rPr>
          <w:sz w:val="20"/>
          <w:szCs w:val="20"/>
          <w:color w:val="auto"/>
        </w:rPr>
      </w:pPr>
    </w:p>
    <w:p>
      <w:pPr>
        <w:jc w:val="both"/>
        <w:ind w:left="40" w:right="1480" w:firstLine="149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 Employment. </w:t>
      </w:r>
      <w:r>
        <w:rPr>
          <w:rFonts w:ascii="Times New Roman" w:cs="Times New Roman" w:eastAsia="Times New Roman" w:hAnsi="Times New Roman"/>
          <w:sz w:val="22"/>
          <w:szCs w:val="22"/>
          <w:color w:val="auto"/>
        </w:rPr>
        <w:t>This Agreement shall govern the terms of Executive’s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effective February 4, 2025 or such other date as mutually determined by Executive and the Company (such date,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40" w:right="15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 Position. </w:t>
      </w:r>
      <w:r>
        <w:rPr>
          <w:rFonts w:ascii="Times New Roman" w:cs="Times New Roman" w:eastAsia="Times New Roman" w:hAnsi="Times New Roman"/>
          <w:sz w:val="22"/>
          <w:szCs w:val="22"/>
          <w:color w:val="auto"/>
        </w:rPr>
        <w:t>Executive shall serve as the Company’s Chief Legal Officer,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Secretary and Chief Financial Officer. During the term of Executive’s employment with the Company hereunder, Executive will devote Executive’s best efforts and substantially all of Executive’s business time and attention to the business of the Company, except as otherwise set forth in Section 11.1.</w:t>
      </w:r>
    </w:p>
    <w:p>
      <w:pPr>
        <w:spacing w:after="0" w:line="172" w:lineRule="exact"/>
        <w:rPr>
          <w:sz w:val="20"/>
          <w:szCs w:val="20"/>
          <w:color w:val="auto"/>
        </w:rPr>
      </w:pPr>
    </w:p>
    <w:p>
      <w:pPr>
        <w:jc w:val="both"/>
        <w:ind w:left="40" w:right="1480" w:firstLine="149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 Duties and Location. </w:t>
      </w:r>
      <w:r>
        <w:rPr>
          <w:rFonts w:ascii="Times New Roman" w:cs="Times New Roman" w:eastAsia="Times New Roman" w:hAnsi="Times New Roman"/>
          <w:sz w:val="22"/>
          <w:szCs w:val="22"/>
          <w:color w:val="auto"/>
        </w:rPr>
        <w:t>Executive shall perform such duties as are typically performed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Chief Legal Officer , Corporate Secretary and Chief Financial Officer. Executive will report to the Company’s Chief Executive Officer. Executive’s primary office location shall be the Company’s office located in Wilmington, Delaware, subject to other travel from time to time as reasonably required in connection with the Executive’s duties.</w:t>
      </w:r>
    </w:p>
    <w:p>
      <w:pPr>
        <w:spacing w:after="0" w:line="177" w:lineRule="exact"/>
        <w:rPr>
          <w:sz w:val="20"/>
          <w:szCs w:val="20"/>
          <w:color w:val="auto"/>
        </w:rPr>
      </w:pPr>
    </w:p>
    <w:p>
      <w:pPr>
        <w:jc w:val="both"/>
        <w:ind w:left="40" w:right="15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 Policies and Procedures. </w:t>
      </w:r>
      <w:r>
        <w:rPr>
          <w:rFonts w:ascii="Times New Roman" w:cs="Times New Roman" w:eastAsia="Times New Roman" w:hAnsi="Times New Roman"/>
          <w:sz w:val="22"/>
          <w:szCs w:val="22"/>
          <w:color w:val="auto"/>
        </w:rPr>
        <w:t>The employment relationship between the Parties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general employment policies and practices of the Company, except that when the terms of this Agreement differ from or are in conflict with the Company’s general employment policies or practices, this Agreement shall control.</w:t>
      </w:r>
    </w:p>
    <w:p>
      <w:pPr>
        <w:spacing w:after="0" w:line="172" w:lineRule="exact"/>
        <w:rPr>
          <w:sz w:val="20"/>
          <w:szCs w:val="20"/>
          <w:color w:val="auto"/>
        </w:rPr>
      </w:pPr>
    </w:p>
    <w:p>
      <w:pPr>
        <w:ind w:left="1540" w:hanging="758"/>
        <w:spacing w:after="0"/>
        <w:tabs>
          <w:tab w:leader="none" w:pos="154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06" w:lineRule="exact"/>
        <w:rPr>
          <w:sz w:val="20"/>
          <w:szCs w:val="20"/>
          <w:color w:val="auto"/>
        </w:rPr>
      </w:pPr>
    </w:p>
    <w:p>
      <w:pPr>
        <w:jc w:val="both"/>
        <w:ind w:left="40" w:right="15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2.1 Salary. </w:t>
      </w:r>
      <w:r>
        <w:rPr>
          <w:rFonts w:ascii="Times New Roman" w:cs="Times New Roman" w:eastAsia="Times New Roman" w:hAnsi="Times New Roman"/>
          <w:sz w:val="22"/>
          <w:szCs w:val="22"/>
          <w:color w:val="auto"/>
        </w:rPr>
        <w:t>For services to be rendered hereunder, Executive shall receive a base salary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rate of $483,000 per year (such base salary, as in effect from time to time,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as of March 1, 2025, subject to standard payroll deductions and withholdings and payable in accordance with the Company’s regular payroll schedule.</w:t>
      </w:r>
    </w:p>
    <w:p>
      <w:pPr>
        <w:spacing w:after="0" w:line="172" w:lineRule="exact"/>
        <w:rPr>
          <w:sz w:val="20"/>
          <w:szCs w:val="20"/>
          <w:color w:val="auto"/>
        </w:rPr>
      </w:pPr>
    </w:p>
    <w:p>
      <w:pPr>
        <w:jc w:val="both"/>
        <w:ind w:left="40" w:right="1480" w:firstLine="149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2.2 Annual Bonus. </w:t>
      </w:r>
      <w:r>
        <w:rPr>
          <w:rFonts w:ascii="Times New Roman" w:cs="Times New Roman" w:eastAsia="Times New Roman" w:hAnsi="Times New Roman"/>
          <w:sz w:val="22"/>
          <w:szCs w:val="22"/>
          <w:color w:val="auto"/>
        </w:rPr>
        <w:t>Executive will be eligible for an annual discretionary bonus with a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amount equal to 40% of Executive’s Base Salary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xml:space="preserve">”). Whether Executive receives an Annual Bonus for any given year, and the amount of any such Annual Bonus, will be determined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the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655955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50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40" w:right="1500"/>
        <w:spacing w:after="0" w:line="247" w:lineRule="auto"/>
        <w:rPr>
          <w:sz w:val="20"/>
          <w:szCs w:val="20"/>
          <w:color w:val="auto"/>
        </w:rPr>
      </w:pPr>
      <w:r>
        <w:rPr>
          <w:rFonts w:ascii="Times New Roman" w:cs="Times New Roman" w:eastAsia="Times New Roman" w:hAnsi="Times New Roman"/>
          <w:sz w:val="22"/>
          <w:szCs w:val="22"/>
          <w:color w:val="auto"/>
        </w:rPr>
        <w:t>compensation committee thereof in its s</w:t>
      </w:r>
      <w:r>
        <w:rPr>
          <w:rFonts w:ascii="Times New Roman" w:cs="Times New Roman" w:eastAsia="Times New Roman" w:hAnsi="Times New Roman"/>
          <w:sz w:val="19"/>
          <w:szCs w:val="19"/>
          <w:color w:val="auto"/>
        </w:rPr>
        <w:t>ole discretion based upon the Company’s and Executive’s achievement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objectives and milestones to be determined on an annual basis by the Board or the compensation committee thereof. Executive will not be eligible for, and will not earn, any Annual Bonus (including a prorated bonus) if Executive’s employment terminates for any reason before any Annual Bonus is paid.</w:t>
      </w:r>
    </w:p>
    <w:p>
      <w:pPr>
        <w:spacing w:after="0" w:line="173" w:lineRule="exact"/>
        <w:rPr>
          <w:sz w:val="20"/>
          <w:szCs w:val="20"/>
          <w:color w:val="auto"/>
        </w:rPr>
      </w:pPr>
    </w:p>
    <w:p>
      <w:pPr>
        <w:jc w:val="both"/>
        <w:ind w:left="40" w:right="1480" w:firstLine="1498"/>
        <w:spacing w:after="0" w:line="235" w:lineRule="auto"/>
        <w:rPr>
          <w:sz w:val="20"/>
          <w:szCs w:val="20"/>
          <w:color w:val="auto"/>
        </w:rPr>
      </w:pPr>
      <w:r>
        <w:rPr>
          <w:rFonts w:ascii="Times New Roman" w:cs="Times New Roman" w:eastAsia="Times New Roman" w:hAnsi="Times New Roman"/>
          <w:sz w:val="22"/>
          <w:szCs w:val="22"/>
          <w:b w:val="1"/>
          <w:bCs w:val="1"/>
          <w:color w:val="auto"/>
        </w:rPr>
        <w:t>2.3 Equity</w:t>
      </w:r>
      <w:r>
        <w:rPr>
          <w:rFonts w:ascii="Times New Roman" w:cs="Times New Roman" w:eastAsia="Times New Roman" w:hAnsi="Times New Roman"/>
          <w:sz w:val="22"/>
          <w:szCs w:val="22"/>
          <w:color w:val="auto"/>
        </w:rPr>
        <w:t>. Subject to approval by the Board or the compensation committee thereof,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grant Executive an option to purchase 200,000 shares of the Company’s common stock, with a per share exercise price equal to the fair market value of a share of the Company’s common stock on the date of grant, as determined by the Board or the compensation committee thereof in accordance with the Company’s customary stock option granting practices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Subject to approval by the Board or the compensation committee thereof, the</w:t>
      </w:r>
    </w:p>
    <w:p>
      <w:pPr>
        <w:ind w:left="8140"/>
        <w:spacing w:after="0" w:line="218" w:lineRule="auto"/>
        <w:rPr>
          <w:sz w:val="20"/>
          <w:szCs w:val="20"/>
          <w:color w:val="auto"/>
        </w:rPr>
      </w:pPr>
      <w:r>
        <w:rPr>
          <w:rFonts w:ascii="Times New Roman" w:cs="Times New Roman" w:eastAsia="Times New Roman" w:hAnsi="Times New Roman"/>
          <w:sz w:val="9"/>
          <w:szCs w:val="9"/>
          <w:color w:val="auto"/>
        </w:rPr>
        <w:t>th</w:t>
      </w:r>
    </w:p>
    <w:p>
      <w:pPr>
        <w:ind w:left="40"/>
        <w:spacing w:after="0"/>
        <w:rPr>
          <w:sz w:val="20"/>
          <w:szCs w:val="20"/>
          <w:color w:val="auto"/>
        </w:rPr>
      </w:pPr>
      <w:r>
        <w:rPr>
          <w:rFonts w:ascii="Times New Roman" w:cs="Times New Roman" w:eastAsia="Times New Roman" w:hAnsi="Times New Roman"/>
          <w:sz w:val="22"/>
          <w:szCs w:val="22"/>
          <w:color w:val="auto"/>
        </w:rPr>
        <w:t>Option will be granted on or about February 4, 2025 (the “Start Date”). 1/4 of the shares</w:t>
      </w:r>
    </w:p>
    <w:p>
      <w:pPr>
        <w:jc w:val="both"/>
        <w:ind w:left="40" w:right="1480"/>
        <w:spacing w:after="0" w:line="226" w:lineRule="auto"/>
        <w:rPr>
          <w:sz w:val="20"/>
          <w:szCs w:val="20"/>
          <w:color w:val="auto"/>
        </w:rPr>
      </w:pPr>
      <w:r>
        <w:rPr>
          <w:rFonts w:ascii="Times New Roman" w:cs="Times New Roman" w:eastAsia="Times New Roman" w:hAnsi="Times New Roman"/>
          <w:sz w:val="22"/>
          <w:szCs w:val="22"/>
          <w:color w:val="auto"/>
        </w:rPr>
        <w:t>underlying the Option will vest and become exercisable on the first anniversary of the Start Date, and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shares underlying the Option will vest and become exercisable on a monthly basis thereafter, such that 100% of the shares underlying the Option will be vested and exercisable as of the four-year anniversary of the Start Date, in each case so long as Executive remains employed by the Company through each applicable vesting date. If the applicable vesting schedule results in a fractional share, such fractional share will not vest until the immediately following vesting date. The Option will be subject to terms and conditions consistent with those provided in the Company’s 2020 Equity Incentive Plan, and will be governed in all respects by the terms of the applicable stock option agreement to be entered into between Executive and the Company, except as specifically provided herein. Further details regarding the Option will be provided to Executive upon approval of such grant by the Board.</w:t>
      </w:r>
    </w:p>
    <w:p>
      <w:pPr>
        <w:spacing w:after="0" w:line="202" w:lineRule="exact"/>
        <w:rPr>
          <w:sz w:val="20"/>
          <w:szCs w:val="20"/>
          <w:color w:val="auto"/>
        </w:rPr>
      </w:pPr>
    </w:p>
    <w:p>
      <w:pPr>
        <w:jc w:val="both"/>
        <w:ind w:left="40" w:right="15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3.Standard Company Benefits. </w:t>
      </w:r>
      <w:r>
        <w:rPr>
          <w:rFonts w:ascii="Times New Roman" w:cs="Times New Roman" w:eastAsia="Times New Roman" w:hAnsi="Times New Roman"/>
          <w:sz w:val="22"/>
          <w:szCs w:val="22"/>
          <w:color w:val="auto"/>
        </w:rPr>
        <w:t>Executive shall be entitled to participate in all employee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programs for which Executive is eligible under the terms and conditions of the benefit plans that may be in effect from time to time and provided by the Company to its employees.</w:t>
      </w:r>
    </w:p>
    <w:p>
      <w:pPr>
        <w:spacing w:after="0" w:line="167" w:lineRule="exact"/>
        <w:rPr>
          <w:sz w:val="20"/>
          <w:szCs w:val="20"/>
          <w:color w:val="auto"/>
        </w:rPr>
      </w:pPr>
    </w:p>
    <w:p>
      <w:pPr>
        <w:jc w:val="both"/>
        <w:ind w:left="40" w:right="15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4.Expenses. </w:t>
      </w:r>
      <w:r>
        <w:rPr>
          <w:rFonts w:ascii="Times New Roman" w:cs="Times New Roman" w:eastAsia="Times New Roman" w:hAnsi="Times New Roman"/>
          <w:sz w:val="22"/>
          <w:szCs w:val="22"/>
          <w:color w:val="auto"/>
        </w:rPr>
        <w:t>The Company will reimburse Executive for reasonable travel, entertainment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incurred by Executive in furtherance or in connection with the performance of Executive’s duties hereunder, in accordance with the Company’s expense reimbursement policy as in effect from time to time.</w:t>
      </w:r>
    </w:p>
    <w:p>
      <w:pPr>
        <w:spacing w:after="0" w:line="167" w:lineRule="exact"/>
        <w:rPr>
          <w:sz w:val="20"/>
          <w:szCs w:val="20"/>
          <w:color w:val="auto"/>
        </w:rPr>
      </w:pPr>
    </w:p>
    <w:p>
      <w:pPr>
        <w:ind w:left="1540" w:hanging="758"/>
        <w:spacing w:after="0"/>
        <w:tabs>
          <w:tab w:leader="none" w:pos="15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Severance.</w:t>
      </w:r>
    </w:p>
    <w:p>
      <w:pPr>
        <w:spacing w:after="0" w:line="206" w:lineRule="exact"/>
        <w:rPr>
          <w:sz w:val="20"/>
          <w:szCs w:val="20"/>
          <w:color w:val="auto"/>
        </w:rPr>
      </w:pPr>
    </w:p>
    <w:p>
      <w:pPr>
        <w:jc w:val="both"/>
        <w:ind w:left="40" w:right="1480" w:firstLine="149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5.1 At-Will Employment. </w:t>
      </w:r>
      <w:r>
        <w:rPr>
          <w:rFonts w:ascii="Times New Roman" w:cs="Times New Roman" w:eastAsia="Times New Roman" w:hAnsi="Times New Roman"/>
          <w:sz w:val="22"/>
          <w:szCs w:val="22"/>
          <w:color w:val="auto"/>
        </w:rPr>
        <w:t>Executive’s employment relationship is at-will. Either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Company may terminate the employment relationship at any time, with or without Cause (as defined below) or advance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 Executive through and including the date of termination, payable in a lump sum on the next regularly scheduled payroll date following the date on which Executive's employment terminated, or at such other date as shall be specified under the terms of the employee benefit plan pursuant to which such compensation or benefit is payable. Executive shall also resign from all positions and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655955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280"/>
        <w:spacing w:after="0" w:line="258" w:lineRule="auto"/>
        <w:rPr>
          <w:sz w:val="20"/>
          <w:szCs w:val="20"/>
          <w:color w:val="auto"/>
        </w:rPr>
      </w:pPr>
      <w:r>
        <w:rPr>
          <w:rFonts w:ascii="Times New Roman" w:cs="Times New Roman" w:eastAsia="Times New Roman" w:hAnsi="Times New Roman"/>
          <w:sz w:val="22"/>
          <w:szCs w:val="22"/>
          <w:color w:val="auto"/>
        </w:rPr>
        <w:t>terminate any relationships as an employee, advisor, officer or director with the Company and any of its affiliates, each effective on the date of termination.</w:t>
      </w:r>
    </w:p>
    <w:p>
      <w:pPr>
        <w:spacing w:after="0" w:line="154" w:lineRule="exact"/>
        <w:rPr>
          <w:sz w:val="20"/>
          <w:szCs w:val="20"/>
          <w:color w:val="auto"/>
        </w:rPr>
      </w:pPr>
    </w:p>
    <w:p>
      <w:pPr>
        <w:jc w:val="both"/>
        <w:ind w:left="40" w:right="1480" w:firstLine="1498"/>
        <w:spacing w:after="0" w:line="237" w:lineRule="auto"/>
        <w:rPr>
          <w:sz w:val="20"/>
          <w:szCs w:val="20"/>
          <w:color w:val="auto"/>
        </w:rPr>
      </w:pPr>
      <w:r>
        <w:rPr>
          <w:rFonts w:ascii="Times New Roman" w:cs="Times New Roman" w:eastAsia="Times New Roman" w:hAnsi="Times New Roman"/>
          <w:sz w:val="22"/>
          <w:szCs w:val="22"/>
          <w:b w:val="1"/>
          <w:bCs w:val="1"/>
          <w:color w:val="auto"/>
        </w:rPr>
        <w:t>5.2 Severance Benefits for Termination Without Cause Unrelated to a Change of Control</w:t>
      </w:r>
      <w:r>
        <w:rPr>
          <w:rFonts w:ascii="Times New Roman" w:cs="Times New Roman" w:eastAsia="Times New Roman" w:hAnsi="Times New Roman"/>
          <w:sz w:val="22"/>
          <w:szCs w:val="22"/>
          <w:color w:val="auto"/>
        </w:rPr>
        <w:t>. In the event Executive’s employment with the Company is terminated by the Company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prior to a Change of Control (as defined below) or more than twelve (12) months following a Change of Control, the Company shall provide Executive with the following payments and benefits, provided that Executive remains in compliance with the terms of this Agreement and the Restrictive Covenant Agreement (as defined below) and subject to Section 6 below:</w:t>
      </w:r>
    </w:p>
    <w:p>
      <w:pPr>
        <w:spacing w:after="0" w:line="179" w:lineRule="exact"/>
        <w:rPr>
          <w:sz w:val="20"/>
          <w:szCs w:val="20"/>
          <w:color w:val="auto"/>
        </w:rPr>
      </w:pPr>
    </w:p>
    <w:p>
      <w:pPr>
        <w:jc w:val="both"/>
        <w:ind w:left="40" w:right="1500" w:firstLine="2247"/>
        <w:spacing w:after="0" w:line="267" w:lineRule="auto"/>
        <w:rPr>
          <w:sz w:val="20"/>
          <w:szCs w:val="20"/>
          <w:color w:val="auto"/>
        </w:rPr>
      </w:pPr>
      <w:r>
        <w:rPr>
          <w:rFonts w:ascii="Times New Roman" w:cs="Times New Roman" w:eastAsia="Times New Roman" w:hAnsi="Times New Roman"/>
          <w:sz w:val="20"/>
          <w:szCs w:val="20"/>
          <w:color w:val="auto"/>
        </w:rPr>
        <w:t>(i)The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after Executive’s termination date, with the first payment to include those payments that would have occurred earlier but for the 60-day delay.</w:t>
      </w:r>
    </w:p>
    <w:p>
      <w:pPr>
        <w:spacing w:after="0" w:line="138" w:lineRule="exact"/>
        <w:rPr>
          <w:sz w:val="20"/>
          <w:szCs w:val="20"/>
          <w:color w:val="auto"/>
        </w:rPr>
      </w:pPr>
    </w:p>
    <w:p>
      <w:pPr>
        <w:jc w:val="both"/>
        <w:ind w:left="40" w:right="1480" w:firstLine="2246"/>
        <w:spacing w:after="0" w:line="233" w:lineRule="auto"/>
        <w:rPr>
          <w:sz w:val="20"/>
          <w:szCs w:val="20"/>
          <w:color w:val="auto"/>
        </w:rPr>
      </w:pPr>
      <w:r>
        <w:rPr>
          <w:rFonts w:ascii="Times New Roman" w:cs="Times New Roman" w:eastAsia="Times New Roman" w:hAnsi="Times New Roman"/>
          <w:sz w:val="22"/>
          <w:szCs w:val="22"/>
          <w:color w:val="auto"/>
        </w:rPr>
        <w:t>(ii)Provided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89" w:lineRule="exact"/>
        <w:rPr>
          <w:sz w:val="20"/>
          <w:szCs w:val="20"/>
          <w:color w:val="auto"/>
        </w:rPr>
      </w:pPr>
    </w:p>
    <w:p>
      <w:pPr>
        <w:jc w:val="both"/>
        <w:ind w:left="40" w:right="1480" w:firstLine="1498"/>
        <w:spacing w:after="0" w:line="237" w:lineRule="auto"/>
        <w:rPr>
          <w:sz w:val="20"/>
          <w:szCs w:val="20"/>
          <w:color w:val="auto"/>
        </w:rPr>
      </w:pPr>
      <w:r>
        <w:rPr>
          <w:rFonts w:ascii="Times New Roman" w:cs="Times New Roman" w:eastAsia="Times New Roman" w:hAnsi="Times New Roman"/>
          <w:sz w:val="22"/>
          <w:szCs w:val="22"/>
          <w:b w:val="1"/>
          <w:bCs w:val="1"/>
          <w:color w:val="auto"/>
        </w:rPr>
        <w:t>5.3 Severance Benefits for Termination Without Cause or Resignation with Good Reason Related to a Change of Control</w:t>
      </w:r>
      <w:r>
        <w:rPr>
          <w:rFonts w:ascii="Times New Roman" w:cs="Times New Roman" w:eastAsia="Times New Roman" w:hAnsi="Times New Roman"/>
          <w:sz w:val="22"/>
          <w:szCs w:val="22"/>
          <w:color w:val="auto"/>
        </w:rPr>
        <w:t>. In the event Executive’s employment with the Company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by the Company without Cause or Executive resigns for Good Reason in each case during the twelve (12) month period immediately following a Change of Control, the Company shall provide Executive with the following payments and benefits, provided that Executive remains in compliance with the terms of this Agreement and the Restrictive Covenant Agreement and subject to Section 6 below:</w:t>
      </w:r>
    </w:p>
    <w:p>
      <w:pPr>
        <w:spacing w:after="0" w:line="179" w:lineRule="exact"/>
        <w:rPr>
          <w:sz w:val="20"/>
          <w:szCs w:val="20"/>
          <w:color w:val="auto"/>
        </w:rPr>
      </w:pPr>
    </w:p>
    <w:p>
      <w:pPr>
        <w:jc w:val="both"/>
        <w:ind w:left="40" w:right="1500" w:firstLine="2247"/>
        <w:spacing w:after="0" w:line="239" w:lineRule="auto"/>
        <w:rPr>
          <w:sz w:val="20"/>
          <w:szCs w:val="20"/>
          <w:color w:val="auto"/>
        </w:rPr>
      </w:pPr>
      <w:r>
        <w:rPr>
          <w:rFonts w:ascii="Times New Roman" w:cs="Times New Roman" w:eastAsia="Times New Roman" w:hAnsi="Times New Roman"/>
          <w:sz w:val="22"/>
          <w:szCs w:val="22"/>
          <w:color w:val="auto"/>
        </w:rPr>
        <w:t>(i)The Company shall pay Executive, as severance, the equivalent of twelve (12) months of Executive’s Base Salary as in effect as of the date of Executive’s employment termination (disregarding any change to Executive’s Base Salary giving rise to Good Reason). This severance will be paid in the form of salary continuation, payable on the Company’s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0" w:right="1480"/>
        <w:spacing w:after="0" w:line="222" w:lineRule="auto"/>
        <w:rPr>
          <w:sz w:val="20"/>
          <w:szCs w:val="20"/>
          <w:color w:val="auto"/>
        </w:rPr>
      </w:pPr>
      <w:r>
        <w:rPr>
          <w:rFonts w:ascii="Times New Roman" w:cs="Times New Roman" w:eastAsia="Times New Roman" w:hAnsi="Times New Roman"/>
          <w:sz w:val="22"/>
          <w:szCs w:val="22"/>
          <w:color w:val="auto"/>
        </w:rPr>
        <w:t>regular payroll dates, subject to standard payroll deductions and withholdings, starting on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Executive’s termination date, with the first payment to include those payments that would have occurred earlier but for the 60-day delay.</w:t>
      </w:r>
    </w:p>
    <w:p>
      <w:pPr>
        <w:spacing w:after="0" w:line="179" w:lineRule="exact"/>
        <w:rPr>
          <w:sz w:val="20"/>
          <w:szCs w:val="20"/>
          <w:color w:val="auto"/>
        </w:rPr>
      </w:pPr>
    </w:p>
    <w:p>
      <w:pPr>
        <w:jc w:val="both"/>
        <w:ind w:left="40" w:right="1480" w:firstLine="2246"/>
        <w:spacing w:after="0" w:line="236" w:lineRule="auto"/>
        <w:rPr>
          <w:sz w:val="20"/>
          <w:szCs w:val="20"/>
          <w:color w:val="auto"/>
        </w:rPr>
      </w:pPr>
      <w:r>
        <w:rPr>
          <w:rFonts w:ascii="Times New Roman" w:cs="Times New Roman" w:eastAsia="Times New Roman" w:hAnsi="Times New Roman"/>
          <w:sz w:val="22"/>
          <w:szCs w:val="22"/>
          <w:color w:val="auto"/>
        </w:rPr>
        <w:t>(ii)In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5.3(i) above. For the avoidance of doubt, the amount payable pursuant to this Section 5.3(ii) shall not be subject to proration based on the portion of the year elapsed as of the date of termination.</w:t>
      </w:r>
    </w:p>
    <w:p>
      <w:pPr>
        <w:spacing w:after="0" w:line="181" w:lineRule="exact"/>
        <w:rPr>
          <w:sz w:val="20"/>
          <w:szCs w:val="20"/>
          <w:color w:val="auto"/>
        </w:rPr>
      </w:pPr>
    </w:p>
    <w:p>
      <w:pPr>
        <w:jc w:val="both"/>
        <w:ind w:left="40" w:right="1480" w:firstLine="2246"/>
        <w:spacing w:after="0" w:line="234" w:lineRule="auto"/>
        <w:rPr>
          <w:sz w:val="20"/>
          <w:szCs w:val="20"/>
          <w:color w:val="auto"/>
        </w:rPr>
      </w:pPr>
      <w:r>
        <w:rPr>
          <w:rFonts w:ascii="Times New Roman" w:cs="Times New Roman" w:eastAsia="Times New Roman" w:hAnsi="Times New Roman"/>
          <w:sz w:val="22"/>
          <w:szCs w:val="22"/>
          <w:color w:val="auto"/>
        </w:rPr>
        <w:t>(iii)Provided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w:t>
      </w:r>
    </w:p>
    <w:p>
      <w:pPr>
        <w:spacing w:after="0" w:line="2" w:lineRule="exact"/>
        <w:rPr>
          <w:sz w:val="20"/>
          <w:szCs w:val="20"/>
          <w:color w:val="auto"/>
        </w:rPr>
      </w:pPr>
    </w:p>
    <w:p>
      <w:pPr>
        <w:jc w:val="both"/>
        <w:ind w:left="40" w:right="1480" w:hanging="9"/>
        <w:spacing w:after="0" w:line="232" w:lineRule="auto"/>
        <w:tabs>
          <w:tab w:leader="none" w:pos="35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78" w:lineRule="exact"/>
        <w:rPr>
          <w:sz w:val="20"/>
          <w:szCs w:val="20"/>
          <w:color w:val="auto"/>
        </w:rPr>
      </w:pPr>
    </w:p>
    <w:p>
      <w:pPr>
        <w:jc w:val="both"/>
        <w:ind w:left="40" w:right="1480" w:firstLine="2246"/>
        <w:spacing w:after="0" w:line="235" w:lineRule="auto"/>
        <w:rPr>
          <w:sz w:val="20"/>
          <w:szCs w:val="20"/>
          <w:color w:val="auto"/>
        </w:rPr>
      </w:pPr>
      <w:r>
        <w:rPr>
          <w:rFonts w:ascii="Times New Roman" w:cs="Times New Roman" w:eastAsia="Times New Roman" w:hAnsi="Times New Roman"/>
          <w:sz w:val="22"/>
          <w:szCs w:val="22"/>
          <w:color w:val="auto"/>
        </w:rPr>
        <w:t xml:space="preserve">(iv)The vesting of all unvested equity-based incentive compensation awards outstanding as of the date of such Change in Control and held by Executive as of the date of such termination shall be accelerated such that 100% of the shares underlying such awards shall be deemed immediately vested and, in the case of stock options, exercisable;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in the case of any unvested equity-based incentive compensation awards that are subject to performance- based vesting terms as of the date of such termination, the treatment of such performance-based vesting conditions shall be governed by the applicable equity plan and award agreement.</w:t>
      </w:r>
    </w:p>
    <w:p>
      <w:pPr>
        <w:spacing w:after="0" w:line="179" w:lineRule="exact"/>
        <w:rPr>
          <w:sz w:val="20"/>
          <w:szCs w:val="20"/>
          <w:color w:val="auto"/>
        </w:rPr>
      </w:pPr>
    </w:p>
    <w:p>
      <w:pPr>
        <w:ind w:left="154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Termination for Cause; Resignation Without Good Reason; Death or</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Disability.</w:t>
      </w:r>
    </w:p>
    <w:p>
      <w:pPr>
        <w:spacing w:after="0" w:line="182" w:lineRule="exact"/>
        <w:rPr>
          <w:sz w:val="20"/>
          <w:szCs w:val="20"/>
          <w:color w:val="auto"/>
        </w:rPr>
      </w:pPr>
    </w:p>
    <w:p>
      <w:pPr>
        <w:ind w:left="40" w:right="1480" w:firstLine="2239"/>
        <w:spacing w:after="0" w:line="255" w:lineRule="auto"/>
        <w:tabs>
          <w:tab w:leader="none" w:pos="303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resigns for any reason prior to or more than twelve (12) months following a Change in Control, resigns without Good Reason within the twelve (12) months following a Change in Control, or the Company terminates Executive’s employment for Cause, Executive shall not be entitled to receive any payments or benefits under this Agreement, other than as set forth in Section 5.1.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1480" w:firstLine="2246"/>
        <w:spacing w:after="0" w:line="233" w:lineRule="auto"/>
        <w:rPr>
          <w:sz w:val="20"/>
          <w:szCs w:val="20"/>
          <w:color w:val="auto"/>
        </w:rPr>
      </w:pPr>
      <w:r>
        <w:rPr>
          <w:rFonts w:ascii="Times New Roman" w:cs="Times New Roman" w:eastAsia="Times New Roman" w:hAnsi="Times New Roman"/>
          <w:sz w:val="22"/>
          <w:szCs w:val="22"/>
          <w:color w:val="auto"/>
        </w:rPr>
        <w:t>(ii)Executive’s employment shall terminate automatically upon Executive’s death or Total Disability. “</w:t>
      </w:r>
      <w:r>
        <w:rPr>
          <w:rFonts w:ascii="Times New Roman" w:cs="Times New Roman" w:eastAsia="Times New Roman" w:hAnsi="Times New Roman"/>
          <w:sz w:val="22"/>
          <w:szCs w:val="22"/>
          <w:b w:val="1"/>
          <w:bCs w:val="1"/>
          <w:color w:val="auto"/>
        </w:rPr>
        <w:t>Total Disability</w:t>
      </w:r>
      <w:r>
        <w:rPr>
          <w:rFonts w:ascii="Times New Roman" w:cs="Times New Roman" w:eastAsia="Times New Roman" w:hAnsi="Times New Roman"/>
          <w:sz w:val="22"/>
          <w:szCs w:val="22"/>
          <w:color w:val="auto"/>
        </w:rPr>
        <w:t>” shall mean Executive's inability, with reasonable accommodation, to perform the duties of Executive’s position for a period or periods aggregating ninety (90) calendar days in any period of one hundred eighty days (180) consecutive days as a result of physical or mental illness, loss of legal capacity or any other cause beyond Executive’s control. Executive and the Company hereby acknowledge that Executive’s ability to perform the duties specified in Section 1 is the essence of this Agreement. Terminationhereunder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5.4(ii), Executive shall not be entitled to receive any payments or benefits under this Agreement, other than as set forth in Section 5.1.</w:t>
      </w:r>
    </w:p>
    <w:p>
      <w:pPr>
        <w:spacing w:after="0" w:line="183" w:lineRule="exact"/>
        <w:rPr>
          <w:sz w:val="20"/>
          <w:szCs w:val="20"/>
          <w:color w:val="auto"/>
        </w:rPr>
      </w:pPr>
    </w:p>
    <w:p>
      <w:pPr>
        <w:jc w:val="both"/>
        <w:ind w:left="40" w:right="1480"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6.Conditions to Receipt of Severance Benefits. </w:t>
      </w:r>
      <w:r>
        <w:rPr>
          <w:rFonts w:ascii="Times New Roman" w:cs="Times New Roman" w:eastAsia="Times New Roman" w:hAnsi="Times New Roman"/>
          <w:sz w:val="21"/>
          <w:szCs w:val="21"/>
          <w:color w:val="auto"/>
        </w:rPr>
        <w:t>As a condition to receiving the payments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set forth in Section 5.2 and Section 5.3,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 (ii) Executive must not have revoked or breached the provisions of such release or breached the provisions of the Restrictive Covenant Agreement. In the event that Executive does not execute and deliver such release, such release does not become effective and 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5.2 or Section 5.3 and (C) will be required to reimburse the Company, in cash within five business days after written demand is made by the Company therefore, for an amount equal to the value of any payments or benefits Executive received pursuant to Section 5.2 or Section 5.3.</w:t>
      </w:r>
    </w:p>
    <w:p>
      <w:pPr>
        <w:spacing w:after="0" w:line="170" w:lineRule="exact"/>
        <w:rPr>
          <w:sz w:val="20"/>
          <w:szCs w:val="20"/>
          <w:color w:val="auto"/>
        </w:rPr>
      </w:pPr>
    </w:p>
    <w:p>
      <w:pPr>
        <w:jc w:val="both"/>
        <w:ind w:left="40" w:right="1480"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7.Section 409A. </w:t>
      </w:r>
      <w:r>
        <w:rPr>
          <w:rFonts w:ascii="Times New Roman" w:cs="Times New Roman" w:eastAsia="Times New Roman" w:hAnsi="Times New Roman"/>
          <w:sz w:val="21"/>
          <w:szCs w:val="21"/>
          <w:color w:val="auto"/>
        </w:rPr>
        <w:t>It is intended that all of the severance benefits and other payments payable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satisfy, to the greatest extent possible, the exemptions from the application of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 (iii)),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w:t>
      </w:r>
    </w:p>
    <w:p>
      <w:pPr>
        <w:spacing w:after="0" w:line="7" w:lineRule="exact"/>
        <w:rPr>
          <w:sz w:val="20"/>
          <w:szCs w:val="20"/>
          <w:color w:val="auto"/>
        </w:rPr>
      </w:pPr>
    </w:p>
    <w:p>
      <w:pPr>
        <w:jc w:val="both"/>
        <w:ind w:left="40" w:right="1480"/>
        <w:spacing w:after="0" w:line="237" w:lineRule="auto"/>
        <w:rPr>
          <w:sz w:val="20"/>
          <w:szCs w:val="20"/>
          <w:color w:val="auto"/>
        </w:rPr>
      </w:pPr>
      <w:r>
        <w:rPr>
          <w:rFonts w:ascii="Times New Roman" w:cs="Times New Roman" w:eastAsia="Times New Roman" w:hAnsi="Times New Roman"/>
          <w:sz w:val="22"/>
          <w:szCs w:val="22"/>
          <w:color w:val="auto"/>
        </w:rPr>
        <w:t>(2)(B)(i), and if any of the payments upon termination set forth herein and/or under any other agreement with the Company are deemed to be “deferred compensation”, then 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655955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1480"/>
        <w:spacing w:after="0" w:line="234" w:lineRule="auto"/>
        <w:rPr>
          <w:sz w:val="20"/>
          <w:szCs w:val="20"/>
          <w:color w:val="auto"/>
        </w:rPr>
      </w:pPr>
      <w:r>
        <w:rPr>
          <w:rFonts w:ascii="Times New Roman" w:cs="Times New Roman" w:eastAsia="Times New Roman" w:hAnsi="Times New Roman"/>
          <w:sz w:val="22"/>
          <w:szCs w:val="22"/>
          <w:color w:val="auto"/>
        </w:rPr>
        <w:t>the extent delayed commencement of any portion of such payments is required in order to avoida prohibited distribution under Section 409A(a)(2)(B)(i) and the related adverse taxation under Section 409A, such payments shall not be provided to Executive prior to the earliest of (i) the expiration of the six-month period measured from the date of Executive’s termination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7 shall be paid in a lump sum to Executive, and any remaining payments due shall be paid as otherwise provided herein or in the applicable agreement. No interest shall be due on any amounts so deferred.</w:t>
      </w:r>
    </w:p>
    <w:p>
      <w:pPr>
        <w:spacing w:after="0" w:line="179" w:lineRule="exact"/>
        <w:rPr>
          <w:sz w:val="20"/>
          <w:szCs w:val="20"/>
          <w:color w:val="auto"/>
        </w:rPr>
      </w:pPr>
    </w:p>
    <w:p>
      <w:pPr>
        <w:jc w:val="both"/>
        <w:ind w:left="40" w:right="1480"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8.Section 280G</w:t>
      </w:r>
      <w:r>
        <w:rPr>
          <w:rFonts w:ascii="Times New Roman" w:cs="Times New Roman" w:eastAsia="Times New Roman" w:hAnsi="Times New Roman"/>
          <w:sz w:val="21"/>
          <w:szCs w:val="21"/>
          <w:color w:val="auto"/>
        </w:rPr>
        <w:t>. In the event that the severance and other benefits provided for in this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payable to Executive (i) constitute “parachute payments” within the meaning of Section 280G of the Code and (ii) but for this Section 8,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Executive on an after-tax basis of the greatest amount of severance benefits under this Agreement, notwithstanding that all or some portion of such severance benefits may be taxable under Section</w:t>
      </w:r>
    </w:p>
    <w:p>
      <w:pPr>
        <w:ind w:left="40"/>
        <w:spacing w:after="0" w:line="235" w:lineRule="auto"/>
        <w:rPr>
          <w:sz w:val="20"/>
          <w:szCs w:val="20"/>
          <w:color w:val="auto"/>
        </w:rPr>
      </w:pPr>
      <w:r>
        <w:rPr>
          <w:rFonts w:ascii="Times New Roman" w:cs="Times New Roman" w:eastAsia="Times New Roman" w:hAnsi="Times New Roman"/>
          <w:sz w:val="22"/>
          <w:szCs w:val="22"/>
          <w:color w:val="auto"/>
        </w:rPr>
        <w:t>4999 of the Code. Any reduction shall be made in the following order:</w:t>
      </w:r>
    </w:p>
    <w:p>
      <w:pPr>
        <w:spacing w:after="0" w:line="1" w:lineRule="exact"/>
        <w:rPr>
          <w:sz w:val="20"/>
          <w:szCs w:val="20"/>
          <w:color w:val="auto"/>
        </w:rPr>
      </w:pPr>
    </w:p>
    <w:p>
      <w:pPr>
        <w:jc w:val="both"/>
        <w:ind w:left="40" w:right="1480" w:hanging="9"/>
        <w:spacing w:after="0" w:line="231" w:lineRule="auto"/>
        <w:tabs>
          <w:tab w:leader="none" w:pos="31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cash payments, (ii) cancellation of accelerated vesting of equity awards, and (iii) reduction of other benefits payable to Executive. Unless the Company and Executive otherwise agree in writing, any determination required under this Section 8 shall be made in writing by the Company’s independent public accountants (the “</w:t>
      </w:r>
      <w:r>
        <w:rPr>
          <w:rFonts w:ascii="Times New Roman" w:cs="Times New Roman" w:eastAsia="Times New Roman" w:hAnsi="Times New Roman"/>
          <w:sz w:val="22"/>
          <w:szCs w:val="22"/>
          <w:b w:val="1"/>
          <w:bCs w:val="1"/>
          <w:color w:val="auto"/>
        </w:rPr>
        <w:t>Accountants</w:t>
      </w:r>
      <w:r>
        <w:rPr>
          <w:rFonts w:ascii="Times New Roman" w:cs="Times New Roman" w:eastAsia="Times New Roman" w:hAnsi="Times New Roman"/>
          <w:sz w:val="22"/>
          <w:szCs w:val="22"/>
          <w:color w:val="auto"/>
        </w:rPr>
        <w:t>”),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w:t>
      </w:r>
    </w:p>
    <w:p>
      <w:pPr>
        <w:spacing w:after="0" w:line="182" w:lineRule="exact"/>
        <w:rPr>
          <w:rFonts w:ascii="Times New Roman" w:cs="Times New Roman" w:eastAsia="Times New Roman" w:hAnsi="Times New Roman"/>
          <w:sz w:val="22"/>
          <w:szCs w:val="22"/>
          <w:color w:val="auto"/>
        </w:rPr>
      </w:pPr>
    </w:p>
    <w:p>
      <w:pPr>
        <w:ind w:left="1540" w:hanging="758"/>
        <w:spacing w:after="0"/>
        <w:tabs>
          <w:tab w:leader="none" w:pos="1540"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jc w:val="both"/>
        <w:ind w:left="40" w:right="1480" w:firstLine="149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9.1 Cause.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“Cause” </w:t>
      </w:r>
      <w:r>
        <w:rPr>
          <w:rFonts w:ascii="Times New Roman" w:cs="Times New Roman" w:eastAsia="Times New Roman" w:hAnsi="Times New Roman"/>
          <w:sz w:val="22"/>
          <w:szCs w:val="22"/>
          <w:color w:val="auto"/>
        </w:rPr>
        <w:t>for termination will mean: (i)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breach of any of Executive’s obligations or duties pursuant to this Agreement or the Restrictive Covenant Agreement, which remains uncured seven days after Executive becomes aware of the breach by formal written notification by the Company; (ii) gross negligence, willful misconduct or breach of fiduciary duty in the course of employment; (iii) any action or activity that is contrary to applicable insider trading rules or any other applicable securities rules or legislation; (iv) a material act or omission involving substantial dishonesty or fraud that harms or would reasonably be expected to harm the Company; or (v) commission of, conviction or indictment for, or plea of no contest to, any felony (or state law equivalent) or any crime involving moral turpitude.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655955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40" w:right="1480" w:firstLine="149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9.2 Good Reason.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will mean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actions taken by the Company without Executive’s prior written consent: (i) a material adverse change in Executive’s position, title, office or duties or assignment of any significant duties to Executive that are materially inconsistent with the position or offices held by Executive; (ii) a decrease in Executive’s base salary by more than 10% (other than in connection with a broad-based reduction in the base salaries of all other officers of the Company); or (iii) a relocation that increases Executive’s one-way commute by more than 25 miles. In order to resign for Good Reason, Executive must provide written notice to the Company’s Chief Executive Officer within 60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such cure period. Notwithstanding 9.2(i), Good Reason shall not mean that the Company removes from Executive the title, duties or responsibilities of Chief Financial Officer.</w:t>
      </w:r>
    </w:p>
    <w:p>
      <w:pPr>
        <w:spacing w:after="0" w:line="182" w:lineRule="exact"/>
        <w:rPr>
          <w:sz w:val="20"/>
          <w:szCs w:val="20"/>
          <w:color w:val="auto"/>
        </w:rPr>
      </w:pPr>
    </w:p>
    <w:p>
      <w:pPr>
        <w:jc w:val="both"/>
        <w:ind w:left="40" w:right="1480" w:firstLine="149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9.3 Change of Control.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“Change of Control” </w:t>
      </w:r>
      <w:r>
        <w:rPr>
          <w:rFonts w:ascii="Times New Roman" w:cs="Times New Roman" w:eastAsia="Times New Roman" w:hAnsi="Times New Roman"/>
          <w:sz w:val="22"/>
          <w:szCs w:val="22"/>
          <w:color w:val="auto"/>
        </w:rPr>
        <w:t>means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occurrence of one or more of the following: (a) a merger, a consolidation, a reorganization or an arrangement that results in a transfer of more than fifty percent (50%) of the total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 person or a group of persons different from a person or a group of persons holding this right immediately prior to such transaction (other than the Company or a person that directly or indirectly controls, is controlled by, or is under common control with, the Company); (d) a direct or indirect sale or other transfer of all or substantially all of the assets of the Company to a person 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a Change in Control will not be deemed to have occurred if such Change in Control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results solely from the issuance, in connection with a bona fide financing or series of financings by the Company, of voting securities of the Company or any rights to acquire voting securities of the Company which are convertible into voting securities.</w:t>
      </w:r>
    </w:p>
    <w:p>
      <w:pPr>
        <w:spacing w:after="0" w:line="180" w:lineRule="exact"/>
        <w:rPr>
          <w:sz w:val="20"/>
          <w:szCs w:val="20"/>
          <w:color w:val="auto"/>
        </w:rPr>
      </w:pPr>
    </w:p>
    <w:p>
      <w:pPr>
        <w:jc w:val="both"/>
        <w:ind w:left="40" w:right="150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10.Proprietary Information Obligations. </w:t>
      </w:r>
      <w:r>
        <w:rPr>
          <w:rFonts w:ascii="Times New Roman" w:cs="Times New Roman" w:eastAsia="Times New Roman" w:hAnsi="Times New Roman"/>
          <w:sz w:val="22"/>
          <w:szCs w:val="22"/>
          <w:color w:val="auto"/>
        </w:rPr>
        <w:t>As an employee of the Company, Executive will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access to certain confidential information of the Company and Executive may, during the course of Executive’s employment develop certain information or inventions that will be the property of the Company. To the protect the Company’s interests, as a condition of employment, Executive must execute and abide by the Employee Proprietary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655955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right="1880"/>
        <w:spacing w:after="0" w:line="262" w:lineRule="auto"/>
        <w:rPr>
          <w:sz w:val="20"/>
          <w:szCs w:val="20"/>
          <w:color w:val="auto"/>
        </w:rPr>
      </w:pPr>
      <w:r>
        <w:rPr>
          <w:rFonts w:ascii="Times New Roman" w:cs="Times New Roman" w:eastAsia="Times New Roman" w:hAnsi="Times New Roman"/>
          <w:sz w:val="22"/>
          <w:szCs w:val="22"/>
          <w:color w:val="auto"/>
        </w:rPr>
        <w:t xml:space="preserve">Restrictive Covenant and Invention Assignment Agreement attached here 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Restrictive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Covenant Agreement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540" w:hanging="758"/>
        <w:spacing w:after="0"/>
        <w:tabs>
          <w:tab w:leader="none" w:pos="154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Outside Activities During Employment.</w:t>
      </w:r>
    </w:p>
    <w:p>
      <w:pPr>
        <w:spacing w:after="0" w:line="206" w:lineRule="exact"/>
        <w:rPr>
          <w:sz w:val="20"/>
          <w:szCs w:val="20"/>
          <w:color w:val="auto"/>
        </w:rPr>
      </w:pPr>
    </w:p>
    <w:p>
      <w:pPr>
        <w:jc w:val="both"/>
        <w:ind w:left="40" w:right="15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11.1Non-Company Business. </w:t>
      </w:r>
      <w:r>
        <w:rPr>
          <w:rFonts w:ascii="Times New Roman" w:cs="Times New Roman" w:eastAsia="Times New Roman" w:hAnsi="Times New Roman"/>
          <w:sz w:val="22"/>
          <w:szCs w:val="22"/>
          <w:color w:val="auto"/>
        </w:rPr>
        <w:t>Except with the prior written consent of the Board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Chief Executive Officer, Executive will not during the term of Executive’s employment with the Company undertake or engage in any other employment, occupation or business enterprise, other than ones in which Executive is a passive investor, provided that they do not violate the Restrictive Covenant Agreement. Executive may engage in civic and not-for-profit activities so long as such activities do not materially interfere with the performance of Executive’s duties hereunder.</w:t>
      </w:r>
    </w:p>
    <w:p>
      <w:pPr>
        <w:spacing w:after="0" w:line="175" w:lineRule="exact"/>
        <w:rPr>
          <w:sz w:val="20"/>
          <w:szCs w:val="20"/>
          <w:color w:val="auto"/>
        </w:rPr>
      </w:pPr>
    </w:p>
    <w:p>
      <w:pPr>
        <w:jc w:val="both"/>
        <w:ind w:left="40" w:right="15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11.2No Adverse Interests. </w:t>
      </w:r>
      <w:r>
        <w:rPr>
          <w:rFonts w:ascii="Times New Roman" w:cs="Times New Roman" w:eastAsia="Times New Roman" w:hAnsi="Times New Roman"/>
          <w:sz w:val="22"/>
          <w:szCs w:val="22"/>
          <w:color w:val="auto"/>
        </w:rPr>
        <w:t>Executive agrees not to acquire, assume or participate in, 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indirectly, any position, investment or interest known to be adverse or antagonistic to the Company, its business or prospects, financial or otherwise.</w:t>
      </w:r>
    </w:p>
    <w:p>
      <w:pPr>
        <w:spacing w:after="0" w:line="167" w:lineRule="exact"/>
        <w:rPr>
          <w:sz w:val="20"/>
          <w:szCs w:val="20"/>
          <w:color w:val="auto"/>
        </w:rPr>
      </w:pPr>
    </w:p>
    <w:p>
      <w:pPr>
        <w:jc w:val="both"/>
        <w:ind w:left="40" w:right="1480"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12.Dispute Resolution. </w:t>
      </w:r>
      <w:r>
        <w:rPr>
          <w:rFonts w:ascii="Times New Roman" w:cs="Times New Roman" w:eastAsia="Times New Roman" w:hAnsi="Times New Roman"/>
          <w:sz w:val="22"/>
          <w:szCs w:val="22"/>
          <w:color w:val="auto"/>
        </w:rPr>
        <w:t>To ensure the timely and economical resolution of disputes that may arise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 confidential arbitration, by a single arbitrator, in Wilmington, Delaware conducted by JAMS,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99" w:lineRule="exact"/>
        <w:rPr>
          <w:sz w:val="20"/>
          <w:szCs w:val="20"/>
          <w:color w:val="auto"/>
        </w:rPr>
      </w:pPr>
    </w:p>
    <w:p>
      <w:pPr>
        <w:ind w:left="1540" w:hanging="758"/>
        <w:spacing w:after="0"/>
        <w:tabs>
          <w:tab w:leader="none" w:pos="15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193" w:lineRule="exact"/>
        <w:rPr>
          <w:sz w:val="20"/>
          <w:szCs w:val="20"/>
          <w:color w:val="auto"/>
        </w:rPr>
      </w:pPr>
    </w:p>
    <w:p>
      <w:pPr>
        <w:jc w:val="both"/>
        <w:ind w:left="40" w:right="1480" w:firstLine="149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13.1Notices. </w:t>
      </w:r>
      <w:r>
        <w:rPr>
          <w:rFonts w:ascii="Times New Roman" w:cs="Times New Roman" w:eastAsia="Times New Roman" w:hAnsi="Times New Roman"/>
          <w:sz w:val="22"/>
          <w:szCs w:val="22"/>
          <w:color w:val="auto"/>
        </w:rPr>
        <w:t>Any notices provided must be in writing and will be deemed effective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earlier of personal delivery (including personal delivery by fax) or the next day after sending by overnight carrier, to the Company at its primary office location and to Executive at the address as listed on the Company payroll.</w:t>
      </w:r>
    </w:p>
    <w:p>
      <w:pPr>
        <w:spacing w:after="0" w:line="1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 xml:space="preserve">13.2Severability. </w:t>
      </w:r>
      <w:r>
        <w:rPr>
          <w:rFonts w:ascii="Times New Roman" w:cs="Times New Roman" w:eastAsia="Times New Roman" w:hAnsi="Times New Roman"/>
          <w:sz w:val="22"/>
          <w:szCs w:val="22"/>
          <w:color w:val="auto"/>
        </w:rPr>
        <w:t>Whenever possible, each provision of this Agreement will be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1500"/>
        <w:spacing w:after="0" w:line="238" w:lineRule="auto"/>
        <w:rPr>
          <w:sz w:val="20"/>
          <w:szCs w:val="20"/>
          <w:color w:val="auto"/>
        </w:rPr>
      </w:pPr>
      <w:r>
        <w:rPr>
          <w:rFonts w:ascii="Times New Roman" w:cs="Times New Roman" w:eastAsia="Times New Roman" w:hAnsi="Times New Roman"/>
          <w:sz w:val="22"/>
          <w:szCs w:val="22"/>
          <w:color w:val="auto"/>
        </w:rPr>
        <w:t>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73" w:lineRule="exact"/>
        <w:rPr>
          <w:sz w:val="20"/>
          <w:szCs w:val="20"/>
          <w:color w:val="auto"/>
        </w:rPr>
      </w:pPr>
    </w:p>
    <w:p>
      <w:pPr>
        <w:jc w:val="both"/>
        <w:ind w:left="40" w:right="15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13.3Waiver. </w:t>
      </w:r>
      <w:r>
        <w:rPr>
          <w:rFonts w:ascii="Times New Roman" w:cs="Times New Roman" w:eastAsia="Times New Roman" w:hAnsi="Times New Roman"/>
          <w:sz w:val="22"/>
          <w:szCs w:val="22"/>
          <w:color w:val="auto"/>
        </w:rPr>
        <w:t>Any waiver of any breach of any provisions of this Agreement must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to be effective, and it shall not thereby be deemed to have waived any preceding or succeeding breach of the same or any other provision of this Agreement.</w:t>
      </w:r>
    </w:p>
    <w:p>
      <w:pPr>
        <w:spacing w:after="0" w:line="167" w:lineRule="exact"/>
        <w:rPr>
          <w:sz w:val="20"/>
          <w:szCs w:val="20"/>
          <w:color w:val="auto"/>
        </w:rPr>
      </w:pPr>
    </w:p>
    <w:p>
      <w:pPr>
        <w:jc w:val="both"/>
        <w:ind w:left="40" w:right="150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13.4Complete Agreement. </w:t>
      </w:r>
      <w:r>
        <w:rPr>
          <w:rFonts w:ascii="Times New Roman" w:cs="Times New Roman" w:eastAsia="Times New Roman" w:hAnsi="Times New Roman"/>
          <w:sz w:val="22"/>
          <w:szCs w:val="22"/>
          <w:color w:val="auto"/>
        </w:rPr>
        <w:t>This Agreement, together with the Restrictive Covenant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74" w:lineRule="exact"/>
        <w:rPr>
          <w:sz w:val="20"/>
          <w:szCs w:val="20"/>
          <w:color w:val="auto"/>
        </w:rPr>
      </w:pPr>
    </w:p>
    <w:p>
      <w:pPr>
        <w:jc w:val="both"/>
        <w:ind w:left="40" w:right="15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13.5Counterparts. </w:t>
      </w:r>
      <w:r>
        <w:rPr>
          <w:rFonts w:ascii="Times New Roman" w:cs="Times New Roman" w:eastAsia="Times New Roman" w:hAnsi="Times New Roman"/>
          <w:sz w:val="22"/>
          <w:szCs w:val="22"/>
          <w:color w:val="auto"/>
        </w:rPr>
        <w:t>This Agreement may be executed in separate counterparts, any one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need not contain signatures of more than one party, but all of which taken together will constitute one and the same Agreement.</w:t>
      </w:r>
    </w:p>
    <w:p>
      <w:pPr>
        <w:spacing w:after="0" w:line="167" w:lineRule="exact"/>
        <w:rPr>
          <w:sz w:val="20"/>
          <w:szCs w:val="20"/>
          <w:color w:val="auto"/>
        </w:rPr>
      </w:pPr>
    </w:p>
    <w:p>
      <w:pPr>
        <w:jc w:val="both"/>
        <w:ind w:left="40" w:right="15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13.6Headings. </w:t>
      </w:r>
      <w:r>
        <w:rPr>
          <w:rFonts w:ascii="Times New Roman" w:cs="Times New Roman" w:eastAsia="Times New Roman" w:hAnsi="Times New Roman"/>
          <w:sz w:val="22"/>
          <w:szCs w:val="22"/>
          <w:color w:val="auto"/>
        </w:rPr>
        <w:t>The headings of the paragraphs hereof are inserted for convenience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deemed to constitute a part hereof nor to affect the meaning thereof.</w:t>
      </w:r>
    </w:p>
    <w:p>
      <w:pPr>
        <w:spacing w:after="0" w:line="150" w:lineRule="exact"/>
        <w:rPr>
          <w:sz w:val="20"/>
          <w:szCs w:val="20"/>
          <w:color w:val="auto"/>
        </w:rPr>
      </w:pPr>
    </w:p>
    <w:p>
      <w:pPr>
        <w:jc w:val="both"/>
        <w:ind w:left="40" w:right="15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13.7Successors and Assigns. </w:t>
      </w:r>
      <w:r>
        <w:rPr>
          <w:rFonts w:ascii="Times New Roman" w:cs="Times New Roman" w:eastAsia="Times New Roman" w:hAnsi="Times New Roman"/>
          <w:sz w:val="22"/>
          <w:szCs w:val="22"/>
          <w:color w:val="auto"/>
        </w:rPr>
        <w:t>This Agreement is intended to bind and inure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 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72" w:lineRule="exact"/>
        <w:rPr>
          <w:sz w:val="20"/>
          <w:szCs w:val="20"/>
          <w:color w:val="auto"/>
        </w:rPr>
      </w:pPr>
    </w:p>
    <w:p>
      <w:pPr>
        <w:jc w:val="both"/>
        <w:ind w:left="40" w:right="150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13.8Tax Withholding and Indemnification. </w:t>
      </w:r>
      <w:r>
        <w:rPr>
          <w:rFonts w:ascii="Times New Roman" w:cs="Times New Roman" w:eastAsia="Times New Roman" w:hAnsi="Times New Roman"/>
          <w:sz w:val="22"/>
          <w:szCs w:val="22"/>
          <w:color w:val="auto"/>
        </w:rPr>
        <w:t>All payments and awards contemplated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6" w:lineRule="exact"/>
        <w:rPr>
          <w:sz w:val="20"/>
          <w:szCs w:val="20"/>
          <w:color w:val="auto"/>
        </w:rPr>
      </w:pPr>
    </w:p>
    <w:p>
      <w:pPr>
        <w:jc w:val="both"/>
        <w:ind w:left="40" w:right="15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13.9Choice of Law. </w:t>
      </w:r>
      <w:r>
        <w:rPr>
          <w:rFonts w:ascii="Times New Roman" w:cs="Times New Roman" w:eastAsia="Times New Roman" w:hAnsi="Times New Roman"/>
          <w:sz w:val="22"/>
          <w:szCs w:val="22"/>
          <w:color w:val="auto"/>
        </w:rPr>
        <w:t>All questions concerning the construction, validity and interpretation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will be governed by the laws of the State of Delaware.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655955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79" w:right="339" w:bottom="1440" w:gutter="0" w:footer="0" w:header="0"/>
        </w:sectPr>
      </w:pPr>
    </w:p>
    <w:bookmarkStart w:id="131" w:name="page132"/>
    <w:bookmarkEnd w:id="131"/>
    <w:p>
      <w:pPr>
        <w:ind w:right="1279" w:firstLine="746"/>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this Agreement on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relude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ncorporated</w:t>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-11430</wp:posOffset>
            </wp:positionV>
            <wp:extent cx="10020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1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Title: CEO and Founder</w:t>
      </w:r>
    </w:p>
    <w:p>
      <w:pPr>
        <w:spacing w:after="0" w:line="200" w:lineRule="exact"/>
        <w:rPr>
          <w:sz w:val="20"/>
          <w:szCs w:val="20"/>
          <w:color w:val="auto"/>
        </w:rPr>
      </w:pPr>
    </w:p>
    <w:p>
      <w:pPr>
        <w:spacing w:after="0" w:line="3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Bryant Lim</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i w:val="1"/>
          <w:iCs w:val="1"/>
          <w:u w:val="single" w:color="auto"/>
          <w:color w:val="auto"/>
        </w:rPr>
        <w:t>/s/ Bryant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223520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19"/>
          </w:cols>
          <w:pgMar w:left="740" w:top="1377" w:right="1440" w:bottom="1440" w:gutter="0" w:footer="0" w:header="0"/>
        </w:sectPr>
      </w:pPr>
    </w:p>
    <w:bookmarkStart w:id="132" w:name="page133"/>
    <w:bookmarkEnd w:id="132"/>
    <w:p>
      <w:pPr>
        <w:jc w:val="center"/>
        <w:ind w:right="77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1"/>
          <w:szCs w:val="21"/>
          <w:b w:val="1"/>
          <w:bCs w:val="1"/>
          <w:color w:val="auto"/>
        </w:rPr>
        <w:t>Employee Proprietary Information, Restrictive Covenant and Invention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231140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39"/>
          </w:cols>
          <w:pgMar w:left="820" w:top="1215"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29" w:lineRule="exact"/>
        <w:rPr>
          <w:sz w:val="20"/>
          <w:szCs w:val="20"/>
          <w:color w:val="auto"/>
        </w:rPr>
      </w:pPr>
    </w:p>
    <w:p>
      <w:pPr>
        <w:jc w:val="both"/>
        <w:ind w:right="120" w:firstLine="749"/>
        <w:spacing w:after="0" w:line="250"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Prelude Therapeutics Incorporated (“</w:t>
      </w:r>
      <w:r>
        <w:rPr>
          <w:rFonts w:ascii="Times New Roman" w:cs="Times New Roman" w:eastAsia="Times New Roman" w:hAnsi="Times New Roman"/>
          <w:sz w:val="20"/>
          <w:szCs w:val="20"/>
          <w:b w:val="1"/>
          <w:bCs w:val="1"/>
          <w:i w:val="1"/>
          <w:iCs w:val="1"/>
          <w:color w:val="auto"/>
        </w:rPr>
        <w:t>Prelude</w:t>
      </w:r>
      <w:r>
        <w:rPr>
          <w:rFonts w:ascii="Times New Roman" w:cs="Times New Roman" w:eastAsia="Times New Roman" w:hAnsi="Times New Roman"/>
          <w:sz w:val="20"/>
          <w:szCs w:val="20"/>
          <w:color w:val="auto"/>
        </w:rPr>
        <w:t>”) has adopted this Insider Trading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promote compliance with U.S. federal, state and foreign securities laws that prohibit certain persons who are aware of material nonpublic information about a company from (i) trading in securities of that company; or (ii) providing material nonpublic information to other persons who may trade based on that information.</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Policy is dated March 10, 2025 and supersedes any previous policy adopted by Prelude regarding insider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Transactions Subject to this Policy</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This Policy applies to transactions in Prelude’s securities (collectively referred to in this Policy as “</w:t>
      </w:r>
      <w:r>
        <w:rPr>
          <w:rFonts w:ascii="Times New Roman" w:cs="Times New Roman" w:eastAsia="Times New Roman" w:hAnsi="Times New Roman"/>
          <w:sz w:val="20"/>
          <w:szCs w:val="20"/>
          <w:b w:val="1"/>
          <w:bCs w:val="1"/>
          <w:i w:val="1"/>
          <w:iCs w:val="1"/>
          <w:color w:val="auto"/>
        </w:rPr>
        <w:t>Prelude Securities</w:t>
      </w:r>
      <w:r>
        <w:rPr>
          <w:rFonts w:ascii="Times New Roman" w:cs="Times New Roman" w:eastAsia="Times New Roman" w:hAnsi="Times New Roman"/>
          <w:sz w:val="20"/>
          <w:szCs w:val="20"/>
          <w:color w:val="auto"/>
        </w:rPr>
        <w:t xml:space="preserve">”), including purchases, sales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of Prelude’s common stock, or any other type of security that Prelude may issue, including, but not limited to, preferred stock, convertible debentures, and warrants, as well as derivative securities that are not issued by Prelude, such as exchange-traded put or call options or swaps relating to Prelude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Covered by this Policy</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20"/>
          <w:szCs w:val="20"/>
          <w:color w:val="auto"/>
        </w:rPr>
        <w:t>This Policy applies to Prelude’s officers, employees, directors, consultants and contractors (collectively, “</w:t>
      </w:r>
      <w:r>
        <w:rPr>
          <w:rFonts w:ascii="Times New Roman" w:cs="Times New Roman" w:eastAsia="Times New Roman" w:hAnsi="Times New Roman"/>
          <w:sz w:val="20"/>
          <w:szCs w:val="20"/>
          <w:b w:val="1"/>
          <w:bCs w:val="1"/>
          <w:i w:val="1"/>
          <w:iCs w:val="1"/>
          <w:color w:val="auto"/>
        </w:rPr>
        <w:t>Insiders</w:t>
      </w:r>
      <w:r>
        <w:rPr>
          <w:rFonts w:ascii="Times New Roman" w:cs="Times New Roman" w:eastAsia="Times New Roman" w:hAnsi="Times New Roman"/>
          <w:sz w:val="20"/>
          <w:szCs w:val="20"/>
          <w:color w:val="auto"/>
        </w:rPr>
        <w:t>”), and each of their Family Members and Related Entities (each, as defined below). Prelude may also determine that other persons should be subject to this Policy.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Family Members</w:t>
      </w:r>
    </w:p>
    <w:p>
      <w:pPr>
        <w:spacing w:after="0" w:line="233" w:lineRule="exact"/>
        <w:rPr>
          <w:sz w:val="20"/>
          <w:szCs w:val="20"/>
          <w:color w:val="auto"/>
        </w:rPr>
      </w:pPr>
    </w:p>
    <w:p>
      <w:pPr>
        <w:ind w:right="160" w:firstLine="749"/>
        <w:spacing w:after="0" w:line="243" w:lineRule="auto"/>
        <w:rPr>
          <w:sz w:val="20"/>
          <w:szCs w:val="20"/>
          <w:color w:val="auto"/>
        </w:rPr>
      </w:pPr>
      <w:r>
        <w:rPr>
          <w:rFonts w:ascii="Times New Roman" w:cs="Times New Roman" w:eastAsia="Times New Roman" w:hAnsi="Times New Roman"/>
          <w:sz w:val="20"/>
          <w:szCs w:val="20"/>
          <w:color w:val="auto"/>
        </w:rPr>
        <w:t>The same restrictions described in this Policy that apply to an Insider also apply to the Insider’s family and household members, which includes family members who reside with an Insider (including a spouse, a child, a child away at college, stepchildren, grandchildren, parents, stepparents, grandparents, siblings and in-laws), anyone else who lives in the Insider’s household (whether or not they are a family member of the Insider), and any family members who do not live in the Insider’s household, but whose transactions in Prelude’s securities are directed by the Insider or are subject to the Insider’s influence or control (such as family members who consult with the Insider before they trade in Prelude Securities) (collectively, “</w:t>
      </w:r>
      <w:r>
        <w:rPr>
          <w:rFonts w:ascii="Times New Roman" w:cs="Times New Roman" w:eastAsia="Times New Roman" w:hAnsi="Times New Roman"/>
          <w:sz w:val="20"/>
          <w:szCs w:val="20"/>
          <w:b w:val="1"/>
          <w:bCs w:val="1"/>
          <w:i w:val="1"/>
          <w:iCs w:val="1"/>
          <w:color w:val="auto"/>
        </w:rPr>
        <w:t>Family Members</w:t>
      </w:r>
      <w:r>
        <w:rPr>
          <w:rFonts w:ascii="Times New Roman" w:cs="Times New Roman" w:eastAsia="Times New Roman" w:hAnsi="Times New Roman"/>
          <w:sz w:val="20"/>
          <w:szCs w:val="20"/>
          <w:color w:val="auto"/>
        </w:rPr>
        <w:t>”). However, this Policy does not apply to personal transactions in Prelude Securities of Family Members where the trading decision is made by a third party not controlled by, influenced by or related to an Insider.</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Related Entities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Policy also applies to any entities or persons who are controlled by an Insider (each, a “</w:t>
      </w:r>
      <w:r>
        <w:rPr>
          <w:rFonts w:ascii="Times New Roman" w:cs="Times New Roman" w:eastAsia="Times New Roman" w:hAnsi="Times New Roman"/>
          <w:sz w:val="20"/>
          <w:szCs w:val="20"/>
          <w:b w:val="1"/>
          <w:bCs w:val="1"/>
          <w:i w:val="1"/>
          <w:iCs w:val="1"/>
          <w:color w:val="auto"/>
        </w:rPr>
        <w:t>Related Entity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right="120" w:firstLine="749"/>
        <w:spacing w:after="0" w:line="249" w:lineRule="auto"/>
        <w:rPr>
          <w:sz w:val="20"/>
          <w:szCs w:val="20"/>
          <w:color w:val="auto"/>
        </w:rPr>
      </w:pPr>
      <w:r>
        <w:rPr>
          <w:rFonts w:ascii="Times New Roman" w:cs="Times New Roman" w:eastAsia="Times New Roman" w:hAnsi="Times New Roman"/>
          <w:sz w:val="20"/>
          <w:szCs w:val="20"/>
          <w:color w:val="auto"/>
        </w:rPr>
        <w:t>Notwithstanding the foregoing, this Policy generally does not apply to any Related Entities that engage in the investment of securities in the ordinary course of business (e.g., an investment fund or partnership) if the entity has established its own insider trading controls and procedures in compliance with applicable securities laws and the relevant Insider (or affiliated Related Entity) has represented to Prelude that such entity: (a) engages in the investment of securities in the ordinary course of business; (b) has</w:t>
      </w: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20"/>
          <w:szCs w:val="20"/>
          <w:color w:val="auto"/>
        </w:rPr>
        <w:t>established insider trading controls and procedures in compliance with applicable securities laws; and (c) is aware such securities laws prohibit any person or entity who has material non-public information concerning a company from purchasing or selling securities of a company or from communicating such information to any other person under circumstances in which it is reasonably foreseeable that such person is likely to trade such securities. The Prelude legal department has the sole discretion to determine whether this exemption to this Policy may apply, including as to its determination that such outside insider trading controls and procedures do not conflict in any manner with this Policy.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Designated Insiders</w:t>
      </w:r>
    </w:p>
    <w:p>
      <w:pPr>
        <w:spacing w:after="0" w:line="233" w:lineRule="exact"/>
        <w:rPr>
          <w:sz w:val="20"/>
          <w:szCs w:val="20"/>
          <w:color w:val="auto"/>
        </w:rPr>
      </w:pPr>
    </w:p>
    <w:p>
      <w:pPr>
        <w:jc w:val="both"/>
        <w:ind w:right="120" w:firstLine="749"/>
        <w:spacing w:after="0" w:line="249" w:lineRule="auto"/>
        <w:rPr>
          <w:sz w:val="20"/>
          <w:szCs w:val="20"/>
          <w:color w:val="auto"/>
        </w:rPr>
      </w:pPr>
      <w:r>
        <w:rPr>
          <w:rFonts w:ascii="Times New Roman" w:cs="Times New Roman" w:eastAsia="Times New Roman" w:hAnsi="Times New Roman"/>
          <w:sz w:val="20"/>
          <w:szCs w:val="20"/>
          <w:color w:val="auto"/>
        </w:rPr>
        <w:t>Certain Insiders are subject to additional rules. Prelude’s “officers” (as defined in Rule 16a-1(f)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members of the Board, and other individuals who may from time to time be designated by the Compliance Officer are known as “</w:t>
      </w:r>
      <w:r>
        <w:rPr>
          <w:rFonts w:ascii="Times New Roman" w:cs="Times New Roman" w:eastAsia="Times New Roman" w:hAnsi="Times New Roman"/>
          <w:sz w:val="20"/>
          <w:szCs w:val="20"/>
          <w:b w:val="1"/>
          <w:bCs w:val="1"/>
          <w:i w:val="1"/>
          <w:iCs w:val="1"/>
          <w:color w:val="auto"/>
        </w:rPr>
        <w:t>Designated Insiders</w:t>
      </w:r>
      <w:r>
        <w:rPr>
          <w:rFonts w:ascii="Times New Roman" w:cs="Times New Roman" w:eastAsia="Times New Roman" w:hAnsi="Times New Roman"/>
          <w:sz w:val="20"/>
          <w:szCs w:val="20"/>
          <w:color w:val="auto"/>
        </w:rPr>
        <w:t>.” Prior to transacting in Prelude Securities, Designated Insiders’ trades must be pre-approved by the Compliance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 Information</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Insiders may at some time come into possession of material non-public information about (1) Prelude or (2) companies with which Prelude does business, such as its customers, suppliers, and partners, or (3) companies involved in a potential transaction or business relationship with Prelude (the persons and entities referenced in the foregoing clauses (2) and (3) are collectively referred to herein as “</w:t>
      </w:r>
      <w:r>
        <w:rPr>
          <w:rFonts w:ascii="Times New Roman" w:cs="Times New Roman" w:eastAsia="Times New Roman" w:hAnsi="Times New Roman"/>
          <w:sz w:val="20"/>
          <w:szCs w:val="20"/>
          <w:b w:val="1"/>
          <w:bCs w:val="1"/>
          <w:i w:val="1"/>
          <w:i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Companies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Such information may come to an Insider’s attention in the ordinary course of performing their job or providing services to Prelude, through overheard remarks, or through some other means. No matter how an Insider learns of such information, there are certain restrictions that Insiders must observe. Failure to do so could result in serious legal consequences, including civil fines or criminal proceedings or disciplinary action, including termination of employment (whether or not an Insider’s failure to comply with this Policy also results in a violation of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Insiders are individually responsible for complying with this Policy and for making sure any Family Members or Related Entities also comply with this Policy. In all cases, the responsibility for determining whether an individual is in possession of material non-public information rests with that individual, and any action on the part of Prelude, its Compliance Officer or any other employee or director pursuant to this Policy (or otherwise) does not in any way constitute legal advice or insulate any individual from liability under applicable securities laws.</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existence of a personal financial emergency does not excuse an Insider from compliance with this Policy. Even if an Insider terminates employment or services with Prelude, the Insider may not trade in Prelude Securities until any material non-public information that that the Insider is aware of has become public or is no longer material.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 OF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Restrictions</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At any time that an Insider is aware of any material non-public information about Prelude, an Insider (including an Insider’s Family Members and Related Entities) may not engage in the following activities:</w:t>
      </w:r>
    </w:p>
    <w:p>
      <w:pPr>
        <w:spacing w:after="0" w:line="200" w:lineRule="exact"/>
        <w:rPr>
          <w:sz w:val="20"/>
          <w:szCs w:val="20"/>
          <w:color w:val="auto"/>
        </w:rPr>
      </w:pP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00" w:hanging="369"/>
        <w:spacing w:after="0" w:line="293" w:lineRule="auto"/>
        <w:tabs>
          <w:tab w:leader="none" w:pos="1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 sell, gift or otherwise engage in any transactions, either directly or through a third party,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in Prelude Securities, other than pursuant to a “</w:t>
      </w:r>
      <w:r>
        <w:rPr>
          <w:rFonts w:ascii="Times New Roman" w:cs="Times New Roman" w:eastAsia="Times New Roman" w:hAnsi="Times New Roman"/>
          <w:sz w:val="20"/>
          <w:szCs w:val="20"/>
          <w:b w:val="1"/>
          <w:bCs w:val="1"/>
          <w:i w:val="1"/>
          <w:iCs w:val="1"/>
          <w:color w:val="auto"/>
        </w:rPr>
        <w:t>10b5-1 Plan</w:t>
      </w:r>
      <w:r>
        <w:rPr>
          <w:rFonts w:ascii="Times New Roman" w:cs="Times New Roman" w:eastAsia="Times New Roman" w:hAnsi="Times New Roman"/>
          <w:sz w:val="20"/>
          <w:szCs w:val="20"/>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entered into pursuant to Rule 10b5-1 under the Exchange Act;</w:t>
      </w:r>
    </w:p>
    <w:p>
      <w:pPr>
        <w:spacing w:after="0" w:line="73"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tip, directly or indirectly, material non-public information to any persons who might (a) trade in Prelude Securities or (b) pass along such information to others who might trade;</w:t>
      </w:r>
    </w:p>
    <w:p>
      <w:pPr>
        <w:spacing w:after="0" w:line="172"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recommendations or express opinions to any person about trading in Prelude Securities on the basis of material non-public information; or</w:t>
      </w:r>
    </w:p>
    <w:p>
      <w:pPr>
        <w:spacing w:after="0" w:line="172"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disclose any material non-public information to anyone (a) within Prelude whose job does not require them to have that information or (b) outside Prelude including, but not limited to, Family Members, Related Entities, friends, business associates, investors, and consulting firms, unless the disclosure is authorized by Prelude.</w:t>
      </w:r>
    </w:p>
    <w:p>
      <w:pPr>
        <w:spacing w:after="0" w:line="18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same restriction applies to trading in securities of Other Companies when an Insider is in possession of material non-public information about such Other Companies.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test for liability under the securities laws is not whether an Insider affects a trade because of the information in question.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can attach even if an Insider trades for other reasons while aware of such information.</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Material Information</w:t>
      </w:r>
    </w:p>
    <w:p>
      <w:pPr>
        <w:spacing w:after="0" w:line="233" w:lineRule="exact"/>
        <w:rPr>
          <w:sz w:val="20"/>
          <w:szCs w:val="20"/>
          <w:color w:val="auto"/>
        </w:rPr>
      </w:pPr>
    </w:p>
    <w:p>
      <w:pPr>
        <w:jc w:val="both"/>
        <w:ind w:right="120" w:firstLine="749"/>
        <w:spacing w:after="0" w:line="254" w:lineRule="auto"/>
        <w:rPr>
          <w:sz w:val="20"/>
          <w:szCs w:val="20"/>
          <w:color w:val="auto"/>
        </w:rPr>
      </w:pPr>
      <w:r>
        <w:rPr>
          <w:rFonts w:ascii="Times New Roman" w:cs="Times New Roman" w:eastAsia="Times New Roman" w:hAnsi="Times New Roman"/>
          <w:sz w:val="20"/>
          <w:szCs w:val="20"/>
          <w:color w:val="auto"/>
        </w:rPr>
        <w:t>Information is “material” if (1) a reasonable investor would likely consider such information important in deciding whether to buy, hold or sell a company’s securities, or (2) it might affect the market or price for a company’s securities (whether positively or negatively).</w:t>
      </w:r>
    </w:p>
    <w:p>
      <w:pPr>
        <w:spacing w:after="0" w:line="188" w:lineRule="exact"/>
        <w:rPr>
          <w:sz w:val="20"/>
          <w:szCs w:val="20"/>
          <w:color w:val="auto"/>
        </w:rPr>
      </w:pPr>
    </w:p>
    <w:p>
      <w:pPr>
        <w:jc w:val="both"/>
        <w:ind w:right="120" w:firstLine="749"/>
        <w:spacing w:after="0" w:line="249" w:lineRule="auto"/>
        <w:rPr>
          <w:sz w:val="20"/>
          <w:szCs w:val="20"/>
          <w:color w:val="auto"/>
        </w:rPr>
      </w:pPr>
      <w:r>
        <w:rPr>
          <w:rFonts w:ascii="Times New Roman" w:cs="Times New Roman" w:eastAsia="Times New Roman" w:hAnsi="Times New Roman"/>
          <w:sz w:val="20"/>
          <w:szCs w:val="20"/>
          <w:color w:val="auto"/>
        </w:rPr>
        <w:t>Examples of material information include (but are not limited to): financial or company performance information (especially cash balance, burn and runway), significant regulatory communications, timing and achievement of major development milestones, results of studies and trials, entry into a new commercial agreement or termination of an existing commercial agreement, mergers or acquisitions, important pipeline expansion, significant cybersecurity incidents or data breaches, and changes in executive management or our Board.</w:t>
      </w:r>
    </w:p>
    <w:p>
      <w:pPr>
        <w:spacing w:after="0" w:line="193" w:lineRule="exact"/>
        <w:rPr>
          <w:sz w:val="20"/>
          <w:szCs w:val="20"/>
          <w:color w:val="auto"/>
        </w:rPr>
      </w:pPr>
    </w:p>
    <w:p>
      <w:pPr>
        <w:jc w:val="both"/>
        <w:ind w:right="1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Material information could also include many other types of information not listed above. Insiders should remember that federal and stock market investigators and potential plaintiffs will scrutinize questionable trades “after the fact” with the benefit of hindsight. As a practical matter, before engaging in any trade, Insiders should carefully consider how enforcement authorities and others might view the trade in hindsight. Questions concerning the materiality of particular information should be resolved in favor of materiality. As a general rule, </w:t>
      </w:r>
      <w:r>
        <w:rPr>
          <w:rFonts w:ascii="Times New Roman" w:cs="Times New Roman" w:eastAsia="Times New Roman" w:hAnsi="Times New Roman"/>
          <w:sz w:val="20"/>
          <w:szCs w:val="20"/>
          <w:b w:val="1"/>
          <w:bCs w:val="1"/>
          <w:i w:val="1"/>
          <w:iCs w:val="1"/>
          <w:color w:val="auto"/>
        </w:rPr>
        <w:t>when in doubt, do not trade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1688465" cy="508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60" w:firstLine="8"/>
        <w:spacing w:after="0" w:line="238" w:lineRule="auto"/>
        <w:tabs>
          <w:tab w:leader="none" w:pos="105"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means a binding contract, specific instruction or written plan entered into while the purchaser or seller, as applicable, was unaware of any material non-public information and which contract, instruction or plan (i) meets all requirements of the affirmative defense provided by 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promulgated under the Exchange Act, including the applicable cooling off period, (ii) was pre-cleared in advance pursuant to this Policy and (iii) has not been amended or modified in any respect after such initial pre-clearance without such amendment or modification being pre-cleared in advance pursuant to this Policy.</w:t>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Non-Public Information</w:t>
      </w:r>
    </w:p>
    <w:p>
      <w:pPr>
        <w:spacing w:after="0" w:line="233" w:lineRule="exact"/>
        <w:rPr>
          <w:sz w:val="20"/>
          <w:szCs w:val="20"/>
          <w:color w:val="auto"/>
        </w:rPr>
      </w:pPr>
    </w:p>
    <w:p>
      <w:pPr>
        <w:jc w:val="both"/>
        <w:ind w:right="120" w:firstLine="749"/>
        <w:spacing w:after="0" w:line="249" w:lineRule="auto"/>
        <w:rPr>
          <w:sz w:val="20"/>
          <w:szCs w:val="20"/>
          <w:color w:val="auto"/>
        </w:rPr>
      </w:pPr>
      <w:r>
        <w:rPr>
          <w:rFonts w:ascii="Times New Roman" w:cs="Times New Roman" w:eastAsia="Times New Roman" w:hAnsi="Times New Roman"/>
          <w:sz w:val="20"/>
          <w:szCs w:val="20"/>
          <w:color w:val="auto"/>
        </w:rPr>
        <w:t>Information is considered “non-public” until the information has been disclosed broadly to the marketplace and the investing public has had time to absorb and evaluate the information fully. Examples of public disclosure include (but are not limited to): (1) public filings with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(2) press releases; and (3) web casts or earnings calls for which proper prior notice has been publicly given.</w:t>
      </w:r>
    </w:p>
    <w:p>
      <w:pPr>
        <w:spacing w:after="0" w:line="193" w:lineRule="exact"/>
        <w:rPr>
          <w:sz w:val="20"/>
          <w:szCs w:val="20"/>
          <w:color w:val="auto"/>
        </w:rPr>
      </w:pPr>
    </w:p>
    <w:p>
      <w:pPr>
        <w:jc w:val="both"/>
        <w:ind w:right="1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Once information is widely disseminated, it is still necessary to provide the investing public with sufficient time to absorb the information. As a general rule, information should not be considered fully absorbed by the marketplace until a </w:t>
      </w:r>
      <w:r>
        <w:rPr>
          <w:rFonts w:ascii="Times New Roman" w:cs="Times New Roman" w:eastAsia="Times New Roman" w:hAnsi="Times New Roman"/>
          <w:sz w:val="20"/>
          <w:szCs w:val="20"/>
          <w:b w:val="1"/>
          <w:bCs w:val="1"/>
          <w:i w:val="1"/>
          <w:iCs w:val="1"/>
          <w:color w:val="auto"/>
        </w:rPr>
        <w:t>full trading day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has elapsed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after the information was publicly disclosed.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Determining “Material” and “Non-public.”</w:t>
      </w:r>
    </w:p>
    <w:p>
      <w:pPr>
        <w:spacing w:after="0" w:line="233" w:lineRule="exact"/>
        <w:rPr>
          <w:sz w:val="20"/>
          <w:szCs w:val="20"/>
          <w:color w:val="auto"/>
        </w:rPr>
      </w:pPr>
    </w:p>
    <w:p>
      <w:pPr>
        <w:jc w:val="both"/>
        <w:ind w:right="120" w:firstLine="749"/>
        <w:spacing w:after="0" w:line="254" w:lineRule="auto"/>
        <w:rPr>
          <w:sz w:val="20"/>
          <w:szCs w:val="20"/>
          <w:color w:val="auto"/>
        </w:rPr>
      </w:pPr>
      <w:r>
        <w:rPr>
          <w:rFonts w:ascii="Times New Roman" w:cs="Times New Roman" w:eastAsia="Times New Roman" w:hAnsi="Times New Roman"/>
          <w:sz w:val="20"/>
          <w:szCs w:val="20"/>
          <w:color w:val="auto"/>
        </w:rPr>
        <w:t>Whether a particular item is “material” or “non-public” will be judged with 20/20 hindsight. Accordingly, when in doubt as to a particular item of information, you should either consult with our Compliance Officer or presume it is material and has not been disclosed to the public.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Prohibited Activities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Prelude has determined that there is a heightened legal risk and/or the appearance of improper conduct if the persons subject to this Policy engage in certain types of speculative transactions in Prelude Securities. Therefore, this Policy prohibits Insiders from engaging in any of the following types of transactions:</w:t>
      </w:r>
    </w:p>
    <w:p>
      <w:pPr>
        <w:spacing w:after="0" w:line="174" w:lineRule="exact"/>
        <w:rPr>
          <w:sz w:val="20"/>
          <w:szCs w:val="20"/>
          <w:color w:val="auto"/>
        </w:rPr>
      </w:pPr>
    </w:p>
    <w:p>
      <w:pPr>
        <w:jc w:val="both"/>
        <w:ind w:left="1500" w:right="120" w:hanging="369"/>
        <w:spacing w:after="0" w:line="246" w:lineRule="auto"/>
        <w:tabs>
          <w:tab w:leader="none" w:pos="1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Short sales of Prelude Securities evidence an expectation on the part of the seller that the securities will decline in value and, therefore, signal to the market that the seller has no confidence in Prelude or its short-term prospects. In addition, short sales may reduce the seller’s incentive to improve Prelude’s performance. For at least these reasons, short sales of Prelude Securities are prohibited by this Policy. In addition, Section 16(c) of the Exchange Act prohibits directors and certain officers from engaging in short sales.</w:t>
      </w:r>
    </w:p>
    <w:p>
      <w:pPr>
        <w:spacing w:after="0" w:line="184" w:lineRule="exact"/>
        <w:rPr>
          <w:rFonts w:ascii="Times New Roman" w:cs="Times New Roman" w:eastAsia="Times New Roman" w:hAnsi="Times New Roman"/>
          <w:sz w:val="20"/>
          <w:szCs w:val="20"/>
          <w:color w:val="auto"/>
        </w:rPr>
      </w:pPr>
    </w:p>
    <w:p>
      <w:pPr>
        <w:jc w:val="both"/>
        <w:ind w:left="1500" w:right="120" w:hanging="369"/>
        <w:spacing w:after="0" w:line="245" w:lineRule="auto"/>
        <w:tabs>
          <w:tab w:leader="none" w:pos="1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Publicly Traded Options</w:t>
      </w:r>
      <w:r>
        <w:rPr>
          <w:rFonts w:ascii="Times New Roman" w:cs="Times New Roman" w:eastAsia="Times New Roman" w:hAnsi="Times New Roman"/>
          <w:sz w:val="20"/>
          <w:szCs w:val="20"/>
          <w:color w:val="auto"/>
        </w:rPr>
        <w:t>. A transaction in options is, in effect, a bet on the short-term movement of Prelude Securities and, therefore, creates the appearance that the Insider is trading based on inside information. Transactions in options also may focus the Insider’s attention on short-term performance at the expense of Prelude’s long-term objectives. Accordingly, transactions in puts, calls, or any other derivative securities involving Prelude’s equity securities, on an exchange or in any other organized market, are prohibited by this Policy. Please note that option positions arising from certain types of hedging transactions are governed by the section below captioned “Hedging Transactions.”</w:t>
      </w:r>
    </w:p>
    <w:p>
      <w:pPr>
        <w:spacing w:after="0" w:line="184" w:lineRule="exact"/>
        <w:rPr>
          <w:rFonts w:ascii="Times New Roman" w:cs="Times New Roman" w:eastAsia="Times New Roman" w:hAnsi="Times New Roman"/>
          <w:sz w:val="20"/>
          <w:szCs w:val="20"/>
          <w:color w:val="auto"/>
        </w:rPr>
      </w:pPr>
    </w:p>
    <w:p>
      <w:pPr>
        <w:jc w:val="both"/>
        <w:ind w:left="1500" w:right="120" w:hanging="369"/>
        <w:spacing w:after="0" w:line="245" w:lineRule="auto"/>
        <w:tabs>
          <w:tab w:leader="none" w:pos="1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Transactions</w:t>
      </w:r>
      <w:r>
        <w:rPr>
          <w:rFonts w:ascii="Times New Roman" w:cs="Times New Roman" w:eastAsia="Times New Roman" w:hAnsi="Times New Roman"/>
          <w:sz w:val="20"/>
          <w:szCs w:val="20"/>
          <w:color w:val="auto"/>
        </w:rPr>
        <w:t>. Certain forms of hedging or monetization transactions, such as zero-cost collars and forward sale contracts, allow an Insider to lock in much of the value of such Insider’s stock holdings, often in exchange for all or part of the potential for upside appreciation in the stock. These transactions allow the Insider to continue to own the covered securities, but without the full risks and rewards of ownership. In these situations, the Insider may no longer have the same objectives as other shareholders. Therefore, Insiders are prohibited from engaging in any such transactions involving Prelude’s equity securities.</w:t>
      </w: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500" w:right="120" w:hanging="369"/>
        <w:spacing w:after="0" w:line="242" w:lineRule="auto"/>
        <w:tabs>
          <w:tab w:leader="none" w:pos="15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Pledges</w:t>
      </w:r>
      <w:r>
        <w:rPr>
          <w:rFonts w:ascii="Times New Roman" w:cs="Times New Roman" w:eastAsia="Times New Roman" w:hAnsi="Times New Roman"/>
          <w:sz w:val="20"/>
          <w:szCs w:val="20"/>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Prelude Securities, Designated Insiders are prohibited from holding Prelude Securities in a margin account or pledging Prelude Securities as collateral for a loan. An exception to this prohibition may be granted where an Insider wishes to pledge Prelude Securities as collateral for a loan (not including margin debt) and clearly demonstrates the financial capacity to repay the loan without resorting to the pledged securities. The Compliance Officer may, in his or her sole discretion, determine to make such other exceptions as he or she deems suitable. Any Insider who wishes to pledge Prelude Securities as collateral for a loan must submit a request for approval to the Compliance Officer at least two weeks prior to the proposed execution of documents evidencing the proposed pledge.</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Designated Insiders</w:t>
      </w:r>
    </w:p>
    <w:p>
      <w:pPr>
        <w:spacing w:after="0" w:line="233" w:lineRule="exact"/>
        <w:rPr>
          <w:sz w:val="20"/>
          <w:szCs w:val="20"/>
          <w:color w:val="auto"/>
        </w:rPr>
      </w:pPr>
    </w:p>
    <w:p>
      <w:pPr>
        <w:ind w:right="180" w:firstLine="749"/>
        <w:spacing w:after="0" w:line="259" w:lineRule="auto"/>
        <w:rPr>
          <w:sz w:val="20"/>
          <w:szCs w:val="20"/>
          <w:color w:val="auto"/>
        </w:rPr>
      </w:pPr>
      <w:r>
        <w:rPr>
          <w:rFonts w:ascii="Times New Roman" w:cs="Times New Roman" w:eastAsia="Times New Roman" w:hAnsi="Times New Roman"/>
          <w:sz w:val="19"/>
          <w:szCs w:val="19"/>
          <w:color w:val="auto"/>
        </w:rPr>
        <w:t>In addition to the other requirements outlined in this Policy, Designated Insiders may not transact in Prelude Securities (other than pursuant to a Rule 10b5-1 Plan) without first obtaining pre-approval from our Compliance Officer by: (1) providing written notification of the amount and nature of the proposed trade, (2) certifying no earlier than two business days prior to the proposed trade that you have no material non-public information regarding Prelude Securities and, to your knowledge, you will have not material non-public information as of the proposed trade date, and (3) receiving email confirmation from our Compliance Officer approving the trade, which approval can be granted or denied at his or her discretion, and can be withdrawn at any time upon notice to the requesting party. If a person is denied pre-approval, they should not initiate any transaction in Prelude Securities and should not inform any other person of the restriction.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Exceptions to Prohibited Activities</w:t>
      </w:r>
    </w:p>
    <w:p>
      <w:pPr>
        <w:spacing w:after="0" w:line="233" w:lineRule="exact"/>
        <w:rPr>
          <w:sz w:val="20"/>
          <w:szCs w:val="20"/>
          <w:color w:val="auto"/>
        </w:rPr>
      </w:pPr>
    </w:p>
    <w:p>
      <w:pPr>
        <w:jc w:val="both"/>
        <w:ind w:left="760" w:right="120" w:hanging="378"/>
        <w:spacing w:after="0" w:line="244"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401(k) Plan</w:t>
      </w:r>
      <w:r>
        <w:rPr>
          <w:rFonts w:ascii="Times New Roman" w:cs="Times New Roman" w:eastAsia="Times New Roman" w:hAnsi="Times New Roman"/>
          <w:sz w:val="20"/>
          <w:szCs w:val="20"/>
          <w:color w:val="auto"/>
        </w:rPr>
        <w:t>. This Policy does not apply to purchases of Prelude Securities in Prelude’s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Prelude Securities fund; (b) an election to make an intra-plan transfer of an existing account balance into or out of the Prelude Securities fund; (c) an election to borrow money against your 401(k) plan account if the loan will result in a liquidation of some or all of your Prelude Securities fund balance; and (d) an election to pre-pay a plan loan if the pre-payment will result in allocation of loan proceeds to the Prelude Securities fund.</w:t>
      </w:r>
    </w:p>
    <w:p>
      <w:pPr>
        <w:spacing w:after="0" w:line="195" w:lineRule="exact"/>
        <w:rPr>
          <w:rFonts w:ascii="Times New Roman" w:cs="Times New Roman" w:eastAsia="Times New Roman" w:hAnsi="Times New Roman"/>
          <w:sz w:val="20"/>
          <w:szCs w:val="20"/>
          <w:color w:val="auto"/>
        </w:rPr>
      </w:pPr>
    </w:p>
    <w:p>
      <w:pPr>
        <w:jc w:val="both"/>
        <w:ind w:left="760" w:right="120" w:hanging="378"/>
        <w:spacing w:after="0" w:line="250"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ESPP</w:t>
      </w:r>
      <w:r>
        <w:rPr>
          <w:rFonts w:ascii="Times New Roman" w:cs="Times New Roman" w:eastAsia="Times New Roman" w:hAnsi="Times New Roman"/>
          <w:sz w:val="20"/>
          <w:szCs w:val="20"/>
          <w:color w:val="auto"/>
        </w:rPr>
        <w:t>. This Policy does not apply to purchases of Prelude Securities in the Prelude Employee Stock Purchase Plan (the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resulting from your periodic contribution of money to the plan pursuant to your payroll deduction election. This Policy does apply, however, to certain elections you may make under the ESPP, including an election to increase or decrease the amount of your periodic contributions under the ESPP.</w:t>
      </w:r>
    </w:p>
    <w:p>
      <w:pPr>
        <w:spacing w:after="0" w:line="193" w:lineRule="exact"/>
        <w:rPr>
          <w:rFonts w:ascii="Times New Roman" w:cs="Times New Roman" w:eastAsia="Times New Roman" w:hAnsi="Times New Roman"/>
          <w:sz w:val="20"/>
          <w:szCs w:val="20"/>
          <w:color w:val="auto"/>
        </w:rPr>
      </w:pPr>
    </w:p>
    <w:p>
      <w:pPr>
        <w:ind w:left="760" w:right="120"/>
        <w:spacing w:after="0" w:line="27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Because the Company’s ESPP has short enrollment periods that may occasionally fall outside of a permitted “window” period, Insiders may make participation or contribution elections in the Employee Stock Purchase Program during an otherwise-prohibited period. This exception applies only if the short enrollment period coincides with an otherwise-prohibited period, and the Insider is</w:t>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 in possession of material, non-public information at the time.</w:t>
      </w:r>
    </w:p>
    <w:p>
      <w:pPr>
        <w:spacing w:after="0" w:line="229" w:lineRule="exact"/>
        <w:rPr>
          <w:sz w:val="20"/>
          <w:szCs w:val="20"/>
          <w:color w:val="auto"/>
        </w:rPr>
      </w:pPr>
    </w:p>
    <w:p>
      <w:pPr>
        <w:jc w:val="both"/>
        <w:ind w:left="760" w:right="120" w:hanging="378"/>
        <w:spacing w:after="0" w:line="246" w:lineRule="auto"/>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This Policy does not apply to the exercise of an employee stock option acquired pursuant to Prelude’s equity incentive plans, or to the exercise of a tax withholding right pursuant to which a person has elected to have Prelude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98" w:lineRule="exact"/>
        <w:rPr>
          <w:rFonts w:ascii="Times New Roman" w:cs="Times New Roman" w:eastAsia="Times New Roman" w:hAnsi="Times New Roman"/>
          <w:sz w:val="20"/>
          <w:szCs w:val="20"/>
          <w:color w:val="auto"/>
        </w:rPr>
      </w:pPr>
    </w:p>
    <w:p>
      <w:pPr>
        <w:jc w:val="both"/>
        <w:ind w:left="760" w:right="120" w:hanging="378"/>
        <w:spacing w:after="0" w:line="249" w:lineRule="auto"/>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Awards/Units</w:t>
      </w:r>
      <w:r>
        <w:rPr>
          <w:rFonts w:ascii="Times New Roman" w:cs="Times New Roman" w:eastAsia="Times New Roman" w:hAnsi="Times New Roman"/>
          <w:sz w:val="20"/>
          <w:szCs w:val="20"/>
          <w:color w:val="auto"/>
        </w:rPr>
        <w:t>. This Policy does not apply to the vesting of restricted stock, or the exercise of a tax withholding right pursuant to which you elect to have Prelude withhold shares of stock to satisfy tax withholding requirements upon the vesting of any restricted stock. This Policy does apply, however, to any market sale of restricted stock, including for the purpose of generating the cash needed to pay tax liabilities.</w:t>
      </w:r>
    </w:p>
    <w:p>
      <w:pPr>
        <w:spacing w:after="0" w:line="19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Funds</w:t>
      </w:r>
      <w:r>
        <w:rPr>
          <w:rFonts w:ascii="Times New Roman" w:cs="Times New Roman" w:eastAsia="Times New Roman" w:hAnsi="Times New Roman"/>
          <w:sz w:val="20"/>
          <w:szCs w:val="20"/>
          <w:color w:val="auto"/>
        </w:rPr>
        <w:t>. This Policy does not apply to transactions in publicly traded mutual funds that hold Prelude Securities.</w:t>
      </w:r>
    </w:p>
    <w:p>
      <w:pPr>
        <w:spacing w:after="0" w:line="225" w:lineRule="exact"/>
        <w:rPr>
          <w:rFonts w:ascii="Times New Roman" w:cs="Times New Roman" w:eastAsia="Times New Roman" w:hAnsi="Times New Roman"/>
          <w:sz w:val="20"/>
          <w:szCs w:val="20"/>
          <w:color w:val="auto"/>
        </w:rPr>
      </w:pPr>
    </w:p>
    <w:p>
      <w:pPr>
        <w:jc w:val="both"/>
        <w:ind w:left="760" w:right="120" w:hanging="378"/>
        <w:spacing w:after="0" w:line="250" w:lineRule="auto"/>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Bona Fide Gifts</w:t>
      </w:r>
      <w:r>
        <w:rPr>
          <w:rFonts w:ascii="Times New Roman" w:cs="Times New Roman" w:eastAsia="Times New Roman" w:hAnsi="Times New Roman"/>
          <w:sz w:val="20"/>
          <w:szCs w:val="20"/>
          <w:color w:val="auto"/>
        </w:rPr>
        <w:t xml:space="preserve">. This Policy does not apply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of Prelude Securities that have been pre-approved by the Compliance Officer, unless the giver of such gift is restricted from trading under this Policy and knows that the recipient intends to trade in the gifted Prelude Securities while the giver remains restricted; provided, however, that in all other instances gifts of Prelude Securities are subject to this Policy, including the prohibition on trading during a black-out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Windows and Blackout Periods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Trading Windows</w:t>
      </w:r>
    </w:p>
    <w:p>
      <w:pPr>
        <w:spacing w:after="0" w:line="233" w:lineRule="exact"/>
        <w:rPr>
          <w:sz w:val="20"/>
          <w:szCs w:val="20"/>
          <w:color w:val="auto"/>
        </w:rPr>
      </w:pPr>
    </w:p>
    <w:p>
      <w:pPr>
        <w:jc w:val="both"/>
        <w:ind w:right="120" w:firstLine="396"/>
        <w:spacing w:after="0" w:line="243" w:lineRule="auto"/>
        <w:rPr>
          <w:sz w:val="20"/>
          <w:szCs w:val="20"/>
          <w:color w:val="auto"/>
        </w:rPr>
      </w:pPr>
      <w:r>
        <w:rPr>
          <w:rFonts w:ascii="Times New Roman" w:cs="Times New Roman" w:eastAsia="Times New Roman" w:hAnsi="Times New Roman"/>
          <w:sz w:val="20"/>
          <w:szCs w:val="20"/>
          <w:color w:val="auto"/>
        </w:rPr>
        <w:t xml:space="preserve">Both our existing stockholders and potential new investors in our stock need time to absorb our external statements before the information in those statements will be considered “public.” For that reason, we have implemented windows of time when you can trade our stock without violating this Policy. All Designated Insiders are allowed to trade our stock (other than pursuant to a 10b5-1 Plan) only during the trading window period or at the direction of the Compliance Officer, which opens once a </w:t>
      </w:r>
      <w:r>
        <w:rPr>
          <w:rFonts w:ascii="Times New Roman" w:cs="Times New Roman" w:eastAsia="Times New Roman" w:hAnsi="Times New Roman"/>
          <w:sz w:val="20"/>
          <w:szCs w:val="20"/>
          <w:b w:val="1"/>
          <w:bCs w:val="1"/>
          <w:i w:val="1"/>
          <w:iCs w:val="1"/>
          <w:color w:val="auto"/>
        </w:rPr>
        <w:t>full trading day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has elapsed after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widespread (i.e. public) release of our quarterly or year-end operating results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Trading Window</w:t>
      </w:r>
      <w:r>
        <w:rPr>
          <w:rFonts w:ascii="Times New Roman" w:cs="Times New Roman" w:eastAsia="Times New Roman" w:hAnsi="Times New Roman"/>
          <w:sz w:val="20"/>
          <w:szCs w:val="20"/>
          <w:color w:val="auto"/>
        </w:rPr>
        <w:t>”). For example, if we publicly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announce our quarterly financial results after close of trading on a Monday (or before trading begins on a Tuesday), then the first time an Insider can trade Prelude Securities is after the close of market on Tuesday (effectively at the opening of the market on Wednesday for regular trading). However, if we announce quarterly financial results after trading begins on that Tuesday, then the first time the Insider can trade is after the close of market on Wednesday (effectively at the opening of the market on Thursday for regular trading).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Trading During Trading Windows While in the Possession of Material Non-Public Information.</w:t>
      </w:r>
    </w:p>
    <w:p>
      <w:pPr>
        <w:spacing w:after="0" w:line="233" w:lineRule="exact"/>
        <w:rPr>
          <w:sz w:val="20"/>
          <w:szCs w:val="20"/>
          <w:color w:val="auto"/>
        </w:rPr>
      </w:pPr>
    </w:p>
    <w:p>
      <w:pPr>
        <w:jc w:val="both"/>
        <w:ind w:right="120" w:firstLine="396"/>
        <w:spacing w:after="0" w:line="254" w:lineRule="auto"/>
        <w:rPr>
          <w:sz w:val="20"/>
          <w:szCs w:val="20"/>
          <w:color w:val="auto"/>
        </w:rPr>
      </w:pPr>
      <w:r>
        <w:rPr>
          <w:rFonts w:ascii="Times New Roman" w:cs="Times New Roman" w:eastAsia="Times New Roman" w:hAnsi="Times New Roman"/>
          <w:sz w:val="20"/>
          <w:szCs w:val="20"/>
          <w:color w:val="auto"/>
        </w:rPr>
        <w:t>Even if a Trading Window is open, you still may not trade Prelude Securities if you possess material non-public information at that time. An Insider who is in possession of material non-public information during an open Trading Window may trade our stock only after the close of trading on the next full trading day following our widespread public release of that material non-public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Trading During Blackout Periods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20" w:firstLine="396"/>
        <w:spacing w:after="0" w:line="246" w:lineRule="auto"/>
        <w:rPr>
          <w:sz w:val="20"/>
          <w:szCs w:val="20"/>
          <w:color w:val="auto"/>
        </w:rPr>
      </w:pPr>
      <w:r>
        <w:rPr>
          <w:rFonts w:ascii="Times New Roman" w:cs="Times New Roman" w:eastAsia="Times New Roman" w:hAnsi="Times New Roman"/>
          <w:sz w:val="20"/>
          <w:szCs w:val="20"/>
          <w:color w:val="auto"/>
        </w:rPr>
        <w:t>Even if a Trading Window is open, our Compliance Officer, at his or her discretion, may designate special trading restrictions (a “</w:t>
      </w:r>
      <w:r>
        <w:rPr>
          <w:rFonts w:ascii="Times New Roman" w:cs="Times New Roman" w:eastAsia="Times New Roman" w:hAnsi="Times New Roman"/>
          <w:sz w:val="20"/>
          <w:szCs w:val="20"/>
          <w:b w:val="1"/>
          <w:bCs w:val="1"/>
          <w:i w:val="1"/>
          <w:iCs w:val="1"/>
          <w:color w:val="auto"/>
        </w:rPr>
        <w:t>Blackout Period</w:t>
      </w:r>
      <w:r>
        <w:rPr>
          <w:rFonts w:ascii="Times New Roman" w:cs="Times New Roman" w:eastAsia="Times New Roman" w:hAnsi="Times New Roman"/>
          <w:sz w:val="20"/>
          <w:szCs w:val="20"/>
          <w:color w:val="auto"/>
        </w:rPr>
        <w:t>”) that apply to specific individuals or groups of people (including all Insiders) for as long as our Compliance Officer determines. No Insider subject to a Blackout Period may trade our stock during any such Blackout Period. Additionally, no Insider subject to a Blackout Period may tell anyone not subject to a Blackout Period that a Blackout Period has been designated or that one previously was in place.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Permitted Trades Under 10b5-1 Plans</w:t>
      </w:r>
    </w:p>
    <w:p>
      <w:pPr>
        <w:spacing w:after="0" w:line="233" w:lineRule="exact"/>
        <w:rPr>
          <w:sz w:val="20"/>
          <w:szCs w:val="20"/>
          <w:color w:val="auto"/>
        </w:rPr>
      </w:pPr>
    </w:p>
    <w:p>
      <w:pPr>
        <w:jc w:val="both"/>
        <w:ind w:right="120" w:firstLine="749"/>
        <w:spacing w:after="0" w:line="269" w:lineRule="auto"/>
        <w:rPr>
          <w:sz w:val="20"/>
          <w:szCs w:val="20"/>
          <w:color w:val="auto"/>
        </w:rPr>
      </w:pPr>
      <w:r>
        <w:rPr>
          <w:rFonts w:ascii="Times New Roman" w:cs="Times New Roman" w:eastAsia="Times New Roman" w:hAnsi="Times New Roman"/>
          <w:sz w:val="20"/>
          <w:szCs w:val="20"/>
          <w:color w:val="auto"/>
        </w:rPr>
        <w:t>We encourage all of our Designated Insiders to establish a 10b5-1 Plan. If you are interested in setting up a Rule 10b5-1 Plan, you should consult with our Compliance Officer and make sure that any applicable guidelines are followed.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Consequences of Violating this Policy</w:t>
      </w:r>
    </w:p>
    <w:p>
      <w:pPr>
        <w:spacing w:after="0" w:line="233" w:lineRule="exact"/>
        <w:rPr>
          <w:sz w:val="20"/>
          <w:szCs w:val="20"/>
          <w:color w:val="auto"/>
        </w:rPr>
      </w:pPr>
    </w:p>
    <w:p>
      <w:pPr>
        <w:jc w:val="both"/>
        <w:ind w:right="120" w:firstLine="749"/>
        <w:spacing w:after="0" w:line="246" w:lineRule="auto"/>
        <w:rPr>
          <w:sz w:val="20"/>
          <w:szCs w:val="20"/>
          <w:color w:val="auto"/>
        </w:rPr>
      </w:pPr>
      <w:r>
        <w:rPr>
          <w:rFonts w:ascii="Times New Roman" w:cs="Times New Roman" w:eastAsia="Times New Roman" w:hAnsi="Times New Roman"/>
          <w:sz w:val="20"/>
          <w:szCs w:val="20"/>
          <w:color w:val="auto"/>
        </w:rPr>
        <w:t>The penalties for violating insider trading laws can be severe and include imprisonment, disgorgement of profits, criminal prosecution, significant fines and public embarrassment. The reason for the transaction, size of the transaction, or the amount of profit received does not have to be significant — even small insider trading violations may be monitored, aggressively investigated, and prosecuted. Violation of this Policy may result in Prelude-imposed discipline and sanctions, including termination of your employment or other relationship with Prelude for cause.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Information</w:t>
      </w:r>
    </w:p>
    <w:p>
      <w:pPr>
        <w:spacing w:after="0" w:line="233" w:lineRule="exact"/>
        <w:rPr>
          <w:sz w:val="20"/>
          <w:szCs w:val="20"/>
          <w:color w:val="auto"/>
        </w:rPr>
      </w:pPr>
    </w:p>
    <w:p>
      <w:pPr>
        <w:jc w:val="both"/>
        <w:ind w:right="120" w:firstLine="749"/>
        <w:spacing w:after="0" w:line="269" w:lineRule="auto"/>
        <w:rPr>
          <w:sz w:val="20"/>
          <w:szCs w:val="20"/>
          <w:color w:val="auto"/>
        </w:rPr>
      </w:pPr>
      <w:r>
        <w:rPr>
          <w:rFonts w:ascii="Times New Roman" w:cs="Times New Roman" w:eastAsia="Times New Roman" w:hAnsi="Times New Roman"/>
          <w:sz w:val="20"/>
          <w:szCs w:val="20"/>
          <w:color w:val="auto"/>
        </w:rPr>
        <w:t>Our Board reserves the right in its sole discretion to modify or grant waivers to this Policy. Any amendment or waiver may be publicly disclosed if required by applicable laws, rules and regulations.</w:t>
      </w:r>
    </w:p>
    <w:p>
      <w:pPr>
        <w:spacing w:after="0" w:line="173" w:lineRule="exact"/>
        <w:rPr>
          <w:sz w:val="20"/>
          <w:szCs w:val="20"/>
          <w:color w:val="auto"/>
        </w:rPr>
      </w:pPr>
    </w:p>
    <w:p>
      <w:pPr>
        <w:jc w:val="both"/>
        <w:ind w:right="140" w:firstLine="749"/>
        <w:spacing w:after="0" w:line="269" w:lineRule="auto"/>
        <w:rPr>
          <w:sz w:val="20"/>
          <w:szCs w:val="20"/>
          <w:color w:val="auto"/>
        </w:rPr>
      </w:pPr>
      <w:r>
        <w:rPr>
          <w:rFonts w:ascii="Times New Roman" w:cs="Times New Roman" w:eastAsia="Times New Roman" w:hAnsi="Times New Roman"/>
          <w:sz w:val="20"/>
          <w:szCs w:val="20"/>
          <w:color w:val="auto"/>
        </w:rPr>
        <w:t>Any Insider who violates this Policy or any federal or state laws governing insider trading or tipping, or who knows of any such violation by any other Insider, must report the violation immediately to our Compliance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direct all questions about this Policy to our Compliance Officer.</w:t>
      </w:r>
    </w:p>
    <w:p>
      <w:pPr>
        <w:spacing w:after="0" w:line="229" w:lineRule="exact"/>
        <w:rPr>
          <w:sz w:val="20"/>
          <w:szCs w:val="20"/>
          <w:color w:val="auto"/>
        </w:rPr>
      </w:pPr>
    </w:p>
    <w:p>
      <w:pPr>
        <w:jc w:val="center"/>
        <w:spacing w:after="0"/>
        <w:tabs>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333333"/>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225" w:lineRule="exact"/>
        <w:rPr>
          <w:sz w:val="20"/>
          <w:szCs w:val="20"/>
          <w:color w:val="auto"/>
        </w:rPr>
      </w:pPr>
    </w:p>
    <w:p>
      <w:pPr>
        <w:ind w:left="760" w:right="20" w:hanging="378"/>
        <w:spacing w:after="0" w:line="282" w:lineRule="auto"/>
        <w:tabs>
          <w:tab w:leader="none" w:pos="760" w:val="left"/>
        </w:tabs>
        <w:numPr>
          <w:ilvl w:val="0"/>
          <w:numId w:val="6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333-249032) pertaining to the 2016 Stock Incentive Plan, 2020 Equity Incentive Plan, and 2020 Employee Stock Purchase Plan of Prelude Therapeutics Incorporated,</w:t>
      </w:r>
    </w:p>
    <w:p>
      <w:pPr>
        <w:spacing w:after="0" w:line="161" w:lineRule="exact"/>
        <w:rPr>
          <w:rFonts w:ascii="Times New Roman" w:cs="Times New Roman" w:eastAsia="Times New Roman" w:hAnsi="Times New Roman"/>
          <w:sz w:val="18"/>
          <w:szCs w:val="18"/>
          <w:color w:val="333333"/>
        </w:rPr>
      </w:pPr>
    </w:p>
    <w:p>
      <w:pPr>
        <w:ind w:left="760" w:right="280" w:hanging="378"/>
        <w:spacing w:after="0" w:line="282" w:lineRule="auto"/>
        <w:tabs>
          <w:tab w:leader="none" w:pos="760" w:val="left"/>
        </w:tabs>
        <w:numPr>
          <w:ilvl w:val="0"/>
          <w:numId w:val="6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Nos. 333-254349, 333-263642, 333-270549, and 333-277122) pertaining to the 2020 Equity Incentive Plan and 2020 Employee Stock Purchase Plan of Prelude Therapeutics Incorporated,</w:t>
      </w:r>
    </w:p>
    <w:p>
      <w:pPr>
        <w:spacing w:after="0" w:line="161"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6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333-261019) of Prelude Therapeutics Incorporated,</w:t>
      </w:r>
    </w:p>
    <w:p>
      <w:pPr>
        <w:spacing w:after="0" w:line="117"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6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333-277123) of Prelude Therapeutics Incorporated, and</w:t>
      </w:r>
    </w:p>
    <w:p>
      <w:pPr>
        <w:spacing w:after="0" w:line="117"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6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333-279829) of Prelude Therapeutics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of our report dated March 10, 2025, with respect to the financial statements of Prelude Therapeutics Incorporated included in this Annual Report (Form 10-</w:t>
      </w:r>
    </w:p>
    <w:p>
      <w:pPr>
        <w:spacing w:after="0" w:line="27" w:lineRule="exact"/>
        <w:rPr>
          <w:sz w:val="20"/>
          <w:szCs w:val="20"/>
          <w:color w:val="auto"/>
        </w:rPr>
      </w:pPr>
    </w:p>
    <w:p>
      <w:pPr>
        <w:ind w:right="5460" w:firstLine="8"/>
        <w:spacing w:after="0" w:line="490" w:lineRule="auto"/>
        <w:tabs>
          <w:tab w:leader="none" w:pos="235" w:val="left"/>
        </w:tabs>
        <w:numPr>
          <w:ilvl w:val="0"/>
          <w:numId w:val="6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 xml:space="preserve">of Prelude Therapeutics Incorporated for the year ended December 31, 2024. </w:t>
      </w:r>
      <w:r>
        <w:rPr>
          <w:rFonts w:ascii="Times New Roman" w:cs="Times New Roman" w:eastAsia="Times New Roman" w:hAnsi="Times New Roman"/>
          <w:sz w:val="18"/>
          <w:szCs w:val="18"/>
          <w:color w:val="000000"/>
        </w:rPr>
        <w:t>/s/ Ernst &amp; Young LLP</w:t>
      </w: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1510665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117"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380" w:right="120" w:firstLine="2"/>
        <w:spacing w:after="0" w:line="266" w:lineRule="auto"/>
        <w:tabs>
          <w:tab w:leader="none" w:pos="62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340" w:firstLine="2"/>
        <w:spacing w:after="0" w:line="266" w:lineRule="auto"/>
        <w:tabs>
          <w:tab w:leader="none" w:pos="6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380" w:right="900" w:firstLine="2"/>
        <w:spacing w:after="0" w:line="312" w:lineRule="auto"/>
        <w:tabs>
          <w:tab w:leader="none" w:pos="62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380" w:right="340" w:firstLine="2"/>
        <w:spacing w:after="0" w:line="266" w:lineRule="auto"/>
        <w:tabs>
          <w:tab w:leader="none" w:pos="6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380" w:right="300" w:firstLine="2"/>
        <w:spacing w:after="0" w:line="282" w:lineRule="auto"/>
        <w:tabs>
          <w:tab w:leader="none" w:pos="62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right="240" w:firstLine="2"/>
        <w:spacing w:after="0" w:line="282" w:lineRule="auto"/>
        <w:tabs>
          <w:tab w:leader="none" w:pos="6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117"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380" w:right="120" w:firstLine="2"/>
        <w:spacing w:after="0" w:line="266" w:lineRule="auto"/>
        <w:tabs>
          <w:tab w:leader="none" w:pos="62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380" w:right="340" w:firstLine="2"/>
        <w:spacing w:after="0" w:line="266" w:lineRule="auto"/>
        <w:tabs>
          <w:tab w:leader="none" w:pos="63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380" w:right="900" w:firstLine="2"/>
        <w:spacing w:after="0" w:line="312" w:lineRule="auto"/>
        <w:tabs>
          <w:tab w:leader="none" w:pos="625"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380" w:right="340" w:firstLine="2"/>
        <w:spacing w:after="0" w:line="266" w:lineRule="auto"/>
        <w:tabs>
          <w:tab w:leader="none" w:pos="63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380" w:right="300" w:firstLine="2"/>
        <w:spacing w:after="0" w:line="282" w:lineRule="auto"/>
        <w:tabs>
          <w:tab w:leader="none" w:pos="62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380" w:right="240" w:firstLine="2"/>
        <w:spacing w:after="0" w:line="282" w:lineRule="auto"/>
        <w:tabs>
          <w:tab w:leader="none" w:pos="63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Bryant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Bryant Lim</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900" w:right="700" w:hanging="447"/>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00" w:right="740" w:hanging="447"/>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10,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 Vaddi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Krishna Vaddi, Ph.D.</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951"/>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60" w:right="84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10,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Bryant Lim</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1951"/>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lvl w:ilvl="1">
      <w:lvlJc w:val="left"/>
      <w:lvlText w:val="o"/>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lowerRoman"/>
      <w:start w:val="5"/>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lowerRoman"/>
      <w:start w:val="2"/>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3"/>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2"/>
    </w:lvl>
  </w:abstractNum>
  <w:abstractNum w:abstractNumId="48">
    <w:nsid w:val="10233C99"/>
    <w:multiLevelType w:val="hybridMultilevel"/>
    <w:lvl w:ilvl="0">
      <w:lvlJc w:val="left"/>
      <w:lvlText w:val="(%1)"/>
      <w:numFmt w:val="decimal"/>
      <w:start w:val="3"/>
    </w:lvl>
  </w:abstractNum>
  <w:abstractNum w:abstractNumId="49">
    <w:nsid w:val="3F6AB60F"/>
    <w:multiLevelType w:val="hybridMultilevel"/>
    <w:lvl w:ilvl="0">
      <w:lvlJc w:val="left"/>
      <w:lvlText w:val="%1"/>
      <w:numFmt w:val="decimal"/>
      <w:start w:val="104"/>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2"/>
    </w:lvl>
  </w:abstractNum>
  <w:abstractNum w:abstractNumId="55">
    <w:nsid w:val="5FF87E05"/>
    <w:multiLevelType w:val="hybridMultilevel"/>
    <w:lvl w:ilvl="0">
      <w:lvlJc w:val="left"/>
      <w:lvlText w:val="%1."/>
      <w:numFmt w:val="decimal"/>
      <w:start w:val="5"/>
    </w:lvl>
  </w:abstractNum>
  <w:abstractNum w:abstractNumId="56">
    <w:nsid w:val="2F305DEF"/>
    <w:multiLevelType w:val="hybridMultilevel"/>
    <w:lvl w:ilvl="0">
      <w:lvlJc w:val="left"/>
      <w:lvlText w:val="(%1)"/>
      <w:numFmt w:val="lowerLetter"/>
      <w:start w:val="3"/>
    </w:lvl>
  </w:abstractNum>
  <w:abstractNum w:abstractNumId="57">
    <w:nsid w:val="25A70BF7"/>
    <w:multiLevelType w:val="hybridMultilevel"/>
    <w:lvl w:ilvl="0">
      <w:lvlJc w:val="left"/>
      <w:lvlText w:val="(%1)"/>
      <w:numFmt w:val="lowerRoman"/>
      <w:start w:val="1"/>
    </w:lvl>
  </w:abstractNum>
  <w:abstractNum w:abstractNumId="58">
    <w:nsid w:val="1DBABF00"/>
    <w:multiLevelType w:val="hybridMultilevel"/>
    <w:lvl w:ilvl="0">
      <w:lvlJc w:val="left"/>
      <w:lvlText w:val="(%1)"/>
      <w:numFmt w:val="lowerRoman"/>
      <w:start w:val="1"/>
    </w:lvl>
    <w:lvl w:ilvl="1">
      <w:lvlJc w:val="left"/>
      <w:lvlText w:val="%2."/>
      <w:numFmt w:val="decimal"/>
      <w:start w:val="9"/>
    </w:lvl>
  </w:abstractNum>
  <w:abstractNum w:abstractNumId="59">
    <w:nsid w:val="4AD084E9"/>
    <w:multiLevelType w:val="hybridMultilevel"/>
    <w:lvl w:ilvl="0">
      <w:lvlJc w:val="left"/>
      <w:lvlText w:val="%1."/>
      <w:numFmt w:val="decimal"/>
      <w:start w:val="11"/>
    </w:lvl>
  </w:abstractNum>
  <w:abstractNum w:abstractNumId="60">
    <w:nsid w:val="1F48EAA1"/>
    <w:multiLevelType w:val="hybridMultilevel"/>
    <w:lvl w:ilvl="0">
      <w:lvlJc w:val="left"/>
      <w:lvlText w:val="%1."/>
      <w:numFmt w:val="decimal"/>
      <w:start w:val="13"/>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bullet"/>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4"/>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upperLetter"/>
      <w:start w:val="1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8" Type="http://schemas.openxmlformats.org/officeDocument/2006/relationships/image" Target="media/image297.png"/><Relationship Id="rId329"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299" Type="http://schemas.openxmlformats.org/officeDocument/2006/relationships/hyperlink" Target="https://www.sec.gov/Archives/edgar/data/1678660/000095017023037611/prld-ex3_1.htm" TargetMode="External"/><Relationship Id="rId300" Type="http://schemas.openxmlformats.org/officeDocument/2006/relationships/hyperlink" Target="https://www.sec.gov/Archives/edgar/data/1678660/000095017023001023/prld-ex3_1.htm" TargetMode="External"/><Relationship Id="rId301" Type="http://schemas.openxmlformats.org/officeDocument/2006/relationships/hyperlink" Target="https://www.sec.gov/Archives/edgar/data/0001678660/000119312520246920/d935180dex41.htm" TargetMode="External"/><Relationship Id="rId302" Type="http://schemas.openxmlformats.org/officeDocument/2006/relationships/hyperlink" Target="https://www.sec.gov/Archives/edgar/data/1678660/000119312520240138/d935180dex42.htm" TargetMode="External"/><Relationship Id="rId303" Type="http://schemas.openxmlformats.org/officeDocument/2006/relationships/hyperlink" Target="https://www.sec.gov/Archives/edgar/data/0001678660/000119312521000946/d85697dex43.htm" TargetMode="External"/><Relationship Id="rId306" Type="http://schemas.openxmlformats.org/officeDocument/2006/relationships/hyperlink" Target="https://www.sec.gov/Archives/edgar/data/1678660/000095017024016016/prld-ex4_4.htm" TargetMode="External"/><Relationship Id="rId310" Type="http://schemas.openxmlformats.org/officeDocument/2006/relationships/hyperlink" Target="https://www.sec.gov/Archives/edgar/data/1678660/000095017024016016/prld-ex4_5.htm" TargetMode="External"/><Relationship Id="rId311" Type="http://schemas.openxmlformats.org/officeDocument/2006/relationships/hyperlink" Target="https://www.sec.gov/Archives/edgar/data/1678660/000119312523149304/d407449dex41.htm" TargetMode="External"/><Relationship Id="rId312" Type="http://schemas.openxmlformats.org/officeDocument/2006/relationships/hyperlink" Target="https://www.sec.gov/Archives/edgar/data/1678660/000095017023069210/prld-ex4_1.htm" TargetMode="External"/><Relationship Id="rId313" Type="http://schemas.openxmlformats.org/officeDocument/2006/relationships/hyperlink" Target="https://www.sec.gov/Archives/edgar/data/0001678660/000119312520240138/d935180dex101.htm" TargetMode="External"/><Relationship Id="rId314" Type="http://schemas.openxmlformats.org/officeDocument/2006/relationships/hyperlink" Target="https://www.sec.gov/Archives/edgar/data/0001678660/000119312520240138/d935180dex102.htm" TargetMode="External"/><Relationship Id="rId315" Type="http://schemas.openxmlformats.org/officeDocument/2006/relationships/hyperlink" Target="https://www.sec.gov/Archives/edgar/data/0001678660/000119312520249549/d935180dex103.htm" TargetMode="External"/><Relationship Id="rId316" Type="http://schemas.openxmlformats.org/officeDocument/2006/relationships/hyperlink" Target="https://www.sec.gov/Archives/edgar/data/0001678660/000119312520249549/d935180dex104.htm" TargetMode="External"/><Relationship Id="rId317" Type="http://schemas.openxmlformats.org/officeDocument/2006/relationships/hyperlink" Target="https://www.sec.gov/Archives/edgar/data/0001678660/000119312520285568/d88737dex101.htm" TargetMode="External"/><Relationship Id="rId319" Type="http://schemas.openxmlformats.org/officeDocument/2006/relationships/hyperlink" Target="https://www.sec.gov/Archives/edgar/data/1678660/000119312521000946/d85697dex106.htm" TargetMode="External"/><Relationship Id="rId320" Type="http://schemas.openxmlformats.org/officeDocument/2006/relationships/hyperlink" Target="https://www.sec.gov/Archives/edgar/data/1678660/000156459022019085/prld-ex101_194.htm" TargetMode="External"/><Relationship Id="rId321" Type="http://schemas.openxmlformats.org/officeDocument/2006/relationships/hyperlink" Target="https://www.sec.gov/Archives/edgar/data/1678660/000156459022010723/prld-ex1011_220.htm" TargetMode="External"/><Relationship Id="rId322" Type="http://schemas.openxmlformats.org/officeDocument/2006/relationships/hyperlink" Target="https://www.sec.gov/Archives/edgar/data/1678660/000156459022010723/prld-ex1012_710.htm" TargetMode="External"/><Relationship Id="rId323" Type="http://schemas.openxmlformats.org/officeDocument/2006/relationships/hyperlink" Target="https://www.sec.gov/Archives/edgar/data/1678660/000095017022024732/prld-ex10_1.htm" TargetMode="External"/><Relationship Id="rId324" Type="http://schemas.openxmlformats.org/officeDocument/2006/relationships/hyperlink" Target="https://www.sec.gov/Archives/edgar/data/1678660/000119312523071400/d405925dex11.htm" TargetMode="External"/><Relationship Id="rId325" Type="http://schemas.openxmlformats.org/officeDocument/2006/relationships/hyperlink" Target="https://www.sec.gov/Archives/edgar/data/1678660/000095017024016016/prld-ex10_13.htm" TargetMode="External"/><Relationship Id="rId326" Type="http://schemas.openxmlformats.org/officeDocument/2006/relationships/hyperlink" Target="https://www.sec.gov/Archives/edgar/data/1678660/000095017024043347/prld-ex10_1.htm" TargetMode="External"/><Relationship Id="rId327" Type="http://schemas.openxmlformats.org/officeDocument/2006/relationships/hyperlink" Target="https://www.sec.gov/Archives/edgar/data/1678660/000095017024043347/prld-ex10_2.htm" TargetMode="External"/><Relationship Id="rId328" Type="http://schemas.openxmlformats.org/officeDocument/2006/relationships/hyperlink" Target="https://www.sec.gov/Archives/edgar/data/1678660/000095017024016016/prld-ex21_1.htm" TargetMode="External"/><Relationship Id="rId330" Type="http://schemas.openxmlformats.org/officeDocument/2006/relationships/hyperlink" Target="https://www.sec.gov/Archives/edgar/data/1678660/000095017024016016/prld-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2025-03-10T07:00:34Z</dcterms:created>
  <dcterms:modified xsi:type="dcterms:W3CDTF">2025-03-10T07:00:34Z</dcterms:modified>
</cp:coreProperties>
</file>