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-94615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5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2022</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 FOR THE</w:t>
      </w:r>
    </w:p>
    <w:p>
      <w:pPr>
        <w:spacing w:after="0" w:line="44" w:lineRule="exact"/>
        <w:rPr>
          <w:sz w:val="24"/>
          <w:szCs w:val="24"/>
          <w:color w:val="auto"/>
        </w:rPr>
      </w:pPr>
    </w:p>
    <w:p>
      <w:pPr>
        <w:ind w:left="480"/>
        <w:spacing w:after="0"/>
        <w:tabs>
          <w:tab w:leader="none" w:pos="334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71120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PRELUDE THERAPEUTICS INCORPORATED</w:t>
      </w:r>
    </w:p>
    <w:p>
      <w:pPr>
        <w:sectPr>
          <w:pgSz w:w="11900" w:h="16838" w:orient="portrait"/>
          <w:cols w:equalWidth="0" w:num="1">
            <w:col w:w="11240"/>
          </w:cols>
          <w:pgMar w:left="320" w:top="560" w:right="339" w:bottom="1440" w:gutter="0" w:footer="0" w:header="0"/>
        </w:sectPr>
      </w:pPr>
    </w:p>
    <w:p>
      <w:pPr>
        <w:spacing w:after="0" w:line="4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4"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640" w:space="320"/>
            <w:col w:w="3280"/>
          </w:cols>
          <w:pgMar w:left="320" w:top="560" w:right="339" w:bottom="1440" w:gutter="0" w:footer="0" w:header="0"/>
          <w:type w:val="continuous"/>
        </w:sectPr>
      </w:pPr>
    </w:p>
    <w:tbl>
      <w:tblPr>
        <w:tblLayout w:type="fixed"/>
        <w:tblInd w:w="1760" w:type="dxa"/>
        <w:tblCellMar>
          <w:top w:w="0" w:type="dxa"/>
          <w:left w:w="0" w:type="dxa"/>
          <w:bottom w:w="0" w:type="dxa"/>
          <w:right w:w="0" w:type="dxa"/>
        </w:tblCellMar>
      </w:tblPr>
      <w:tr>
        <w:trPr>
          <w:trHeight w:val="223"/>
        </w:trPr>
        <w:tc>
          <w:tcPr>
            <w:tcW w:w="4240" w:type="dxa"/>
            <w:vAlign w:val="bottom"/>
          </w:tcPr>
          <w:p>
            <w:pPr>
              <w:jc w:val="center"/>
              <w:ind w:right="2079"/>
              <w:spacing w:after="0"/>
              <w:rPr>
                <w:sz w:val="20"/>
                <w:szCs w:val="20"/>
                <w:color w:val="auto"/>
              </w:rPr>
            </w:pPr>
            <w:r>
              <w:rPr>
                <w:rFonts w:ascii="Times New Roman" w:cs="Times New Roman" w:eastAsia="Times New Roman" w:hAnsi="Times New Roman"/>
                <w:sz w:val="18"/>
                <w:szCs w:val="18"/>
                <w:b w:val="1"/>
                <w:bCs w:val="1"/>
                <w:color w:val="auto"/>
                <w:w w:val="99"/>
              </w:rPr>
              <w:t>200 Powder Mill Road</w:t>
            </w:r>
          </w:p>
        </w:tc>
        <w:tc>
          <w:tcPr>
            <w:tcW w:w="2760" w:type="dxa"/>
            <w:vAlign w:val="bottom"/>
          </w:tcPr>
          <w:p>
            <w:pPr>
              <w:spacing w:after="0"/>
              <w:rPr>
                <w:sz w:val="19"/>
                <w:szCs w:val="19"/>
                <w:color w:val="auto"/>
              </w:rPr>
            </w:pPr>
          </w:p>
        </w:tc>
      </w:tr>
      <w:tr>
        <w:trPr>
          <w:trHeight w:val="252"/>
        </w:trPr>
        <w:tc>
          <w:tcPr>
            <w:tcW w:w="4240" w:type="dxa"/>
            <w:vAlign w:val="bottom"/>
          </w:tcPr>
          <w:p>
            <w:pPr>
              <w:jc w:val="center"/>
              <w:ind w:right="2099"/>
              <w:spacing w:after="0"/>
              <w:rPr>
                <w:sz w:val="20"/>
                <w:szCs w:val="20"/>
                <w:color w:val="auto"/>
              </w:rPr>
            </w:pPr>
            <w:r>
              <w:rPr>
                <w:rFonts w:ascii="Times New Roman" w:cs="Times New Roman" w:eastAsia="Times New Roman" w:hAnsi="Times New Roman"/>
                <w:sz w:val="18"/>
                <w:szCs w:val="18"/>
                <w:b w:val="1"/>
                <w:bCs w:val="1"/>
                <w:color w:val="auto"/>
                <w:w w:val="99"/>
              </w:rPr>
              <w:t>Wilmington, Delaware</w:t>
            </w:r>
          </w:p>
        </w:tc>
        <w:tc>
          <w:tcPr>
            <w:tcW w:w="276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19803</w:t>
            </w:r>
          </w:p>
        </w:tc>
      </w:tr>
      <w:tr>
        <w:trPr>
          <w:trHeight w:val="173"/>
        </w:trPr>
        <w:tc>
          <w:tcPr>
            <w:tcW w:w="4240" w:type="dxa"/>
            <w:vAlign w:val="bottom"/>
          </w:tcPr>
          <w:p>
            <w:pPr>
              <w:jc w:val="center"/>
              <w:ind w:right="207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60" w:type="dxa"/>
            <w:vAlign w:val="bottom"/>
          </w:tcPr>
          <w:p>
            <w:pPr>
              <w:jc w:val="center"/>
              <w:ind w:left="210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2"/>
            <w:vMerge w:val="continue"/>
          </w:tcPr>
          <w:p>
            <w:pPr>
              <w:spacing w:after="0"/>
              <w:rPr>
                <w:sz w:val="13"/>
                <w:szCs w:val="13"/>
                <w:color w:val="auto"/>
              </w:rPr>
            </w:pPr>
          </w:p>
        </w:tc>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par value $0.0001 per share</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PRLD</w:t>
            </w:r>
          </w:p>
        </w:tc>
        <w:tc>
          <w:tcPr>
            <w:tcW w:w="100" w:type="dxa"/>
            <w:vAlign w:val="bottom"/>
          </w:tcPr>
          <w:p>
            <w:pPr>
              <w:spacing w:after="0"/>
              <w:rPr>
                <w:sz w:val="16"/>
                <w:szCs w:val="16"/>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r>
        <w:trPr>
          <w:trHeight w:val="221"/>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3560"/>
        <w:spacing w:after="0" w:line="227"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ind w:right="14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6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 w:lineRule="exact"/>
        <w:rPr>
          <w:sz w:val="24"/>
          <w:szCs w:val="24"/>
          <w:color w:val="auto"/>
        </w:rPr>
      </w:pPr>
    </w:p>
    <w:p>
      <w:pPr>
        <w:ind w:right="5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880" w:type="dxa"/>
            <w:vAlign w:val="bottom"/>
          </w:tcPr>
          <w:p>
            <w:pPr>
              <w:ind w:left="320"/>
              <w:spacing w:after="0" w:line="151" w:lineRule="exact"/>
              <w:rPr>
                <w:sz w:val="20"/>
                <w:szCs w:val="20"/>
                <w:color w:val="auto"/>
              </w:rPr>
            </w:pPr>
            <w:r>
              <w:rPr>
                <w:rFonts w:ascii="MS PGothic" w:cs="MS PGothic" w:eastAsia="MS PGothic" w:hAnsi="MS PGothic"/>
                <w:sz w:val="15"/>
                <w:szCs w:val="15"/>
                <w:color w:val="auto"/>
              </w:rPr>
              <w:t>☐</w:t>
            </w:r>
          </w:p>
        </w:tc>
        <w:tc>
          <w:tcPr>
            <w:tcW w:w="5260" w:type="dxa"/>
            <w:vAlign w:val="bottom"/>
          </w:tcPr>
          <w:p>
            <w:pPr>
              <w:ind w:left="3420"/>
              <w:spacing w:after="0"/>
              <w:rPr>
                <w:sz w:val="20"/>
                <w:szCs w:val="20"/>
                <w:color w:val="auto"/>
              </w:rPr>
            </w:pPr>
            <w:r>
              <w:rPr>
                <w:rFonts w:ascii="Times New Roman" w:cs="Times New Roman" w:eastAsia="Times New Roman" w:hAnsi="Times New Roman"/>
                <w:sz w:val="15"/>
                <w:szCs w:val="15"/>
                <w:color w:val="auto"/>
              </w:rPr>
              <w:t>Accelerated filer</w:t>
            </w:r>
          </w:p>
        </w:tc>
        <w:tc>
          <w:tcPr>
            <w:tcW w:w="320" w:type="dxa"/>
            <w:vAlign w:val="bottom"/>
          </w:tcPr>
          <w:p>
            <w:pPr>
              <w:ind w:left="18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2"/>
        </w:trPr>
        <w:tc>
          <w:tcPr>
            <w:tcW w:w="170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88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5"/>
        </w:trPr>
        <w:tc>
          <w:tcPr>
            <w:tcW w:w="17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5260" w:type="dxa"/>
            <w:vAlign w:val="bottom"/>
          </w:tcPr>
          <w:p>
            <w:pPr>
              <w:ind w:left="3420"/>
              <w:spacing w:after="0"/>
              <w:rPr>
                <w:sz w:val="20"/>
                <w:szCs w:val="20"/>
                <w:color w:val="auto"/>
              </w:rPr>
            </w:pPr>
            <w:r>
              <w:rPr>
                <w:rFonts w:ascii="Times New Roman" w:cs="Times New Roman" w:eastAsia="Times New Roman" w:hAnsi="Times New Roman"/>
                <w:sz w:val="15"/>
                <w:szCs w:val="15"/>
                <w:color w:val="auto"/>
              </w:rPr>
              <w:t>Emerging growth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4" w:lineRule="exact"/>
        <w:rPr>
          <w:sz w:val="24"/>
          <w:szCs w:val="24"/>
          <w:color w:val="auto"/>
        </w:rPr>
      </w:pPr>
    </w:p>
    <w:p>
      <w:pPr>
        <w:ind w:right="6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74"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8" w:lineRule="exact"/>
        <w:rPr>
          <w:sz w:val="24"/>
          <w:szCs w:val="24"/>
          <w:color w:val="auto"/>
        </w:rPr>
      </w:pPr>
    </w:p>
    <w:p>
      <w:pPr>
        <w:ind w:right="20"/>
        <w:spacing w:after="0" w:line="232"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was approximately $65.3 million as of the last business day of the registrant’s most recently completed second fiscal quarter, based upon the closing sale price on The Nasdaq Stock Market LLC reported for such date. This excludes an aggregate of 35,266,616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March 9, 2023 was 47,912,869.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type w:val="continuous"/>
        </w:sectPr>
      </w:pPr>
    </w:p>
    <w:bookmarkStart w:id="1" w:name="page2"/>
    <w:bookmarkEnd w:id="1"/>
    <w:p>
      <w:pPr>
        <w:jc w:val="center"/>
        <w:ind w:right="-219"/>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Portions of the Registrant’s Definitive Proxy Statement (“Proxy Statement”) relating to the 2023 Annual Meeting of Stockholders will be filed with the Commission within 120 days after the end of the Registrant’s 2022 fiscal year pursuant to Regulation 14A and is incorporated by reference into Part III of this Report.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86"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8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Business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438"/>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00" w:type="dxa"/>
            <w:vAlign w:val="bottom"/>
            <w:gridSpan w:val="4"/>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438"/>
        </w:trPr>
        <w:tc>
          <w:tcPr>
            <w:tcW w:w="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4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438"/>
        </w:trPr>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0" w:type="dxa"/>
            <w:vAlign w:val="bottom"/>
            <w:tcBorders>
              <w:bottom w:val="single" w:sz="8" w:color="0000EE"/>
            </w:tcBorders>
          </w:tcPr>
          <w:p>
            <w:pPr>
              <w:spacing w:after="0"/>
              <w:rPr>
                <w:sz w:val="24"/>
                <w:szCs w:val="24"/>
                <w:color w:val="auto"/>
              </w:rPr>
            </w:pPr>
          </w:p>
        </w:tc>
        <w:tc>
          <w:tcPr>
            <w:tcW w:w="420" w:type="dxa"/>
            <w:vAlign w:val="bottom"/>
            <w:gridSpan w:val="2"/>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gridSpan w:val="6"/>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28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7880" w:type="dxa"/>
            <w:vAlign w:val="bottom"/>
            <w:gridSpan w:val="1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This Annual Report on Form 10-K contains forward-looking statements within the meaning of Section 27A of the Securities Act of 1933, as amended, and Section 21E of the Securities Exchange Act of 1934, as amended. Forward-looking statements are based on our management’s beliefs and assumptions and on information currently available to our management. All statements other than statements of historical facts are “forward-looking statements” for purposes of these provisions, including those relating to future events or our future financial performance. In some cases, you can identify forward-looking statements by terminology such as “may,” “might,” “will,” “should,” “expect,” “plan,” “anticipate,” “strive,” “project,” “believe,” “estimate,” “predict,” “potential,” “intend” or “continue,” the negative of terms like these or other comparable terminology, and other words or terms of similar meaning.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All forward-looking statements included in this Annual Report on Form 10-K are based on information available to us on the date hereof, and we assume no obligation to update any such forward-looking statements. Our forward-looking statements can be affected by inaccurate assumptions we might make or by known or unknown risks, uncertainties and other factors. We discuss many of these risks, uncertainties and other factors in this Annual Report on Form 10-K in greater detail under the heading “Item 1A—Risk Factors.”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10-K may not occur and actual results could differ materially and adversely from those anticipated or implied in the forward-looking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78"/>
        <w:spacing w:after="0" w:line="254" w:lineRule="auto"/>
        <w:rPr>
          <w:sz w:val="20"/>
          <w:szCs w:val="20"/>
          <w:color w:val="auto"/>
        </w:rPr>
      </w:pPr>
      <w:r>
        <w:rPr>
          <w:rFonts w:ascii="Times New Roman" w:cs="Times New Roman" w:eastAsia="Times New Roman" w:hAnsi="Times New Roman"/>
          <w:sz w:val="18"/>
          <w:szCs w:val="18"/>
          <w:color w:val="auto"/>
        </w:rPr>
        <w:t>We are a clinical-stage fully integrated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fully-integrated drug discovery engine and the development expertise necessary to identify compelling biological targets and create new chemical entities, or NCEs, that we rapidly advance into clinical trials.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multiple investigational new drug applications, or INDs, and successfully advanced several programs into clinical trials. In addition, we have other unique programs in various stages of preclinical development.</w:t>
      </w:r>
    </w:p>
    <w:p>
      <w:pPr>
        <w:spacing w:after="0" w:line="189" w:lineRule="exact"/>
        <w:rPr>
          <w:sz w:val="20"/>
          <w:szCs w:val="20"/>
          <w:color w:val="auto"/>
        </w:rPr>
      </w:pPr>
    </w:p>
    <w:p>
      <w:pPr>
        <w:ind w:right="80" w:firstLine="478"/>
        <w:spacing w:after="0" w:line="260"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spanning methyltransferases, kinases, protein-protein interactions, and targeted protein degraders.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85725</wp:posOffset>
            </wp:positionV>
            <wp:extent cx="4760595" cy="2234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60595" cy="2234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00" w:firstLine="478"/>
        <w:spacing w:after="0" w:line="260" w:lineRule="auto"/>
        <w:rPr>
          <w:sz w:val="20"/>
          <w:szCs w:val="20"/>
          <w:color w:val="auto"/>
        </w:rPr>
      </w:pPr>
      <w:r>
        <w:rPr>
          <w:rFonts w:ascii="Times New Roman" w:cs="Times New Roman" w:eastAsia="Times New Roman" w:hAnsi="Times New Roman"/>
          <w:sz w:val="18"/>
          <w:szCs w:val="18"/>
          <w:color w:val="auto"/>
        </w:rPr>
        <w:t>We have several drug candidates in clinical development, and we believe we can generate proof-of-concept clinical data in the next 12 to 24 months to guide our future regulatory pathways to approval. Our cyclin-dependent kinase 9, or CDK9, and MCL1 inhibitors are selective and potent, with potentially superior safety profiles. Our next generation CDK4/6 inhibitor is specifically designed to be a brain and tissue penetrant and our SMARCA2 molecule is a unique, first-in-class protein degrader, targeting specific patient populations.</w:t>
      </w:r>
    </w:p>
    <w:p>
      <w:pPr>
        <w:spacing w:after="0" w:line="182" w:lineRule="exact"/>
        <w:rPr>
          <w:sz w:val="20"/>
          <w:szCs w:val="20"/>
          <w:color w:val="auto"/>
        </w:rPr>
      </w:pPr>
    </w:p>
    <w:p>
      <w:pPr>
        <w:ind w:right="40" w:firstLine="478"/>
        <w:spacing w:after="0" w:line="260" w:lineRule="auto"/>
        <w:rPr>
          <w:sz w:val="20"/>
          <w:szCs w:val="20"/>
          <w:color w:val="auto"/>
        </w:rPr>
      </w:pPr>
      <w:r>
        <w:rPr>
          <w:rFonts w:ascii="Times New Roman" w:cs="Times New Roman" w:eastAsia="Times New Roman" w:hAnsi="Times New Roman"/>
          <w:sz w:val="18"/>
          <w:szCs w:val="18"/>
          <w:color w:val="auto"/>
        </w:rPr>
        <w:t>Our CDK9 candidate, PRT2527, is designed to be a potent and selective CDK9 inhibitor. In preclinical studies, PRT2527 was shown to reduce MCL1 and MYC protein levels and was highly active in preclinical models at well-tolerated doses. Our preclinical studies suggest that PRT2527 demonstrates high kinase selectivity and potency, providing opportunity for a wider therapeutic index compared to less selective CDK9 inhibitors, allowing for rapid development in combinations.</w:t>
      </w:r>
    </w:p>
    <w:p>
      <w:pPr>
        <w:spacing w:after="0" w:line="182" w:lineRule="exact"/>
        <w:rPr>
          <w:sz w:val="20"/>
          <w:szCs w:val="20"/>
          <w:color w:val="auto"/>
        </w:rPr>
      </w:pPr>
    </w:p>
    <w:p>
      <w:pPr>
        <w:ind w:right="60" w:firstLine="478"/>
        <w:spacing w:after="0" w:line="254" w:lineRule="auto"/>
        <w:rPr>
          <w:sz w:val="20"/>
          <w:szCs w:val="20"/>
          <w:color w:val="auto"/>
        </w:rPr>
      </w:pPr>
      <w:r>
        <w:rPr>
          <w:rFonts w:ascii="Times New Roman" w:cs="Times New Roman" w:eastAsia="Times New Roman" w:hAnsi="Times New Roman"/>
          <w:sz w:val="18"/>
          <w:szCs w:val="18"/>
          <w:color w:val="auto"/>
        </w:rPr>
        <w:t>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Dose dependent increases in exposure and target engagement were observed as evidenced by MYC and MCL1 depletion to levels associated with tumor regression in preclinical models. A Phase 1 trial is underway evaluating escalating intravenous, or IV, doses of PRT2527 as a monotherapy in patients with selected solid tumors. No adverse events leading to dose reduction or discontinuation have been reported, and we expect to select a Recommended Phase 2 Dose, or RP2D, in solid tumors. We plan to use this safety data to continue the cohort expansion study in solid tumors, as well as to inform and rapidly progress PRT2527 in a hematology malignancies clinical trial. We expect to present solid tumor dose escalation data at a medical conference in the first half of 2023, demonstrate a RP2D in hematological malignancies in the second half of 2023, and present initial clinical results for hematological malignancies at a medical conference in the second half of 2023.</w:t>
      </w:r>
    </w:p>
    <w:p>
      <w:pPr>
        <w:spacing w:after="0" w:line="186"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color w:val="auto"/>
        </w:rPr>
        <w:t>Our MCL1 candidate, PRT1419,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The IV formulation of PRT1419 has demonstrated a desirable pharmacokinetic, pharmacodynamic and safety profile with potential for differentiation from competitor compounds. We are enrolling patients in a Phase 1 solid tumor dose escalation and confirmation study, including a significant number of patients at the recommended expansion dose of 80 mg/m</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 In this study, PRT1419 has been generally well tolerated, with no cardiotoxicity observed in these patients to date. Cardiovascular parameters including troponin levels and ejection fraction changes were evaluated, in addition to standard safety, pharmacokinetics and target engagement metrics. The clinical pharmacodynamic profile of PRT1419 demonstrates the desired level of target engagement, as measured by caspase activation in peripheral mononuclear cells and reduction of CD14+ monocytes to levels associated with tumor regressions in preclinical models of hematological cancers. We intend to evaluate PRT1419 in hematology malignancies in monotherapy, as well as in combinations, with the goal of establishing safety, clinical activity and a RP2D in hematology malignancies in 2023. Advancement in hematological cancers will include monotherapy expansions in chronic lymphocytic leukemia, or CLL, and non-Hodgkin’s lymphoma, or NHL, based on a strong rationale for MCL1 inhibition and the need for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right="920"/>
        <w:spacing w:after="0" w:line="281" w:lineRule="auto"/>
        <w:rPr>
          <w:sz w:val="20"/>
          <w:szCs w:val="20"/>
          <w:color w:val="auto"/>
        </w:rPr>
      </w:pPr>
      <w:r>
        <w:rPr>
          <w:rFonts w:ascii="Times New Roman" w:cs="Times New Roman" w:eastAsia="Times New Roman" w:hAnsi="Times New Roman"/>
          <w:sz w:val="18"/>
          <w:szCs w:val="18"/>
          <w:color w:val="auto"/>
        </w:rPr>
        <w:t>novel treatments in second line. We expect to present solid tumor data at a medical conference in the first half of 2023, demonstrate a RP2D in hematological malignancies in the second half of 2023, and present hematological malignancy data in the second half of 2023.</w:t>
      </w:r>
    </w:p>
    <w:p>
      <w:pPr>
        <w:spacing w:after="0" w:line="163" w:lineRule="exact"/>
        <w:rPr>
          <w:sz w:val="20"/>
          <w:szCs w:val="20"/>
          <w:color w:val="auto"/>
        </w:rPr>
      </w:pPr>
    </w:p>
    <w:p>
      <w:pPr>
        <w:ind w:right="120" w:firstLine="523"/>
        <w:spacing w:after="0" w:line="260" w:lineRule="auto"/>
        <w:rPr>
          <w:sz w:val="20"/>
          <w:szCs w:val="20"/>
          <w:color w:val="auto"/>
        </w:rPr>
      </w:pPr>
      <w:r>
        <w:rPr>
          <w:rFonts w:ascii="Times New Roman" w:cs="Times New Roman" w:eastAsia="Times New Roman" w:hAnsi="Times New Roman"/>
          <w:sz w:val="18"/>
          <w:szCs w:val="18"/>
          <w:color w:val="auto"/>
        </w:rPr>
        <w:t>In July 2022, we received IND clearance for PRT3645, a brain and tissue penetrant molecule that potently targets CDK4/6 with a biased selectivity for CDK4. A Phase 1 clinical trial has been initiated for PRT3645 in biomarker enriched patients with select tumor types including sarcomas, mesothelioma, gliomas, head and neck cancers and non-small cell lung cancer, in addition to breast cancer with or without brain metastases, and our first patient was dosed in December 2022.</w:t>
      </w:r>
    </w:p>
    <w:p>
      <w:pPr>
        <w:spacing w:after="0" w:line="182" w:lineRule="exact"/>
        <w:rPr>
          <w:sz w:val="20"/>
          <w:szCs w:val="20"/>
          <w:color w:val="auto"/>
        </w:rPr>
      </w:pPr>
    </w:p>
    <w:p>
      <w:pPr>
        <w:jc w:val="both"/>
        <w:ind w:right="400" w:firstLine="478"/>
        <w:spacing w:after="0" w:line="281" w:lineRule="auto"/>
        <w:rPr>
          <w:sz w:val="20"/>
          <w:szCs w:val="20"/>
          <w:color w:val="auto"/>
        </w:rPr>
      </w:pPr>
      <w:r>
        <w:rPr>
          <w:rFonts w:ascii="Times New Roman" w:cs="Times New Roman" w:eastAsia="Times New Roman" w:hAnsi="Times New Roman"/>
          <w:sz w:val="18"/>
          <w:szCs w:val="18"/>
          <w:color w:val="auto"/>
        </w:rPr>
        <w:t>In October 2022, we received IND clearance for PRT3879, a potent and selective SMARCA2 protein degrader. SMARCA2 degradation has the greatest potential in patients with SMARCA4 deficient cancers, including approximately 5-10% of non-small cell lung cancers.</w:t>
      </w:r>
    </w:p>
    <w:p>
      <w:pPr>
        <w:spacing w:after="0" w:line="163" w:lineRule="exact"/>
        <w:rPr>
          <w:sz w:val="20"/>
          <w:szCs w:val="20"/>
          <w:color w:val="auto"/>
        </w:rPr>
      </w:pPr>
    </w:p>
    <w:p>
      <w:pPr>
        <w:jc w:val="both"/>
        <w:ind w:right="400" w:firstLine="523"/>
        <w:spacing w:after="0" w:line="265" w:lineRule="auto"/>
        <w:rPr>
          <w:sz w:val="20"/>
          <w:szCs w:val="20"/>
          <w:color w:val="auto"/>
        </w:rPr>
      </w:pPr>
      <w:r>
        <w:rPr>
          <w:rFonts w:ascii="Times New Roman" w:cs="Times New Roman" w:eastAsia="Times New Roman" w:hAnsi="Times New Roman"/>
          <w:sz w:val="18"/>
          <w:szCs w:val="18"/>
          <w:color w:val="auto"/>
        </w:rPr>
        <w:t>In November 2022, we announced that we will discontinue the internal development of our two clinical candidates that are designed to be oral, potent and selective inhibitors of protein arginine methyltransferase 5, or PRMT5. Discontinuation of the PRMT5 programs will allow us to focus our efforts on our CDK9, MCL1, CDK4/6 and SMARCA2 programs.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Prelude Discovery and Development Approach</w:t>
      </w:r>
    </w:p>
    <w:p>
      <w:pPr>
        <w:spacing w:after="0" w:line="121" w:lineRule="exact"/>
        <w:rPr>
          <w:sz w:val="20"/>
          <w:szCs w:val="20"/>
          <w:color w:val="auto"/>
        </w:rPr>
      </w:pPr>
    </w:p>
    <w:p>
      <w:pPr>
        <w:ind w:right="860" w:firstLine="478"/>
        <w:spacing w:after="0" w:line="281" w:lineRule="auto"/>
        <w:rPr>
          <w:sz w:val="20"/>
          <w:szCs w:val="20"/>
          <w:color w:val="auto"/>
        </w:rPr>
      </w:pPr>
      <w:r>
        <w:rPr>
          <w:rFonts w:ascii="Times New Roman" w:cs="Times New Roman" w:eastAsia="Times New Roman" w:hAnsi="Times New Roman"/>
          <w:sz w:val="18"/>
          <w:szCs w:val="18"/>
          <w:color w:val="auto"/>
        </w:rPr>
        <w:t>We carefully evaluate and select our targets based on three key pillars, which provide a framework for optimizing our drug discovery and development efforts.</w:t>
      </w:r>
    </w:p>
    <w:p>
      <w:pPr>
        <w:spacing w:after="0" w:line="55" w:lineRule="exact"/>
        <w:rPr>
          <w:sz w:val="20"/>
          <w:szCs w:val="20"/>
          <w:color w:val="auto"/>
        </w:rPr>
      </w:pPr>
    </w:p>
    <w:p>
      <w:pPr>
        <w:ind w:left="900" w:hanging="41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Identify target mechanisms with compelling biological rationale</w:t>
      </w:r>
    </w:p>
    <w:p>
      <w:pPr>
        <w:spacing w:after="0" w:line="114" w:lineRule="exact"/>
        <w:rPr>
          <w:rFonts w:ascii="Times New Roman" w:cs="Times New Roman" w:eastAsia="Times New Roman" w:hAnsi="Times New Roman"/>
          <w:sz w:val="18"/>
          <w:szCs w:val="18"/>
          <w:color w:val="auto"/>
        </w:rPr>
      </w:pPr>
    </w:p>
    <w:p>
      <w:pPr>
        <w:ind w:left="1320" w:hanging="414"/>
        <w:spacing w:after="0" w:line="283" w:lineRule="auto"/>
        <w:tabs>
          <w:tab w:leader="none" w:pos="1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target mechanisms of focus include transcriptional regulation, deoxyribonucleic acid, or DNA, repair pathway, cell cycle regulation, exploitation of synthetic lethality and brain penetrant molecules.</w:t>
      </w:r>
    </w:p>
    <w:p>
      <w:pPr>
        <w:spacing w:after="0" w:line="53"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Leverage our advanced medicinal chemistry capabilities to create better product candidates</w:t>
      </w:r>
    </w:p>
    <w:p>
      <w:pPr>
        <w:spacing w:after="0" w:line="114" w:lineRule="exact"/>
        <w:rPr>
          <w:rFonts w:ascii="Times New Roman" w:cs="Times New Roman" w:eastAsia="Times New Roman" w:hAnsi="Times New Roman"/>
          <w:sz w:val="18"/>
          <w:szCs w:val="18"/>
          <w:color w:val="auto"/>
        </w:rPr>
      </w:pPr>
    </w:p>
    <w:p>
      <w:pPr>
        <w:ind w:left="1320" w:right="760" w:hanging="414"/>
        <w:spacing w:after="0" w:line="283" w:lineRule="auto"/>
        <w:tabs>
          <w:tab w:leader="none" w:pos="1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view all target classes equally and strive to invent clinical candidates that meet our desired target product profiles. Clinical candidates from all programs to-date have been internally designed and developed.</w:t>
      </w:r>
    </w:p>
    <w:p>
      <w:pPr>
        <w:spacing w:after="0" w:line="53"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Pursue targets that drive cancers with high unmet need</w:t>
      </w:r>
    </w:p>
    <w:p>
      <w:pPr>
        <w:spacing w:after="0" w:line="114" w:lineRule="exact"/>
        <w:rPr>
          <w:rFonts w:ascii="Times New Roman" w:cs="Times New Roman" w:eastAsia="Times New Roman" w:hAnsi="Times New Roman"/>
          <w:sz w:val="18"/>
          <w:szCs w:val="18"/>
          <w:color w:val="auto"/>
        </w:rPr>
      </w:pPr>
    </w:p>
    <w:p>
      <w:pPr>
        <w:ind w:left="1320" w:right="260" w:hanging="414"/>
        <w:spacing w:after="0" w:line="283" w:lineRule="auto"/>
        <w:tabs>
          <w:tab w:leader="none" w:pos="13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 on targets that allow us to select patients and cancers with high unmet need with no approved therapies, or patient populations that are underserved by approved treatments.</w:t>
      </w:r>
    </w:p>
    <w:p>
      <w:pPr>
        <w:spacing w:after="0" w:line="53" w:lineRule="exact"/>
        <w:rPr>
          <w:sz w:val="20"/>
          <w:szCs w:val="20"/>
          <w:color w:val="auto"/>
        </w:rPr>
      </w:pPr>
    </w:p>
    <w:p>
      <w:pPr>
        <w:ind w:right="240" w:firstLine="478"/>
        <w:spacing w:after="0" w:line="260" w:lineRule="auto"/>
        <w:rPr>
          <w:sz w:val="20"/>
          <w:szCs w:val="20"/>
          <w:color w:val="auto"/>
        </w:rPr>
      </w:pPr>
      <w:r>
        <w:rPr>
          <w:rFonts w:ascii="Times New Roman" w:cs="Times New Roman" w:eastAsia="Times New Roman" w:hAnsi="Times New Roman"/>
          <w:sz w:val="18"/>
          <w:szCs w:val="18"/>
          <w:color w:val="auto"/>
        </w:rPr>
        <w:t>Once we have identified optimal targets using the three pillars above, we engage our unique discovery engine to rapidly and efficiently invent and develop molecules. We believe our expertise, capabilities and experience to select high value biological targets and invent molecules with an optimized balance of biological and chemical properties differentiates us from others in the precision oncology space. We believe our unique discovery engine will enable us to continue delivering a new IND every 12 to 18 months.</w:t>
      </w:r>
    </w:p>
    <w:p>
      <w:pPr>
        <w:spacing w:after="0" w:line="182" w:lineRule="exact"/>
        <w:rPr>
          <w:sz w:val="20"/>
          <w:szCs w:val="20"/>
          <w:color w:val="auto"/>
        </w:rPr>
      </w:pPr>
    </w:p>
    <w:p>
      <w:pPr>
        <w:ind w:right="240" w:firstLine="478"/>
        <w:spacing w:after="0" w:line="260" w:lineRule="auto"/>
        <w:rPr>
          <w:sz w:val="20"/>
          <w:szCs w:val="20"/>
          <w:color w:val="auto"/>
        </w:rPr>
      </w:pPr>
      <w:r>
        <w:rPr>
          <w:rFonts w:ascii="Times New Roman" w:cs="Times New Roman" w:eastAsia="Times New Roman" w:hAnsi="Times New Roman"/>
          <w:sz w:val="18"/>
          <w:szCs w:val="18"/>
          <w:color w:val="auto"/>
        </w:rPr>
        <w:t>We design our clinical trials to leverage the broad utility of our compounds with a focus on efficient regulatory pathways to enable our potentially transformative medicines to quickly reach patients with high unmet medical need. By focusing on validated cancer signaling pathways and early clinical proof-of-concept, we seek to advance our programs through expedited approval processes, as available. We believe we can generate proof-of-concept clinical data in the next 12 to 24 months to guide our future regulatory pathways to approval.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20" w:firstLine="478"/>
        <w:spacing w:after="0" w:line="260" w:lineRule="auto"/>
        <w:rPr>
          <w:sz w:val="20"/>
          <w:szCs w:val="20"/>
          <w:color w:val="auto"/>
        </w:rPr>
      </w:pPr>
      <w:r>
        <w:rPr>
          <w:rFonts w:ascii="Times New Roman" w:cs="Times New Roman" w:eastAsia="Times New Roman" w:hAnsi="Times New Roman"/>
          <w:sz w:val="18"/>
          <w:szCs w:val="18"/>
          <w:color w:val="auto"/>
        </w:rPr>
        <w:t>We aim to create better targeted and more effective cancer therapies. Our goal is to transform the lives of patients with cancer by leveraging the core competencies of our experienced team in medicinal chemistry, cancer biology and clinical development to bring novel drugs to market. We intend to become a fully integrated oncology company on the foundation of drug discovery excellence to deliver novel precision oncology medicines to patients with underserved cancers by pursuing the following objectives:</w:t>
      </w:r>
    </w:p>
    <w:p>
      <w:pPr>
        <w:spacing w:after="0" w:line="74" w:lineRule="exact"/>
        <w:rPr>
          <w:sz w:val="20"/>
          <w:szCs w:val="20"/>
          <w:color w:val="auto"/>
        </w:rPr>
      </w:pPr>
    </w:p>
    <w:p>
      <w:pPr>
        <w:ind w:left="5580" w:right="1720" w:hanging="5093"/>
        <w:spacing w:after="0" w:line="531" w:lineRule="auto"/>
        <w:tabs>
          <w:tab w:leader="none" w:pos="9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cancer biology and medicinal chemistry expertise to strive to deliver one new IND every 12 – 18 months.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 w:name="page7"/>
    <w:bookmarkEnd w:id="6"/>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develop differentiated small molecules NCEs in validated targets that address unmet needs of oncology patients.</w:t>
      </w:r>
    </w:p>
    <w:p>
      <w:pPr>
        <w:spacing w:after="0" w:line="116"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progress our product candidates through clinical development in patients with solid tumors and hematological malignancies.</w:t>
      </w:r>
    </w:p>
    <w:p>
      <w:pPr>
        <w:spacing w:after="0" w:line="116" w:lineRule="exact"/>
        <w:rPr>
          <w:rFonts w:ascii="Times New Roman" w:cs="Times New Roman" w:eastAsia="Times New Roman" w:hAnsi="Times New Roman"/>
          <w:sz w:val="18"/>
          <w:szCs w:val="18"/>
          <w:color w:val="auto"/>
        </w:rPr>
      </w:pPr>
    </w:p>
    <w:p>
      <w:pPr>
        <w:ind w:left="900" w:right="640" w:hanging="413"/>
        <w:spacing w:after="0" w:line="28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clinical development on underserved cancers, and design clinical trials that allow for efficient decision-making with the highest probability of success and potential for rapid regulatory approval.</w:t>
      </w:r>
    </w:p>
    <w:p>
      <w:pPr>
        <w:spacing w:after="0" w:line="54"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product candidate pipeline in combination with internally discovered and third-party developed compounds.</w:t>
      </w:r>
    </w:p>
    <w:p>
      <w:pPr>
        <w:spacing w:after="0" w:line="116" w:lineRule="exact"/>
        <w:rPr>
          <w:rFonts w:ascii="Times New Roman" w:cs="Times New Roman" w:eastAsia="Times New Roman" w:hAnsi="Times New Roman"/>
          <w:sz w:val="18"/>
          <w:szCs w:val="18"/>
          <w:color w:val="auto"/>
        </w:rPr>
      </w:pPr>
    </w:p>
    <w:p>
      <w:pPr>
        <w:ind w:left="900" w:hanging="41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strategic opportunities to accelerate development timelines and maximize the value of our product candidates.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Cancer Background and Treatment</w:t>
      </w:r>
    </w:p>
    <w:p>
      <w:pPr>
        <w:spacing w:after="0" w:line="121" w:lineRule="exact"/>
        <w:rPr>
          <w:sz w:val="20"/>
          <w:szCs w:val="20"/>
          <w:color w:val="auto"/>
        </w:rPr>
      </w:pPr>
    </w:p>
    <w:p>
      <w:pPr>
        <w:ind w:firstLine="478"/>
        <w:spacing w:after="0" w:line="260" w:lineRule="auto"/>
        <w:rPr>
          <w:sz w:val="20"/>
          <w:szCs w:val="20"/>
          <w:color w:val="auto"/>
        </w:rPr>
      </w:pPr>
      <w:r>
        <w:rPr>
          <w:rFonts w:ascii="Times New Roman" w:cs="Times New Roman" w:eastAsia="Times New Roman" w:hAnsi="Times New Roman"/>
          <w:sz w:val="18"/>
          <w:szCs w:val="18"/>
          <w:color w:val="auto"/>
        </w:rPr>
        <w:t>Cancer is the second-leading cause of death in the United States. Cancer is a disease of the genome caused by changes in DNA that alter cell behavior, growth, and division. These changes can cause cells to produce abnormal amounts of certain proteins and/or to make aberrant proteins that do not function properly. It is widely understood that cancer cells can eventually evade therapies through mutations or other resistance mechanisms, limiting the long-term success of drug therapies.</w:t>
      </w:r>
    </w:p>
    <w:p>
      <w:pPr>
        <w:spacing w:after="0" w:line="182" w:lineRule="exact"/>
        <w:rPr>
          <w:sz w:val="20"/>
          <w:szCs w:val="20"/>
          <w:color w:val="auto"/>
        </w:rPr>
      </w:pPr>
    </w:p>
    <w:p>
      <w:pPr>
        <w:ind w:right="300" w:firstLine="478"/>
        <w:spacing w:after="0" w:line="265" w:lineRule="auto"/>
        <w:rPr>
          <w:sz w:val="20"/>
          <w:szCs w:val="20"/>
          <w:color w:val="auto"/>
        </w:rPr>
      </w:pPr>
      <w:r>
        <w:rPr>
          <w:rFonts w:ascii="Times New Roman" w:cs="Times New Roman" w:eastAsia="Times New Roman" w:hAnsi="Times New Roman"/>
          <w:sz w:val="18"/>
          <w:szCs w:val="18"/>
          <w:color w:val="auto"/>
        </w:rPr>
        <w:t>Historically, cancer has been treated with surgery, radiation and drug therapy with patients often receiving a combination of these treatment modalities. While surgery and radiation can be effective in patients with localized disease, drug therapies are often required when the cancer has spread beyond the primary site or is not amenable to resection.</w:t>
      </w:r>
    </w:p>
    <w:p>
      <w:pPr>
        <w:spacing w:after="0" w:line="177" w:lineRule="exact"/>
        <w:rPr>
          <w:sz w:val="20"/>
          <w:szCs w:val="20"/>
          <w:color w:val="auto"/>
        </w:rPr>
      </w:pPr>
    </w:p>
    <w:p>
      <w:pPr>
        <w:ind w:right="220" w:firstLine="478"/>
        <w:spacing w:after="0" w:line="265" w:lineRule="auto"/>
        <w:rPr>
          <w:sz w:val="20"/>
          <w:szCs w:val="20"/>
          <w:color w:val="auto"/>
        </w:rPr>
      </w:pPr>
      <w:r>
        <w:rPr>
          <w:rFonts w:ascii="Times New Roman" w:cs="Times New Roman" w:eastAsia="Times New Roman" w:hAnsi="Times New Roman"/>
          <w:sz w:val="18"/>
          <w:szCs w:val="18"/>
          <w:color w:val="auto"/>
        </w:rPr>
        <w:t>Drug therapy is intended to kill or damage malignant cells by interfering with the biological processes that control development, growth, and survival of cancer cells. This treatment modality has evolved over time from the use of non-specific cytotoxic therapies to precision oncology medicines targeting molecular pathways or oncogenic drivers. These precision medicines are broadly known as targeted therapies</w:t>
      </w:r>
      <w:r>
        <w:rPr>
          <w:rFonts w:ascii="Times New Roman" w:cs="Times New Roman" w:eastAsia="Times New Roman" w:hAnsi="Times New Roman"/>
          <w:sz w:val="18"/>
          <w:szCs w:val="18"/>
          <w:b w:val="1"/>
          <w:bCs w:val="1"/>
          <w:color w:val="auto"/>
        </w:rPr>
        <w: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CDK9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9"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 xml:space="preserve">CDK9 has emerged as an essential regulator of cancer-promoting transcriptional programs, including those driven by </w:t>
      </w:r>
      <w:r>
        <w:rPr>
          <w:rFonts w:ascii="Times New Roman" w:cs="Times New Roman" w:eastAsia="Times New Roman" w:hAnsi="Times New Roman"/>
          <w:sz w:val="18"/>
          <w:szCs w:val="18"/>
          <w:i w:val="1"/>
          <w:iCs w:val="1"/>
          <w:color w:val="auto"/>
        </w:rPr>
        <w:t>MCL1, MYC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MYB</w:t>
      </w:r>
      <w:r>
        <w:rPr>
          <w:rFonts w:ascii="Times New Roman" w:cs="Times New Roman" w:eastAsia="Times New Roman" w:hAnsi="Times New Roman"/>
          <w:sz w:val="18"/>
          <w:szCs w:val="18"/>
          <w:color w:val="auto"/>
        </w:rPr>
        <w:t>. Inhibition of CDK9 is therefore an attractive therapeutic approach to target specifically genomically selected cancers. We have applied our internal expertise to design PRT2527 as a potent inhibitor of CDK9 that exhibits high kinome selectivity, PK properties and solubility that we believe may broaden the therapeutic window of CDK9 inhibition. A Phase 1 trial is underway evaluating escalating IV doses of PRT2527 as a monotherapy in patients with selected solid tumors, including sarcoma, prostate cancer, lung cancer, and other cancers with genomic alterations that lead to MYC dependence.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firstLine="479"/>
        <w:spacing w:after="0" w:line="260" w:lineRule="auto"/>
        <w:rPr>
          <w:sz w:val="20"/>
          <w:szCs w:val="20"/>
          <w:color w:val="auto"/>
        </w:rPr>
      </w:pPr>
      <w:r>
        <w:rPr>
          <w:rFonts w:ascii="Times New Roman" w:cs="Times New Roman" w:eastAsia="Times New Roman" w:hAnsi="Times New Roman"/>
          <w:sz w:val="18"/>
          <w:szCs w:val="18"/>
          <w:color w:val="auto"/>
        </w:rPr>
        <w:t>Cyclin dependent kinases, or CDKs, are a family of closely related serine/threonine kinases that have demonstrated activity in multiple cancers. The first inhibitors of two of the family members, CDK4 and CDK6, gained FDA approval for HR+ metastatic breast cancer in 2015 and are now broadly used. In contrast to CDK4 and CDK6, which regulate cell cycle progression and proliferation, it is now understood that other members of the CDK family play important roles in regulating</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7" w:name="page8"/>
    <w:bookmarkEnd w:id="7"/>
    <w:p>
      <w:pPr>
        <w:ind w:right="340"/>
        <w:spacing w:after="0" w:line="281" w:lineRule="auto"/>
        <w:rPr>
          <w:sz w:val="20"/>
          <w:szCs w:val="20"/>
          <w:color w:val="auto"/>
        </w:rPr>
      </w:pPr>
      <w:r>
        <w:rPr>
          <w:rFonts w:ascii="Times New Roman" w:cs="Times New Roman" w:eastAsia="Times New Roman" w:hAnsi="Times New Roman"/>
          <w:sz w:val="18"/>
          <w:szCs w:val="18"/>
          <w:color w:val="auto"/>
        </w:rPr>
        <w:t>transcription. CDK9 specifically phosphorylates RNA polymerase II to generate mature mRNA. Given its fundamental role in transcription, CDK9 has emerged as a central node in the transcriptional addiction of cancer.</w:t>
      </w:r>
    </w:p>
    <w:p>
      <w:pPr>
        <w:spacing w:after="0" w:line="1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CDK9 regulates expression of several oncogenes that drive cancer cell growth and resistance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17145</wp:posOffset>
            </wp:positionV>
            <wp:extent cx="3211195" cy="1678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11195" cy="1678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 xml:space="preserve">Importantly, inhibition of CDK9 in cancer has been shown to preferentially deplete short-lived transcripts including key anti-apoptotic genes such as MCL1 and oncogenic transcription factors such as MYC and MYB. Preclinical evidence demonstrates that CDK9 inhibition represses MCL1 and thereby overcomes resistance to the BCL2 inhibitor venetoclax. Additionally, preclinical studies suggest that CDK9 inhibition perturbs MYC-mediated signaling and produces synthetic lethality in nuclear protein of the testis midline carcinoma, hepatocellular carcinoma and additional solid tumors. Our patient selection strategy in clinical trials will strive to exploit these relationships by identifying cancers with molecular evidence of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i w:val="1"/>
          <w:iCs w:val="1"/>
          <w:color w:val="auto"/>
        </w:rPr>
        <w:t>MYC</w:t>
      </w:r>
      <w:r>
        <w:rPr>
          <w:rFonts w:ascii="Times New Roman" w:cs="Times New Roman" w:eastAsia="Times New Roman" w:hAnsi="Times New Roman"/>
          <w:sz w:val="18"/>
          <w:szCs w:val="18"/>
          <w:color w:val="auto"/>
        </w:rPr>
        <w:t xml:space="preserve"> dysregulation.</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CDK9 Inhibitor: PRT2527</w:t>
      </w:r>
    </w:p>
    <w:p>
      <w:pPr>
        <w:spacing w:after="0" w:line="12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Although various non-selective CDK9 inhibitors have progressed through clinical development, they have been significantly limited by narrow therapeutic windows due to adverse effects, including bone marrow suppression, nausea and GI effects. We have utilized structure-based design to identify a novel, structurally differentiated series of CDK9 inhibitors. Iterative synthesis and testing of over 600 compounds allowed for the identification of PRT2527, which has improved potency and kinase selectivity compared to AZ4573, the most advanced CDK9-selective inhibitor currently in development. The PK and physical properties of PRT2527 are suitable for IV or subcutaneous dosing.</w:t>
      </w:r>
    </w:p>
    <w:p>
      <w:pPr>
        <w:spacing w:after="0" w:line="72"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 xml:space="preserve">In preclinical models, PRT2527 reduced MCL1 and MYC protein levels and was highly active in the </w:t>
      </w:r>
      <w:r>
        <w:rPr>
          <w:rFonts w:ascii="Times New Roman" w:cs="Times New Roman" w:eastAsia="Times New Roman" w:hAnsi="Times New Roman"/>
          <w:sz w:val="18"/>
          <w:szCs w:val="18"/>
          <w:i w:val="1"/>
          <w:iCs w:val="1"/>
          <w:color w:val="auto"/>
        </w:rPr>
        <w:t>MYC</w:t>
      </w:r>
      <w:r>
        <w:rPr>
          <w:rFonts w:ascii="Times New Roman" w:cs="Times New Roman" w:eastAsia="Times New Roman" w:hAnsi="Times New Roman"/>
          <w:sz w:val="18"/>
          <w:szCs w:val="18"/>
          <w:color w:val="auto"/>
        </w:rPr>
        <w:t>-amplified MV4-11 xenograft model at well-tolerated doses. Upon evaluation of additional models, PRT2527 treatment demonstrated robust efficacy in both hematological malignancies and solid tumor models with MYC dysregulation. Our preclinical studies suggest that PRT2527 demonstrates high kinase selectivity and potency, providing opportunity for a wider therapeutic index compared to less selective CDK9 inhibitors, allowing for rapid development in combinations.</w:t>
      </w:r>
    </w:p>
    <w:p>
      <w:pPr>
        <w:spacing w:after="0" w:line="72"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A Phase 1 trial is underway evaluating escalating IV doses of PRT2527 as a monotherapy in patients with selected solid tumors, including sarcoma, prostate cancer, lung cancer, and other cancers with genomic alterations that lead to MYC dependence. Dose dependent increases in exposure and target engagement were observed as evidenced by MYC and MCL1 depletion to levels associated with tumor regression in preclinical models. No adverse events leading to dose reduction or discontinuation have been reported and we expect to select a RP2D in solid tumors. We intend to use this safety data to continue the cohort expansion study in solid tumors, as well as to inform and rapidly progress PRT2527 in a hematology malignancies clinical trial. We expect to present solid tumor dose escalation data at a medical conference in the first half of 2023, demonstrate a RP2D in hematological malignancies in the second half of 2023, and present initial clinical results for hematological malignancies at a medical conference in the second half of 2023. In February 2023, we signed an agreement with BeiGene for them to supply zanubrutinib, a BTK inhibitor, for further study in combination with PRT2527.</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MCL1 Inhibitor: PRT1419</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40" w:firstLine="478"/>
        <w:spacing w:after="0" w:line="258" w:lineRule="auto"/>
        <w:rPr>
          <w:sz w:val="20"/>
          <w:szCs w:val="20"/>
          <w:color w:val="auto"/>
        </w:rPr>
      </w:pPr>
      <w:r>
        <w:rPr>
          <w:rFonts w:ascii="Times New Roman" w:cs="Times New Roman" w:eastAsia="Times New Roman" w:hAnsi="Times New Roman"/>
          <w:sz w:val="18"/>
          <w:szCs w:val="18"/>
          <w:color w:val="auto"/>
        </w:rPr>
        <w:t>PRT1419 is designed to be a potent and selective inhibitor of the anti-apoptotic protein, MCL1. PRT1419 has been optimized to provide maximal coverage of the target while maintaining an adequate tolerability window. Based on our preclinical data, as well as published third-party data, we believe that hematological malignancies are particularly sensitive to MCL1 inhibitors. MCL1 upregulation has been noted as a mechanism of acquired resistance to venetoclax and Tyrosine Kinase Inhibitors, or TKIs. The dose escalation portion of the Phase 1 trial of our IV formulation, which leverages the optimized physicochemical properties of PRT1419, is now underway in patients with solid tumors and hematological malignancies.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firstLine="479"/>
        <w:spacing w:after="0" w:line="274" w:lineRule="auto"/>
        <w:rPr>
          <w:sz w:val="20"/>
          <w:szCs w:val="20"/>
          <w:color w:val="auto"/>
        </w:rPr>
      </w:pPr>
      <w:r>
        <w:rPr>
          <w:rFonts w:ascii="Times New Roman" w:cs="Times New Roman" w:eastAsia="Times New Roman" w:hAnsi="Times New Roman"/>
          <w:sz w:val="17"/>
          <w:szCs w:val="17"/>
          <w:color w:val="auto"/>
        </w:rPr>
        <w:t xml:space="preserve">The ability to evade cell death is a hallmark of cancer because it is one of the unique acquired abilities that allows malignant transformation of a normal cell. MCL1 and BCL2 are both members of a family of proteins that regulate cell survival versus cell death. Under normal circumstances, MCL1 and BCL2 exert their pro-survival function by binding to and sequestering the pro-death proteins, BAK and BAX, and prevent the activation of a downstream cascade leading to apoptosis. In normal cells, cellular stressors such as DNA damage disrupt this interaction and result in cell death. Cancer cells, however, frequently upregulate pro-survival proteins to prevent activation of the apoptotic pathway, thus evading death. </w:t>
      </w:r>
      <w:r>
        <w:rPr>
          <w:rFonts w:ascii="Times New Roman" w:cs="Times New Roman" w:eastAsia="Times New Roman" w:hAnsi="Times New Roman"/>
          <w:sz w:val="17"/>
          <w:szCs w:val="17"/>
          <w:i w:val="1"/>
          <w:iCs w:val="1"/>
          <w:color w:val="auto"/>
        </w:rPr>
        <w:t>MCL1</w:t>
      </w:r>
      <w:r>
        <w:rPr>
          <w:rFonts w:ascii="Times New Roman" w:cs="Times New Roman" w:eastAsia="Times New Roman" w:hAnsi="Times New Roman"/>
          <w:sz w:val="17"/>
          <w:szCs w:val="17"/>
          <w:color w:val="auto"/>
        </w:rPr>
        <w:t xml:space="preserve"> has been shown to have a critical role in promoting cancer cell survival and is frequently found to be amplified or overexpressed in both solid tumors and hematologic cancers.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MCL1 Promotes Tumor Cell Survival by Inhibiting Apoptosis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465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465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60" w:firstLine="479"/>
        <w:spacing w:after="0" w:line="281" w:lineRule="auto"/>
        <w:rPr>
          <w:sz w:val="20"/>
          <w:szCs w:val="20"/>
          <w:color w:val="auto"/>
        </w:rPr>
      </w:pPr>
      <w:r>
        <w:rPr>
          <w:rFonts w:ascii="Times New Roman" w:cs="Times New Roman" w:eastAsia="Times New Roman" w:hAnsi="Times New Roman"/>
          <w:sz w:val="18"/>
          <w:szCs w:val="18"/>
          <w:color w:val="auto"/>
        </w:rPr>
        <w:t>Members of the BCL2 protein family control cell survival and cell death. MCL1, a member of the family, acts to suppress cell death and has emerged as a target for anti-cancer therapy and as a resistance mechanism to the BCL2 inhibitor, venetoclax.</w:t>
      </w:r>
    </w:p>
    <w:p>
      <w:pPr>
        <w:spacing w:after="0" w:line="163"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 xml:space="preserve">Inhibition of MCL1 expression and/or function is therefore of considerable therapeutic interest in cancer. The importance of blocking the protein-protein interaction between pro-survival and pro-death proteins as a therapy to promote tumor cell death has been clinically validated with the BCL2 inhibitor, venetoclax. Venetoclax was approved in 2016 for R/R patients with CLL and in 2018 for patients with Acute Myeloid Leukemia, or AML.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is upregulated in response to BCL2 inhibition and has been implicated in mediating resistance to venetoclax, as well as to chemotherapeutic agents and other targeted therapies including TKIs. These studies have demonstrated the potentially broad clinical benefits of targeting cell survival through MCL1 inhibition in cancer.</w:t>
      </w:r>
    </w:p>
    <w:p>
      <w:pPr>
        <w:spacing w:after="0" w:line="184" w:lineRule="exact"/>
        <w:rPr>
          <w:sz w:val="20"/>
          <w:szCs w:val="20"/>
          <w:color w:val="auto"/>
        </w:rPr>
      </w:pPr>
    </w:p>
    <w:p>
      <w:pPr>
        <w:ind w:right="160" w:firstLine="479"/>
        <w:spacing w:after="0" w:line="283" w:lineRule="auto"/>
        <w:rPr>
          <w:sz w:val="20"/>
          <w:szCs w:val="20"/>
          <w:color w:val="auto"/>
        </w:rPr>
      </w:pPr>
      <w:r>
        <w:rPr>
          <w:rFonts w:ascii="Times New Roman" w:cs="Times New Roman" w:eastAsia="Times New Roman" w:hAnsi="Times New Roman"/>
          <w:sz w:val="18"/>
          <w:szCs w:val="18"/>
          <w:color w:val="auto"/>
        </w:rPr>
        <w:t xml:space="preserve">Although the data on the importance of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in driving tumor growth and survival are compelling, complete ablation of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has been shown to result in cardiomyocyte apoptosis in mice. Mice with heterozygous deletion of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resulting</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ind w:right="20"/>
        <w:spacing w:after="0" w:line="265" w:lineRule="auto"/>
        <w:rPr>
          <w:sz w:val="20"/>
          <w:szCs w:val="20"/>
          <w:color w:val="auto"/>
        </w:rPr>
      </w:pPr>
      <w:r>
        <w:rPr>
          <w:rFonts w:ascii="Times New Roman" w:cs="Times New Roman" w:eastAsia="Times New Roman" w:hAnsi="Times New Roman"/>
          <w:sz w:val="18"/>
          <w:szCs w:val="18"/>
          <w:color w:val="auto"/>
        </w:rPr>
        <w:t xml:space="preserve">in a 50% reduction in MCL1 protein did not demonstrate cardiac abnormalities. These results suggest that an optimized profile for a pharmacological inhibitor of MCL1 should allow for maximal but limited duration of target engagement rather than prolonged coverage to maximize the therapeutic window of </w:t>
      </w:r>
      <w:r>
        <w:rPr>
          <w:rFonts w:ascii="Times New Roman" w:cs="Times New Roman" w:eastAsia="Times New Roman" w:hAnsi="Times New Roman"/>
          <w:sz w:val="18"/>
          <w:szCs w:val="18"/>
          <w:i w:val="1"/>
          <w:iCs w:val="1"/>
          <w:color w:val="auto"/>
        </w:rPr>
        <w:t>MCL1</w:t>
      </w:r>
      <w:r>
        <w:rPr>
          <w:rFonts w:ascii="Times New Roman" w:cs="Times New Roman" w:eastAsia="Times New Roman" w:hAnsi="Times New Roman"/>
          <w:sz w:val="18"/>
          <w:szCs w:val="18"/>
          <w:color w:val="auto"/>
        </w:rPr>
        <w:t xml:space="preserve"> inhibition in clinical development.</w:t>
      </w:r>
    </w:p>
    <w:p>
      <w:pPr>
        <w:spacing w:after="0" w:line="2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PRT1419</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Potency and Selectivity</w:t>
      </w:r>
    </w:p>
    <w:p>
      <w:pPr>
        <w:spacing w:after="0" w:line="117"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 xml:space="preserve">We investigated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potency of PRT1419 to inhibit the protein-protein interaction of human recombinant MCL1 with the pro-death protein, BIM, by measuring its IC50. In this assay, we observed the IC50 of PRT1419 to be 6.6 nM. We also investigated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selectivity of PRT1419 for MCL1 as compared to related family members, BCL-2 and BCLXL. We observed that PRT1419 showed &gt;200 times weaker inhibition of BCL-2 and BCLXL compared to MCL1.</w:t>
      </w:r>
    </w:p>
    <w:p>
      <w:pPr>
        <w:spacing w:after="0" w:line="180"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Tumor cells undergo apoptosis in response to MCL1 inhibition. Therefore, we investigated the potency of PRT1419 to inhibit the proliferation of cell lines representing both solid tumors and hematologic malignancies. Tumor cell lines were treated with various concentrations of PRT1419, and the number of viable cells was measured after two days in culture. We observed that cell lines representing multiple myeloma, lymphomas and leukemias were particularly sensitive to PRT1419 with IC50 values in the nanomolar range. The in vitro activity of PRT1419 was confirmed in vivo. Once weekly dosing of PRT1419 demonstrated robust efficacy in preclinical models of AML, DLBCL and multiple myeloma.</w:t>
      </w:r>
    </w:p>
    <w:p>
      <w:pPr>
        <w:spacing w:after="0" w:line="74"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IV formulation of PRT1419 has demonstrated a desirable pharmacokinetic, pharmacodynamic and safety profile with potential for differentiation from competitor compounds. We are enrolling patients in a Phase 1 solid tumor dose escalation and confirmation study, including a significant number of patients at the recommended expansion dose of 80 mg/m2. In this study, PRT1419 has been generally well tolerated, with no cardiotoxicity observed in these patients to date. Cardiovascular parameters including troponin levels and ejection fraction changes were evaluated, in addition to standard safety, pharmacokinetics and target engagement metrics. The clinical pharmacodynamic profile of PRT1419 demonstrates the desired level of target engagement, as measured by caspase activation in peripheral mononuclear cells and reduction of CD14+ monocytes to levels associated with tumor regressions in preclinical models of hematological cancers. We intend to evaluate PRT1419 in hematology malignancies in monotherapy, as well as in combinations, with the goal of establishing safety, clinical activity and a RP2D in hematology malignancies in 2023. Advancement in hematological cancers will include monotherapy expansions in CLL and NHL based on a strong rationale for MCL1 inhibition and the need for novel treatments in second line. We expect to present solid tumor data at a medical conference in the first half of 2023, demonstrate a RP2D in hematological malignancies in the second half of 2023, and present hematological malignancy data in the second half of 2023.</w:t>
      </w:r>
    </w:p>
    <w:p>
      <w:pPr>
        <w:spacing w:after="0" w:line="293" w:lineRule="exact"/>
        <w:rPr>
          <w:sz w:val="20"/>
          <w:szCs w:val="20"/>
          <w:color w:val="auto"/>
        </w:rPr>
      </w:pPr>
    </w:p>
    <w:p>
      <w:pPr>
        <w:jc w:val="right"/>
        <w:ind w:right="9880"/>
        <w:spacing w:after="0"/>
        <w:rPr>
          <w:sz w:val="20"/>
          <w:szCs w:val="20"/>
          <w:color w:val="auto"/>
        </w:rPr>
      </w:pPr>
      <w:r>
        <w:rPr>
          <w:rFonts w:ascii="Times New Roman" w:cs="Times New Roman" w:eastAsia="Times New Roman" w:hAnsi="Times New Roman"/>
          <w:sz w:val="17"/>
          <w:szCs w:val="17"/>
          <w:b w:val="1"/>
          <w:bCs w:val="1"/>
          <w:color w:val="auto"/>
        </w:rPr>
        <w:t>CDK4/6 Program</w:t>
      </w:r>
    </w:p>
    <w:p>
      <w:pPr>
        <w:spacing w:after="0" w:line="128" w:lineRule="exact"/>
        <w:rPr>
          <w:sz w:val="20"/>
          <w:szCs w:val="20"/>
          <w:color w:val="auto"/>
        </w:rPr>
      </w:pPr>
    </w:p>
    <w:p>
      <w:pPr>
        <w:jc w:val="right"/>
        <w:ind w:right="984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right="180" w:firstLine="478"/>
        <w:spacing w:after="0" w:line="258" w:lineRule="auto"/>
        <w:rPr>
          <w:sz w:val="20"/>
          <w:szCs w:val="20"/>
          <w:color w:val="auto"/>
        </w:rPr>
      </w:pPr>
      <w:r>
        <w:rPr>
          <w:rFonts w:ascii="Times New Roman" w:cs="Times New Roman" w:eastAsia="Times New Roman" w:hAnsi="Times New Roman"/>
          <w:sz w:val="18"/>
          <w:szCs w:val="18"/>
          <w:color w:val="auto"/>
        </w:rPr>
        <w:t>Among the CDK subfamily of kinases, CDK4 and CDK6 are the master regulators that control entry of cells into cell cycle. Given the central roles that CDK4 and CDK6 play in cell cycle regulation, dysregulation of the CDK4/CDK6 pathway has been frequently observed in cancer and CDK4/CDK6 have been intensively investigated as potential therapeutic targets for cancer treatment. The approval of three CDK4/CDK6 selective inhibitors in combination with endocrine therapies, to treat hormone receptor, or HR, positive and human epidermal growth factor receptor 2, or HER2, negative metastatic breast cancer, has further validated this hypothesis.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jc w:val="center"/>
        <w:ind w:left="760" w:right="120"/>
        <w:spacing w:after="0" w:line="281" w:lineRule="auto"/>
        <w:rPr>
          <w:sz w:val="20"/>
          <w:szCs w:val="20"/>
          <w:color w:val="auto"/>
        </w:rPr>
      </w:pPr>
      <w:r>
        <w:rPr>
          <w:rFonts w:ascii="Times New Roman" w:cs="Times New Roman" w:eastAsia="Times New Roman" w:hAnsi="Times New Roman"/>
          <w:sz w:val="18"/>
          <w:szCs w:val="18"/>
          <w:u w:val="single" w:color="auto"/>
          <w:color w:val="auto"/>
        </w:rPr>
        <w:t>Next generation CDK 4/6 inhibitor with improved tolerability and tissue penetrance could translate into activity in areas of unmet need beyond HR+ breast cancer​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46355</wp:posOffset>
            </wp:positionV>
            <wp:extent cx="2337435" cy="2020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37435" cy="202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60" w:firstLine="478"/>
        <w:spacing w:after="0" w:line="254" w:lineRule="auto"/>
        <w:rPr>
          <w:sz w:val="20"/>
          <w:szCs w:val="20"/>
          <w:color w:val="auto"/>
        </w:rPr>
      </w:pPr>
      <w:r>
        <w:rPr>
          <w:rFonts w:ascii="Times New Roman" w:cs="Times New Roman" w:eastAsia="Times New Roman" w:hAnsi="Times New Roman"/>
          <w:sz w:val="18"/>
          <w:szCs w:val="18"/>
          <w:color w:val="auto"/>
        </w:rPr>
        <w:t>In addition to the role of CDK4/6 in ER+ metastatic breast cancer, large scale genomic studies revealed that the CDK4/CDK6 pathway is disrupted in the majority of gliomas, suggesting CDK4/CDK6 may be good targets for glioblastoma, or GBM. Genomic studies also identified the CDK4/6 pathway as one of three most altered and actionable genetic alternations in brain metastasis. However, despite positive preclinical data supporting targeting CDK4/CDK6 to treat CNS cancers, clinical development of CDK4/CDK6 inhibitors for GBM or brain metastases has not been successful, likely due to the inability of current inhibitors to penetrate the blood-brain barrier (BBB) and achieve effective concentrations in the brain. Recent studies have also demonstrated that CDK4/6 pathway activation can serve as a resistance mechanism to other targeted therapies, including inhibitors of the RAS and HER2 pathways, suggesting a combination potential in other tumor types with unmet need. Together, these data suggest that a next generation CDK4/6 inhibitor with improved tissue penetration and combinability could extend the therapeutic potential of this target class.</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CDK4/6 Inhibitor: PRT3645</w:t>
      </w:r>
    </w:p>
    <w:p>
      <w:pPr>
        <w:spacing w:after="0" w:line="121" w:lineRule="exact"/>
        <w:rPr>
          <w:sz w:val="20"/>
          <w:szCs w:val="20"/>
          <w:color w:val="auto"/>
        </w:rPr>
      </w:pPr>
    </w:p>
    <w:p>
      <w:pPr>
        <w:ind w:right="100" w:firstLine="479"/>
        <w:spacing w:after="0" w:line="254" w:lineRule="auto"/>
        <w:rPr>
          <w:sz w:val="20"/>
          <w:szCs w:val="20"/>
          <w:color w:val="auto"/>
        </w:rPr>
      </w:pPr>
      <w:r>
        <w:rPr>
          <w:rFonts w:ascii="Times New Roman" w:cs="Times New Roman" w:eastAsia="Times New Roman" w:hAnsi="Times New Roman"/>
          <w:sz w:val="18"/>
          <w:szCs w:val="18"/>
          <w:color w:val="auto"/>
        </w:rPr>
        <w:t>Structure based design, iterative compound synthesis and testing led to the identification of PRT3645, a highly brain and tissue penetrant molecule that potently targets CDK4/6 with biased selectivity for CDK4. In cellular assays, PRT3645 inhibits phosphorylation of RB, a substrate of CDK4/CDK6, with low nanomolar activity. Consistent with this, PRT3645 treatment results in concentration-dependent inhibition of cell proliferation in glioblastoma (GBM) cell lines, ER+/HER2- and HER2+ breast cancer lines and NSCLC cell lines. In vivo, orally administered PRT3645 was well tolerated and highly efficacious in a dose-dependent manner in orthotopic human breast cancer brain metastasis and GBM models. In addition, combined activity was observed when PRT3645 was dosed with inhibitors of the RAS pathway in NSCLC or CRC models or in combination with HER2 pathway inhibitors in HER2+ breast cancer models, suggesting a combination potential in other tumor types with unmet need. In a head to head comparison, PRT3645 demonstrated a tissue:plasma ratio that was &gt;10x higher than approved CDK4/6 inhibitors. In July 2022, we received IND clearance for PRT3645. The first patient was dosed in December of 2022.</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SMARCA2 (BRM) targeted degrader program</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21"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 xml:space="preserve">SMARCA2, or BRM, and its related family member, SMARCA4, or BRG1, are the enzymatic subunits of the SWI/SNF complex that regulates gene expression by allowing the DNA to be accessible for transcription to mature RNA, a process known as chromatin remodeling.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 is mutated in multiple cancers, including 10-12% of NSCLC, resulting in loss of SMARCA4 protein. Because the activity of either SMARCA2 or SMARCA4 is required for chromatin remodeling to occur, the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-deficient cancer cells become highly dependent on SMARCA2 for their survival. Therefore, we believe targeting SMARCA2 in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-deficient cancers will produce a strong synthetic lethality, resulting in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 xml:space="preserve"> mutant tumor cell death while sparing normal cells that express SMARCA4 protein.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ind w:left="2600"/>
        <w:spacing w:after="0"/>
        <w:rPr>
          <w:sz w:val="20"/>
          <w:szCs w:val="20"/>
          <w:color w:val="auto"/>
        </w:rPr>
      </w:pPr>
      <w:r>
        <w:rPr>
          <w:rFonts w:ascii="Times New Roman" w:cs="Times New Roman" w:eastAsia="Times New Roman" w:hAnsi="Times New Roman"/>
          <w:sz w:val="18"/>
          <w:szCs w:val="18"/>
          <w:u w:val="single" w:color="auto"/>
          <w:color w:val="auto"/>
        </w:rPr>
        <w:t>Loss of SMARCA4 (BRG1) through mutation leads to dependency on SMARCA2 (BRM)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85725</wp:posOffset>
            </wp:positionV>
            <wp:extent cx="2371725" cy="1609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71725" cy="160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Our SMARCA2 Degrader Program</w:t>
      </w:r>
    </w:p>
    <w:p>
      <w:pPr>
        <w:spacing w:after="0" w:line="121" w:lineRule="exact"/>
        <w:rPr>
          <w:sz w:val="20"/>
          <w:szCs w:val="20"/>
          <w:color w:val="auto"/>
        </w:rPr>
      </w:pPr>
    </w:p>
    <w:p>
      <w:pPr>
        <w:ind w:right="60" w:firstLine="478"/>
        <w:spacing w:after="0" w:line="255" w:lineRule="auto"/>
        <w:rPr>
          <w:sz w:val="20"/>
          <w:szCs w:val="20"/>
          <w:color w:val="auto"/>
        </w:rPr>
      </w:pPr>
      <w:r>
        <w:rPr>
          <w:rFonts w:ascii="Times New Roman" w:cs="Times New Roman" w:eastAsia="Times New Roman" w:hAnsi="Times New Roman"/>
          <w:sz w:val="18"/>
          <w:szCs w:val="18"/>
          <w:color w:val="auto"/>
        </w:rPr>
        <w:t>Due to the high homology between SMARCA2 and SMARCA4, there are few structural differences in the binding sites between the two proteins and thus selective SMARCA2 degradation has been a challenge for medicinal chemistry. Targeted protein degradation is a relatively new approach to degrade oncogenic proteins and has been shown to provide selective degradation of highly homologous proteins. A molecule capable of targeting a protein for degradation (degrader) typically contains a binding element to a targeted protein of interest (SMARCA2), a chemical linker and an E3 ligase binding element which allows for the formation of a ternary complex between the target, the degrader and the E3 ligase that induces ubiquitination and subsequent degradation of the targeted protein. Selectivity can be achieved, not only by the selective binding to the target (SMARCA2), but also through the optimization of the unique ternary complexes formed by the target (SMARCA2) versus its homologous protein (SMARCA4).</w:t>
      </w:r>
    </w:p>
    <w:p>
      <w:pPr>
        <w:spacing w:after="0" w:line="187" w:lineRule="exact"/>
        <w:rPr>
          <w:sz w:val="20"/>
          <w:szCs w:val="20"/>
          <w:color w:val="auto"/>
        </w:rPr>
      </w:pPr>
    </w:p>
    <w:p>
      <w:pPr>
        <w:ind w:firstLine="478"/>
        <w:spacing w:after="0" w:line="254" w:lineRule="auto"/>
        <w:rPr>
          <w:sz w:val="20"/>
          <w:szCs w:val="20"/>
          <w:color w:val="auto"/>
        </w:rPr>
      </w:pPr>
      <w:r>
        <w:rPr>
          <w:rFonts w:ascii="Times New Roman" w:cs="Times New Roman" w:eastAsia="Times New Roman" w:hAnsi="Times New Roman"/>
          <w:sz w:val="18"/>
          <w:szCs w:val="18"/>
          <w:color w:val="auto"/>
        </w:rPr>
        <w:t xml:space="preserve">We used structure-based drug design to identify a novel series of potent SMARCA2 degraders that are outside the typical drug-like chemical space, being significantly larger and structurally more complex. Extensive structure activity relationships generated by the iterative synthesis and testing of &gt;700 compounds as of the date of this Annual Report on Form 10-K has allowed for the identification of specific structural motifs that provide &gt;20-fold selectivity for SMARCA2 degradation over SMARCA4 while maintaining potent SMARCA2 degradation, DC50 &lt; 10 nM. DC50 is a quantitative measure of how much of a compound is needed to inhibit the degradation of a protein by 50%. We have designed our SMARCA2 degraders to be potent and selective to specifically inhibit </w:t>
      </w:r>
      <w:r>
        <w:rPr>
          <w:rFonts w:ascii="Times New Roman" w:cs="Times New Roman" w:eastAsia="Times New Roman" w:hAnsi="Times New Roman"/>
          <w:sz w:val="18"/>
          <w:szCs w:val="18"/>
          <w:i w:val="1"/>
          <w:iCs w:val="1"/>
          <w:color w:val="auto"/>
        </w:rPr>
        <w:t>SMARCA4-</w:t>
      </w:r>
      <w:r>
        <w:rPr>
          <w:rFonts w:ascii="Times New Roman" w:cs="Times New Roman" w:eastAsia="Times New Roman" w:hAnsi="Times New Roman"/>
          <w:sz w:val="18"/>
          <w:szCs w:val="18"/>
          <w:color w:val="auto"/>
        </w:rPr>
        <w:t>deficient human NSCLC cell lines and primary patient derived samples in vitro and in vivo at well tolerated doses. We completed IND-enabling studies and received IND clearance in October 2022 for PRT3879, a SMARCA2 selective protein degrader. SMARCA2 inhibition has the greatest potential in patients with SMARCA4 deficient cancers. We have also identified orally bioavailable SMARCA2 degraders, which we expect to enter clinical development in the next 12-18 months.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PRMT5 Programs</w:t>
      </w: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PRMT5 controls a number of biological processes that drive cancer including transcription, translation, DNA repair and cell signaling.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Overexpression and increased enzymatic activity of PRMT5 are associated with poor outcome and decreased survival in multiple human cancer settings.</w:t>
      </w:r>
    </w:p>
    <w:p>
      <w:pPr>
        <w:spacing w:after="0" w:line="206" w:lineRule="exact"/>
        <w:rPr>
          <w:sz w:val="20"/>
          <w:szCs w:val="20"/>
          <w:color w:val="auto"/>
        </w:rPr>
      </w:pPr>
    </w:p>
    <w:p>
      <w:pPr>
        <w:ind w:right="20" w:firstLine="479"/>
        <w:spacing w:after="0" w:line="260" w:lineRule="auto"/>
        <w:rPr>
          <w:sz w:val="20"/>
          <w:szCs w:val="20"/>
          <w:color w:val="auto"/>
        </w:rPr>
      </w:pPr>
      <w:r>
        <w:rPr>
          <w:rFonts w:ascii="Times New Roman" w:cs="Times New Roman" w:eastAsia="Times New Roman" w:hAnsi="Times New Roman"/>
          <w:sz w:val="18"/>
          <w:szCs w:val="18"/>
          <w:color w:val="auto"/>
        </w:rPr>
        <w:t>In March 2022, we announced that we were winding down the development of PRT543 and concentrating our development efforts on PRT811 in biomarker-selected patients in specific cancer types. In November 2022, we announced the decision to discontinue the internal development of our PRMT5 program. While PRT811 demonstrated a potential best-in-class safety profile and evidence of clinical activity in biomarker-selected patients with glioma and splicing mutated uveal melanoma, our prioritization reflects the high benchmark we set for clinical and regulatory success.</w:t>
      </w:r>
    </w:p>
    <w:p>
      <w:pPr>
        <w:spacing w:after="0" w:line="290" w:lineRule="exact"/>
        <w:rPr>
          <w:sz w:val="20"/>
          <w:szCs w:val="20"/>
          <w:color w:val="auto"/>
        </w:rPr>
      </w:pPr>
    </w:p>
    <w:p>
      <w:pPr>
        <w:ind w:left="960" w:right="80" w:hanging="473"/>
        <w:spacing w:after="0" w:line="260"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Phase 1 trials for PRT543 and PRT811, both molecules were generally well tolerated. In the PRT811 clinical trial, a total of 82 patients across multiple tumor types were enrolled in dose escalation and expansion, of whom 57 had glioma or uveal melanoma. Out of 38 glioma patients (16 IDH+ and 22 IDH-), two complete responses were observed in IDH+ glioma. These responses remain ongoing for 62 and 21 weeks, respectively. In</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2" w:name="page13"/>
    <w:bookmarkEnd w:id="12"/>
    <w:p>
      <w:pPr>
        <w:ind w:left="960" w:right="60"/>
        <w:spacing w:after="0" w:line="258" w:lineRule="auto"/>
        <w:rPr>
          <w:sz w:val="20"/>
          <w:szCs w:val="20"/>
          <w:color w:val="auto"/>
        </w:rPr>
      </w:pPr>
      <w:r>
        <w:rPr>
          <w:rFonts w:ascii="Times New Roman" w:cs="Times New Roman" w:eastAsia="Times New Roman" w:hAnsi="Times New Roman"/>
          <w:sz w:val="18"/>
          <w:szCs w:val="18"/>
          <w:color w:val="auto"/>
        </w:rPr>
        <w:t>addition, out of 19 uveal melanoma patients (8 SPLC+ and 11 SPLC-), one confirmed partial response (duration of response of 42 weeks) and a second ongoing unconfirmed partial response were observed, both in patients who were splicing positive. The most common adverse events of any grade, with an incidence of &gt;20% were nausea (57.3%), vomiting (41.5%) fatigue (31.7%), constipation (25.6%), and thrombocytopenia (24.4%), and were predominantly grade 1-2. The most common adverse events (grade ≥3), occurring &gt;5% were thrombocytopenia (9.76%), anemia (7.32%), and fatigue (7.32%).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120" w:firstLine="478"/>
        <w:spacing w:after="0" w:line="265" w:lineRule="auto"/>
        <w:rPr>
          <w:sz w:val="20"/>
          <w:szCs w:val="20"/>
          <w:color w:val="auto"/>
        </w:rPr>
      </w:pPr>
      <w:r>
        <w:rPr>
          <w:rFonts w:ascii="Times New Roman" w:cs="Times New Roman" w:eastAsia="Times New Roman" w:hAnsi="Times New Roman"/>
          <w:sz w:val="18"/>
          <w:szCs w:val="18"/>
          <w:color w:val="auto"/>
        </w:rPr>
        <w:t>We strive to protect the proprietary technologies that we believe are important to our business, including seeking and maintaining patent protection intended to cover the compositions of matter of our product candidates, their methods of use, related technology, and other inventions that are important to our business.</w:t>
      </w:r>
    </w:p>
    <w:p>
      <w:pPr>
        <w:spacing w:after="0" w:line="177" w:lineRule="exact"/>
        <w:rPr>
          <w:sz w:val="20"/>
          <w:szCs w:val="20"/>
          <w:color w:val="auto"/>
        </w:rPr>
      </w:pPr>
    </w:p>
    <w:p>
      <w:pPr>
        <w:ind w:right="100" w:firstLine="478"/>
        <w:spacing w:after="0" w:line="260" w:lineRule="auto"/>
        <w:rPr>
          <w:sz w:val="20"/>
          <w:szCs w:val="20"/>
          <w:color w:val="auto"/>
        </w:rPr>
      </w:pPr>
      <w:r>
        <w:rPr>
          <w:rFonts w:ascii="Times New Roman" w:cs="Times New Roman" w:eastAsia="Times New Roman" w:hAnsi="Times New Roman"/>
          <w:sz w:val="18"/>
          <w:szCs w:val="18"/>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valid and enforceable patents and other proprietary rights of third parties. We also rely on know-how and continuing technological innovation to develop, strengthen, and maintain our proprietary position in the field of precision oncology.</w:t>
      </w:r>
    </w:p>
    <w:p>
      <w:pPr>
        <w:spacing w:after="0" w:line="182" w:lineRule="exact"/>
        <w:rPr>
          <w:sz w:val="20"/>
          <w:szCs w:val="20"/>
          <w:color w:val="auto"/>
        </w:rPr>
      </w:pPr>
    </w:p>
    <w:p>
      <w:pPr>
        <w:ind w:right="240" w:firstLine="479"/>
        <w:spacing w:after="0" w:line="265" w:lineRule="auto"/>
        <w:rPr>
          <w:sz w:val="20"/>
          <w:szCs w:val="20"/>
          <w:color w:val="auto"/>
        </w:rPr>
      </w:pPr>
      <w:r>
        <w:rPr>
          <w:rFonts w:ascii="Times New Roman" w:cs="Times New Roman" w:eastAsia="Times New Roman" w:hAnsi="Times New Roman"/>
          <w:sz w:val="18"/>
          <w:szCs w:val="18"/>
          <w:color w:val="auto"/>
        </w:rPr>
        <w:t>As more fully described below, our patent portfolio includes, inter alia, patent families with claims directed to compositions of matter for, and methods of using, compounds PRT543, PRT811 PRT1419, PRT2527, PRT3645, and compounds that degrade SMARCA2. The patent portfolio currently comprises of 216 patents and patent applications:</w:t>
      </w:r>
    </w:p>
    <w:p>
      <w:pPr>
        <w:spacing w:after="0" w:line="69" w:lineRule="exact"/>
        <w:rPr>
          <w:sz w:val="20"/>
          <w:szCs w:val="20"/>
          <w:color w:val="auto"/>
        </w:rPr>
      </w:pPr>
    </w:p>
    <w:p>
      <w:pPr>
        <w:ind w:left="860" w:hanging="373"/>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9 issued U.S. patents, (ii) 25 U.S. non-provisional patent applications, and (iii) 27 U.S. provisional patent applications; and</w:t>
      </w:r>
    </w:p>
    <w:p>
      <w:pPr>
        <w:spacing w:after="0" w:line="116" w:lineRule="exact"/>
        <w:rPr>
          <w:rFonts w:ascii="Times New Roman" w:cs="Times New Roman" w:eastAsia="Times New Roman" w:hAnsi="Times New Roman"/>
          <w:sz w:val="18"/>
          <w:szCs w:val="18"/>
          <w:color w:val="auto"/>
        </w:rPr>
      </w:pPr>
    </w:p>
    <w:p>
      <w:pPr>
        <w:ind w:left="860" w:right="580" w:hanging="373"/>
        <w:spacing w:after="0" w:line="281"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11 PCT patent applications, (v) 27 issued foreign patents including patents in the European jurisdictions, and (vi) 117 foreign patent applications.</w:t>
      </w:r>
    </w:p>
    <w:p>
      <w:pPr>
        <w:spacing w:after="0" w:line="55" w:lineRule="exact"/>
        <w:rPr>
          <w:sz w:val="20"/>
          <w:szCs w:val="20"/>
          <w:color w:val="auto"/>
        </w:rPr>
      </w:pPr>
    </w:p>
    <w:p>
      <w:pPr>
        <w:ind w:firstLine="479"/>
        <w:spacing w:after="0" w:line="260" w:lineRule="auto"/>
        <w:rPr>
          <w:sz w:val="20"/>
          <w:szCs w:val="20"/>
          <w:color w:val="auto"/>
        </w:rPr>
      </w:pPr>
      <w:r>
        <w:rPr>
          <w:rFonts w:ascii="Times New Roman" w:cs="Times New Roman" w:eastAsia="Times New Roman" w:hAnsi="Times New Roman"/>
          <w:sz w:val="18"/>
          <w:szCs w:val="18"/>
          <w:color w:val="auto"/>
        </w:rPr>
        <w:t>As of the present filing, a total of nine U.S. patents have been issued, which are wholly owned by us. Specifically, a total of three U.S. patent directed to PRT543 have issued and are expected to expire no earlier than August 9, 2038. Similarly, three U.S. patents directed to PRT811 have issued and are expected to expire no earlier than March 14, 2039. Also, two U.S. patents directed to the PRMT5 program have issued and are expected to expire no earlier than June 2038. In addition, one U.S. patent directed to PRT1419 has issued and is expected to expire no earlier than November 8, 2039.</w:t>
      </w:r>
    </w:p>
    <w:p>
      <w:pPr>
        <w:spacing w:after="0" w:line="182" w:lineRule="exact"/>
        <w:rPr>
          <w:sz w:val="20"/>
          <w:szCs w:val="20"/>
          <w:color w:val="auto"/>
        </w:rPr>
      </w:pPr>
    </w:p>
    <w:p>
      <w:pPr>
        <w:ind w:right="120" w:firstLine="478"/>
        <w:spacing w:after="0" w:line="270" w:lineRule="auto"/>
        <w:rPr>
          <w:sz w:val="20"/>
          <w:szCs w:val="20"/>
          <w:color w:val="auto"/>
        </w:rPr>
      </w:pPr>
      <w:r>
        <w:rPr>
          <w:rFonts w:ascii="Times New Roman" w:cs="Times New Roman" w:eastAsia="Times New Roman" w:hAnsi="Times New Roman"/>
          <w:sz w:val="17"/>
          <w:szCs w:val="17"/>
          <w:color w:val="auto"/>
        </w:rPr>
        <w:t>In addition to our filings in the U.S., we own patent applications that are pending in Australia, Brazil, Canada, China, Eurasia, Europe, Hong Kong, India, Israel, Japan, Mexico, New Zealand, South Africa, South Korea, and Ukraine. Included in these applications are claims directed to the PRT543, PRT811, PRT1419, PRT2527, and SMARCA compositions and methods of using the same therapeutically. Claims directed to the PRT3645 compositions and methods of using the same therapeutically are expected to be filed in these jurisdictions in March 2023 or thereafter. For the PRT543 compound, the patents from these applications, if issued, are expected to expire in August 2038, subject to any disclaimers or extensions. For the PRT811 compound, the patents from these applications, if issued, are expected to expire in March 2039, subject to any disclaimers or extensions. For the PRT1419 compound, the patents from these applications, if issued, are expected to expire in November 2039, subject to any disclaimers or extensions. For the PRT2527 compound, the patents from these applications, if issued, are expected to expire in September 2040, subject to any disclaimers or extensions. For the SMARCA compounds, the patents from these applications, if issued, are expected to expire in June 2041, subject to any disclaimers or extensions. For the PRT3645 compound, the patents from these applications, if issued, are expected to expire in September 2041, subject to any disclaimers or extensions.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patent portfolios for our most advanced programs are summarized below.</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PRT1419</w:t>
      </w:r>
    </w:p>
    <w:p>
      <w:pPr>
        <w:spacing w:after="0" w:line="121"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Our PRT1419 patent portfolio is wholly owned by us. The portfolio includes one issued U.S. patent, which claims among other things, PRT1419 and other compounds, pharmaceutical compositions comprising PRT1419, and methods of using such compounds. The patent is expected to expire no earlier than November 8, 2039, subject to any disclaimers or extensions available under the Hatch-Waxman Act. A U.S. continuation application, which claims among other things, PRT1419 related compounds, pharmaceutical compositions comprising PRT1419 related compounds, and methods of using such compounds. Any patents issued from this application would be expected to expire no earlier than November 8, 2039,</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ind w:right="40"/>
        <w:spacing w:after="0" w:line="296" w:lineRule="auto"/>
        <w:rPr>
          <w:sz w:val="20"/>
          <w:szCs w:val="20"/>
          <w:color w:val="auto"/>
        </w:rPr>
      </w:pPr>
      <w:r>
        <w:rPr>
          <w:rFonts w:ascii="Times New Roman" w:cs="Times New Roman" w:eastAsia="Times New Roman" w:hAnsi="Times New Roman"/>
          <w:sz w:val="17"/>
          <w:szCs w:val="17"/>
          <w:color w:val="auto"/>
        </w:rPr>
        <w:t>subject to any disclaimers or extensions. A related PCT application was filed, and corresponding national phase applications were filed in Australia, Brazil, Canada, China, Eurasia, Europe, Hong Kong, India, Israel, Japan, Mexico, New Zealand, South Africa, South Korea, and Ukraine. Any patents resulting from these national patent applications, if issued, are expected to expire no earlier than November 8, 2039, subject to any disclaimers or extensions.</w:t>
      </w:r>
    </w:p>
    <w:p>
      <w:pPr>
        <w:spacing w:after="0" w:line="153" w:lineRule="exact"/>
        <w:rPr>
          <w:sz w:val="20"/>
          <w:szCs w:val="20"/>
          <w:color w:val="auto"/>
        </w:rPr>
      </w:pPr>
    </w:p>
    <w:p>
      <w:pPr>
        <w:ind w:right="120" w:firstLine="479"/>
        <w:spacing w:after="0" w:line="256" w:lineRule="auto"/>
        <w:rPr>
          <w:sz w:val="20"/>
          <w:szCs w:val="20"/>
          <w:color w:val="auto"/>
        </w:rPr>
      </w:pPr>
      <w:r>
        <w:rPr>
          <w:rFonts w:ascii="Times New Roman" w:cs="Times New Roman" w:eastAsia="Times New Roman" w:hAnsi="Times New Roman"/>
          <w:sz w:val="18"/>
          <w:szCs w:val="18"/>
          <w:color w:val="auto"/>
        </w:rPr>
        <w:t>The PRT1419 portfolio also includes one pending U.S. non-provisional patent application which is the national stage application of a PCT application, which claims among other things, PRT1419 crystalline forms and salts and methods of using such compounds. Any patents issued from this application would be expected to expire no earlier than May 13, 2041, subject to any disclaimers or extensions. Corresponding national phase applications also were filed in Australia, Brazil, Canada, China, Eurasia, Europe, India, Israel, Japan, Mexico, New Zealand, South Africa, South Korea, and Ukraine. Any patents resulting from these national patent applications, if issued, are expected to expire no earlier than May 13, 2041, subject to any disclaimers or extensions.</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PRT2527</w:t>
      </w:r>
    </w:p>
    <w:p>
      <w:pPr>
        <w:spacing w:after="0" w:line="121"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Our PRT2527 patent portfolio is wholly owned by us. The portfolio includes two pending U.S. applications claiming, among other things, PRT2527 and other compounds, pharmaceutical compositions comprising PRT2527, and methods of using PRT2527. A related PCT application was filed, and corresponding national phase applications were filed in Australia, Brazil, Canada, China, Eurasia, Europe, Hong Kong, India, Israel, Japan, Mexico, New Zealand, South Africa, South Korea, and Ukraine. Any patents resulting from the above mentioned applications, if issued, are expected to expire no earlier than September 11, 2040, subject to any disclaimers or extensions.</w:t>
      </w:r>
    </w:p>
    <w:p>
      <w:pPr>
        <w:spacing w:after="0" w:line="182" w:lineRule="exact"/>
        <w:rPr>
          <w:sz w:val="20"/>
          <w:szCs w:val="20"/>
          <w:color w:val="auto"/>
        </w:rPr>
      </w:pPr>
    </w:p>
    <w:p>
      <w:pPr>
        <w:ind w:right="160" w:firstLine="524"/>
        <w:spacing w:after="0" w:line="265" w:lineRule="auto"/>
        <w:rPr>
          <w:sz w:val="20"/>
          <w:szCs w:val="20"/>
          <w:color w:val="auto"/>
        </w:rPr>
      </w:pPr>
      <w:r>
        <w:rPr>
          <w:rFonts w:ascii="Times New Roman" w:cs="Times New Roman" w:eastAsia="Times New Roman" w:hAnsi="Times New Roman"/>
          <w:sz w:val="18"/>
          <w:szCs w:val="18"/>
          <w:color w:val="auto"/>
        </w:rPr>
        <w:t>The PRT2527 portfolio also includes a pending U.S. non-provisional application, and a corresponding PCT application, directed to additional uses of PRT2527 and related compounds. Any patents resulting from the above mentioned applications, if issued, are expected to expire no earlier than September 30, 2042, subject to any disclaimers or extensions.</w:t>
      </w:r>
    </w:p>
    <w:p>
      <w:pPr>
        <w:spacing w:after="0" w:line="177" w:lineRule="exact"/>
        <w:rPr>
          <w:sz w:val="20"/>
          <w:szCs w:val="20"/>
          <w:color w:val="auto"/>
        </w:rPr>
      </w:pPr>
    </w:p>
    <w:p>
      <w:pPr>
        <w:ind w:right="340" w:firstLine="524"/>
        <w:spacing w:after="0" w:line="312" w:lineRule="auto"/>
        <w:rPr>
          <w:sz w:val="20"/>
          <w:szCs w:val="20"/>
          <w:color w:val="auto"/>
        </w:rPr>
      </w:pPr>
      <w:r>
        <w:rPr>
          <w:rFonts w:ascii="Times New Roman" w:cs="Times New Roman" w:eastAsia="Times New Roman" w:hAnsi="Times New Roman"/>
          <w:sz w:val="17"/>
          <w:szCs w:val="17"/>
          <w:color w:val="auto"/>
        </w:rPr>
        <w:t>The PRT2527 portfolio also a PCT application which claims, among other things, crystalline forms and salts of PRT2527. Any patents resulting from the above mentioned applications, if issued, are expected to expire no earlier than October 14, 2042, subject to any disclaimers or extensions.</w:t>
      </w:r>
    </w:p>
    <w:p>
      <w:pPr>
        <w:spacing w:after="0" w:line="139" w:lineRule="exact"/>
        <w:rPr>
          <w:sz w:val="20"/>
          <w:szCs w:val="20"/>
          <w:color w:val="auto"/>
        </w:rPr>
      </w:pPr>
    </w:p>
    <w:p>
      <w:pPr>
        <w:ind w:right="60" w:firstLine="524"/>
        <w:spacing w:after="0" w:line="265" w:lineRule="auto"/>
        <w:rPr>
          <w:sz w:val="20"/>
          <w:szCs w:val="20"/>
          <w:color w:val="auto"/>
        </w:rPr>
      </w:pPr>
      <w:r>
        <w:rPr>
          <w:rFonts w:ascii="Times New Roman" w:cs="Times New Roman" w:eastAsia="Times New Roman" w:hAnsi="Times New Roman"/>
          <w:sz w:val="18"/>
          <w:szCs w:val="18"/>
          <w:color w:val="auto"/>
        </w:rPr>
        <w:t>The PRT2527 patent portfolio also includes two pending U.S. provisional applications that relate to among other things, methods of inhibiting CDK9 using PRT2527 related compounds and methods of treating certain cancers. Any patents granted that claim priority to these provisional applications could expire as early as 2043.</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PRT3645 and Other CDK 4/6 Inhibitors</w:t>
      </w:r>
    </w:p>
    <w:p>
      <w:pPr>
        <w:spacing w:after="0" w:line="121"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Our PRT3645 patent portfolio is wholly owned by us. The portfolio includes five pending U.S. non-provisional patent applications and six PCT applications claiming, among other things, genera of compounds that encompass PRT3645 and other compounds, and/or related inhibitors, pharmaceutical compositions comprising those inhibitors, and methods of treating cancer with those inhibitors, and solid forms and salts of PRT3645. Any patents issued from the U.S. patent applications would be expected to expire no earlier than September 21, 2041, and December 17, 2041, January 20, 2043, February 2, 2043 ,and March 8, 2043, respectively, subject to any disclaimers or extensions available under the Hatch-Waxman Act.</w:t>
      </w:r>
    </w:p>
    <w:p>
      <w:pPr>
        <w:spacing w:after="0" w:line="74" w:lineRule="exact"/>
        <w:rPr>
          <w:sz w:val="20"/>
          <w:szCs w:val="20"/>
          <w:color w:val="auto"/>
        </w:rPr>
      </w:pPr>
    </w:p>
    <w:p>
      <w:pPr>
        <w:ind w:firstLine="524"/>
        <w:spacing w:after="0" w:line="265" w:lineRule="auto"/>
        <w:rPr>
          <w:sz w:val="20"/>
          <w:szCs w:val="20"/>
          <w:color w:val="auto"/>
        </w:rPr>
      </w:pPr>
      <w:r>
        <w:rPr>
          <w:rFonts w:ascii="Times New Roman" w:cs="Times New Roman" w:eastAsia="Times New Roman" w:hAnsi="Times New Roman"/>
          <w:sz w:val="18"/>
          <w:szCs w:val="18"/>
          <w:color w:val="auto"/>
        </w:rPr>
        <w:t>The PRT3645 patent portfolio also includes three pending U.S. provisional applications that, among other things, encompass PRT3645 and/or related CDK inhibitors, pharmaceutical compositions comprising those inhibitors, and methods of treating cancer with those inhibitors. Any patents granted that claim priority to these provisional applications could expire as early as 2043.</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SMARCA2 Degraders</w:t>
      </w:r>
    </w:p>
    <w:p>
      <w:pPr>
        <w:spacing w:after="0" w:line="229" w:lineRule="exact"/>
        <w:rPr>
          <w:sz w:val="20"/>
          <w:szCs w:val="20"/>
          <w:color w:val="auto"/>
        </w:rPr>
      </w:pPr>
    </w:p>
    <w:p>
      <w:pPr>
        <w:jc w:val="both"/>
        <w:ind w:right="80" w:firstLine="479"/>
        <w:spacing w:after="0" w:line="254" w:lineRule="auto"/>
        <w:rPr>
          <w:sz w:val="20"/>
          <w:szCs w:val="20"/>
          <w:color w:val="auto"/>
        </w:rPr>
      </w:pPr>
      <w:r>
        <w:rPr>
          <w:rFonts w:ascii="Times New Roman" w:cs="Times New Roman" w:eastAsia="Times New Roman" w:hAnsi="Times New Roman"/>
          <w:sz w:val="18"/>
          <w:szCs w:val="18"/>
          <w:color w:val="auto"/>
        </w:rPr>
        <w:t>The SMARCA2 degrader patent portfolio includes two pending non-provisional U.S. applications and two pending PCT applications, which claim, among other things, genera of compounds that encompass SMARCA2 and/or related inhibitors, pharmaceutical compositions comprising those inhibitors, and methods of treating cancer with those inhibitors. Any patents issued from the U.S. patent applications would be expected to expire no earlier than June 9, 2041, and November 8, 2041, respectively, subject to any disclaimers or extensions available under the Hatch-Waxman Act. Any patents resulting from the PCT applications, if issued, are expected to expire no earlier than November 8, 2041 and July 12, 2042 subject to any disclaimers or extensions.</w:t>
      </w:r>
    </w:p>
    <w:p>
      <w:pPr>
        <w:spacing w:after="0" w:line="2"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Another SMARCA2 PCT application was filed, and corresponding national phase applications were filed in Australia, Brazil, Canada, China, Eurasia, Europe, India, Israel, Japan, Mexico, New Zealand, South Africa,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 w:name="page15"/>
    <w:bookmarkEnd w:id="14"/>
    <w:p>
      <w:pPr>
        <w:ind w:right="420"/>
        <w:spacing w:after="0" w:line="281" w:lineRule="auto"/>
        <w:rPr>
          <w:sz w:val="20"/>
          <w:szCs w:val="20"/>
          <w:color w:val="auto"/>
        </w:rPr>
      </w:pPr>
      <w:r>
        <w:rPr>
          <w:rFonts w:ascii="Times New Roman" w:cs="Times New Roman" w:eastAsia="Times New Roman" w:hAnsi="Times New Roman"/>
          <w:sz w:val="18"/>
          <w:szCs w:val="18"/>
          <w:color w:val="auto"/>
        </w:rPr>
        <w:t>South Korea, and Ukraine. Any patents resulting from these national patent applications, if issued, are expected to expire no earlier than June 9, 2041, subject to any disclaimers or extensions.</w:t>
      </w:r>
    </w:p>
    <w:p>
      <w:pPr>
        <w:spacing w:after="0" w:line="163" w:lineRule="exact"/>
        <w:rPr>
          <w:sz w:val="20"/>
          <w:szCs w:val="20"/>
          <w:color w:val="auto"/>
        </w:rPr>
      </w:pPr>
    </w:p>
    <w:p>
      <w:pPr>
        <w:ind w:right="100" w:firstLine="524"/>
        <w:spacing w:after="0" w:line="265" w:lineRule="auto"/>
        <w:rPr>
          <w:sz w:val="20"/>
          <w:szCs w:val="20"/>
          <w:color w:val="auto"/>
        </w:rPr>
      </w:pPr>
      <w:r>
        <w:rPr>
          <w:rFonts w:ascii="Times New Roman" w:cs="Times New Roman" w:eastAsia="Times New Roman" w:hAnsi="Times New Roman"/>
          <w:sz w:val="18"/>
          <w:szCs w:val="18"/>
          <w:color w:val="auto"/>
        </w:rPr>
        <w:t>The SMARCA2 patent portfolio also includes ten pending U.S. provisional applications that, among other things, encompass SMARCA2 and/or related inhibitors, pharmaceutical compositions comprising those inhibitors, and methods of treating cancer with those inhibitors. Any patents granted that claim priority to this provisional application could expire as early as 2043.</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PRT543</w:t>
      </w:r>
    </w:p>
    <w:p>
      <w:pPr>
        <w:spacing w:after="0" w:line="121" w:lineRule="exact"/>
        <w:rPr>
          <w:sz w:val="20"/>
          <w:szCs w:val="20"/>
          <w:color w:val="auto"/>
        </w:rPr>
      </w:pPr>
    </w:p>
    <w:p>
      <w:pPr>
        <w:ind w:right="20" w:firstLine="478"/>
        <w:spacing w:after="0" w:line="254" w:lineRule="auto"/>
        <w:rPr>
          <w:sz w:val="20"/>
          <w:szCs w:val="20"/>
          <w:color w:val="auto"/>
        </w:rPr>
      </w:pPr>
      <w:r>
        <w:rPr>
          <w:rFonts w:ascii="Times New Roman" w:cs="Times New Roman" w:eastAsia="Times New Roman" w:hAnsi="Times New Roman"/>
          <w:sz w:val="18"/>
          <w:szCs w:val="18"/>
          <w:color w:val="auto"/>
        </w:rPr>
        <w:t>Our PRT543 patent portfolio is wholly owned by us. The portfolio includes three issued U.S. patents, which claim, among other things, PRT543, pharmaceutical compositions comprising PRT543, methods of inhibiting PRMT5 using PRT543, and methods of treating certain cancers, including breast and ovarian cancers, using PRT543. These U.S. patents are expected to expire no earlier than August 9, 2038, subject to any disclaimers or extensions available, including under the Hatch-Waxman Act. A few of the corresponding patents have been issued in Europe, Mexico, South Africa, Eurasia, Israel, Ukraine, and Hong Kong, which are expected to expire no earlier than August 9, 2038, subject to any disclaimers or extensions. Also, several corresponding patent applications are pending in other countries and regions, including Australia, Brazil, Canada, China, Europe, Hong Kong, India, Japan, Mexico, New Zealand, South Africa, and South Korea. Any patents resulting from these patent applications, if issued, are also expected to expire no earlier than August 9, 2038, subject to any disclaimers or extensions.</w:t>
      </w:r>
    </w:p>
    <w:p>
      <w:pPr>
        <w:spacing w:after="0" w:line="81" w:lineRule="exact"/>
        <w:rPr>
          <w:sz w:val="20"/>
          <w:szCs w:val="20"/>
          <w:color w:val="auto"/>
        </w:rPr>
      </w:pPr>
    </w:p>
    <w:p>
      <w:pPr>
        <w:ind w:right="20" w:firstLine="523"/>
        <w:spacing w:after="0" w:line="260" w:lineRule="auto"/>
        <w:rPr>
          <w:sz w:val="20"/>
          <w:szCs w:val="20"/>
          <w:color w:val="auto"/>
        </w:rPr>
      </w:pPr>
      <w:r>
        <w:rPr>
          <w:rFonts w:ascii="Times New Roman" w:cs="Times New Roman" w:eastAsia="Times New Roman" w:hAnsi="Times New Roman"/>
          <w:sz w:val="18"/>
          <w:szCs w:val="18"/>
          <w:color w:val="auto"/>
        </w:rPr>
        <w:t>The PRT543 patent portfolio also includes four pending U.S. and one pending PCT patent applications, which claim, among other things, a genus of compounds that encompass PRT543, PRT543 salts and crystalline forms, methods of preparing PRT543, and additional methods of treatment using PRT543. Any U.S. patents issuing from these applications would be expected to expire no earlier than August 9, 2038; February 13, 2040; April 3, 2040; and December 9, 2041, respectively, subject to any disclaimers or extensions.</w:t>
      </w:r>
    </w:p>
    <w:p>
      <w:pPr>
        <w:spacing w:after="0" w:line="74" w:lineRule="exact"/>
        <w:rPr>
          <w:sz w:val="20"/>
          <w:szCs w:val="20"/>
          <w:color w:val="auto"/>
        </w:rPr>
      </w:pPr>
    </w:p>
    <w:p>
      <w:pPr>
        <w:ind w:right="440" w:firstLine="523"/>
        <w:spacing w:after="0" w:line="265" w:lineRule="auto"/>
        <w:rPr>
          <w:sz w:val="20"/>
          <w:szCs w:val="20"/>
          <w:color w:val="auto"/>
        </w:rPr>
      </w:pPr>
      <w:r>
        <w:rPr>
          <w:rFonts w:ascii="Times New Roman" w:cs="Times New Roman" w:eastAsia="Times New Roman" w:hAnsi="Times New Roman"/>
          <w:sz w:val="18"/>
          <w:szCs w:val="18"/>
          <w:color w:val="auto"/>
        </w:rPr>
        <w:t>The PRT543 patent portfolio also includes two pending U.S. provisional applications that relate to among other things, methods of inhibiting PRMT5 using PRT543, methods of treating certain cancers, and associated clinical studies. Any patents granted that claim priority to this provisional application could expire as early as 2043.</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PRT811</w:t>
      </w:r>
    </w:p>
    <w:p>
      <w:pPr>
        <w:spacing w:after="0" w:line="121" w:lineRule="exact"/>
        <w:rPr>
          <w:sz w:val="20"/>
          <w:szCs w:val="20"/>
          <w:color w:val="auto"/>
        </w:rPr>
      </w:pPr>
    </w:p>
    <w:p>
      <w:pPr>
        <w:ind w:firstLine="478"/>
        <w:spacing w:after="0" w:line="256" w:lineRule="auto"/>
        <w:rPr>
          <w:sz w:val="20"/>
          <w:szCs w:val="20"/>
          <w:color w:val="auto"/>
        </w:rPr>
      </w:pPr>
      <w:r>
        <w:rPr>
          <w:rFonts w:ascii="Times New Roman" w:cs="Times New Roman" w:eastAsia="Times New Roman" w:hAnsi="Times New Roman"/>
          <w:sz w:val="18"/>
          <w:szCs w:val="18"/>
          <w:color w:val="auto"/>
        </w:rPr>
        <w:t>Our PRT811 patent portfolio is wholly owned by us. The portfolio includes three issued U.S. patents, which claim, among other things, PRT811, pharmaceutical compositions comprising PRT811, methods of inhibiting PRMT5 using PRT811, and methods of treating certain cancers, including glioblastoma, using PRT811. The patents are expected to expire no earlier than March 14, 2039, subject to any disclaimers or extensions available under the Hatch-Waxman Act. A related PCT application was filed, and corresponding national phase applications were filed in Australia, Brazil, Canada, China, Eurasia, Europe, Hong Kong, India, Israel, Japan, Mexico, New Zealand, South Africa, South Korea, and Ukraine. Any patents resulting from these national patent applications, if issued, are expected to expire no earlier than March 14, 2039, subject to any disclaimers or extensions.</w:t>
      </w:r>
    </w:p>
    <w:p>
      <w:pPr>
        <w:spacing w:after="0" w:line="78" w:lineRule="exact"/>
        <w:rPr>
          <w:sz w:val="20"/>
          <w:szCs w:val="20"/>
          <w:color w:val="auto"/>
        </w:rPr>
      </w:pPr>
    </w:p>
    <w:p>
      <w:pPr>
        <w:jc w:val="both"/>
        <w:ind w:right="500" w:firstLine="523"/>
        <w:spacing w:after="0" w:line="265" w:lineRule="auto"/>
        <w:rPr>
          <w:sz w:val="20"/>
          <w:szCs w:val="20"/>
          <w:color w:val="auto"/>
        </w:rPr>
      </w:pPr>
      <w:r>
        <w:rPr>
          <w:rFonts w:ascii="Times New Roman" w:cs="Times New Roman" w:eastAsia="Times New Roman" w:hAnsi="Times New Roman"/>
          <w:sz w:val="18"/>
          <w:szCs w:val="18"/>
          <w:color w:val="auto"/>
        </w:rPr>
        <w:t>The PRT811 patent portfolio also includes three pending U.S. non-provisional applications that claim compositions of matter, and methods of treatment. Any patents issuing from the three pending U.S. non-provisional applications would be expected to expire no earlier than March 14, 2039, September 18, 2040, and April 3, 2040 subject to any disclaimers or extensions.</w:t>
      </w:r>
    </w:p>
    <w:p>
      <w:pPr>
        <w:spacing w:after="0" w:line="69" w:lineRule="exact"/>
        <w:rPr>
          <w:sz w:val="20"/>
          <w:szCs w:val="20"/>
          <w:color w:val="auto"/>
        </w:rPr>
      </w:pPr>
    </w:p>
    <w:p>
      <w:pPr>
        <w:ind w:right="60" w:firstLine="523"/>
        <w:spacing w:after="0" w:line="265" w:lineRule="auto"/>
        <w:rPr>
          <w:sz w:val="20"/>
          <w:szCs w:val="20"/>
          <w:color w:val="auto"/>
        </w:rPr>
      </w:pPr>
      <w:r>
        <w:rPr>
          <w:rFonts w:ascii="Times New Roman" w:cs="Times New Roman" w:eastAsia="Times New Roman" w:hAnsi="Times New Roman"/>
          <w:sz w:val="18"/>
          <w:szCs w:val="18"/>
          <w:color w:val="auto"/>
        </w:rPr>
        <w:t>The PRT811 patent portfolio also includes two pending U.S. provisional applications that relate to among other things, methods of making PRT811, methods of inhibiting PRMT5 using PRT811, and methods of treating certain cancers, and associated clinical studies. Any patents granted that claim priority to this provisional application could expire as early as 2043.</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ind w:right="100" w:firstLine="479"/>
        <w:spacing w:after="0" w:line="265" w:lineRule="auto"/>
        <w:rPr>
          <w:sz w:val="20"/>
          <w:szCs w:val="20"/>
          <w:color w:val="auto"/>
        </w:rPr>
      </w:pPr>
      <w:r>
        <w:rPr>
          <w:rFonts w:ascii="Times New Roman" w:cs="Times New Roman" w:eastAsia="Times New Roman" w:hAnsi="Times New Roman"/>
          <w:sz w:val="18"/>
          <w:szCs w:val="18"/>
          <w:color w:val="auto"/>
        </w:rPr>
        <w:t>In addition, we have patent portfolios that are directed to a number of different compounds other than PRT543, PRT811, PRT1419, PRT2527, PRT3645, SMARCA2 degraders, and CDK inhibitors. We have patent applications directed to compounds that target resistance mechanisms in cancer. We expect to maintain some of these applications in the United States and to also file in foreign countries.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5" w:name="page16"/>
    <w:bookmarkEnd w:id="15"/>
    <w:p>
      <w:pPr>
        <w:ind w:right="280" w:firstLine="524"/>
        <w:spacing w:after="0" w:line="265" w:lineRule="auto"/>
        <w:rPr>
          <w:sz w:val="20"/>
          <w:szCs w:val="20"/>
          <w:color w:val="auto"/>
        </w:rPr>
      </w:pPr>
      <w:r>
        <w:rPr>
          <w:rFonts w:ascii="Times New Roman" w:cs="Times New Roman" w:eastAsia="Times New Roman" w:hAnsi="Times New Roman"/>
          <w:sz w:val="18"/>
          <w:szCs w:val="18"/>
          <w:color w:val="auto"/>
        </w:rPr>
        <w:t>In addition to the applications described above, we wholly own two issued U.S. patents directed to PRMT5 inhibitors, six pending U.S. non-provisional patent applications, five pending U.S. provisional applications, and four pending foreign applications covering compositions and methods of making and using those compounds to treat cancer and other diseases.</w:t>
      </w:r>
    </w:p>
    <w:p>
      <w:pPr>
        <w:spacing w:after="0" w:line="177" w:lineRule="exact"/>
        <w:rPr>
          <w:sz w:val="20"/>
          <w:szCs w:val="20"/>
          <w:color w:val="auto"/>
        </w:rPr>
      </w:pPr>
    </w:p>
    <w:p>
      <w:pPr>
        <w:ind w:right="60" w:firstLine="524"/>
        <w:spacing w:after="0" w:line="260"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the countries in which we file, the patent term is 20 years from the earliest non-provisional filing date, subject to any disclaimers or extensions. The term of a patent in the United States can be adjusted due to any failure of the United States Patent and Trademark Office following certain statutory and regulation deadlines for issuing a patent.</w:t>
      </w:r>
    </w:p>
    <w:p>
      <w:pPr>
        <w:spacing w:after="0" w:line="182" w:lineRule="exact"/>
        <w:rPr>
          <w:sz w:val="20"/>
          <w:szCs w:val="20"/>
          <w:color w:val="auto"/>
        </w:rPr>
      </w:pPr>
    </w:p>
    <w:p>
      <w:pPr>
        <w:ind w:right="160" w:firstLine="524"/>
        <w:spacing w:after="0" w:line="260"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also be eligible for patent term extension, which permits patent term restoration as compensation for a portion of the patent term lost during the FDA regulatory review process. The Hatch-Waxman Act permits a patent term extension of up to five years beyond the original expiration of the patent. The protection provided by a patent varies from country to country, and is dependent on the type of patent granted, the scope of the patent claims, and the legal remedies available in a given country.</w:t>
      </w:r>
    </w:p>
    <w:p>
      <w:pPr>
        <w:spacing w:after="0" w:line="182" w:lineRule="exact"/>
        <w:rPr>
          <w:sz w:val="20"/>
          <w:szCs w:val="20"/>
          <w:color w:val="auto"/>
        </w:rPr>
      </w:pPr>
    </w:p>
    <w:p>
      <w:pPr>
        <w:jc w:val="both"/>
        <w:ind w:firstLine="548"/>
        <w:spacing w:after="0" w:line="254" w:lineRule="auto"/>
        <w:rPr>
          <w:sz w:val="20"/>
          <w:szCs w:val="20"/>
          <w:color w:val="auto"/>
        </w:rPr>
      </w:pPr>
      <w:r>
        <w:rPr>
          <w:rFonts w:ascii="Times New Roman" w:cs="Times New Roman" w:eastAsia="Times New Roman" w:hAnsi="Times New Roman"/>
          <w:sz w:val="18"/>
          <w:szCs w:val="18"/>
          <w:color w:val="auto"/>
        </w:rPr>
        <w:t>Obtaining patent protection is not the only method that we employ to protect our proprietary rights. We also utilize other forms of intellectual property protection, including trademark, copyright, and trade secrets, when those other forms are better suited to protect a particular aspect of our intellectual property. Our belief is that our proprietary rights are strengthened by our comprehensive approach to intellectual property protection.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60" w:firstLine="478"/>
        <w:spacing w:after="0" w:line="254"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for the foreseeable future, on third parties for the manufacture of our product candidates for preclinical and clinical testing, including pharmaceutical ingredients and clinical drug supply, as well as for commercial manufacture of any drugs that we may commercialize. We obtain our supplies from these manufacturers on a purchase order basis and do not have long-term supply arrangements in place. We do not own in-house warehouse facilities. We rely on third parties for storage and distribution of drug substance and drug product. We do not currently have arrangements in place for redundant supply for active pharmaceutical ingredients and drug product. As our development programs progress and we build new process efficiencies, we expect to continually evaluate this strategy with the objective of satisfying demand for registration trials and, if approved, the manufacture, sale and distribution of commercial products.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ind w:right="80" w:firstLine="479"/>
        <w:spacing w:after="0" w:line="265" w:lineRule="auto"/>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 If we are successful in obtaining necessary regulatory approval, we may pursue commercialization on our own or seek to collaborate with a third party for commercialization, particularly outside the United States.</w:t>
      </w:r>
    </w:p>
    <w:p>
      <w:pPr>
        <w:spacing w:after="0" w:line="177"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ind w:right="40"/>
        <w:spacing w:after="0" w:line="281" w:lineRule="auto"/>
        <w:rPr>
          <w:sz w:val="20"/>
          <w:szCs w:val="20"/>
          <w:color w:val="auto"/>
        </w:rPr>
      </w:pPr>
      <w:r>
        <w:rPr>
          <w:rFonts w:ascii="Times New Roman" w:cs="Times New Roman" w:eastAsia="Times New Roman" w:hAnsi="Times New Roman"/>
          <w:sz w:val="18"/>
          <w:szCs w:val="18"/>
          <w:color w:val="auto"/>
        </w:rPr>
        <w:t>or necessary for, our programs. As a result, our competitors may discover, develop, license or commercialize products before or more successfully than we do.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479"/>
        <w:spacing w:after="0" w:line="254" w:lineRule="auto"/>
        <w:rPr>
          <w:sz w:val="20"/>
          <w:szCs w:val="20"/>
          <w:color w:val="auto"/>
        </w:rPr>
      </w:pPr>
      <w:r>
        <w:rPr>
          <w:rFonts w:ascii="Times New Roman" w:cs="Times New Roman" w:eastAsia="Times New Roman" w:hAnsi="Times New Roman"/>
          <w:sz w:val="18"/>
          <w:szCs w:val="18"/>
          <w:color w:val="auto"/>
        </w:rPr>
        <w:t>We face competition from segments of the pharmaceutical, biotechnology and other related markets that pursue the development of precision oncology therapies optimized to target the key driver mechanisms in cancers with high unmet need. Several biopharmaceutical companies, including Arvinas Inc., Aurigene, Black Diamond Therapeutics, Inc., Boehringer Ingelheim, C4 Therapeutics, Constellation Pharmaceuticals, Inc., Eli Lilly and Company, F. Hoffman-La Roche, Foghorn Therapeutics Inc., Fochon Pharmaceuticals, G1 Therapeutics Inc., Genentech, Kronos Bio, Inc., Kura Oncology, Inc., Kymera Therapeutics Inc., Mirati Therapeutics Inc., Nuvation Bio Inc. Repare Therapeutics Inc., Revolution Medicines, Inc., Relay Therapeutics, Inc., Springworks Therapeutics, Inc., Syndax Pharmaceuticals, Inc., and Zentalis Pharmaceuticals, Inc., are developing precision oncology medicines. In addition, we may face competition from companies developing product candidates that are based on targeting pathways of adaptive resistance, including Amgen Inc., AbbVie Inc., AstraZeneca plc, GlaxoSmithKline plc, Ideaya Biosciences, Johnson &amp; Johnson Services, Inc., Pfizer Inc., Tango Therapeutics, Inc., Vincerx Pharma, Inc., Novartis AG, and Gilead Sciences, Inc.</w:t>
      </w:r>
    </w:p>
    <w:p>
      <w:pPr>
        <w:spacing w:after="0" w:line="186"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91" w:lineRule="exact"/>
        <w:rPr>
          <w:sz w:val="20"/>
          <w:szCs w:val="20"/>
          <w:color w:val="auto"/>
        </w:rPr>
      </w:pPr>
    </w:p>
    <w:p>
      <w:pPr>
        <w:ind w:right="120" w:firstLine="478"/>
        <w:spacing w:after="0" w:line="274" w:lineRule="auto"/>
        <w:rPr>
          <w:sz w:val="20"/>
          <w:szCs w:val="20"/>
          <w:color w:val="auto"/>
        </w:rPr>
      </w:pPr>
      <w:r>
        <w:rPr>
          <w:rFonts w:ascii="Times New Roman" w:cs="Times New Roman" w:eastAsia="Times New Roman" w:hAnsi="Times New Roman"/>
          <w:sz w:val="17"/>
          <w:szCs w:val="17"/>
          <w:color w:val="auto"/>
        </w:rPr>
        <w:t>For our product candidate PRT1419, other companies are developing MCL1 inhibitors with monotherapy and/or combination trials ongoing, including Amgen (AMG176), AstraZeneca (AZD5991), Novartis (MIK665), and Gilead (GS-9716). For our CDK9 program, PRT2527, AstraZeneca (AZD4573), Vincerx (VIP512), and Kronos (KB-0742) have CDK9 programs in Phase 1 clinical trials. For our CDK4/6 inhibitor program, PRT3645 Novartis (ribociclib), Lilly (abemaciclib), Pfizer (palbociclib), G1 Therapeutics (G1T38), and Fochon Pharmaceuticals (FCN-437) have clinical trials ongoing. For our SMARCA 2 (BRM) degrader program, other companies, including Amgen, Aurigene, C4 Therapeutics, F. Hoffman-La Roche, Foghorn Therapeutics, Inc., Kymera Therapeutics, Arvinas, Genentech, Boehringer Ingelheim, and Lilly have publicly disclosed their pre-clinical research efforts.</w:t>
      </w:r>
    </w:p>
    <w:p>
      <w:pPr>
        <w:spacing w:after="0" w:line="171" w:lineRule="exact"/>
        <w:rPr>
          <w:sz w:val="20"/>
          <w:szCs w:val="20"/>
          <w:color w:val="auto"/>
        </w:rPr>
      </w:pPr>
    </w:p>
    <w:p>
      <w:pPr>
        <w:ind w:right="180" w:firstLine="479"/>
        <w:spacing w:after="0" w:line="256" w:lineRule="auto"/>
        <w:rPr>
          <w:sz w:val="20"/>
          <w:szCs w:val="20"/>
          <w:color w:val="auto"/>
        </w:rPr>
      </w:pPr>
      <w:r>
        <w:rPr>
          <w:rFonts w:ascii="Times New Roman" w:cs="Times New Roman" w:eastAsia="Times New Roman" w:hAnsi="Times New Roman"/>
          <w:sz w:val="18"/>
          <w:szCs w:val="18"/>
          <w:color w:val="auto"/>
        </w:rPr>
        <w:t>We could see a reduction or elimination in our commercial opportunity if our competitors develop and commercialize drugs that are safer, more effective, have fewer or less severe side effects, are more convenient to administer, are less expensive or with more favorable labeling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40" w:firstLine="479"/>
        <w:spacing w:after="0" w:line="260"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17" w:name="page18"/>
    <w:bookmarkEnd w:id="17"/>
    <w:p>
      <w:pPr>
        <w:spacing w:after="0" w:line="281" w:lineRule="auto"/>
        <w:rPr>
          <w:sz w:val="20"/>
          <w:szCs w:val="20"/>
          <w:color w:val="auto"/>
        </w:rPr>
      </w:pPr>
      <w:r>
        <w:rPr>
          <w:rFonts w:ascii="Times New Roman" w:cs="Times New Roman" w:eastAsia="Times New Roman" w:hAnsi="Times New Roman"/>
          <w:sz w:val="18"/>
          <w:szCs w:val="18"/>
          <w:color w:val="auto"/>
        </w:rPr>
        <w:t>States and in foreign countries and jurisdictions, along with subsequent compliance with applicable statutes and regulations and other regulatory authorities, require the expenditure of substantial time and financial resources.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ind w:right="160" w:firstLine="478"/>
        <w:spacing w:after="0" w:line="256" w:lineRule="auto"/>
        <w:rPr>
          <w:sz w:val="20"/>
          <w:szCs w:val="20"/>
          <w:color w:val="auto"/>
        </w:rPr>
      </w:pPr>
      <w:r>
        <w:rPr>
          <w:rFonts w:ascii="Times New Roman" w:cs="Times New Roman" w:eastAsia="Times New Roman" w:hAnsi="Times New Roman"/>
          <w:sz w:val="18"/>
          <w:szCs w:val="18"/>
          <w:color w:val="auto"/>
        </w:rPr>
        <w:t>In the U.S., pharmaceutical products are subject to extensive regulation by the FDA, the Federal Food, Drug, and Cosmetic Act, or FD&amp;C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NDAs, warning or untitled letters, product recalls, product seizures, total or partial suspension of production or distribution, injunctions, fines, civil penalties and criminal prosecution.</w:t>
      </w:r>
    </w:p>
    <w:p>
      <w:pPr>
        <w:spacing w:after="0" w:line="186" w:lineRule="exact"/>
        <w:rPr>
          <w:sz w:val="20"/>
          <w:szCs w:val="20"/>
          <w:color w:val="auto"/>
        </w:rPr>
      </w:pPr>
    </w:p>
    <w:p>
      <w:pPr>
        <w:ind w:right="40" w:firstLine="478"/>
        <w:spacing w:after="0" w:line="258" w:lineRule="auto"/>
        <w:rPr>
          <w:sz w:val="20"/>
          <w:szCs w:val="20"/>
          <w:color w:val="auto"/>
        </w:rPr>
      </w:pPr>
      <w:r>
        <w:rPr>
          <w:rFonts w:ascii="Times New Roman" w:cs="Times New Roman" w:eastAsia="Times New Roman" w:hAnsi="Times New Roman"/>
          <w:sz w:val="18"/>
          <w:szCs w:val="18"/>
          <w:color w:val="auto"/>
        </w:rPr>
        <w:t>Pharmaceutical product development for a new product or certain changes to an approved product in the U.S. typically involves preclinical laboratory and animal tests, the submission to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2" w:lineRule="exact"/>
        <w:rPr>
          <w:sz w:val="20"/>
          <w:szCs w:val="20"/>
          <w:color w:val="auto"/>
        </w:rPr>
      </w:pPr>
    </w:p>
    <w:p>
      <w:pPr>
        <w:ind w:right="80" w:firstLine="478"/>
        <w:spacing w:after="0" w:line="253"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 A 30-day waiting period after the submission of each IND is required prior to the commencement of clinical testing in humans. If FDA has neither commented on nor questioned the IND within this 30-day period, the clinical trial proposed in the IND may begin. Clinical trials involve the administration of the investigational new drug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FDA as part of the IND.</w:t>
      </w:r>
    </w:p>
    <w:p>
      <w:pPr>
        <w:spacing w:after="0" w:line="186" w:lineRule="exact"/>
        <w:rPr>
          <w:sz w:val="20"/>
          <w:szCs w:val="20"/>
          <w:color w:val="auto"/>
        </w:rPr>
      </w:pPr>
    </w:p>
    <w:p>
      <w:pPr>
        <w:ind w:right="40" w:firstLine="478"/>
        <w:spacing w:after="0" w:line="254" w:lineRule="auto"/>
        <w:rPr>
          <w:sz w:val="20"/>
          <w:szCs w:val="20"/>
          <w:color w:val="auto"/>
        </w:rPr>
      </w:pPr>
      <w:r>
        <w:rPr>
          <w:rFonts w:ascii="Times New Roman" w:cs="Times New Roman" w:eastAsia="Times New Roman" w:hAnsi="Times New Roman"/>
          <w:sz w:val="18"/>
          <w:szCs w:val="18"/>
          <w:color w:val="auto"/>
        </w:rPr>
        <w:t>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Imposition of a clinical hold may be full or partial. The study protocol and informed consent information for patients in clinical trials must also be submitted to an institutional review board, or IRB, and ethics committee for approval. The IRB will also monitor the clinical trial until completed. An IRB may also require the clinical trial at the site to be halted, either temporarily or permanently, for failure to comply with the IRB’s requirements, or may impose other conditions.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189" w:lineRule="exact"/>
        <w:rPr>
          <w:sz w:val="20"/>
          <w:szCs w:val="20"/>
          <w:color w:val="auto"/>
        </w:rPr>
      </w:pPr>
    </w:p>
    <w:p>
      <w:pPr>
        <w:ind w:firstLine="478"/>
        <w:spacing w:after="0" w:line="254" w:lineRule="auto"/>
        <w:rPr>
          <w:sz w:val="20"/>
          <w:szCs w:val="20"/>
          <w:color w:val="auto"/>
        </w:rPr>
      </w:pPr>
      <w:r>
        <w:rPr>
          <w:rFonts w:ascii="Times New Roman" w:cs="Times New Roman" w:eastAsia="Times New Roman" w:hAnsi="Times New Roman"/>
          <w:sz w:val="18"/>
          <w:szCs w:val="18"/>
          <w:color w:val="auto"/>
        </w:rPr>
        <w:t>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FDA to evaluate the overall benefit-risk relationship of the drug and to provide adequate information for the labeling of the drug. In most cases FDA requires two adequate and well-controlled Phase 3 clinical trials to demonstrate the efficacy of the drug. A single Phase 3 trial may be sufficient in rare instances, including (1) where the study is a large multicenter trial demonstrating internal consistency and a</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line="265" w:lineRule="auto"/>
        <w:rPr>
          <w:sz w:val="20"/>
          <w:szCs w:val="20"/>
          <w:color w:val="auto"/>
        </w:rPr>
      </w:pPr>
      <w:r>
        <w:rPr>
          <w:rFonts w:ascii="Times New Roman" w:cs="Times New Roman" w:eastAsia="Times New Roman" w:hAnsi="Times New Roman"/>
          <w:sz w:val="18"/>
          <w:szCs w:val="18"/>
          <w:color w:val="auto"/>
        </w:rPr>
        <w:t>statistically very persuasive finding of a clinically meaningful effect on mortality, irreversible morbidity or prevention of a disease with a potentially serious outcome and confirmation of the result in a second trial would be practically or ethically impossible or (2) when in conjunction with other confirmatory evidence.</w:t>
      </w:r>
    </w:p>
    <w:p>
      <w:pPr>
        <w:spacing w:after="0" w:line="177" w:lineRule="exact"/>
        <w:rPr>
          <w:sz w:val="20"/>
          <w:szCs w:val="20"/>
          <w:color w:val="auto"/>
        </w:rPr>
      </w:pPr>
    </w:p>
    <w:p>
      <w:pPr>
        <w:jc w:val="both"/>
        <w:ind w:right="260" w:firstLine="478"/>
        <w:spacing w:after="0" w:line="265" w:lineRule="auto"/>
        <w:rPr>
          <w:sz w:val="20"/>
          <w:szCs w:val="20"/>
          <w:color w:val="auto"/>
        </w:rPr>
      </w:pPr>
      <w:r>
        <w:rPr>
          <w:rFonts w:ascii="Times New Roman" w:cs="Times New Roman" w:eastAsia="Times New Roman" w:hAnsi="Times New Roman"/>
          <w:sz w:val="18"/>
          <w:szCs w:val="18"/>
          <w:color w:val="auto"/>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spacing w:after="0" w:line="177" w:lineRule="exact"/>
        <w:rPr>
          <w:sz w:val="20"/>
          <w:szCs w:val="20"/>
          <w:color w:val="auto"/>
        </w:rPr>
      </w:pPr>
    </w:p>
    <w:p>
      <w:pPr>
        <w:ind w:right="180" w:firstLine="478"/>
        <w:spacing w:after="0" w:line="260" w:lineRule="auto"/>
        <w:rPr>
          <w:sz w:val="20"/>
          <w:szCs w:val="20"/>
          <w:color w:val="auto"/>
        </w:rPr>
      </w:pPr>
      <w:r>
        <w:rPr>
          <w:rFonts w:ascii="Times New Roman" w:cs="Times New Roman" w:eastAsia="Times New Roman" w:hAnsi="Times New Roman"/>
          <w:sz w:val="18"/>
          <w:szCs w:val="18"/>
          <w:color w:val="auto"/>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pivotal trial may be sufficient in rare instances to provide substantial evidence of effectiveness (generally subject to the requirement of additional post-approval studies).</w:t>
      </w:r>
    </w:p>
    <w:p>
      <w:pPr>
        <w:spacing w:after="0" w:line="182" w:lineRule="exact"/>
        <w:rPr>
          <w:sz w:val="20"/>
          <w:szCs w:val="20"/>
          <w:color w:val="auto"/>
        </w:rPr>
      </w:pPr>
    </w:p>
    <w:p>
      <w:pPr>
        <w:jc w:val="both"/>
        <w:ind w:right="60" w:firstLine="478"/>
        <w:spacing w:after="0" w:line="281" w:lineRule="auto"/>
        <w:rPr>
          <w:sz w:val="20"/>
          <w:szCs w:val="20"/>
          <w:color w:val="auto"/>
        </w:rPr>
      </w:pPr>
      <w:r>
        <w:rPr>
          <w:rFonts w:ascii="Times New Roman" w:cs="Times New Roman" w:eastAsia="Times New Roman" w:hAnsi="Times New Roman"/>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63" w:lineRule="exact"/>
        <w:rPr>
          <w:sz w:val="20"/>
          <w:szCs w:val="20"/>
          <w:color w:val="auto"/>
        </w:rPr>
      </w:pPr>
    </w:p>
    <w:p>
      <w:pPr>
        <w:jc w:val="both"/>
        <w:ind w:right="40" w:firstLine="478"/>
        <w:spacing w:after="0" w:line="265" w:lineRule="auto"/>
        <w:rPr>
          <w:sz w:val="20"/>
          <w:szCs w:val="20"/>
          <w:color w:val="auto"/>
        </w:rPr>
      </w:pPr>
      <w:r>
        <w:rPr>
          <w:rFonts w:ascii="Times New Roman" w:cs="Times New Roman" w:eastAsia="Times New Roman" w:hAnsi="Times New Roman"/>
          <w:sz w:val="18"/>
          <w:szCs w:val="18"/>
          <w:color w:val="auto"/>
        </w:rPr>
        <w:t>After completion of the required clinical testing, an NDA is prepared and submitted to FDA. FDA approval of the NDA is required before marketing of the product may begin in the U.S. The NDA must include the results of all preclinical, clinical and other testing and a compilation of data relating to the product’s pharmacology, chemistry, manufacture and controls.</w:t>
      </w:r>
    </w:p>
    <w:p>
      <w:pPr>
        <w:spacing w:after="0" w:line="177" w:lineRule="exact"/>
        <w:rPr>
          <w:sz w:val="20"/>
          <w:szCs w:val="20"/>
          <w:color w:val="auto"/>
        </w:rPr>
      </w:pPr>
    </w:p>
    <w:p>
      <w:pPr>
        <w:ind w:right="220" w:firstLine="478"/>
        <w:spacing w:after="0" w:line="258" w:lineRule="auto"/>
        <w:rPr>
          <w:sz w:val="20"/>
          <w:szCs w:val="20"/>
          <w:color w:val="auto"/>
        </w:rPr>
      </w:pPr>
      <w:r>
        <w:rPr>
          <w:rFonts w:ascii="Times New Roman" w:cs="Times New Roman" w:eastAsia="Times New Roman" w:hAnsi="Times New Roman"/>
          <w:sz w:val="18"/>
          <w:szCs w:val="18"/>
          <w:color w:val="auto"/>
        </w:rPr>
        <w:t>The cost of preparing and submitting an NDA is substantial. The submission of most NDAs is additionally subject to a substantial application user fee.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 approved NDA is also subject to annual program fees. The FDA adjusts the user fees on an annual basis, and the fees typically increase annually.</w:t>
      </w:r>
    </w:p>
    <w:p>
      <w:pPr>
        <w:spacing w:after="0" w:line="182" w:lineRule="exact"/>
        <w:rPr>
          <w:sz w:val="20"/>
          <w:szCs w:val="20"/>
          <w:color w:val="auto"/>
        </w:rPr>
      </w:pPr>
    </w:p>
    <w:p>
      <w:pPr>
        <w:ind w:right="40" w:firstLine="478"/>
        <w:spacing w:after="0" w:line="254" w:lineRule="auto"/>
        <w:rPr>
          <w:sz w:val="20"/>
          <w:szCs w:val="20"/>
          <w:color w:val="auto"/>
        </w:rPr>
      </w:pPr>
      <w:r>
        <w:rPr>
          <w:rFonts w:ascii="Times New Roman" w:cs="Times New Roman" w:eastAsia="Times New Roman" w:hAnsi="Times New Roman"/>
          <w:sz w:val="18"/>
          <w:szCs w:val="18"/>
          <w:color w:val="auto"/>
        </w:rPr>
        <w:t>FDA reviews each submitted NDA before it determines whether to file it, based on the agency’s threshold determination that it is sufficiently complete to permit substantive review, and FDA may request additional information. The FDA must make a decision on whether to file an NDA within 60 days of receipt, and such decision could include a refusal to file by the FDA. Once the submission is filed, FDA begins an in-depth review of the NDA. FDA has agreed to certain performance goals in the review of NDAs. Most applications for standard review drug products are reviewed within ten to twelve months; most applications for priority review drugs are reviewed in six to eight months, including the 60-day validation period. Priority review can be applied to drugs that FDA determines offer major advances in treatment or provide a treatment where no adequate therapy exists. The review process for both standard and priority review may be extended by FDA for three additional months to consider certain late-submitted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spacing w:after="0" w:line="186" w:lineRule="exact"/>
        <w:rPr>
          <w:sz w:val="20"/>
          <w:szCs w:val="20"/>
          <w:color w:val="auto"/>
        </w:rPr>
      </w:pPr>
    </w:p>
    <w:p>
      <w:pPr>
        <w:ind w:right="20" w:firstLine="478"/>
        <w:spacing w:after="0" w:line="260" w:lineRule="auto"/>
        <w:rPr>
          <w:sz w:val="20"/>
          <w:szCs w:val="20"/>
          <w:color w:val="auto"/>
        </w:rPr>
      </w:pPr>
      <w:r>
        <w:rPr>
          <w:rFonts w:ascii="Times New Roman" w:cs="Times New Roman" w:eastAsia="Times New Roman" w:hAnsi="Times New Roman"/>
          <w:sz w:val="18"/>
          <w:szCs w:val="18"/>
          <w:color w:val="auto"/>
        </w:rPr>
        <w:t>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FDA is not bound by the recommendation of an advisory committee, but it generally follows such recommendations.</w:t>
      </w:r>
    </w:p>
    <w:p>
      <w:pPr>
        <w:spacing w:after="0" w:line="182" w:lineRule="exact"/>
        <w:rPr>
          <w:sz w:val="20"/>
          <w:szCs w:val="20"/>
          <w:color w:val="auto"/>
        </w:rPr>
      </w:pPr>
    </w:p>
    <w:p>
      <w:pPr>
        <w:ind w:right="280" w:firstLine="478"/>
        <w:spacing w:after="0" w:line="280" w:lineRule="auto"/>
        <w:rPr>
          <w:sz w:val="20"/>
          <w:szCs w:val="20"/>
          <w:color w:val="auto"/>
        </w:rPr>
      </w:pPr>
      <w:r>
        <w:rPr>
          <w:rFonts w:ascii="Times New Roman" w:cs="Times New Roman" w:eastAsia="Times New Roman" w:hAnsi="Times New Roman"/>
          <w:sz w:val="17"/>
          <w:szCs w:val="17"/>
          <w:color w:val="auto"/>
        </w:rPr>
        <w:t>Before approving an NDA, FDA will conduct a pre-approval inspection of the manufacturing facilities for the new product to determine whether they comply with cGMP requirements. FDA will not approve the product unless it determines that the manufacturing processes and facilities are in compliance with cGMP requirements and adequate to assure consistent production of the product within required specifications. The FDA also typically inspects one or more clinical trial sites to ensure compliance with GCP requirements and the integrity of the data supporting safety and efficacy.</w:t>
      </w:r>
    </w:p>
    <w:p>
      <w:pPr>
        <w:spacing w:after="0" w:line="166" w:lineRule="exact"/>
        <w:rPr>
          <w:sz w:val="20"/>
          <w:szCs w:val="20"/>
          <w:color w:val="auto"/>
        </w:rPr>
      </w:pPr>
    </w:p>
    <w:p>
      <w:pPr>
        <w:ind w:right="120" w:firstLine="478"/>
        <w:spacing w:after="0" w:line="260" w:lineRule="auto"/>
        <w:rPr>
          <w:sz w:val="20"/>
          <w:szCs w:val="20"/>
          <w:color w:val="auto"/>
        </w:rPr>
      </w:pPr>
      <w:r>
        <w:rPr>
          <w:rFonts w:ascii="Times New Roman" w:cs="Times New Roman" w:eastAsia="Times New Roman" w:hAnsi="Times New Roman"/>
          <w:sz w:val="18"/>
          <w:szCs w:val="18"/>
          <w:color w:val="auto"/>
        </w:rPr>
        <w:t>After FDA evaluates the NDA and the manufacturing facilities, it issues either an approval letter or a complete response letter. A complete response letter, or CRL, generally outlines the deficiencies in the submission and may require substantial additional testing, or information, in order for FDA to reconsider the application, such as additional clinical data, additional pivotal clinical trial(s), and/or other significant and time-consuming requirements related to clinical trials, preclinical studies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spacing w:after="0" w:line="260" w:lineRule="auto"/>
        <w:rPr>
          <w:sz w:val="20"/>
          <w:szCs w:val="20"/>
          <w:color w:val="auto"/>
        </w:rPr>
      </w:pPr>
      <w:r>
        <w:rPr>
          <w:rFonts w:ascii="Times New Roman" w:cs="Times New Roman" w:eastAsia="Times New Roman" w:hAnsi="Times New Roman"/>
          <w:sz w:val="18"/>
          <w:szCs w:val="18"/>
          <w:color w:val="auto"/>
        </w:rPr>
        <w:t>or manufacturing. If a CRL is issued, the applicant may resubmit the NDA addressing all of the deficiencies identified in the letter, withdraw the application, engage in formal dispute resolution or request an opportunity for a hearing. FDA has committed to reviewing resubmissions in two or six months depending on the type of information included. Even if such data and information are submitted, the FDA may decide that the NDA does not satisfy the criteria for approval.</w:t>
      </w:r>
    </w:p>
    <w:p>
      <w:pPr>
        <w:spacing w:after="0" w:line="182" w:lineRule="exact"/>
        <w:rPr>
          <w:sz w:val="20"/>
          <w:szCs w:val="20"/>
          <w:color w:val="auto"/>
        </w:rPr>
      </w:pPr>
    </w:p>
    <w:p>
      <w:pPr>
        <w:ind w:right="40" w:firstLine="478"/>
        <w:spacing w:after="0" w:line="254" w:lineRule="auto"/>
        <w:rPr>
          <w:sz w:val="20"/>
          <w:szCs w:val="20"/>
          <w:color w:val="auto"/>
        </w:rPr>
      </w:pPr>
      <w:r>
        <w:rPr>
          <w:rFonts w:ascii="Times New Roman" w:cs="Times New Roman" w:eastAsia="Times New Roman" w:hAnsi="Times New Roman"/>
          <w:sz w:val="18"/>
          <w:szCs w:val="18"/>
          <w:color w:val="auto"/>
        </w:rPr>
        <w:t>If, or when, the deficiencies identified in the CRL have been addressed to FDA’s satisfaction in a resubmission of the NDA, FDA will issue an approval letter. An approval letter authorizes commercial marketing of the drug with specific prescribing information for specific indications. As a condition of NDA approval, FDA may require a risk evaluation and mitigation strategy, or REMS, to help ensure that the benefits of the drug outweigh the potential risks to patients.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186" w:lineRule="exact"/>
        <w:rPr>
          <w:sz w:val="20"/>
          <w:szCs w:val="20"/>
          <w:color w:val="auto"/>
        </w:rPr>
      </w:pPr>
    </w:p>
    <w:p>
      <w:pPr>
        <w:ind w:right="100" w:firstLine="478"/>
        <w:spacing w:after="0" w:line="260"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an NDA supplement or, in some case, a new NDA, before the change can be implemented. An NDA supplement for a new indication typically requires clinical data similar to that in the original application, and FDA uses the same procedures and actions in reviewing NDA supplements as it does in reviewing NDAs.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121" w:lineRule="exact"/>
        <w:rPr>
          <w:sz w:val="20"/>
          <w:szCs w:val="20"/>
          <w:color w:val="auto"/>
        </w:rPr>
      </w:pPr>
    </w:p>
    <w:p>
      <w:pPr>
        <w:ind w:right="80" w:firstLine="478"/>
        <w:spacing w:after="0" w:line="258" w:lineRule="auto"/>
        <w:rPr>
          <w:sz w:val="20"/>
          <w:szCs w:val="20"/>
          <w:color w:val="auto"/>
        </w:rPr>
      </w:pPr>
      <w:r>
        <w:rPr>
          <w:rFonts w:ascii="Times New Roman" w:cs="Times New Roman" w:eastAsia="Times New Roman" w:hAnsi="Times New Roman"/>
          <w:sz w:val="18"/>
          <w:szCs w:val="18"/>
          <w:color w:val="auto"/>
        </w:rPr>
        <w:t>Sponsors of clinical trials of FDA regulated products, including drugs, are required to register and disclose certain clinical trial information.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Fast Track Designation</w:t>
      </w:r>
    </w:p>
    <w:p>
      <w:pPr>
        <w:spacing w:after="0" w:line="119"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color w:val="auto"/>
        </w:rPr>
        <w:t>Fast track designation may be granted for a product that is intended to treat a serious or life-threatening disease or condition for which there is no effective treatment and preclinical or clinical data demonstrate the potential to address unmet medical needs for the condition. The sponsor of an investigational drug product may request that FDA designate the product candidate for a specific indication as a fast-track drug concurrent with, or after, the submission of the IND for the product candidate. FDA must determine if the product candidate qualifies for fast-track designation within 60 days of receipt of the sponsor’s request. For fast track products, sponsors may have greater interactions with the FDA and the FDA may initiate review of sections of a fast track product’s NDA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NDA filing, the FDA will determine whether to grant priority review designation. FDA will grant such designation if the proposed drug would be a significant improvement in the safety or effectiveness of the treatment, prevention, or diagnosis of a serious condition. Additionally, fast track designation may be withdrawn if FDA believes that the designation is no longer supported by data emerging in the clinical trial process.</w:t>
      </w: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119" w:lineRule="exact"/>
        <w:rPr>
          <w:sz w:val="20"/>
          <w:szCs w:val="20"/>
          <w:color w:val="auto"/>
        </w:rPr>
      </w:pPr>
    </w:p>
    <w:p>
      <w:pPr>
        <w:ind w:right="100" w:firstLine="478"/>
        <w:spacing w:after="0" w:line="260" w:lineRule="auto"/>
        <w:rPr>
          <w:sz w:val="20"/>
          <w:szCs w:val="20"/>
          <w:color w:val="auto"/>
        </w:rPr>
      </w:pPr>
      <w:r>
        <w:rPr>
          <w:rFonts w:ascii="Times New Roman" w:cs="Times New Roman" w:eastAsia="Times New Roman" w:hAnsi="Times New Roman"/>
          <w:sz w:val="18"/>
          <w:szCs w:val="18"/>
          <w:color w:val="auto"/>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ind w:right="20"/>
        <w:spacing w:after="0" w:line="253" w:lineRule="auto"/>
        <w:rPr>
          <w:sz w:val="20"/>
          <w:szCs w:val="20"/>
          <w:color w:val="auto"/>
        </w:rPr>
      </w:pPr>
      <w:r>
        <w:rPr>
          <w:rFonts w:ascii="Times New Roman" w:cs="Times New Roman" w:eastAsia="Times New Roman" w:hAnsi="Times New Roman"/>
          <w:sz w:val="18"/>
          <w:szCs w:val="18"/>
          <w:color w:val="auto"/>
        </w:rPr>
        <w:t>rarity or prevalence of the condition and the availability or lack of alternative treatments.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most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2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Breakthrough Therapy Designation</w:t>
      </w:r>
    </w:p>
    <w:p>
      <w:pPr>
        <w:spacing w:after="0" w:line="119" w:lineRule="exact"/>
        <w:rPr>
          <w:sz w:val="20"/>
          <w:szCs w:val="20"/>
          <w:color w:val="auto"/>
        </w:rPr>
      </w:pPr>
    </w:p>
    <w:p>
      <w:pPr>
        <w:ind w:firstLine="478"/>
        <w:spacing w:after="0" w:line="254" w:lineRule="auto"/>
        <w:rPr>
          <w:sz w:val="20"/>
          <w:szCs w:val="20"/>
          <w:color w:val="auto"/>
        </w:rPr>
      </w:pPr>
      <w:r>
        <w:rPr>
          <w:rFonts w:ascii="Times New Roman" w:cs="Times New Roman" w:eastAsia="Times New Roman" w:hAnsi="Times New Roman"/>
          <w:sz w:val="18"/>
          <w:szCs w:val="18"/>
          <w:color w:val="auto"/>
        </w:rPr>
        <w:t>FDA is also required to expedite the development and review of applications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FDA designate the product candidate for a specific indication as a breakthrough therapy concurrent with, or after, the filing of the IND for the product candidate. FDA must determine if the product candidate qualifies for breakthrough therapy designation within 60 days of receipt of the sponsor’s request. The FDA may take certain actions with respect to breakthrough therapies, including but not limited to holding meetings with the sponsor throughout the development process, providing timely advice to the product sponsor regarding development and approval, involving more senior staff in the review process, assigning a cross-disciplinary project lead for the review team, granting priority review status or fast track designation, and taking other steps to design the clinical studies in an efficient manner.</w:t>
      </w:r>
    </w:p>
    <w:p>
      <w:pPr>
        <w:spacing w:after="0" w:line="2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Orphan Drugs</w:t>
      </w:r>
    </w:p>
    <w:p>
      <w:pPr>
        <w:spacing w:after="0" w:line="121" w:lineRule="exact"/>
        <w:rPr>
          <w:sz w:val="20"/>
          <w:szCs w:val="20"/>
          <w:color w:val="auto"/>
        </w:rPr>
      </w:pPr>
    </w:p>
    <w:p>
      <w:pPr>
        <w:ind w:right="240" w:firstLine="478"/>
        <w:spacing w:after="0" w:line="260" w:lineRule="auto"/>
        <w:rPr>
          <w:sz w:val="20"/>
          <w:szCs w:val="20"/>
          <w:color w:val="auto"/>
        </w:rPr>
      </w:pPr>
      <w:r>
        <w:rPr>
          <w:rFonts w:ascii="Times New Roman" w:cs="Times New Roman" w:eastAsia="Times New Roman" w:hAnsi="Times New Roman"/>
          <w:sz w:val="18"/>
          <w:szCs w:val="18"/>
          <w:color w:val="auto"/>
        </w:rPr>
        <w:t>Under the Orphan Drug Act,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82" w:lineRule="exact"/>
        <w:rPr>
          <w:sz w:val="20"/>
          <w:szCs w:val="20"/>
          <w:color w:val="auto"/>
        </w:rPr>
      </w:pPr>
    </w:p>
    <w:p>
      <w:pPr>
        <w:jc w:val="both"/>
        <w:ind w:right="180" w:firstLine="478"/>
        <w:spacing w:after="0" w:line="265"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After FDA grants orphan drug designation, the identity of the drug and its potential orphan use are disclosed publicly by FDA. Orphan drug designation does not convey any advantage in, or shorten the duration of, the regulatory review and approval process.</w:t>
      </w:r>
    </w:p>
    <w:p>
      <w:pPr>
        <w:spacing w:after="0" w:line="177" w:lineRule="exact"/>
        <w:rPr>
          <w:sz w:val="20"/>
          <w:szCs w:val="20"/>
          <w:color w:val="auto"/>
        </w:rPr>
      </w:pPr>
    </w:p>
    <w:p>
      <w:pPr>
        <w:ind w:firstLine="478"/>
        <w:spacing w:after="0" w:line="256" w:lineRule="auto"/>
        <w:rPr>
          <w:sz w:val="20"/>
          <w:szCs w:val="20"/>
          <w:color w:val="auto"/>
        </w:rPr>
      </w:pPr>
      <w:r>
        <w:rPr>
          <w:rFonts w:ascii="Times New Roman" w:cs="Times New Roman" w:eastAsia="Times New Roman" w:hAnsi="Times New Roman"/>
          <w:sz w:val="18"/>
          <w:szCs w:val="18"/>
          <w:color w:val="auto"/>
        </w:rPr>
        <w:t>The first NDA applicant to receive FDA approval for a particular active moiety to treat a rare disease for which it has such designation is entitled to a seven-year exclusive marketing period in the U.S. for that product, for that indication. During the seven-year exclusivity period,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121" w:lineRule="exact"/>
        <w:rPr>
          <w:sz w:val="20"/>
          <w:szCs w:val="20"/>
          <w:color w:val="auto"/>
        </w:rPr>
      </w:pPr>
    </w:p>
    <w:p>
      <w:pPr>
        <w:ind w:firstLine="478"/>
        <w:spacing w:after="0" w:line="258" w:lineRule="auto"/>
        <w:rPr>
          <w:sz w:val="20"/>
          <w:szCs w:val="20"/>
          <w:color w:val="auto"/>
        </w:rPr>
      </w:pPr>
      <w:r>
        <w:rPr>
          <w:rFonts w:ascii="Times New Roman" w:cs="Times New Roman" w:eastAsia="Times New Roman" w:hAnsi="Times New Roman"/>
          <w:sz w:val="18"/>
          <w:szCs w:val="18"/>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FDA may grant full or partial waivers, or deferrals, for submission of data. Unless otherwise required by regulation, PREA does not apply to any drug for an indication for which orphan designation has been granted except that PREA will apply to an original NDA for a new active ingredient that is orphan-designated if the drug is a molecularly targeted cancer product intended for the treatment of</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an adult cancer and is directed at a molecular target that FDA determines to be substantially relevant to the growth or progression of a pediatric cancer.</w:t>
      </w:r>
    </w:p>
    <w:p>
      <w:pPr>
        <w:spacing w:after="0" w:line="225" w:lineRule="exact"/>
        <w:rPr>
          <w:sz w:val="20"/>
          <w:szCs w:val="20"/>
          <w:color w:val="auto"/>
        </w:rPr>
      </w:pPr>
    </w:p>
    <w:p>
      <w:pPr>
        <w:ind w:right="60" w:firstLine="478"/>
        <w:spacing w:after="0" w:line="258" w:lineRule="auto"/>
        <w:rPr>
          <w:sz w:val="20"/>
          <w:szCs w:val="20"/>
          <w:color w:val="auto"/>
        </w:rPr>
      </w:pPr>
      <w:r>
        <w:rPr>
          <w:rFonts w:ascii="Times New Roman" w:cs="Times New Roman" w:eastAsia="Times New Roman" w:hAnsi="Times New Roman"/>
          <w:sz w:val="18"/>
          <w:szCs w:val="18"/>
          <w:color w:val="auto"/>
        </w:rPr>
        <w:t>The Best Pharmaceuticals for Children Act, or BPCA, provides NDA holders a six-month extension of any exclusivity—patent or nonpatent—for a drug if certain conditions are met. Conditions for exclusivity include FDA’s determination that information relating to the use of a new drug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280" w:firstLine="478"/>
        <w:spacing w:after="0" w:line="260" w:lineRule="auto"/>
        <w:rPr>
          <w:sz w:val="20"/>
          <w:szCs w:val="20"/>
          <w:color w:val="auto"/>
        </w:rPr>
      </w:pPr>
      <w:r>
        <w:rPr>
          <w:rFonts w:ascii="Times New Roman" w:cs="Times New Roman" w:eastAsia="Times New Roman" w:hAnsi="Times New Roman"/>
          <w:sz w:val="18"/>
          <w:szCs w:val="18"/>
          <w:color w:val="auto"/>
        </w:rPr>
        <w:t>Once an NDA is approved, a product will be subject to certain post-approval requirements. For instance,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w:t>
      </w:r>
    </w:p>
    <w:p>
      <w:pPr>
        <w:spacing w:after="0" w:line="182" w:lineRule="exact"/>
        <w:rPr>
          <w:sz w:val="20"/>
          <w:szCs w:val="20"/>
          <w:color w:val="auto"/>
        </w:rPr>
      </w:pPr>
    </w:p>
    <w:p>
      <w:pPr>
        <w:ind w:firstLine="478"/>
        <w:spacing w:after="0" w:line="254"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are required following FDA approval of an NDA. FDA also may require post-marketing testing, known as Phase 4 testing, risk evaluation and mitigation strategies, or REMS, and surveillance to monitor the effects of an approved product, or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FDA and certain state agencies. Registration with FDA subjects entities to periodic unannounced inspections by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2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Hatch-Waxman Amendments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119" w:lineRule="exact"/>
        <w:rPr>
          <w:sz w:val="20"/>
          <w:szCs w:val="20"/>
          <w:color w:val="auto"/>
        </w:rPr>
      </w:pPr>
    </w:p>
    <w:p>
      <w:pPr>
        <w:ind w:right="200" w:firstLine="478"/>
        <w:spacing w:after="0" w:line="260"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commonly referred to as the Hatch Waxman Amendments, NDA applicants are required to identify to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spacing w:after="0" w:line="182" w:lineRule="exact"/>
        <w:rPr>
          <w:sz w:val="20"/>
          <w:szCs w:val="20"/>
          <w:color w:val="auto"/>
        </w:rPr>
      </w:pPr>
    </w:p>
    <w:p>
      <w:pPr>
        <w:ind w:firstLine="478"/>
        <w:spacing w:after="0" w:line="255" w:lineRule="auto"/>
        <w:rPr>
          <w:sz w:val="20"/>
          <w:szCs w:val="20"/>
          <w:color w:val="auto"/>
        </w:rPr>
      </w:pPr>
      <w:r>
        <w:rPr>
          <w:rFonts w:ascii="Times New Roman" w:cs="Times New Roman" w:eastAsia="Times New Roman" w:hAnsi="Times New Roman"/>
          <w:sz w:val="18"/>
          <w:szCs w:val="18"/>
          <w:color w:val="auto"/>
        </w:rPr>
        <w:t>Drugs listed in the Orange Book can, in turn, be cited by potential generic competitors in support of approval of an abbreviated new drug application, or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187" w:lineRule="exact"/>
        <w:rPr>
          <w:sz w:val="20"/>
          <w:szCs w:val="20"/>
          <w:color w:val="auto"/>
        </w:rPr>
      </w:pPr>
    </w:p>
    <w:p>
      <w:pPr>
        <w:ind w:right="160" w:firstLine="478"/>
        <w:spacing w:after="0" w:line="255" w:lineRule="auto"/>
        <w:rPr>
          <w:sz w:val="20"/>
          <w:szCs w:val="20"/>
          <w:color w:val="auto"/>
        </w:rPr>
      </w:pPr>
      <w:r>
        <w:rPr>
          <w:rFonts w:ascii="Times New Roman" w:cs="Times New Roman" w:eastAsia="Times New Roman" w:hAnsi="Times New Roman"/>
          <w:sz w:val="18"/>
          <w:szCs w:val="18"/>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ind w:right="60"/>
        <w:spacing w:after="0" w:line="254" w:lineRule="auto"/>
        <w:rPr>
          <w:sz w:val="20"/>
          <w:szCs w:val="20"/>
          <w:color w:val="auto"/>
        </w:rPr>
      </w:pPr>
      <w:r>
        <w:rPr>
          <w:rFonts w:ascii="Times New Roman" w:cs="Times New Roman" w:eastAsia="Times New Roman" w:hAnsi="Times New Roman"/>
          <w:sz w:val="18"/>
          <w:szCs w:val="18"/>
          <w:color w:val="auto"/>
        </w:rPr>
        <w:t>method-of-use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189" w:lineRule="exact"/>
        <w:rPr>
          <w:sz w:val="20"/>
          <w:szCs w:val="20"/>
          <w:color w:val="auto"/>
        </w:rPr>
      </w:pPr>
    </w:p>
    <w:p>
      <w:pPr>
        <w:ind w:firstLine="478"/>
        <w:spacing w:after="0" w:line="265" w:lineRule="auto"/>
        <w:rPr>
          <w:sz w:val="20"/>
          <w:szCs w:val="20"/>
          <w:color w:val="auto"/>
        </w:rPr>
      </w:pPr>
      <w:r>
        <w:rPr>
          <w:rFonts w:ascii="Times New Roman" w:cs="Times New Roman" w:eastAsia="Times New Roman" w:hAnsi="Times New Roman"/>
          <w:sz w:val="18"/>
          <w:szCs w:val="18"/>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FDA permits, the omission of such exclusivity-protected information from the ANDA prescribing information.</w:t>
      </w:r>
    </w:p>
    <w:p>
      <w:pPr>
        <w:spacing w:after="0" w:line="2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Exclusivity</w:t>
      </w:r>
    </w:p>
    <w:p>
      <w:pPr>
        <w:spacing w:after="0" w:line="119" w:lineRule="exact"/>
        <w:rPr>
          <w:sz w:val="20"/>
          <w:szCs w:val="20"/>
          <w:color w:val="auto"/>
        </w:rPr>
      </w:pPr>
    </w:p>
    <w:p>
      <w:pPr>
        <w:ind w:right="180" w:firstLine="478"/>
        <w:spacing w:after="0" w:line="258" w:lineRule="auto"/>
        <w:rPr>
          <w:sz w:val="20"/>
          <w:szCs w:val="20"/>
          <w:color w:val="auto"/>
        </w:rPr>
      </w:pPr>
      <w:r>
        <w:rPr>
          <w:rFonts w:ascii="Times New Roman" w:cs="Times New Roman" w:eastAsia="Times New Roman" w:hAnsi="Times New Roman"/>
          <w:sz w:val="18"/>
          <w:szCs w:val="18"/>
          <w:color w:val="auto"/>
        </w:rPr>
        <w:t>Upon NDA approval of a new chemical entity, or NCE, which is a drug that contains no active moiety that has been approved by FDA in any other NDA, that drug receives five years of marketing exclusivity during which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182" w:lineRule="exact"/>
        <w:rPr>
          <w:sz w:val="20"/>
          <w:szCs w:val="20"/>
          <w:color w:val="auto"/>
        </w:rPr>
      </w:pPr>
    </w:p>
    <w:p>
      <w:pPr>
        <w:ind w:firstLine="478"/>
        <w:spacing w:after="0" w:line="260" w:lineRule="auto"/>
        <w:rPr>
          <w:sz w:val="20"/>
          <w:szCs w:val="20"/>
          <w:color w:val="auto"/>
        </w:rPr>
      </w:pPr>
      <w:r>
        <w:rPr>
          <w:rFonts w:ascii="Times New Roman" w:cs="Times New Roman" w:eastAsia="Times New Roman" w:hAnsi="Times New Roman"/>
          <w:sz w:val="18"/>
          <w:szCs w:val="18"/>
          <w:color w:val="auto"/>
        </w:rPr>
        <w:t>Certain changes to an approved drug, such as the approval of a new indication, the approval of a new strength, and the approval of a new condition of use, are associated with a three-year period of exclusivity from the date of approval during which FDA cannot approve an ANDA for a generic drug that includes the change. In some instances, an ANDA applicant may receive approval prior to expiration of the three-year exclusivity if the applicant seeks, and FDA permits, the omission of such exclusivity-protected information from the ANDA package insert.</w:t>
      </w: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119" w:lineRule="exact"/>
        <w:rPr>
          <w:sz w:val="20"/>
          <w:szCs w:val="20"/>
          <w:color w:val="auto"/>
        </w:rPr>
      </w:pPr>
    </w:p>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is calculated as half of the drug’s testing phase (the time between IND application and NDA submission) and all of the review phase (the time between NDA submission and approval) up to a maximum of five years. The time can be reduced for any time FDA determines that the applicant did not pursue approval with due diligence.</w:t>
      </w:r>
    </w:p>
    <w:p>
      <w:pPr>
        <w:spacing w:after="0" w:line="182" w:lineRule="exact"/>
        <w:rPr>
          <w:sz w:val="20"/>
          <w:szCs w:val="20"/>
          <w:color w:val="auto"/>
        </w:rPr>
      </w:pPr>
    </w:p>
    <w:p>
      <w:pPr>
        <w:ind w:right="140" w:firstLine="478"/>
        <w:spacing w:after="0" w:line="260" w:lineRule="auto"/>
        <w:rPr>
          <w:sz w:val="20"/>
          <w:szCs w:val="20"/>
          <w:color w:val="auto"/>
        </w:rPr>
      </w:pPr>
      <w:r>
        <w:rPr>
          <w:rFonts w:ascii="Times New Roman" w:cs="Times New Roman" w:eastAsia="Times New Roman" w:hAnsi="Times New Roman"/>
          <w:sz w:val="18"/>
          <w:szCs w:val="18"/>
          <w:color w:val="auto"/>
        </w:rPr>
        <w:t>The United States Patent and Trademark Office, or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182" w:lineRule="exact"/>
        <w:rPr>
          <w:sz w:val="20"/>
          <w:szCs w:val="20"/>
          <w:color w:val="auto"/>
        </w:rPr>
      </w:pPr>
    </w:p>
    <w:p>
      <w:pPr>
        <w:ind w:right="40" w:firstLine="478"/>
        <w:spacing w:after="0" w:line="256" w:lineRule="auto"/>
        <w:rPr>
          <w:sz w:val="20"/>
          <w:szCs w:val="20"/>
          <w:color w:val="auto"/>
        </w:rPr>
      </w:pPr>
      <w:r>
        <w:rPr>
          <w:rFonts w:ascii="Times New Roman" w:cs="Times New Roman" w:eastAsia="Times New Roman" w:hAnsi="Times New Roman"/>
          <w:sz w:val="18"/>
          <w:szCs w:val="18"/>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Companion Diagnostics</w:t>
      </w:r>
    </w:p>
    <w:p>
      <w:pPr>
        <w:spacing w:after="0" w:line="121" w:lineRule="exact"/>
        <w:rPr>
          <w:sz w:val="20"/>
          <w:szCs w:val="20"/>
          <w:color w:val="auto"/>
        </w:rPr>
      </w:pPr>
    </w:p>
    <w:p>
      <w:pPr>
        <w:ind w:firstLine="479"/>
        <w:spacing w:after="0" w:line="274" w:lineRule="auto"/>
        <w:rPr>
          <w:sz w:val="20"/>
          <w:szCs w:val="20"/>
          <w:color w:val="auto"/>
        </w:rPr>
      </w:pPr>
      <w:r>
        <w:rPr>
          <w:rFonts w:ascii="Times New Roman" w:cs="Times New Roman" w:eastAsia="Times New Roman" w:hAnsi="Times New Roman"/>
          <w:sz w:val="17"/>
          <w:szCs w:val="17"/>
          <w:color w:val="auto"/>
        </w:rPr>
        <w:t>If use of an in vitro diagnostic is essential to safe and effective use of a drug product, then the FDA generally will require approval or clearance of the diagnostic, known as a companion diagnostic, at the same time that the FDA approves the drug product. FDA has generally required in vitro companion diagnostics intended to select the patients who will respond to cancer treatment to obtain a pre-market approval, or PMA, for that diagnostic simultaneously with approval of the drug. The review of these in vitro companion diagnostics in conjunction with the review of a cancer therapeutic involves coordination of review by the FDA’s Center for Drug Evaluation and Research and by the FDA’s Center for Devices and Radiological Health. Approval and clearance of a companion diagnostic also requires a high level of coordination between the drug manufacturer and device manufacturer, if different companies.</w:t>
      </w:r>
    </w:p>
    <w:p>
      <w:pPr>
        <w:spacing w:after="0" w:line="171" w:lineRule="exact"/>
        <w:rPr>
          <w:sz w:val="20"/>
          <w:szCs w:val="20"/>
          <w:color w:val="auto"/>
        </w:rPr>
      </w:pPr>
    </w:p>
    <w:p>
      <w:pPr>
        <w:jc w:val="both"/>
        <w:ind w:right="260" w:firstLine="479"/>
        <w:spacing w:after="0" w:line="260" w:lineRule="auto"/>
        <w:rPr>
          <w:sz w:val="20"/>
          <w:szCs w:val="20"/>
          <w:color w:val="auto"/>
        </w:rPr>
      </w:pPr>
      <w:r>
        <w:rPr>
          <w:rFonts w:ascii="Times New Roman" w:cs="Times New Roman" w:eastAsia="Times New Roman" w:hAnsi="Times New Roman"/>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 substantial application fee, which is typically increased annually.</w:t>
      </w:r>
    </w:p>
    <w:p>
      <w:pPr>
        <w:spacing w:after="0" w:line="182" w:lineRule="exact"/>
        <w:rPr>
          <w:sz w:val="20"/>
          <w:szCs w:val="20"/>
          <w:color w:val="auto"/>
        </w:rPr>
      </w:pPr>
    </w:p>
    <w:p>
      <w:pPr>
        <w:ind w:firstLine="478"/>
        <w:spacing w:after="0" w:line="256" w:lineRule="auto"/>
        <w:rPr>
          <w:sz w:val="20"/>
          <w:szCs w:val="20"/>
          <w:color w:val="auto"/>
        </w:rPr>
      </w:pPr>
      <w:r>
        <w:rPr>
          <w:rFonts w:ascii="Times New Roman" w:cs="Times New Roman" w:eastAsia="Times New Roman" w:hAnsi="Times New Roman"/>
          <w:sz w:val="18"/>
          <w:szCs w:val="18"/>
          <w:color w:val="auto"/>
        </w:rPr>
        <w:t>In addition, PMAs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86" w:lineRule="exact"/>
        <w:rPr>
          <w:sz w:val="20"/>
          <w:szCs w:val="20"/>
          <w:color w:val="auto"/>
        </w:rPr>
      </w:pPr>
    </w:p>
    <w:p>
      <w:pPr>
        <w:ind w:right="20" w:firstLine="478"/>
        <w:spacing w:after="0" w:line="255" w:lineRule="auto"/>
        <w:rPr>
          <w:sz w:val="20"/>
          <w:szCs w:val="20"/>
          <w:color w:val="auto"/>
        </w:rPr>
      </w:pPr>
      <w:r>
        <w:rPr>
          <w:rFonts w:ascii="Times New Roman" w:cs="Times New Roman" w:eastAsia="Times New Roman" w:hAnsi="Times New Roman"/>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87" w:lineRule="exact"/>
        <w:rPr>
          <w:sz w:val="20"/>
          <w:szCs w:val="20"/>
          <w:color w:val="auto"/>
        </w:rPr>
      </w:pPr>
    </w:p>
    <w:p>
      <w:pPr>
        <w:ind w:right="100" w:firstLine="478"/>
        <w:spacing w:after="0" w:line="256" w:lineRule="auto"/>
        <w:rPr>
          <w:sz w:val="20"/>
          <w:szCs w:val="20"/>
          <w:color w:val="auto"/>
        </w:rPr>
      </w:pPr>
      <w:r>
        <w:rPr>
          <w:rFonts w:ascii="Times New Roman" w:cs="Times New Roman" w:eastAsia="Times New Roman" w:hAnsi="Times New Roman"/>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register their establishment(s), including payment of an annual establishment registration fee, and list their device(s)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jc w:val="both"/>
        <w:ind w:right="220" w:firstLine="478"/>
        <w:spacing w:after="0" w:line="265"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products, several other types of state and federal laws have been applied to restrict certain general business and marketing practices in the pharmaceutical industry. These laws include anti-kickback, false claims, transparency and health information privacy laws and other healthcare laws and regulations.</w:t>
      </w:r>
    </w:p>
    <w:p>
      <w:pPr>
        <w:spacing w:after="0" w:line="177" w:lineRule="exact"/>
        <w:rPr>
          <w:sz w:val="20"/>
          <w:szCs w:val="20"/>
          <w:color w:val="auto"/>
        </w:rPr>
      </w:pPr>
    </w:p>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Patient Protection and Affordable Care Act, as amended by the Health Care and Education Reconciliation Act, collectively, the ACA, amended the intent element of the federal statute so that a person or entity no longer needs to have actual knowledge of the statute or specific intent to violate it in order to commit a violation. This statute has been interpreted</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4" w:name="page25"/>
    <w:bookmarkEnd w:id="24"/>
    <w:p>
      <w:pPr>
        <w:spacing w:after="0" w:line="258" w:lineRule="auto"/>
        <w:rPr>
          <w:sz w:val="20"/>
          <w:szCs w:val="20"/>
          <w:color w:val="auto"/>
        </w:rPr>
      </w:pPr>
      <w:r>
        <w:rPr>
          <w:rFonts w:ascii="Times New Roman" w:cs="Times New Roman" w:eastAsia="Times New Roman" w:hAnsi="Times New Roman"/>
          <w:sz w:val="18"/>
          <w:szCs w:val="18"/>
          <w:color w:val="auto"/>
        </w:rPr>
        <w:t>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 once implemented - are drawn narrowly, and practices that involve remuneration intended to induce prescribing, purchases or recommendations may be subject to scrutiny if they do not qualify for an exception or safe harbor. Additionally, the ACA amended the federal Anti-Kickback Statute such that a violation of that statute can serve as a basis for liability under the federal civil False Claims Act.</w:t>
      </w:r>
    </w:p>
    <w:p>
      <w:pPr>
        <w:spacing w:after="0" w:line="182" w:lineRule="exact"/>
        <w:rPr>
          <w:sz w:val="20"/>
          <w:szCs w:val="20"/>
          <w:color w:val="auto"/>
        </w:rPr>
      </w:pPr>
    </w:p>
    <w:p>
      <w:pPr>
        <w:ind w:right="20" w:firstLine="478"/>
        <w:spacing w:after="0" w:line="254" w:lineRule="auto"/>
        <w:rPr>
          <w:sz w:val="20"/>
          <w:szCs w:val="20"/>
          <w:color w:val="auto"/>
        </w:rPr>
      </w:pPr>
      <w:r>
        <w:rPr>
          <w:rFonts w:ascii="Times New Roman" w:cs="Times New Roman" w:eastAsia="Times New Roman" w:hAnsi="Times New Roman"/>
          <w:sz w:val="18"/>
          <w:szCs w:val="18"/>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186" w:lineRule="exact"/>
        <w:rPr>
          <w:sz w:val="20"/>
          <w:szCs w:val="20"/>
          <w:color w:val="auto"/>
        </w:rPr>
      </w:pPr>
    </w:p>
    <w:p>
      <w:pPr>
        <w:ind w:right="120" w:firstLine="478"/>
        <w:spacing w:after="0" w:line="255"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Health Insurance Portability and Accountability Act of 1996, or HIPAA, which prohibits,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187" w:lineRule="exact"/>
        <w:rPr>
          <w:sz w:val="20"/>
          <w:szCs w:val="20"/>
          <w:color w:val="auto"/>
        </w:rPr>
      </w:pPr>
    </w:p>
    <w:p>
      <w:pPr>
        <w:ind w:right="80" w:firstLine="478"/>
        <w:spacing w:after="0" w:line="253" w:lineRule="auto"/>
        <w:rPr>
          <w:sz w:val="20"/>
          <w:szCs w:val="20"/>
          <w:color w:val="auto"/>
        </w:rPr>
      </w:pPr>
      <w:r>
        <w:rPr>
          <w:rFonts w:ascii="Times New Roman" w:cs="Times New Roman" w:eastAsia="Times New Roman" w:hAnsi="Times New Roman"/>
          <w:sz w:val="18"/>
          <w:szCs w:val="18"/>
          <w:color w:val="auto"/>
        </w:rPr>
        <w:t>In addition, HIPAA, as amended by the Health Information Technology for Economic and Clinical Health Act of 2009, or HITECH, and their respective implementing regulations, including the Final Omnibus Rule published on January 25, 2013, impose obligations on certain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and often are not pre-empted by HIPAA.</w:t>
      </w:r>
    </w:p>
    <w:p>
      <w:pPr>
        <w:spacing w:after="0" w:line="191" w:lineRule="exact"/>
        <w:rPr>
          <w:sz w:val="20"/>
          <w:szCs w:val="20"/>
          <w:color w:val="auto"/>
        </w:rPr>
      </w:pPr>
    </w:p>
    <w:p>
      <w:pPr>
        <w:ind w:right="160" w:firstLine="478"/>
        <w:spacing w:after="0" w:line="255" w:lineRule="auto"/>
        <w:rPr>
          <w:sz w:val="20"/>
          <w:szCs w:val="20"/>
          <w:color w:val="auto"/>
        </w:rPr>
      </w:pPr>
      <w:r>
        <w:rPr>
          <w:rFonts w:ascii="Times New Roman" w:cs="Times New Roman" w:eastAsia="Times New Roman" w:hAnsi="Times New Roman"/>
          <w:sz w:val="18"/>
          <w:szCs w:val="18"/>
          <w:color w:val="auto"/>
        </w:rPr>
        <w:t>Further, pursuant to the ACA, the Centers for Medicare &amp; Medicaid Services, or CMS, has issued a final rule that requires certain manufacturers of prescription drugs to collect and annually report information on certain payments or transfers of value to physicians, as defined by such law, and teaching hospitals, as well as ownership and investment interests held by physicians and their immediate family members. The reported data is made available in searchable form on a public website on an annual basis. Failure to submit required information may result in civil monetary penalties. Beginning calendar year 2021, manufacturers must collect information regarding payments and other transfers of value to physician assistants, nurse practitioners, clinical nurse specialists, certified registered nurse anesthetists, anesthesiologist assistants and certified nurse- midwives for reporting in 2022. The reported information is made publicly available on a searchable website.</w:t>
      </w:r>
    </w:p>
    <w:p>
      <w:pPr>
        <w:spacing w:after="0" w:line="187" w:lineRule="exact"/>
        <w:rPr>
          <w:sz w:val="20"/>
          <w:szCs w:val="20"/>
          <w:color w:val="auto"/>
        </w:rPr>
      </w:pPr>
    </w:p>
    <w:p>
      <w:pPr>
        <w:ind w:right="280" w:firstLine="478"/>
        <w:spacing w:after="0" w:line="260" w:lineRule="auto"/>
        <w:rPr>
          <w:sz w:val="20"/>
          <w:szCs w:val="20"/>
          <w:color w:val="auto"/>
        </w:rPr>
      </w:pPr>
      <w:r>
        <w:rPr>
          <w:rFonts w:ascii="Times New Roman" w:cs="Times New Roman" w:eastAsia="Times New Roman" w:hAnsi="Times New Roman"/>
          <w:sz w:val="18"/>
          <w:szCs w:val="18"/>
          <w:color w:val="auto"/>
        </w:rPr>
        <w:t>We may also be subject to analogous state and foreign anti-kickback and false claims laws that may apply to sales or marketing arrangements and claims involving healthcare items or services reimbursed by non-governmental third party payors, including private insurers, or that apply regardless of payor. In addition, several states now require prescription drug companies to report certain expenses relating to the marketing and promotion of drug products and to report gifts and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ind w:right="340"/>
        <w:spacing w:after="0" w:line="281" w:lineRule="auto"/>
        <w:rPr>
          <w:sz w:val="20"/>
          <w:szCs w:val="20"/>
          <w:color w:val="auto"/>
        </w:rPr>
      </w:pPr>
      <w:r>
        <w:rPr>
          <w:rFonts w:ascii="Times New Roman" w:cs="Times New Roman" w:eastAsia="Times New Roman" w:hAnsi="Times New Roman"/>
          <w:sz w:val="18"/>
          <w:szCs w:val="18"/>
          <w:color w:val="auto"/>
        </w:rPr>
        <w:t>payments to individual healthcare practitioners in these states. Other states prohibit various marketing-related activities, such as the provision of certain kinds of gifts or meals.</w:t>
      </w:r>
    </w:p>
    <w:p>
      <w:pPr>
        <w:spacing w:after="0" w:line="163"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Still other states require the posting of information relating to clinical studies and their outcomes. 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 Additionally, we may also be subject to state and foreign laws governing the privacy and security of health information in some circumstances, many of which differ from each other in significant ways and often are not preempted by HIPAA, thus complicating compliance efforts.</w:t>
      </w:r>
    </w:p>
    <w:p>
      <w:pPr>
        <w:spacing w:after="0" w:line="187" w:lineRule="exact"/>
        <w:rPr>
          <w:sz w:val="20"/>
          <w:szCs w:val="20"/>
          <w:color w:val="auto"/>
        </w:rPr>
      </w:pPr>
    </w:p>
    <w:p>
      <w:pPr>
        <w:ind w:right="40" w:firstLine="478"/>
        <w:spacing w:after="0" w:line="254" w:lineRule="auto"/>
        <w:rPr>
          <w:sz w:val="20"/>
          <w:szCs w:val="20"/>
          <w:color w:val="auto"/>
        </w:rPr>
      </w:pPr>
      <w:r>
        <w:rPr>
          <w:rFonts w:ascii="Times New Roman" w:cs="Times New Roman" w:eastAsia="Times New Roman" w:hAnsi="Times New Roman"/>
          <w:sz w:val="18"/>
          <w:szCs w:val="18"/>
          <w:color w:val="auto"/>
        </w:rPr>
        <w:t>Efforts to ensure that business arrangements with third parties comply with applicable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121" w:lineRule="exact"/>
        <w:rPr>
          <w:sz w:val="20"/>
          <w:szCs w:val="20"/>
          <w:color w:val="auto"/>
        </w:rPr>
      </w:pPr>
    </w:p>
    <w:p>
      <w:pPr>
        <w:ind w:firstLine="478"/>
        <w:spacing w:after="0" w:line="267" w:lineRule="auto"/>
        <w:rPr>
          <w:sz w:val="20"/>
          <w:szCs w:val="20"/>
          <w:color w:val="auto"/>
        </w:rPr>
      </w:pPr>
      <w:r>
        <w:rPr>
          <w:rFonts w:ascii="Times New Roman" w:cs="Times New Roman" w:eastAsia="Times New Roman" w:hAnsi="Times New Roman"/>
          <w:sz w:val="17"/>
          <w:szCs w:val="17"/>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proscribed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and Medicaid Innovation at CMS to test innovative payment and service delivery models to lower Medicare and Medicaid spending, potentially including prescription drug spending.</w:t>
      </w:r>
    </w:p>
    <w:p>
      <w:pPr>
        <w:spacing w:after="0" w:line="399" w:lineRule="exact"/>
        <w:rPr>
          <w:sz w:val="20"/>
          <w:szCs w:val="20"/>
          <w:color w:val="auto"/>
        </w:rPr>
      </w:pPr>
    </w:p>
    <w:p>
      <w:pPr>
        <w:ind w:right="60" w:firstLine="478"/>
        <w:spacing w:after="0" w:line="260" w:lineRule="auto"/>
        <w:rPr>
          <w:sz w:val="20"/>
          <w:szCs w:val="20"/>
          <w:color w:val="auto"/>
        </w:rPr>
      </w:pPr>
      <w:r>
        <w:rPr>
          <w:rFonts w:ascii="Times New Roman" w:cs="Times New Roman" w:eastAsia="Times New Roman" w:hAnsi="Times New Roman"/>
          <w:sz w:val="18"/>
          <w:szCs w:val="18"/>
          <w:color w:val="auto"/>
        </w:rPr>
        <w:t>There have been legislative and judicial efforts to modify, repeal, or otherwise invalidate all, or certain provisions of, the ACA, including measures taken during the Trump administration. The Tax Cuts and Jobs Act of 2017, or the Tax Reform Act, among other things, included a provision that repealed, effective January 1, 2019, the tax-based shared responsibility payment imposed by the ACA on certain individuals who fail to maintain qualifying health coverage for all or part of a year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ind w:right="20"/>
        <w:spacing w:after="0" w:line="253" w:lineRule="auto"/>
        <w:rPr>
          <w:sz w:val="20"/>
          <w:szCs w:val="20"/>
          <w:color w:val="auto"/>
        </w:rPr>
      </w:pPr>
      <w:r>
        <w:rPr>
          <w:rFonts w:ascii="Times New Roman" w:cs="Times New Roman" w:eastAsia="Times New Roman" w:hAnsi="Times New Roman"/>
          <w:sz w:val="18"/>
          <w:szCs w:val="18"/>
          <w:color w:val="auto"/>
        </w:rPr>
        <w:t>that is commonly referred to as the “individual mandate.” In November 2020, the United States Supreme Court held oral arguments on the U.S. Court of Appeals for the Fifth Circuit’s decision that held that the individual mandate is unconstitutional. It is uncertain how the United States Supreme court will rule on this case or how healthcare measures of the Biden administration will impact the ACA and our business. Additionally, the 2020 federal spending package permanently eliminated, effective January 1, 2020, the ACA-mandated “Cadillac” tax on high-cost employer-sponsored health coverage and medical device tax and, effective January 1, 2021, also eliminates the health insurer tax. Further, the Bipartisan Budget Act of 2018, or the BBA, among other things, amended the ACA, effective January 1, 2019, to increase from 50% to 70% the point-of-sale discount that is owed by pharmaceutical manufacturers who participate in Medicare Part D and to close the coverage gap in most Medicare drug plans, commonly referred to as the “donut hole.” In addition, CMS published a final rule that would give states greater flexibility, effective January 1, 2020, in setting benchmarks for insurers in the individual and small group marketplaces, which may have the effect of relaxing the essential health benefits required under the ACA for plans sold through such marketplaces. We cannot predict the ultimate content, timing or effect of any healthcare reform legislation or the impact of potential legislation on us.</w:t>
      </w:r>
    </w:p>
    <w:p>
      <w:pPr>
        <w:spacing w:after="0" w:line="191" w:lineRule="exact"/>
        <w:rPr>
          <w:sz w:val="20"/>
          <w:szCs w:val="20"/>
          <w:color w:val="auto"/>
        </w:rPr>
      </w:pPr>
    </w:p>
    <w:p>
      <w:pPr>
        <w:ind w:firstLine="478"/>
        <w:spacing w:after="0" w:line="252"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United States federal government agencies also currently face potentially significant spending reductions, which may further impact healthcare expenditures.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unless additional Congressional action is taken.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through 2031. The Consolidated Appropriations Act, 2021 extended the suspension of the 2% Medicare sequester through March 31, 2021.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0" w:lineRule="exact"/>
        <w:rPr>
          <w:sz w:val="20"/>
          <w:szCs w:val="20"/>
          <w:color w:val="auto"/>
        </w:rPr>
      </w:pPr>
    </w:p>
    <w:p>
      <w:pPr>
        <w:ind w:firstLine="478"/>
        <w:spacing w:after="0" w:line="256" w:lineRule="auto"/>
        <w:rPr>
          <w:sz w:val="20"/>
          <w:szCs w:val="20"/>
          <w:color w:val="auto"/>
        </w:rPr>
      </w:pPr>
      <w:r>
        <w:rPr>
          <w:rFonts w:ascii="Times New Roman" w:cs="Times New Roman" w:eastAsia="Times New Roman" w:hAnsi="Times New Roman"/>
          <w:sz w:val="18"/>
          <w:szCs w:val="18"/>
          <w:color w:val="auto"/>
        </w:rPr>
        <w:t>Recently,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included a $135 billion allowance to support legislative proposals seeking to reduce drug prices, increase competition, lower out-of-pocket drug costs for patients, and increase patient access to lower-cost generic and biosimilar drugs.</w:t>
      </w:r>
    </w:p>
    <w:p>
      <w:pPr>
        <w:spacing w:after="0" w:line="186" w:lineRule="exact"/>
        <w:rPr>
          <w:sz w:val="20"/>
          <w:szCs w:val="20"/>
          <w:color w:val="auto"/>
        </w:rPr>
      </w:pPr>
    </w:p>
    <w:p>
      <w:pPr>
        <w:ind w:firstLine="478"/>
        <w:spacing w:after="0" w:line="255" w:lineRule="auto"/>
        <w:rPr>
          <w:sz w:val="20"/>
          <w:szCs w:val="20"/>
          <w:color w:val="auto"/>
        </w:rPr>
      </w:pPr>
      <w:r>
        <w:rPr>
          <w:rFonts w:ascii="Times New Roman" w:cs="Times New Roman" w:eastAsia="Times New Roman" w:hAnsi="Times New Roman"/>
          <w:sz w:val="18"/>
          <w:szCs w:val="18"/>
          <w:color w:val="auto"/>
        </w:rPr>
        <w:t>In particular,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The Trump and Biden administrations both issued executive orders intended to favor government procurement from domestic manufacturers. In addition, the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It is unclear whether this executive order or something similar will be implemented by the Biden Administration.</w:t>
      </w:r>
    </w:p>
    <w:p>
      <w:pPr>
        <w:spacing w:after="0" w:line="187" w:lineRule="exact"/>
        <w:rPr>
          <w:sz w:val="20"/>
          <w:szCs w:val="20"/>
          <w:color w:val="auto"/>
        </w:rPr>
      </w:pPr>
    </w:p>
    <w:p>
      <w:pPr>
        <w:ind w:right="20" w:firstLine="478"/>
        <w:spacing w:after="0" w:line="260"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CMS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7" w:name="page28"/>
    <w:bookmarkEnd w:id="27"/>
    <w:p>
      <w:pPr>
        <w:ind w:right="60"/>
        <w:spacing w:after="0" w:line="276" w:lineRule="auto"/>
        <w:rPr>
          <w:sz w:val="20"/>
          <w:szCs w:val="20"/>
          <w:color w:val="auto"/>
        </w:rPr>
      </w:pPr>
      <w:r>
        <w:rPr>
          <w:rFonts w:ascii="Times New Roman" w:cs="Times New Roman" w:eastAsia="Times New Roman" w:hAnsi="Times New Roman"/>
          <w:sz w:val="17"/>
          <w:szCs w:val="17"/>
          <w:color w:val="auto"/>
        </w:rPr>
        <w:t>also published an interim final rule that establishes an MFN Model for Medicare Part B drug payment. This regulation would substantially change the drug reimbursement landscape as it bases Medicare Part B payment for 50 selected drugs on prices in foreign countries instead of ASP and establishes a fixed add-on payment in place of the current 6% (4.3% after sequestration) of ASP. The MFN drug payment amount is expected to be lower than the current ASP-based limit because U.S. drug prices are generally the highest in the world. On December 28, 2020, the United States District Court in Northern California issued a nationwide preliminary injunction against implementation of the interim final rule, and it faces uncertain prospects for implementation.</w:t>
      </w:r>
    </w:p>
    <w:p>
      <w:pPr>
        <w:spacing w:after="0" w:line="170" w:lineRule="exact"/>
        <w:rPr>
          <w:sz w:val="20"/>
          <w:szCs w:val="20"/>
          <w:color w:val="auto"/>
        </w:rPr>
      </w:pPr>
    </w:p>
    <w:p>
      <w:pPr>
        <w:jc w:val="both"/>
        <w:ind w:right="220" w:firstLine="478"/>
        <w:spacing w:after="0" w:line="265"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most cases, designed to encourage importation from other countries and bulk purchasing.</w:t>
      </w:r>
    </w:p>
    <w:p>
      <w:pPr>
        <w:spacing w:after="0" w:line="177" w:lineRule="exact"/>
        <w:rPr>
          <w:sz w:val="20"/>
          <w:szCs w:val="20"/>
          <w:color w:val="auto"/>
        </w:rPr>
      </w:pPr>
    </w:p>
    <w:p>
      <w:pPr>
        <w:ind w:right="220" w:firstLine="478"/>
        <w:spacing w:after="0" w:line="265" w:lineRule="auto"/>
        <w:rPr>
          <w:sz w:val="20"/>
          <w:szCs w:val="20"/>
          <w:color w:val="auto"/>
        </w:rPr>
      </w:pPr>
      <w:r>
        <w:rPr>
          <w:rFonts w:ascii="Times New Roman" w:cs="Times New Roman" w:eastAsia="Times New Roman" w:hAnsi="Times New Roman"/>
          <w:sz w:val="18"/>
          <w:szCs w:val="18"/>
          <w:color w:val="auto"/>
        </w:rPr>
        <w:t>It is possible that additional governmental action is taken to address the ongoing COVID-19 pandemic.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77" w:lineRule="exact"/>
        <w:rPr>
          <w:sz w:val="20"/>
          <w:szCs w:val="20"/>
          <w:color w:val="auto"/>
        </w:rPr>
      </w:pPr>
    </w:p>
    <w:p>
      <w:pPr>
        <w:ind w:right="60" w:firstLine="478"/>
        <w:spacing w:after="0" w:line="258" w:lineRule="auto"/>
        <w:rPr>
          <w:sz w:val="20"/>
          <w:szCs w:val="20"/>
          <w:color w:val="auto"/>
        </w:rPr>
      </w:pPr>
      <w:r>
        <w:rPr>
          <w:rFonts w:ascii="Times New Roman" w:cs="Times New Roman" w:eastAsia="Times New Roman" w:hAnsi="Times New Roman"/>
          <w:sz w:val="18"/>
          <w:szCs w:val="18"/>
          <w:color w:val="auto"/>
        </w:rPr>
        <w:t>Additionally, on May 30, 2018, the Trickett Wendler, Frank Mongiello, Jordan McLinn, and Matthew Bellina Right to Try Act of 2017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121" w:lineRule="exact"/>
        <w:rPr>
          <w:sz w:val="20"/>
          <w:szCs w:val="20"/>
          <w:color w:val="auto"/>
        </w:rPr>
      </w:pPr>
    </w:p>
    <w:p>
      <w:pPr>
        <w:jc w:val="both"/>
        <w:ind w:firstLine="478"/>
        <w:spacing w:after="0" w:line="255" w:lineRule="auto"/>
        <w:rPr>
          <w:sz w:val="20"/>
          <w:szCs w:val="20"/>
          <w:color w:val="auto"/>
        </w:rPr>
      </w:pPr>
      <w:r>
        <w:rPr>
          <w:rFonts w:ascii="Times New Roman" w:cs="Times New Roman" w:eastAsia="Times New Roman" w:hAnsi="Times New Roman"/>
          <w:sz w:val="18"/>
          <w:szCs w:val="18"/>
          <w:color w:val="auto"/>
        </w:rPr>
        <w:t>Patients in the United States and elsewhere generally rely on third-party payors to reimburse part or all of the costs associated with their prescription drugs. Accordingly, market acceptance of our drug products is 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 Significant uncertainty exists as to the coverage and reimbursement status of any drug products for which we may obtain regulatory approval. Coverage decisions may not favor new drug products when more established or lower-cost therapeutic alternatives are already available. Patients are unlikely to use our products unless reimbursement is adequate to cover all or a significant portion of the cost of our drug products.</w:t>
      </w:r>
    </w:p>
    <w:p>
      <w:pPr>
        <w:spacing w:after="0" w:line="187" w:lineRule="exact"/>
        <w:rPr>
          <w:sz w:val="20"/>
          <w:szCs w:val="20"/>
          <w:color w:val="auto"/>
        </w:rPr>
      </w:pPr>
    </w:p>
    <w:p>
      <w:pPr>
        <w:ind w:right="100" w:firstLine="478"/>
        <w:spacing w:after="0" w:line="254" w:lineRule="auto"/>
        <w:rPr>
          <w:sz w:val="20"/>
          <w:szCs w:val="20"/>
          <w:color w:val="auto"/>
        </w:rPr>
      </w:pPr>
      <w:r>
        <w:rPr>
          <w:rFonts w:ascii="Times New Roman" w:cs="Times New Roman" w:eastAsia="Times New Roman" w:hAnsi="Times New Roman"/>
          <w:sz w:val="18"/>
          <w:szCs w:val="18"/>
          <w:color w:val="auto"/>
        </w:rPr>
        <w:t>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w:t>
      </w:r>
    </w:p>
    <w:p>
      <w:pPr>
        <w:spacing w:after="0" w:line="189" w:lineRule="exact"/>
        <w:rPr>
          <w:sz w:val="20"/>
          <w:szCs w:val="20"/>
          <w:color w:val="auto"/>
        </w:rPr>
      </w:pPr>
    </w:p>
    <w:p>
      <w:pPr>
        <w:ind w:right="200" w:firstLine="478"/>
        <w:spacing w:after="0" w:line="260" w:lineRule="auto"/>
        <w:rPr>
          <w:sz w:val="20"/>
          <w:szCs w:val="20"/>
          <w:color w:val="auto"/>
        </w:rPr>
      </w:pPr>
      <w:r>
        <w:rPr>
          <w:rFonts w:ascii="Times New Roman" w:cs="Times New Roman" w:eastAsia="Times New Roman" w:hAnsi="Times New Roman"/>
          <w:sz w:val="18"/>
          <w:szCs w:val="18"/>
          <w:color w:val="auto"/>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third-party payors may refuse to include a particular reference listed drug in their formularies or otherwise restrict patient access to a reference listed drug when a less costly generic equivalent or other alternative is available.</w:t>
      </w:r>
    </w:p>
    <w:p>
      <w:pPr>
        <w:spacing w:after="0" w:line="182" w:lineRule="exact"/>
        <w:rPr>
          <w:sz w:val="20"/>
          <w:szCs w:val="20"/>
          <w:color w:val="auto"/>
        </w:rPr>
      </w:pPr>
    </w:p>
    <w:p>
      <w:pPr>
        <w:ind w:right="180" w:firstLine="478"/>
        <w:spacing w:after="0" w:line="265"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8" w:name="page29"/>
    <w:bookmarkEnd w:id="28"/>
    <w:p>
      <w:pPr>
        <w:ind w:right="460"/>
        <w:spacing w:after="0" w:line="281" w:lineRule="auto"/>
        <w:rPr>
          <w:sz w:val="20"/>
          <w:szCs w:val="20"/>
          <w:color w:val="auto"/>
        </w:rPr>
      </w:pPr>
      <w:r>
        <w:rPr>
          <w:rFonts w:ascii="Times New Roman" w:cs="Times New Roman" w:eastAsia="Times New Roman" w:hAnsi="Times New Roman"/>
          <w:sz w:val="18"/>
          <w:szCs w:val="18"/>
          <w:color w:val="auto"/>
        </w:rPr>
        <w:t>drugs. Adoption of government controls and measures and tightening of restrictive policies in jurisdictions with existing controls and measures could exclude or limit our drugs products from coverage and limit payments for pharmaceuticals.</w:t>
      </w:r>
    </w:p>
    <w:p>
      <w:pPr>
        <w:spacing w:after="0" w:line="163" w:lineRule="exact"/>
        <w:rPr>
          <w:sz w:val="20"/>
          <w:szCs w:val="20"/>
          <w:color w:val="auto"/>
        </w:rPr>
      </w:pPr>
    </w:p>
    <w:p>
      <w:pPr>
        <w:ind w:right="60" w:firstLine="478"/>
        <w:spacing w:after="0" w:line="260" w:lineRule="auto"/>
        <w:rPr>
          <w:sz w:val="20"/>
          <w:szCs w:val="20"/>
          <w:color w:val="auto"/>
        </w:rPr>
      </w:pPr>
      <w:r>
        <w:rPr>
          <w:rFonts w:ascii="Times New Roman" w:cs="Times New Roman" w:eastAsia="Times New Roman" w:hAnsi="Times New Roman"/>
          <w:sz w:val="18"/>
          <w:szCs w:val="18"/>
          <w:color w:val="auto"/>
        </w:rPr>
        <w:t>In addition, we expect that the increased emphasis on managed care and cost containment measures in the United States by third-party payors and government authorities to continue and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220" w:firstLine="479"/>
        <w:spacing w:after="0" w:line="260" w:lineRule="auto"/>
        <w:rPr>
          <w:sz w:val="20"/>
          <w:szCs w:val="20"/>
          <w:color w:val="auto"/>
        </w:rPr>
      </w:pPr>
      <w:r>
        <w:rPr>
          <w:rFonts w:ascii="Times New Roman" w:cs="Times New Roman" w:eastAsia="Times New Roman" w:hAnsi="Times New Roman"/>
          <w:sz w:val="18"/>
          <w:szCs w:val="18"/>
          <w:color w:val="auto"/>
        </w:rPr>
        <w:t>As of December 31, 2022, we had 122 full-time employees. Women represent approximately 49% of our employees with approximately 34% holding senior management level/leadership roles. Of our employees, 49% have an M.D. or a Ph.D. From time to time, we also retain independent contractors to support our organization. None of our employees are represented by a labor union or covered by collective bargaining agreements, and we believe our relationship with our employees is good.</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Diversity &amp; Inclusion</w:t>
      </w:r>
    </w:p>
    <w:p>
      <w:pPr>
        <w:spacing w:after="0" w:line="121"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We are committed to creating and maintaining a workplace free from discrimination or harassment on the basis of color, race, sex, national origin, ethnicity, religion, age, disability, sexual orientation, gender identification or expression or any other status protected by applicable law. Our management team and employees are expected to exhibit and promote honest, ethical, and respectful conduct in the workplace. All of our employees must adhere to a code of conduct that sets standards for appropriate behavior and are required to attend training to help prevent, identify, report and stop any type of discrimination and harassment. Our recruitment, hiring, development, training, compensation, and advancement at our company is based on qualifications, performance, skills, and experience without regard to gender, race and ethnicity.</w:t>
      </w:r>
    </w:p>
    <w:p>
      <w:pPr>
        <w:spacing w:after="0" w:line="2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Competitive Pay &amp; Benefits</w:t>
      </w:r>
    </w:p>
    <w:p>
      <w:pPr>
        <w:spacing w:after="0" w:line="12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We strive to provide pay, comprehensive benefits and services that help meet the varying needs of our employees. Our total rewards package includes competitive pay; comprehensive healthcare benefits package for employees, with family member healthcare benefits covered at approximately 80%; a health savings account with company contribution; 20 days of paid time off and paid holidays; family medical leave and flexible work schedules. In addition, we offer every full-time employee, both exempt and non-exempt, the benefit of equity ownership in the company through stock option grants and our employee stock purchase plan. We sponsor a 401(k) plan that includes a discretionary matching contribution.</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Development &amp; Training</w:t>
      </w:r>
    </w:p>
    <w:p>
      <w:pPr>
        <w:spacing w:after="0" w:line="121" w:lineRule="exact"/>
        <w:rPr>
          <w:sz w:val="20"/>
          <w:szCs w:val="20"/>
          <w:color w:val="auto"/>
        </w:rPr>
      </w:pPr>
    </w:p>
    <w:p>
      <w:pPr>
        <w:ind w:right="540" w:firstLine="478"/>
        <w:spacing w:after="0" w:line="281" w:lineRule="auto"/>
        <w:rPr>
          <w:sz w:val="20"/>
          <w:szCs w:val="20"/>
          <w:color w:val="auto"/>
        </w:rPr>
      </w:pPr>
      <w:r>
        <w:rPr>
          <w:rFonts w:ascii="Times New Roman" w:cs="Times New Roman" w:eastAsia="Times New Roman" w:hAnsi="Times New Roman"/>
          <w:sz w:val="18"/>
          <w:szCs w:val="18"/>
          <w:color w:val="auto"/>
        </w:rPr>
        <w:t>We focus on attracting, retaining, and cultivating talented individuals. Employees are encouraged to attend job specific scientific, clinical and technological meetings and conferences and have access to resources they need to be successful.</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Safety</w:t>
      </w:r>
    </w:p>
    <w:p>
      <w:pPr>
        <w:spacing w:after="0" w:line="121" w:lineRule="exact"/>
        <w:rPr>
          <w:sz w:val="20"/>
          <w:szCs w:val="20"/>
          <w:color w:val="auto"/>
        </w:rPr>
      </w:pPr>
    </w:p>
    <w:p>
      <w:pPr>
        <w:ind w:firstLine="478"/>
        <w:spacing w:after="0" w:line="260" w:lineRule="auto"/>
        <w:rPr>
          <w:sz w:val="20"/>
          <w:szCs w:val="20"/>
          <w:color w:val="auto"/>
        </w:rPr>
      </w:pPr>
      <w:r>
        <w:rPr>
          <w:rFonts w:ascii="Times New Roman" w:cs="Times New Roman" w:eastAsia="Times New Roman" w:hAnsi="Times New Roman"/>
          <w:sz w:val="18"/>
          <w:szCs w:val="18"/>
          <w:color w:val="auto"/>
        </w:rPr>
        <w:t>The safety, health and wellness of our employees is a top priority. To support a culture of safety, management has established a safety committee that meets regularly to assess and discuss compliance with and potential changes to the Company's policy, procedures, and training needs. Our protocols are designed to comply with health and safety standards as required by federal, state and local government agencies, taking into consideration guidelines of the Centers for Disease Control and Prevention and other public health authorities.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60" w:firstLine="479"/>
        <w:spacing w:after="0" w:line="265"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February 2016. Our principal executive offices are located at 200 Powder Mill Road, Wilmington, DE 19803, and our telephone number is (302) 467-1280. Our website address is www.preludetx.com. The information contained on, or that can be accessed through, our website is not part of, and is not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incorporated by reference into, this Annual Report. Investors should not rely on any such information in deciding whether to purchase our common stock.</w:t>
      </w:r>
    </w:p>
    <w:p>
      <w:pPr>
        <w:spacing w:after="0" w:line="225" w:lineRule="exact"/>
        <w:rPr>
          <w:sz w:val="20"/>
          <w:szCs w:val="20"/>
          <w:color w:val="auto"/>
        </w:rPr>
      </w:pPr>
    </w:p>
    <w:p>
      <w:pPr>
        <w:ind w:right="20" w:firstLine="479"/>
        <w:spacing w:after="0" w:line="280" w:lineRule="auto"/>
        <w:rPr>
          <w:sz w:val="20"/>
          <w:szCs w:val="20"/>
          <w:color w:val="auto"/>
        </w:rPr>
      </w:pPr>
      <w:r>
        <w:rPr>
          <w:rFonts w:ascii="Times New Roman" w:cs="Times New Roman" w:eastAsia="Times New Roman" w:hAnsi="Times New Roman"/>
          <w:sz w:val="17"/>
          <w:szCs w:val="17"/>
          <w:color w:val="auto"/>
        </w:rPr>
        <w:t>The mark “Prelude Therapeutics,” the Prelude logo and all product names are our common law trademarks. All other service marks, trademarks and trade names appearing in this Annual Report on Form 10-K are the property of their respective owners. Solely for convenience, the trademarks and tradenames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tradenames.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479"/>
        <w:spacing w:after="0" w:line="265" w:lineRule="auto"/>
        <w:rPr>
          <w:sz w:val="20"/>
          <w:szCs w:val="20"/>
          <w:color w:val="auto"/>
        </w:rPr>
      </w:pPr>
      <w:r>
        <w:rPr>
          <w:rFonts w:ascii="Times New Roman" w:cs="Times New Roman" w:eastAsia="Times New Roman" w:hAnsi="Times New Roman"/>
          <w:sz w:val="18"/>
          <w:szCs w:val="18"/>
          <w:color w:val="auto"/>
        </w:rPr>
        <w:t>We make available free of charge electronic versions of our Annual Report on Form 10-K, quarterly reports on Form 10-Q, current reports on Form 8-K and amendments to those reports on our website, preludetx.com, as soon as reasonably practicable after we electronically file or furnish such materials to the Securities and Exchange Commission, or SEC. The reports are also available at www.sec.gov.</w:t>
      </w: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0"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Annual Report on Form 10-K,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several risks and uncertainties, including those immediately following this summary. Some of these risks are:</w:t>
      </w:r>
    </w:p>
    <w:p>
      <w:pPr>
        <w:spacing w:after="0" w:line="117" w:lineRule="exact"/>
        <w:rPr>
          <w:sz w:val="20"/>
          <w:szCs w:val="20"/>
          <w:color w:val="auto"/>
        </w:rPr>
      </w:pPr>
    </w:p>
    <w:p>
      <w:pPr>
        <w:ind w:left="840" w:hanging="413"/>
        <w:spacing w:after="0" w:line="260"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 Our ability to use our net operating loss carryforwards and certain other tax attributes may be limited.</w:t>
      </w:r>
    </w:p>
    <w:p>
      <w:pPr>
        <w:spacing w:after="0" w:line="73" w:lineRule="exact"/>
        <w:rPr>
          <w:rFonts w:ascii="Times New Roman" w:cs="Times New Roman" w:eastAsia="Times New Roman" w:hAnsi="Times New Roman"/>
          <w:sz w:val="18"/>
          <w:szCs w:val="18"/>
          <w:color w:val="auto"/>
        </w:rPr>
      </w:pPr>
    </w:p>
    <w:p>
      <w:pPr>
        <w:ind w:left="840" w:right="300" w:hanging="413"/>
        <w:spacing w:after="0" w:line="265"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69" w:lineRule="exact"/>
        <w:rPr>
          <w:rFonts w:ascii="Times New Roman" w:cs="Times New Roman" w:eastAsia="Times New Roman" w:hAnsi="Times New Roman"/>
          <w:sz w:val="18"/>
          <w:szCs w:val="18"/>
          <w:color w:val="auto"/>
        </w:rPr>
      </w:pPr>
    </w:p>
    <w:p>
      <w:pPr>
        <w:ind w:left="840" w:right="120" w:hanging="413"/>
        <w:spacing w:after="0" w:line="265"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success of our product candidates, PRT1419, PRT2527, PRT3645, and PRT3789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69" w:lineRule="exact"/>
        <w:rPr>
          <w:rFonts w:ascii="Times New Roman" w:cs="Times New Roman" w:eastAsia="Times New Roman" w:hAnsi="Times New Roman"/>
          <w:sz w:val="18"/>
          <w:szCs w:val="18"/>
          <w:color w:val="auto"/>
        </w:rPr>
      </w:pPr>
    </w:p>
    <w:p>
      <w:pPr>
        <w:ind w:left="840" w:right="1280" w:hanging="413"/>
        <w:spacing w:after="0" w:line="281"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and/or commercialization of PRT1419, PRT2527, PRT3645, PRT3789 or our other product candidates.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effects of inflation.</w:t>
      </w:r>
    </w:p>
    <w:p>
      <w:pPr>
        <w:spacing w:after="0" w:line="116" w:lineRule="exact"/>
        <w:rPr>
          <w:rFonts w:ascii="Times New Roman" w:cs="Times New Roman" w:eastAsia="Times New Roman" w:hAnsi="Times New Roman"/>
          <w:sz w:val="18"/>
          <w:szCs w:val="18"/>
          <w:color w:val="auto"/>
        </w:rPr>
      </w:pPr>
    </w:p>
    <w:p>
      <w:pPr>
        <w:ind w:left="840" w:right="40" w:hanging="413"/>
        <w:spacing w:after="0" w:line="281"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enrolling patients in our ongoing or planned clinical trials, our receipt of necessary regulatory approval could be delayed or prevented.</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could adversely impact our business, including our clinical trials and clinical trial operations.</w:t>
      </w:r>
    </w:p>
    <w:p>
      <w:pPr>
        <w:spacing w:after="0" w:line="116" w:lineRule="exact"/>
        <w:rPr>
          <w:rFonts w:ascii="Times New Roman" w:cs="Times New Roman" w:eastAsia="Times New Roman" w:hAnsi="Times New Roman"/>
          <w:sz w:val="18"/>
          <w:szCs w:val="18"/>
          <w:color w:val="auto"/>
        </w:rPr>
      </w:pPr>
    </w:p>
    <w:p>
      <w:pPr>
        <w:ind w:left="840" w:right="120" w:hanging="413"/>
        <w:spacing w:after="0" w:line="265"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side effects or other safety risks associated with PRT1419, PRT2527, PRT3645, PRT3789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69" w:lineRule="exact"/>
        <w:rPr>
          <w:rFonts w:ascii="Times New Roman" w:cs="Times New Roman" w:eastAsia="Times New Roman" w:hAnsi="Times New Roman"/>
          <w:sz w:val="18"/>
          <w:szCs w:val="18"/>
          <w:color w:val="auto"/>
        </w:rPr>
      </w:pPr>
    </w:p>
    <w:p>
      <w:pPr>
        <w:ind w:left="840" w:right="500" w:hanging="413"/>
        <w:spacing w:after="0" w:line="281"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4" w:lineRule="exact"/>
        <w:rPr>
          <w:rFonts w:ascii="Times New Roman" w:cs="Times New Roman" w:eastAsia="Times New Roman" w:hAnsi="Times New Roman"/>
          <w:sz w:val="18"/>
          <w:szCs w:val="18"/>
          <w:color w:val="auto"/>
        </w:rPr>
      </w:pPr>
    </w:p>
    <w:p>
      <w:pPr>
        <w:ind w:left="840" w:right="160" w:hanging="416"/>
        <w:spacing w:after="0" w:line="281"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policy changes, including U.S. health care reform legislation and implementing regulations, may have a material adverse effect on our business.</w:t>
      </w:r>
    </w:p>
    <w:p>
      <w:pPr>
        <w:spacing w:after="0" w:line="54" w:lineRule="exact"/>
        <w:rPr>
          <w:rFonts w:ascii="Times New Roman" w:cs="Times New Roman" w:eastAsia="Times New Roman" w:hAnsi="Times New Roman"/>
          <w:sz w:val="18"/>
          <w:szCs w:val="18"/>
          <w:color w:val="auto"/>
        </w:rPr>
      </w:pPr>
    </w:p>
    <w:p>
      <w:pPr>
        <w:ind w:left="840" w:right="60" w:hanging="416"/>
        <w:spacing w:after="0" w:line="260"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73" w:lineRule="exact"/>
        <w:rPr>
          <w:rFonts w:ascii="Times New Roman" w:cs="Times New Roman" w:eastAsia="Times New Roman" w:hAnsi="Times New Roman"/>
          <w:sz w:val="18"/>
          <w:szCs w:val="18"/>
          <w:color w:val="auto"/>
        </w:rPr>
      </w:pPr>
    </w:p>
    <w:p>
      <w:pPr>
        <w:ind w:left="840" w:right="600" w:hanging="416"/>
        <w:spacing w:after="0" w:line="281"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pharmaceutical products is complex and subject to product loss for a variety of reasons. We rely on third-party suppliers, including single source suppliers, to manufacture preclinical and clinical supplies of our</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ind w:left="420" w:right="200"/>
        <w:spacing w:after="0" w:line="265" w:lineRule="auto"/>
        <w:rPr>
          <w:sz w:val="20"/>
          <w:szCs w:val="20"/>
          <w:color w:val="auto"/>
        </w:rPr>
      </w:pPr>
      <w:r>
        <w:rPr>
          <w:rFonts w:ascii="Times New Roman" w:cs="Times New Roman" w:eastAsia="Times New Roman" w:hAnsi="Times New Roman"/>
          <w:sz w:val="18"/>
          <w:szCs w:val="18"/>
          <w:color w:val="auto"/>
        </w:rPr>
        <w:t>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69" w:lineRule="exact"/>
        <w:rPr>
          <w:sz w:val="20"/>
          <w:szCs w:val="20"/>
          <w:color w:val="auto"/>
        </w:rPr>
      </w:pPr>
    </w:p>
    <w:p>
      <w:pPr>
        <w:ind w:left="420" w:right="1040" w:hanging="416"/>
        <w:spacing w:after="0" w:line="28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54" w:lineRule="exact"/>
        <w:rPr>
          <w:rFonts w:ascii="Times New Roman" w:cs="Times New Roman" w:eastAsia="Times New Roman" w:hAnsi="Times New Roman"/>
          <w:sz w:val="18"/>
          <w:szCs w:val="18"/>
          <w:color w:val="auto"/>
        </w:rPr>
      </w:pPr>
    </w:p>
    <w:p>
      <w:pPr>
        <w:ind w:left="420" w:right="140" w:hanging="416"/>
        <w:spacing w:after="0" w:line="265"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69" w:lineRule="exact"/>
        <w:rPr>
          <w:rFonts w:ascii="Times New Roman" w:cs="Times New Roman" w:eastAsia="Times New Roman" w:hAnsi="Times New Roman"/>
          <w:sz w:val="18"/>
          <w:szCs w:val="18"/>
          <w:color w:val="auto"/>
        </w:rPr>
      </w:pPr>
    </w:p>
    <w:p>
      <w:pPr>
        <w:ind w:left="420" w:right="160" w:hanging="416"/>
        <w:spacing w:after="0" w:line="28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54" w:lineRule="exact"/>
        <w:rPr>
          <w:rFonts w:ascii="Times New Roman" w:cs="Times New Roman" w:eastAsia="Times New Roman" w:hAnsi="Times New Roman"/>
          <w:sz w:val="18"/>
          <w:szCs w:val="18"/>
          <w:color w:val="auto"/>
        </w:rPr>
      </w:pPr>
    </w:p>
    <w:p>
      <w:pPr>
        <w:ind w:left="420" w:right="260" w:hanging="416"/>
        <w:spacing w:after="0" w:line="28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to limit commercialization of any products that we may develop.</w:t>
      </w:r>
    </w:p>
    <w:p>
      <w:pPr>
        <w:spacing w:after="0" w:line="54" w:lineRule="exact"/>
        <w:rPr>
          <w:rFonts w:ascii="Times New Roman" w:cs="Times New Roman" w:eastAsia="Times New Roman" w:hAnsi="Times New Roman"/>
          <w:sz w:val="18"/>
          <w:szCs w:val="18"/>
          <w:color w:val="auto"/>
        </w:rPr>
      </w:pPr>
    </w:p>
    <w:p>
      <w:pPr>
        <w:ind w:left="420" w:right="20" w:hanging="416"/>
        <w:spacing w:after="0" w:line="28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employees and to attract, retain and motivate qualified personnel and manage our human capital.</w:t>
      </w:r>
    </w:p>
    <w:p>
      <w:pPr>
        <w:spacing w:after="0" w:line="54" w:lineRule="exact"/>
        <w:rPr>
          <w:rFonts w:ascii="Times New Roman" w:cs="Times New Roman" w:eastAsia="Times New Roman" w:hAnsi="Times New Roman"/>
          <w:sz w:val="18"/>
          <w:szCs w:val="18"/>
          <w:color w:val="auto"/>
        </w:rPr>
      </w:pPr>
    </w:p>
    <w:p>
      <w:pPr>
        <w:ind w:left="420" w:right="140" w:hanging="416"/>
        <w:spacing w:after="0" w:line="28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54" w:lineRule="exact"/>
        <w:rPr>
          <w:rFonts w:ascii="Times New Roman" w:cs="Times New Roman" w:eastAsia="Times New Roman" w:hAnsi="Times New Roman"/>
          <w:sz w:val="18"/>
          <w:szCs w:val="18"/>
          <w:color w:val="auto"/>
        </w:rPr>
      </w:pPr>
    </w:p>
    <w:p>
      <w:pPr>
        <w:ind w:left="420" w:hanging="416"/>
        <w:spacing w:after="0" w:line="28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54" w:lineRule="exact"/>
        <w:rPr>
          <w:rFonts w:ascii="Times New Roman" w:cs="Times New Roman" w:eastAsia="Times New Roman" w:hAnsi="Times New Roman"/>
          <w:sz w:val="18"/>
          <w:szCs w:val="18"/>
          <w:color w:val="auto"/>
        </w:rPr>
      </w:pPr>
    </w:p>
    <w:p>
      <w:pPr>
        <w:ind w:left="420" w:right="600" w:hanging="416"/>
        <w:spacing w:after="0" w:line="28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strategic transactions that could impact our liquidity, increase our expenses and present significant distractions to our management.</w:t>
      </w:r>
    </w:p>
    <w:p>
      <w:pPr>
        <w:spacing w:after="0" w:line="54" w:lineRule="exact"/>
        <w:rPr>
          <w:rFonts w:ascii="Times New Roman" w:cs="Times New Roman" w:eastAsia="Times New Roman" w:hAnsi="Times New Roman"/>
          <w:sz w:val="18"/>
          <w:szCs w:val="18"/>
          <w:color w:val="auto"/>
        </w:rPr>
      </w:pPr>
    </w:p>
    <w:p>
      <w:pPr>
        <w:ind w:left="420" w:right="380" w:hanging="416"/>
        <w:spacing w:after="0" w:line="265"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69" w:lineRule="exact"/>
        <w:rPr>
          <w:rFonts w:ascii="Times New Roman" w:cs="Times New Roman" w:eastAsia="Times New Roman" w:hAnsi="Times New Roman"/>
          <w:sz w:val="18"/>
          <w:szCs w:val="18"/>
          <w:color w:val="auto"/>
        </w:rPr>
      </w:pPr>
    </w:p>
    <w:p>
      <w:pPr>
        <w:ind w:left="420" w:right="160" w:hanging="416"/>
        <w:spacing w:after="0" w:line="28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or administrative disputes to protect or enforce our patents or other intellectual property, which could be expensive, time consuming and unsuccessful.</w:t>
      </w:r>
    </w:p>
    <w:p>
      <w:pPr>
        <w:spacing w:after="0" w:line="54" w:lineRule="exact"/>
        <w:rPr>
          <w:rFonts w:ascii="Times New Roman" w:cs="Times New Roman" w:eastAsia="Times New Roman" w:hAnsi="Times New Roman"/>
          <w:sz w:val="18"/>
          <w:szCs w:val="18"/>
          <w:color w:val="auto"/>
        </w:rPr>
      </w:pPr>
    </w:p>
    <w:p>
      <w:pPr>
        <w:ind w:left="420" w:hanging="41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effectively protect or enforce our intellectual property and proprietary rights throughout the world.</w:t>
      </w:r>
    </w:p>
    <w:p>
      <w:pPr>
        <w:spacing w:after="0" w:line="116" w:lineRule="exact"/>
        <w:rPr>
          <w:rFonts w:ascii="Times New Roman" w:cs="Times New Roman" w:eastAsia="Times New Roman" w:hAnsi="Times New Roman"/>
          <w:sz w:val="18"/>
          <w:szCs w:val="18"/>
          <w:color w:val="auto"/>
        </w:rPr>
      </w:pPr>
    </w:p>
    <w:p>
      <w:pPr>
        <w:ind w:left="420" w:hanging="416"/>
        <w:spacing w:after="0" w:line="28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54" w:lineRule="exact"/>
        <w:rPr>
          <w:rFonts w:ascii="Times New Roman" w:cs="Times New Roman" w:eastAsia="Times New Roman" w:hAnsi="Times New Roman"/>
          <w:sz w:val="18"/>
          <w:szCs w:val="18"/>
          <w:color w:val="auto"/>
        </w:rPr>
      </w:pPr>
    </w:p>
    <w:p>
      <w:pPr>
        <w:ind w:left="420" w:hanging="416"/>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improvements to our product candidates may be held by third parties.</w:t>
      </w:r>
    </w:p>
    <w:p>
      <w:pPr>
        <w:spacing w:after="0" w:line="116" w:lineRule="exact"/>
        <w:rPr>
          <w:rFonts w:ascii="Times New Roman" w:cs="Times New Roman" w:eastAsia="Times New Roman" w:hAnsi="Times New Roman"/>
          <w:sz w:val="18"/>
          <w:szCs w:val="18"/>
          <w:color w:val="auto"/>
        </w:rPr>
      </w:pPr>
    </w:p>
    <w:p>
      <w:pPr>
        <w:ind w:left="420" w:right="360" w:hanging="416"/>
        <w:spacing w:after="0" w:line="28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and liquid trading market for our common stock may never be sustained. As a result, you may not be able to resell your shares of common stock at or above the purchase price.</w:t>
      </w:r>
    </w:p>
    <w:p>
      <w:pPr>
        <w:spacing w:after="0" w:line="54" w:lineRule="exact"/>
        <w:rPr>
          <w:rFonts w:ascii="Times New Roman" w:cs="Times New Roman" w:eastAsia="Times New Roman" w:hAnsi="Times New Roman"/>
          <w:sz w:val="18"/>
          <w:szCs w:val="18"/>
          <w:color w:val="auto"/>
        </w:rPr>
      </w:pPr>
    </w:p>
    <w:p>
      <w:pPr>
        <w:ind w:left="420" w:right="360" w:hanging="416"/>
        <w:spacing w:after="0" w:line="28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likely to be highly volatile, which could result in substantial losses for purchasers of our common stock.</w:t>
      </w:r>
    </w:p>
    <w:p>
      <w:pPr>
        <w:spacing w:after="0" w:line="54" w:lineRule="exact"/>
        <w:rPr>
          <w:rFonts w:ascii="Times New Roman" w:cs="Times New Roman" w:eastAsia="Times New Roman" w:hAnsi="Times New Roman"/>
          <w:sz w:val="18"/>
          <w:szCs w:val="18"/>
          <w:color w:val="auto"/>
        </w:rPr>
      </w:pPr>
    </w:p>
    <w:p>
      <w:pPr>
        <w:ind w:left="420" w:right="380" w:hanging="416"/>
        <w:spacing w:after="0" w:line="28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principal stockholders and management own a significant percentage of our stock and are able to exert significant control over matters subject to stockholder approval.</w:t>
      </w:r>
    </w:p>
    <w:p>
      <w:pPr>
        <w:spacing w:after="0" w:line="54" w:lineRule="exact"/>
        <w:rPr>
          <w:rFonts w:ascii="Times New Roman" w:cs="Times New Roman" w:eastAsia="Times New Roman" w:hAnsi="Times New Roman"/>
          <w:sz w:val="18"/>
          <w:szCs w:val="18"/>
          <w:color w:val="auto"/>
        </w:rPr>
      </w:pPr>
    </w:p>
    <w:p>
      <w:pPr>
        <w:ind w:left="420" w:right="400" w:hanging="416"/>
        <w:spacing w:after="0" w:line="312" w:lineRule="auto"/>
        <w:tabs>
          <w:tab w:leader="none" w:pos="4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31" w:lineRule="exact"/>
        <w:rPr>
          <w:rFonts w:ascii="Times New Roman" w:cs="Times New Roman" w:eastAsia="Times New Roman" w:hAnsi="Times New Roman"/>
          <w:sz w:val="17"/>
          <w:szCs w:val="17"/>
          <w:color w:val="auto"/>
        </w:rPr>
      </w:pPr>
    </w:p>
    <w:p>
      <w:pPr>
        <w:ind w:left="420" w:right="760" w:hanging="416"/>
        <w:spacing w:after="0" w:line="281"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increased costs as a result of operating as a public company, and our management will be required to devote substantial time to new compliance initiatives and corporate governance practices.</w:t>
      </w:r>
    </w:p>
    <w:p>
      <w:pPr>
        <w:spacing w:after="0" w:line="16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40" w:top="44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44" w:lineRule="exact"/>
        <w:rPr>
          <w:sz w:val="20"/>
          <w:szCs w:val="20"/>
          <w:color w:val="auto"/>
        </w:rPr>
      </w:pPr>
    </w:p>
    <w:p>
      <w:pPr>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93"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Investment in drug development is a highly speculative undertaking and involves a substantial degree of risk. We commenced operations in 2016 and are a clinical-stage biopharmaceutical company with a limited operating history. We have not yet commercialized any product, and we do not expect to generate revenue from sales of any products for several years, if at all. Consequently, there have been limited operations upon which we or you can evaluate our business. Predictions about our future success or viability may not be as accurate as they could be if we had a longer operating history or a history of successfully developing and commercializing cancer therapies. For the year ended December 31, 2022, we reported a net loss of $115.4 million. As of December 31, 2022, we had an accumulated deficit of $334.6 million. We expect to continue to incur significant research and development and other expenses related to our ongoing operations.</w:t>
      </w:r>
    </w:p>
    <w:p>
      <w:pPr>
        <w:spacing w:after="0" w:line="187" w:lineRule="exact"/>
        <w:rPr>
          <w:sz w:val="20"/>
          <w:szCs w:val="20"/>
          <w:color w:val="auto"/>
        </w:rPr>
      </w:pPr>
    </w:p>
    <w:p>
      <w:pPr>
        <w:ind w:right="240" w:firstLine="416"/>
        <w:spacing w:after="0" w:line="260" w:lineRule="auto"/>
        <w:rPr>
          <w:sz w:val="20"/>
          <w:szCs w:val="20"/>
          <w:color w:val="auto"/>
        </w:rPr>
      </w:pPr>
      <w:r>
        <w:rPr>
          <w:rFonts w:ascii="Times New Roman" w:cs="Times New Roman" w:eastAsia="Times New Roman" w:hAnsi="Times New Roman"/>
          <w:sz w:val="18"/>
          <w:szCs w:val="18"/>
          <w:color w:val="auto"/>
        </w:rPr>
        <w:t>Since our inception, we have focused substantially all of our efforts and financial resources on the research, preclinical and clinical development of our product candidates, PRT543, PRT811, PRT1419, and PRT2527, and our research efforts on other potential product candidates targeting PRMT5, MCL1, CDK9, and BRM, otherwise known as SMARCA2. As of December 31, 2022, our cash, cash equivalents, and marketable securities were $201.7 million.</w:t>
      </w:r>
    </w:p>
    <w:p>
      <w:pPr>
        <w:spacing w:after="0" w:line="182"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We expect to incur increasing levels of operating losses for the foreseeable future, particularly as we advance PRT1419, PRT2527, PRT3645, and PRT3789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candidates, including the ongoing Phase 1 clinical trials for both the oral formulation and IV formulation of PRT1419, the ongoing Phase 1 clinical trial for PRT2527, the Phase 1 clinical trials for PRT3645 and PRT3789, and development and subsequent INDs of other future product candidates we may choose to pursue, including a kinase inhibitor. In addition, if we obtain marketing approval for any of our product candidates, we will incur significant sales, marketing and outsourced manufacturing expenses in connection with the commercialization. We will also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95" w:lineRule="exact"/>
        <w:rPr>
          <w:sz w:val="20"/>
          <w:szCs w:val="20"/>
          <w:color w:val="auto"/>
        </w:rPr>
      </w:pPr>
    </w:p>
    <w:p>
      <w:pPr>
        <w:ind w:right="60" w:firstLine="416"/>
        <w:spacing w:after="0" w:line="260"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To date, we have not generated any revenue and we do not know when, or if, we will generate any revenue. We do not expect to generate significant revenue unless and until we obtain marketing approval for, and begin to sell, PRT1419, PRT2527, PRT3645, PRT3789 or another product candidate. Our ability to generate revenue depends on a number of factors, including, but not limited to, our ability to:</w:t>
      </w:r>
    </w:p>
    <w:p>
      <w:pPr>
        <w:spacing w:after="0" w:line="87" w:lineRule="exact"/>
        <w:rPr>
          <w:sz w:val="20"/>
          <w:szCs w:val="20"/>
          <w:color w:val="auto"/>
        </w:rPr>
      </w:pPr>
    </w:p>
    <w:p>
      <w:pPr>
        <w:ind w:left="840" w:hanging="413"/>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successful Phase 1 portions of PRT1419, PRT2527, PRT3645, and PRT3789 clinical trials;</w:t>
      </w:r>
    </w:p>
    <w:p>
      <w:pPr>
        <w:spacing w:after="0" w:line="116" w:lineRule="exact"/>
        <w:rPr>
          <w:rFonts w:ascii="Times New Roman" w:cs="Times New Roman" w:eastAsia="Times New Roman" w:hAnsi="Times New Roman"/>
          <w:sz w:val="18"/>
          <w:szCs w:val="18"/>
          <w:color w:val="auto"/>
        </w:rPr>
      </w:pPr>
    </w:p>
    <w:p>
      <w:pPr>
        <w:ind w:left="840" w:right="460" w:hanging="413"/>
        <w:spacing w:after="0" w:line="281"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and other studies required to obtain U.S. and foreign marketing approval for PRT1419, PRT3645, and PRT3789;</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complete successful later-stage clinical trials that meet their clinical endpoints;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favorable results from our clinical trials and apply for and obtain marketing approval for PRT1419, PRT2527, PRT3645, and PRT3789;</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licenses, collaborations, or strategic partnerships that may increase the value of our programs;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or contract with others to manufacture PRT1419, PRT2527, PRT3645, PRT3789 and our other product candidates;</w:t>
      </w:r>
    </w:p>
    <w:p>
      <w:pPr>
        <w:spacing w:after="0" w:line="116" w:lineRule="exact"/>
        <w:rPr>
          <w:rFonts w:ascii="Times New Roman" w:cs="Times New Roman" w:eastAsia="Times New Roman" w:hAnsi="Times New Roman"/>
          <w:sz w:val="18"/>
          <w:szCs w:val="18"/>
          <w:color w:val="auto"/>
        </w:rPr>
      </w:pPr>
    </w:p>
    <w:p>
      <w:pPr>
        <w:ind w:left="840" w:right="60" w:hanging="413"/>
        <w:spacing w:after="0" w:line="281"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PRT1419, PRT2527, PRT3645, PRT3789 if approved, respectively, by building a sales force or entering into collaborations with third parties;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ind w:left="840" w:hanging="413"/>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INDs for a kinase inhibitor that is made effective by the FDA;</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defend our intellectual property portfolio; and</w:t>
      </w:r>
    </w:p>
    <w:p>
      <w:pPr>
        <w:spacing w:after="0" w:line="116" w:lineRule="exact"/>
        <w:rPr>
          <w:rFonts w:ascii="Times New Roman" w:cs="Times New Roman" w:eastAsia="Times New Roman" w:hAnsi="Times New Roman"/>
          <w:sz w:val="18"/>
          <w:szCs w:val="18"/>
          <w:color w:val="auto"/>
        </w:rPr>
      </w:pPr>
    </w:p>
    <w:p>
      <w:pPr>
        <w:ind w:left="840" w:right="800" w:hanging="413"/>
        <w:spacing w:after="0" w:line="281"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PRT1419, PRT2527, PRT3645, PRT3789 and our other successful product candidates with the medical community and with third-party payors.</w:t>
      </w:r>
    </w:p>
    <w:p>
      <w:pPr>
        <w:spacing w:after="0" w:line="190" w:lineRule="exact"/>
        <w:rPr>
          <w:sz w:val="20"/>
          <w:szCs w:val="20"/>
          <w:color w:val="auto"/>
        </w:rPr>
      </w:pPr>
    </w:p>
    <w:p>
      <w:pPr>
        <w:ind w:right="80" w:firstLine="416"/>
        <w:spacing w:after="0" w:line="256" w:lineRule="auto"/>
        <w:rPr>
          <w:sz w:val="20"/>
          <w:szCs w:val="20"/>
          <w:color w:val="auto"/>
        </w:rPr>
      </w:pPr>
      <w:r>
        <w:rPr>
          <w:rFonts w:ascii="Times New Roman" w:cs="Times New Roman" w:eastAsia="Times New Roman" w:hAnsi="Times New Roman"/>
          <w:sz w:val="18"/>
          <w:szCs w:val="18"/>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212"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82"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209" w:lineRule="exact"/>
        <w:rPr>
          <w:sz w:val="20"/>
          <w:szCs w:val="20"/>
          <w:color w:val="auto"/>
        </w:rPr>
      </w:pPr>
    </w:p>
    <w:p>
      <w:pPr>
        <w:ind w:right="20" w:firstLine="416"/>
        <w:spacing w:after="0" w:line="260"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26" w:lineRule="exact"/>
        <w:rPr>
          <w:sz w:val="20"/>
          <w:szCs w:val="20"/>
          <w:color w:val="auto"/>
        </w:rPr>
      </w:pPr>
    </w:p>
    <w:p>
      <w:pPr>
        <w:ind w:left="420"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79"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advance our product candidates, PRT1419, PRT2527, PRT3645, and PRT3789 and other pipeline product candidates through clinical development, and seek to design additional product candidates from our discovery programs. We expect increased expenses as we continue our research and development, expand our operations and build our new facility,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218" w:lineRule="exact"/>
        <w:rPr>
          <w:sz w:val="20"/>
          <w:szCs w:val="20"/>
          <w:color w:val="auto"/>
        </w:rPr>
      </w:pPr>
    </w:p>
    <w:p>
      <w:pPr>
        <w:ind w:right="160" w:firstLine="416"/>
        <w:spacing w:after="0" w:line="260"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through the fourth quarter of 2024. We have based this estimate on assumptions that may prove to be wrong, and we could use our capital resources sooner than we currently expect. Changes beyond our control may occur that would cause us to use our available capital before that time, including changes in and</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progress of our drug development activities and changes in regulation. Our future capital requirements will depend on many factors, including:</w:t>
      </w:r>
    </w:p>
    <w:p>
      <w:pPr>
        <w:spacing w:after="0" w:line="130" w:lineRule="exact"/>
        <w:rPr>
          <w:sz w:val="20"/>
          <w:szCs w:val="20"/>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results of preclinical studies and clinical trials for our current or any future product candidates;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pipeline product candidates or technologies;</w:t>
      </w:r>
    </w:p>
    <w:p>
      <w:pPr>
        <w:spacing w:after="0" w:line="116" w:lineRule="exact"/>
        <w:rPr>
          <w:rFonts w:ascii="Times New Roman" w:cs="Times New Roman" w:eastAsia="Times New Roman" w:hAnsi="Times New Roman"/>
          <w:sz w:val="18"/>
          <w:szCs w:val="18"/>
          <w:color w:val="auto"/>
        </w:rPr>
      </w:pPr>
    </w:p>
    <w:p>
      <w:pPr>
        <w:ind w:left="840" w:right="540" w:hanging="413"/>
        <w:spacing w:after="0" w:line="28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may pursue, and other indications for our current product candidates that we may pursue;</w:t>
      </w:r>
    </w:p>
    <w:p>
      <w:pPr>
        <w:spacing w:after="0" w:line="54" w:lineRule="exact"/>
        <w:rPr>
          <w:rFonts w:ascii="Times New Roman" w:cs="Times New Roman" w:eastAsia="Times New Roman" w:hAnsi="Times New Roman"/>
          <w:sz w:val="18"/>
          <w:szCs w:val="18"/>
          <w:color w:val="auto"/>
        </w:rPr>
      </w:pPr>
    </w:p>
    <w:p>
      <w:pPr>
        <w:ind w:left="840" w:right="100" w:hanging="413"/>
        <w:spacing w:after="0" w:line="28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obtaining regulatory approvals of our current or future product candidates and any companion diagnostics we may pursue;</w:t>
      </w:r>
    </w:p>
    <w:p>
      <w:pPr>
        <w:spacing w:after="0" w:line="54" w:lineRule="exact"/>
        <w:rPr>
          <w:rFonts w:ascii="Times New Roman" w:cs="Times New Roman" w:eastAsia="Times New Roman" w:hAnsi="Times New Roman"/>
          <w:sz w:val="18"/>
          <w:szCs w:val="18"/>
          <w:color w:val="auto"/>
        </w:rPr>
      </w:pPr>
    </w:p>
    <w:p>
      <w:pPr>
        <w:ind w:left="840" w:right="280" w:hanging="413"/>
        <w:spacing w:after="0" w:line="28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54" w:lineRule="exact"/>
        <w:rPr>
          <w:rFonts w:ascii="Times New Roman" w:cs="Times New Roman" w:eastAsia="Times New Roman" w:hAnsi="Times New Roman"/>
          <w:sz w:val="18"/>
          <w:szCs w:val="18"/>
          <w:color w:val="auto"/>
        </w:rPr>
      </w:pPr>
    </w:p>
    <w:p>
      <w:pPr>
        <w:ind w:left="840" w:right="20" w:hanging="413"/>
        <w:spacing w:after="0" w:line="28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potential commercialization of our current or future product candidates;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associated with commercializing any approved product candidates, including establishing sales, marketing and distribution capabilities;</w:t>
      </w:r>
    </w:p>
    <w:p>
      <w:pPr>
        <w:spacing w:after="0" w:line="128" w:lineRule="exact"/>
        <w:rPr>
          <w:rFonts w:ascii="Times New Roman" w:cs="Times New Roman" w:eastAsia="Times New Roman" w:hAnsi="Times New Roman"/>
          <w:sz w:val="17"/>
          <w:szCs w:val="17"/>
          <w:color w:val="auto"/>
        </w:rPr>
      </w:pPr>
    </w:p>
    <w:p>
      <w:pPr>
        <w:ind w:left="840" w:hanging="413"/>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completing any post-marketing studies or trials required by the FDA or other regulatory authorities;</w:t>
      </w:r>
    </w:p>
    <w:p>
      <w:pPr>
        <w:spacing w:after="0" w:line="116" w:lineRule="exact"/>
        <w:rPr>
          <w:rFonts w:ascii="Times New Roman" w:cs="Times New Roman" w:eastAsia="Times New Roman" w:hAnsi="Times New Roman"/>
          <w:sz w:val="18"/>
          <w:szCs w:val="18"/>
          <w:color w:val="auto"/>
        </w:rPr>
      </w:pPr>
    </w:p>
    <w:p>
      <w:pPr>
        <w:ind w:left="840" w:right="240" w:hanging="413"/>
        <w:spacing w:after="0" w:line="28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PRT1419, PRT2527, PRT3645, or PRT3789 if any are approved, or our other pipeline product candidates that receive marketing approval;</w:t>
      </w:r>
    </w:p>
    <w:p>
      <w:pPr>
        <w:spacing w:after="0" w:line="54" w:lineRule="exact"/>
        <w:rPr>
          <w:rFonts w:ascii="Times New Roman" w:cs="Times New Roman" w:eastAsia="Times New Roman" w:hAnsi="Times New Roman"/>
          <w:sz w:val="18"/>
          <w:szCs w:val="18"/>
          <w:color w:val="auto"/>
        </w:rPr>
      </w:pPr>
    </w:p>
    <w:p>
      <w:pPr>
        <w:ind w:left="840" w:right="440" w:hanging="413"/>
        <w:spacing w:after="0" w:line="312" w:lineRule="auto"/>
        <w:tabs>
          <w:tab w:leader="none" w:pos="8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31" w:lineRule="exact"/>
        <w:rPr>
          <w:rFonts w:ascii="Times New Roman" w:cs="Times New Roman" w:eastAsia="Times New Roman" w:hAnsi="Times New Roman"/>
          <w:sz w:val="17"/>
          <w:szCs w:val="17"/>
          <w:color w:val="auto"/>
        </w:rPr>
      </w:pPr>
    </w:p>
    <w:p>
      <w:pPr>
        <w:ind w:left="840" w:right="40" w:hanging="413"/>
        <w:spacing w:after="0" w:line="28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potential product liability claims, including the costs associated with obtaining insurance against such claims and with defending against such claims; and</w:t>
      </w:r>
    </w:p>
    <w:p>
      <w:pPr>
        <w:spacing w:after="0" w:line="54" w:lineRule="exact"/>
        <w:rPr>
          <w:rFonts w:ascii="Times New Roman" w:cs="Times New Roman" w:eastAsia="Times New Roman" w:hAnsi="Times New Roman"/>
          <w:sz w:val="18"/>
          <w:szCs w:val="18"/>
          <w:color w:val="auto"/>
        </w:rPr>
      </w:pPr>
    </w:p>
    <w:p>
      <w:pPr>
        <w:ind w:left="840" w:right="200" w:hanging="413"/>
        <w:spacing w:after="0" w:line="260"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pursue strategic collaborations, including collaborations to commercialize PRT543, PRT811, PRT1419, PRT2527, PRT3645, PRT3789 or any of our other pipeline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82" w:lineRule="exact"/>
        <w:rPr>
          <w:sz w:val="20"/>
          <w:szCs w:val="20"/>
          <w:color w:val="auto"/>
        </w:rPr>
      </w:pPr>
    </w:p>
    <w:p>
      <w:pPr>
        <w:ind w:right="140" w:firstLine="416"/>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330" w:lineRule="exact"/>
        <w:rPr>
          <w:sz w:val="20"/>
          <w:szCs w:val="20"/>
          <w:color w:val="auto"/>
        </w:rPr>
      </w:pPr>
    </w:p>
    <w:p>
      <w:pPr>
        <w:ind w:left="4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4" w:lineRule="exact"/>
        <w:rPr>
          <w:sz w:val="20"/>
          <w:szCs w:val="20"/>
          <w:color w:val="auto"/>
        </w:rPr>
      </w:pPr>
    </w:p>
    <w:p>
      <w:pPr>
        <w:ind w:right="80" w:firstLine="416"/>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5" w:name="page36"/>
    <w:bookmarkEnd w:id="35"/>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effects of inflation.</w:t>
      </w:r>
    </w:p>
    <w:p>
      <w:pPr>
        <w:spacing w:after="0" w:line="121" w:lineRule="exact"/>
        <w:rPr>
          <w:sz w:val="20"/>
          <w:szCs w:val="20"/>
          <w:color w:val="auto"/>
        </w:rPr>
      </w:pPr>
    </w:p>
    <w:p>
      <w:pPr>
        <w:ind w:right="120" w:firstLine="419"/>
        <w:spacing w:after="0" w:line="255"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The existence of inflation in the economy has resulted in, and may continue to result in, higher interest rates and capital costs, supply shortages, increased costs of labor, components, manufacturing and shipping, as well as weakening exchange rates and other similar effects. As a result of inflation, we have experienced and may continue to experience cost increases. Although we may take measures to mitigate the effects of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costs of inflation are incurred.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Design and Development of our Product Candidates</w:t>
      </w:r>
    </w:p>
    <w:p>
      <w:pPr>
        <w:spacing w:after="0" w:line="130" w:lineRule="exact"/>
        <w:rPr>
          <w:sz w:val="20"/>
          <w:szCs w:val="20"/>
          <w:color w:val="auto"/>
        </w:rPr>
      </w:pPr>
    </w:p>
    <w:p>
      <w:pPr>
        <w:ind w:left="4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our product candidates, PRT1419, PRT2527, PRT3645, and PRT3789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93"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Our future success is highly dependent on our ability to obtain regulatory approval for, and then successfully commercialize, our product candidates, PRT1419, PRT2527, PRT3645, and PRT3789. We are early in our development efforts and our lead product candidates, PRT1419, PRT2527, and PRT3645, are each currently in a Phase 1 clinical trial. Our other product candidates are in earlier stages of development. We currently have no products that are approved for sale in any jurisdiction. There can be no assurance that PRT1419, PRT2527, PRT3645, PRT3789 or our other product candidates in development will achieve success in their clinical trials or obtain regulatory approval.</w:t>
      </w:r>
    </w:p>
    <w:p>
      <w:pPr>
        <w:spacing w:after="0" w:line="182" w:lineRule="exact"/>
        <w:rPr>
          <w:sz w:val="20"/>
          <w:szCs w:val="20"/>
          <w:color w:val="auto"/>
        </w:rPr>
      </w:pPr>
    </w:p>
    <w:p>
      <w:pPr>
        <w:ind w:right="120" w:firstLine="416"/>
        <w:spacing w:after="0" w:line="265"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for many years, if ever, will depend heavily on the successful development and eventual commercialization of PRT1419, PRT2527, PRT3645, PRT3789 or other product candidates in development. The success of our product candidates, including PRT1419, PRT2527, PRT3645, and PRT3789 will depend on several factors, including the following:</w:t>
      </w:r>
    </w:p>
    <w:p>
      <w:pPr>
        <w:spacing w:after="0" w:line="83" w:lineRule="exact"/>
        <w:rPr>
          <w:sz w:val="20"/>
          <w:szCs w:val="20"/>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116" w:lineRule="exact"/>
        <w:rPr>
          <w:rFonts w:ascii="Times New Roman" w:cs="Times New Roman" w:eastAsia="Times New Roman" w:hAnsi="Times New Roman"/>
          <w:sz w:val="18"/>
          <w:szCs w:val="18"/>
          <w:color w:val="auto"/>
        </w:rPr>
      </w:pPr>
    </w:p>
    <w:p>
      <w:pPr>
        <w:ind w:left="840" w:right="20" w:hanging="413"/>
        <w:spacing w:after="0" w:line="281"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 by the FDA or other similar clinical trial applications from foreign regulatory authorities for our future clinical trials for our pipeline product candidates;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enrollment of patients in, and completion of, clinical trials with favorable results;</w:t>
      </w:r>
    </w:p>
    <w:p>
      <w:pPr>
        <w:spacing w:after="0" w:line="116" w:lineRule="exact"/>
        <w:rPr>
          <w:rFonts w:ascii="Times New Roman" w:cs="Times New Roman" w:eastAsia="Times New Roman" w:hAnsi="Times New Roman"/>
          <w:sz w:val="18"/>
          <w:szCs w:val="18"/>
          <w:color w:val="auto"/>
        </w:rPr>
      </w:pPr>
    </w:p>
    <w:p>
      <w:pPr>
        <w:ind w:left="840" w:right="520" w:hanging="413"/>
        <w:spacing w:after="0" w:line="281"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safety, efficacy and acceptable risk-benefit profiles of our product candidates to the satisfaction of the FDA and foreign regulatory agencies;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that of our collaborators, to develop and obtain clearance or approval of companion diagnostics, on a timely basis, or at all;</w:t>
      </w:r>
    </w:p>
    <w:p>
      <w:pPr>
        <w:spacing w:after="0" w:line="116" w:lineRule="exact"/>
        <w:rPr>
          <w:rFonts w:ascii="Times New Roman" w:cs="Times New Roman" w:eastAsia="Times New Roman" w:hAnsi="Times New Roman"/>
          <w:sz w:val="18"/>
          <w:szCs w:val="18"/>
          <w:color w:val="auto"/>
        </w:rPr>
      </w:pPr>
    </w:p>
    <w:p>
      <w:pPr>
        <w:ind w:left="840" w:right="700" w:hanging="413"/>
        <w:spacing w:after="0" w:line="281"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 including the completion of any required post-marketing studies or trials;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funds necessary to complete clinical development of and commercialize our product candidates;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w:t>
      </w:r>
    </w:p>
    <w:p>
      <w:pPr>
        <w:spacing w:after="0" w:line="116" w:lineRule="exact"/>
        <w:rPr>
          <w:rFonts w:ascii="Times New Roman" w:cs="Times New Roman" w:eastAsia="Times New Roman" w:hAnsi="Times New Roman"/>
          <w:sz w:val="18"/>
          <w:szCs w:val="18"/>
          <w:color w:val="auto"/>
        </w:rPr>
      </w:pPr>
    </w:p>
    <w:p>
      <w:pPr>
        <w:ind w:left="840" w:right="200" w:hanging="413"/>
        <w:spacing w:after="0" w:line="281"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6" w:name="page37"/>
    <w:bookmarkEnd w:id="36"/>
    <w:p>
      <w:pPr>
        <w:ind w:left="840" w:hanging="41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marketing and reimbursement strategies;</w:t>
      </w:r>
    </w:p>
    <w:p>
      <w:pPr>
        <w:spacing w:after="0" w:line="116" w:lineRule="exact"/>
        <w:rPr>
          <w:rFonts w:ascii="Times New Roman" w:cs="Times New Roman" w:eastAsia="Times New Roman" w:hAnsi="Times New Roman"/>
          <w:sz w:val="18"/>
          <w:szCs w:val="18"/>
          <w:color w:val="auto"/>
        </w:rPr>
      </w:pPr>
    </w:p>
    <w:p>
      <w:pPr>
        <w:ind w:left="840" w:right="20" w:hanging="413"/>
        <w:spacing w:after="0" w:line="281"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payor coverage and adequate reimbursement;</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and enforcing our rights in our intellectual property portfolio; and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w:t>
      </w:r>
    </w:p>
    <w:p>
      <w:pPr>
        <w:spacing w:after="0" w:line="265" w:lineRule="exact"/>
        <w:rPr>
          <w:sz w:val="20"/>
          <w:szCs w:val="20"/>
          <w:color w:val="auto"/>
        </w:rPr>
      </w:pPr>
    </w:p>
    <w:p>
      <w:pPr>
        <w:ind w:firstLine="416"/>
        <w:spacing w:after="0" w:line="280" w:lineRule="auto"/>
        <w:rPr>
          <w:sz w:val="20"/>
          <w:szCs w:val="20"/>
          <w:color w:val="auto"/>
        </w:rPr>
      </w:pPr>
      <w:r>
        <w:rPr>
          <w:rFonts w:ascii="Times New Roman" w:cs="Times New Roman" w:eastAsia="Times New Roman" w:hAnsi="Times New Roman"/>
          <w:sz w:val="17"/>
          <w:szCs w:val="17"/>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of PRT1419, PRT2527, PRT3645, or PRT3789 vary adversely from our expectations.</w:t>
      </w:r>
    </w:p>
    <w:p>
      <w:pPr>
        <w:spacing w:after="0" w:line="3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Drug development involves a lengthy and expensive process, and clinical testing is uncertain as to the outcome.</w:t>
      </w:r>
    </w:p>
    <w:p>
      <w:pPr>
        <w:spacing w:after="0" w:line="134"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We currently have three product candidates in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209"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w:t>
      </w:r>
    </w:p>
    <w:p>
      <w:pPr>
        <w:spacing w:after="0" w:line="326"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and/or commercialization of PRT1419, PRT2527, PRT3645, PRT3789 or our other product candidates.</w:t>
      </w:r>
    </w:p>
    <w:p>
      <w:pPr>
        <w:spacing w:after="0" w:line="64" w:lineRule="exact"/>
        <w:rPr>
          <w:sz w:val="20"/>
          <w:szCs w:val="20"/>
          <w:color w:val="auto"/>
        </w:rPr>
      </w:pPr>
    </w:p>
    <w:p>
      <w:pPr>
        <w:ind w:right="200" w:firstLine="416"/>
        <w:spacing w:after="0" w:line="265" w:lineRule="auto"/>
        <w:rPr>
          <w:sz w:val="20"/>
          <w:szCs w:val="20"/>
          <w:color w:val="auto"/>
        </w:rPr>
      </w:pPr>
      <w:r>
        <w:rPr>
          <w:rFonts w:ascii="Times New Roman" w:cs="Times New Roman" w:eastAsia="Times New Roman" w:hAnsi="Times New Roman"/>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77" w:lineRule="exact"/>
        <w:rPr>
          <w:sz w:val="20"/>
          <w:szCs w:val="20"/>
          <w:color w:val="auto"/>
        </w:rPr>
      </w:pPr>
    </w:p>
    <w:p>
      <w:pPr>
        <w:ind w:right="280" w:firstLine="416"/>
        <w:spacing w:after="0" w:line="281" w:lineRule="auto"/>
        <w:rPr>
          <w:sz w:val="20"/>
          <w:szCs w:val="20"/>
          <w:color w:val="auto"/>
        </w:rPr>
      </w:pPr>
      <w:r>
        <w:rPr>
          <w:rFonts w:ascii="Times New Roman" w:cs="Times New Roman" w:eastAsia="Times New Roman" w:hAnsi="Times New Roman"/>
          <w:sz w:val="18"/>
          <w:szCs w:val="18"/>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63" w:lineRule="exact"/>
        <w:rPr>
          <w:sz w:val="20"/>
          <w:szCs w:val="20"/>
          <w:color w:val="auto"/>
        </w:rPr>
      </w:pPr>
    </w:p>
    <w:p>
      <w:pPr>
        <w:ind w:right="200" w:firstLine="416"/>
        <w:spacing w:after="0" w:line="265" w:lineRule="auto"/>
        <w:rPr>
          <w:sz w:val="20"/>
          <w:szCs w:val="20"/>
          <w:color w:val="auto"/>
        </w:rPr>
      </w:pPr>
      <w:r>
        <w:rPr>
          <w:rFonts w:ascii="Times New Roman" w:cs="Times New Roman" w:eastAsia="Times New Roman" w:hAnsi="Times New Roman"/>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83" w:lineRule="exact"/>
        <w:rPr>
          <w:sz w:val="20"/>
          <w:szCs w:val="20"/>
          <w:color w:val="auto"/>
        </w:rPr>
      </w:pPr>
    </w:p>
    <w:p>
      <w:pPr>
        <w:ind w:left="840" w:right="100" w:hanging="413"/>
        <w:spacing w:after="0" w:line="281"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or IRBs, or ethics committees, or ECs, may not authorize us or our investigators to commence a clinical trial or conduct a clinical trial at a prospective trial site;</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as to the design or implementation of our clinical trials or with our RP2D for any of our pipeline programs;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7" w:name="page38"/>
    <w:bookmarkEnd w:id="37"/>
    <w:p>
      <w:pPr>
        <w:ind w:left="840" w:right="620" w:hanging="413"/>
        <w:spacing w:after="0" w:line="281"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 to reach, agreement on acceptable clinical trial contracts or clinical trial protocols with prospective CROs and prospective trial sites;</w:t>
      </w:r>
    </w:p>
    <w:p>
      <w:pPr>
        <w:spacing w:after="0" w:line="54" w:lineRule="exact"/>
        <w:rPr>
          <w:rFonts w:ascii="Times New Roman" w:cs="Times New Roman" w:eastAsia="Times New Roman" w:hAnsi="Times New Roman"/>
          <w:sz w:val="18"/>
          <w:szCs w:val="18"/>
          <w:color w:val="auto"/>
        </w:rPr>
      </w:pPr>
    </w:p>
    <w:p>
      <w:pPr>
        <w:ind w:left="840" w:right="80" w:hanging="413"/>
        <w:spacing w:after="0" w:line="281"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our product candidates that may produce negative or inconclusive results, and we may decide, or regulators may require us, to conduct additional clinical trials, delay or halt clinical trials or abandon product development programs;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116" w:lineRule="exact"/>
        <w:rPr>
          <w:rFonts w:ascii="Times New Roman" w:cs="Times New Roman" w:eastAsia="Times New Roman" w:hAnsi="Times New Roman"/>
          <w:sz w:val="18"/>
          <w:szCs w:val="18"/>
          <w:color w:val="auto"/>
        </w:rPr>
      </w:pPr>
    </w:p>
    <w:p>
      <w:pPr>
        <w:ind w:left="840" w:hanging="413"/>
        <w:spacing w:after="0" w:line="260"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73" w:lineRule="exact"/>
        <w:rPr>
          <w:rFonts w:ascii="Times New Roman" w:cs="Times New Roman" w:eastAsia="Times New Roman" w:hAnsi="Times New Roman"/>
          <w:sz w:val="18"/>
          <w:szCs w:val="18"/>
          <w:color w:val="auto"/>
        </w:rPr>
      </w:pPr>
    </w:p>
    <w:p>
      <w:pPr>
        <w:ind w:left="840" w:hanging="413"/>
        <w:spacing w:after="0" w:line="281"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clinical trial participants from investigational and approved therapies may make it more difficult to enroll patients in our clinical trials;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contact with patients after treatment, resulting in incomplete data;</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failures to obtain regulatory approval of companion diagnostic tests, if required, on a timely basis, or at all;</w:t>
      </w:r>
    </w:p>
    <w:p>
      <w:pPr>
        <w:spacing w:after="0" w:line="116" w:lineRule="exact"/>
        <w:rPr>
          <w:rFonts w:ascii="Times New Roman" w:cs="Times New Roman" w:eastAsia="Times New Roman" w:hAnsi="Times New Roman"/>
          <w:sz w:val="18"/>
          <w:szCs w:val="18"/>
          <w:color w:val="auto"/>
        </w:rPr>
      </w:pPr>
    </w:p>
    <w:p>
      <w:pPr>
        <w:ind w:left="840" w:right="280" w:hanging="413"/>
        <w:spacing w:after="0" w:line="281"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failures by our third-party contractors to meet their contractual obligations to us in a timely manner, or at all, or may fail to comply with regulatory requirements;</w:t>
      </w:r>
    </w:p>
    <w:p>
      <w:pPr>
        <w:spacing w:after="0" w:line="54" w:lineRule="exact"/>
        <w:rPr>
          <w:rFonts w:ascii="Times New Roman" w:cs="Times New Roman" w:eastAsia="Times New Roman" w:hAnsi="Times New Roman"/>
          <w:sz w:val="18"/>
          <w:szCs w:val="18"/>
          <w:color w:val="auto"/>
        </w:rPr>
      </w:pPr>
    </w:p>
    <w:p>
      <w:pPr>
        <w:ind w:left="840" w:right="60" w:hanging="413"/>
        <w:spacing w:after="0" w:line="281"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clinical trials for our product candidates for various reasons, including a finding by us or by a Data Monitoring Committee for a trial that the participants are being exposed to unacceptable health risks;</w:t>
      </w:r>
    </w:p>
    <w:p>
      <w:pPr>
        <w:spacing w:after="0" w:line="54" w:lineRule="exact"/>
        <w:rPr>
          <w:rFonts w:ascii="Times New Roman" w:cs="Times New Roman" w:eastAsia="Times New Roman" w:hAnsi="Times New Roman"/>
          <w:sz w:val="18"/>
          <w:szCs w:val="18"/>
          <w:color w:val="auto"/>
        </w:rPr>
      </w:pPr>
    </w:p>
    <w:p>
      <w:pPr>
        <w:ind w:left="840" w:right="680" w:hanging="413"/>
        <w:spacing w:after="0" w:line="281"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undesirable or unexpected side effects or other unexpected characteristics from our product candidates, causing us or our investigators, regulators or IRBs/ECs to suspend or terminate the trials;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for our product candidates may be greater than we anticipate;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clinical trial protocol;</w:t>
      </w:r>
    </w:p>
    <w:p>
      <w:pPr>
        <w:spacing w:after="0" w:line="116" w:lineRule="exact"/>
        <w:rPr>
          <w:rFonts w:ascii="Times New Roman" w:cs="Times New Roman" w:eastAsia="Times New Roman" w:hAnsi="Times New Roman"/>
          <w:sz w:val="18"/>
          <w:szCs w:val="18"/>
          <w:color w:val="auto"/>
        </w:rPr>
      </w:pPr>
    </w:p>
    <w:p>
      <w:pPr>
        <w:ind w:left="840" w:right="680" w:hanging="413"/>
        <w:spacing w:after="0" w:line="281"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54" w:lineRule="exact"/>
        <w:rPr>
          <w:rFonts w:ascii="Times New Roman" w:cs="Times New Roman" w:eastAsia="Times New Roman" w:hAnsi="Times New Roman"/>
          <w:sz w:val="18"/>
          <w:szCs w:val="18"/>
          <w:color w:val="auto"/>
        </w:rPr>
      </w:pPr>
    </w:p>
    <w:p>
      <w:pPr>
        <w:ind w:left="840" w:right="80" w:hanging="413"/>
        <w:spacing w:after="0" w:line="281"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which may slow potential enrollment, reduce the number of eligible patients for clinical trials, or reduce the number of patients that remain in our trials.</w:t>
      </w:r>
    </w:p>
    <w:p>
      <w:pPr>
        <w:spacing w:after="0" w:line="190"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195" w:lineRule="exact"/>
        <w:rPr>
          <w:sz w:val="20"/>
          <w:szCs w:val="20"/>
          <w:color w:val="auto"/>
        </w:rPr>
      </w:pPr>
    </w:p>
    <w:p>
      <w:pPr>
        <w:jc w:val="both"/>
        <w:ind w:right="360" w:firstLine="416"/>
        <w:spacing w:after="0" w:line="265" w:lineRule="auto"/>
        <w:rPr>
          <w:sz w:val="20"/>
          <w:szCs w:val="20"/>
          <w:color w:val="auto"/>
        </w:rPr>
      </w:pPr>
      <w:r>
        <w:rPr>
          <w:rFonts w:ascii="Times New Roman" w:cs="Times New Roman" w:eastAsia="Times New Roman" w:hAnsi="Times New Roman"/>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8" w:name="page39"/>
    <w:bookmarkEnd w:id="38"/>
    <w:p>
      <w:pPr>
        <w:ind w:left="4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50"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Patient enrollment is also affected by other factors, including:</w:t>
      </w:r>
    </w:p>
    <w:p>
      <w:pPr>
        <w:spacing w:after="0" w:line="74" w:lineRule="exact"/>
        <w:rPr>
          <w:sz w:val="20"/>
          <w:szCs w:val="20"/>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of appropriate competencies and experience;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and prevalence of our target indications;</w:t>
      </w:r>
    </w:p>
    <w:p>
      <w:pPr>
        <w:spacing w:after="0" w:line="103" w:lineRule="exact"/>
        <w:rPr>
          <w:rFonts w:ascii="Times New Roman" w:cs="Times New Roman" w:eastAsia="Times New Roman" w:hAnsi="Times New Roman"/>
          <w:sz w:val="18"/>
          <w:szCs w:val="18"/>
          <w:color w:val="auto"/>
        </w:rPr>
      </w:pPr>
    </w:p>
    <w:p>
      <w:pPr>
        <w:ind w:left="840" w:right="280" w:hanging="413"/>
        <w:spacing w:after="0" w:line="281"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41"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studies or trials with similar eligibility criteria;</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invasive procedures required to enroll patients and to obtain evidence of the product candidate’s performance during the clinical trial;</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defined in the protocol for the trial in question;</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required for analysis of the trial’s primary endpoints;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subject to a partial or full clinical hold on any of our clinical trials;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of physicians to encourage patient participation in clinical trials;</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and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38" w:lineRule="exact"/>
        <w:rPr>
          <w:sz w:val="20"/>
          <w:szCs w:val="20"/>
          <w:color w:val="auto"/>
        </w:rPr>
      </w:pPr>
    </w:p>
    <w:p>
      <w:pPr>
        <w:ind w:right="240" w:firstLine="416"/>
        <w:spacing w:after="0" w:line="265" w:lineRule="auto"/>
        <w:rPr>
          <w:sz w:val="20"/>
          <w:szCs w:val="20"/>
          <w:color w:val="auto"/>
        </w:rPr>
      </w:pPr>
      <w:r>
        <w:rPr>
          <w:rFonts w:ascii="Times New Roman" w:cs="Times New Roman" w:eastAsia="Times New Roman" w:hAnsi="Times New Roman"/>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including due to the ongoing COVID-19 pandemic, may result in increased development costs, which would cause the value of our company to decline and limit our ability to obtain additional financing.</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ongoing COVID-19 pandemic could adversely impact our business, including our clinical trials and clinical trial operations.</w:t>
      </w:r>
    </w:p>
    <w:p>
      <w:pPr>
        <w:spacing w:after="0" w:line="134" w:lineRule="exact"/>
        <w:rPr>
          <w:sz w:val="20"/>
          <w:szCs w:val="20"/>
          <w:color w:val="auto"/>
        </w:rPr>
      </w:pPr>
    </w:p>
    <w:p>
      <w:pPr>
        <w:ind w:right="100" w:firstLine="416"/>
        <w:spacing w:after="0" w:line="281" w:lineRule="auto"/>
        <w:rPr>
          <w:sz w:val="20"/>
          <w:szCs w:val="20"/>
          <w:color w:val="auto"/>
        </w:rPr>
      </w:pPr>
      <w:r>
        <w:rPr>
          <w:rFonts w:ascii="Times New Roman" w:cs="Times New Roman" w:eastAsia="Times New Roman" w:hAnsi="Times New Roman"/>
          <w:sz w:val="18"/>
          <w:szCs w:val="18"/>
          <w:color w:val="auto"/>
        </w:rPr>
        <w:t>The ongoing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68" w:lineRule="exact"/>
        <w:rPr>
          <w:sz w:val="20"/>
          <w:szCs w:val="20"/>
          <w:color w:val="auto"/>
        </w:rPr>
      </w:pPr>
    </w:p>
    <w:p>
      <w:pPr>
        <w:ind w:left="840" w:hanging="41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screening, enrolling and maintaining patients in our clinical trials;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16" w:lineRule="exact"/>
        <w:rPr>
          <w:rFonts w:ascii="Times New Roman" w:cs="Times New Roman" w:eastAsia="Times New Roman" w:hAnsi="Times New Roman"/>
          <w:sz w:val="18"/>
          <w:szCs w:val="18"/>
          <w:color w:val="auto"/>
        </w:rPr>
      </w:pPr>
    </w:p>
    <w:p>
      <w:pPr>
        <w:ind w:left="840" w:right="100" w:hanging="413"/>
        <w:spacing w:after="0" w:line="281"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subjects to travel to the clinical trial sites;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difficulties, or incompleteness in data collection and analysis and other related activities;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39" w:name="page40"/>
    <w:bookmarkEnd w:id="39"/>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implementation of protocol required clinical trial activities and quality of source data verification at clinical trial sites;</w:t>
      </w:r>
    </w:p>
    <w:p>
      <w:pPr>
        <w:spacing w:after="0" w:line="116" w:lineRule="exact"/>
        <w:rPr>
          <w:rFonts w:ascii="Times New Roman" w:cs="Times New Roman" w:eastAsia="Times New Roman" w:hAnsi="Times New Roman"/>
          <w:sz w:val="18"/>
          <w:szCs w:val="18"/>
          <w:color w:val="auto"/>
        </w:rPr>
      </w:pPr>
    </w:p>
    <w:p>
      <w:pPr>
        <w:ind w:left="840" w:right="80" w:hanging="41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54" w:lineRule="exact"/>
        <w:rPr>
          <w:rFonts w:ascii="Times New Roman" w:cs="Times New Roman" w:eastAsia="Times New Roman" w:hAnsi="Times New Roman"/>
          <w:sz w:val="18"/>
          <w:szCs w:val="18"/>
          <w:color w:val="auto"/>
        </w:rPr>
      </w:pPr>
    </w:p>
    <w:p>
      <w:pPr>
        <w:ind w:left="840" w:right="120" w:hanging="413"/>
        <w:spacing w:after="0" w:line="312" w:lineRule="auto"/>
        <w:tabs>
          <w:tab w:leader="none" w:pos="8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31" w:lineRule="exact"/>
        <w:rPr>
          <w:rFonts w:ascii="Times New Roman" w:cs="Times New Roman" w:eastAsia="Times New Roman" w:hAnsi="Times New Roman"/>
          <w:sz w:val="17"/>
          <w:szCs w:val="17"/>
          <w:color w:val="auto"/>
        </w:rPr>
      </w:pPr>
    </w:p>
    <w:p>
      <w:pPr>
        <w:ind w:left="840" w:right="460" w:hanging="41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production shortages resulting from any events affecting raw material supply or manufacturing capabilities domestically and abroad;</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116" w:lineRule="exact"/>
        <w:rPr>
          <w:rFonts w:ascii="Times New Roman" w:cs="Times New Roman" w:eastAsia="Times New Roman" w:hAnsi="Times New Roman"/>
          <w:sz w:val="18"/>
          <w:szCs w:val="18"/>
          <w:color w:val="auto"/>
        </w:rPr>
      </w:pPr>
    </w:p>
    <w:p>
      <w:pPr>
        <w:ind w:left="840" w:right="20" w:hanging="41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and domestic shipping that may affect the transport of clinical trial materials, such as investigational drug products used in our clinical trials;</w:t>
      </w:r>
    </w:p>
    <w:p>
      <w:pPr>
        <w:spacing w:after="0" w:line="54" w:lineRule="exact"/>
        <w:rPr>
          <w:rFonts w:ascii="Times New Roman" w:cs="Times New Roman" w:eastAsia="Times New Roman" w:hAnsi="Times New Roman"/>
          <w:sz w:val="18"/>
          <w:szCs w:val="18"/>
          <w:color w:val="auto"/>
        </w:rPr>
      </w:pPr>
    </w:p>
    <w:p>
      <w:pPr>
        <w:ind w:left="840" w:right="240" w:hanging="41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ongoing COVID-19 pandemic which may require us to change the ways in which our clinical trials are conducted, which may result in unexpected costs, delays, or to discontinue the clinical trials altogether;</w:t>
      </w:r>
    </w:p>
    <w:p>
      <w:pPr>
        <w:spacing w:after="0" w:line="54" w:lineRule="exact"/>
        <w:rPr>
          <w:rFonts w:ascii="Times New Roman" w:cs="Times New Roman" w:eastAsia="Times New Roman" w:hAnsi="Times New Roman"/>
          <w:sz w:val="18"/>
          <w:szCs w:val="18"/>
          <w:color w:val="auto"/>
        </w:rPr>
      </w:pPr>
    </w:p>
    <w:p>
      <w:pPr>
        <w:ind w:left="840" w:right="460" w:hanging="41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54" w:lineRule="exact"/>
        <w:rPr>
          <w:rFonts w:ascii="Times New Roman" w:cs="Times New Roman" w:eastAsia="Times New Roman" w:hAnsi="Times New Roman"/>
          <w:sz w:val="18"/>
          <w:szCs w:val="18"/>
          <w:color w:val="auto"/>
        </w:rPr>
      </w:pPr>
    </w:p>
    <w:p>
      <w:pPr>
        <w:ind w:left="840" w:right="900" w:hanging="41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regulatory authorities such as FDA or European Medicines Agency, or EMA, to accept data from clinical trials in affected geographies; and</w:t>
      </w:r>
    </w:p>
    <w:p>
      <w:pPr>
        <w:spacing w:after="0" w:line="54" w:lineRule="exact"/>
        <w:rPr>
          <w:rFonts w:ascii="Times New Roman" w:cs="Times New Roman" w:eastAsia="Times New Roman" w:hAnsi="Times New Roman"/>
          <w:sz w:val="18"/>
          <w:szCs w:val="18"/>
          <w:color w:val="auto"/>
        </w:rPr>
      </w:pPr>
    </w:p>
    <w:p>
      <w:pPr>
        <w:ind w:left="840" w:right="40" w:hanging="413"/>
        <w:spacing w:after="0" w:line="281"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global economic conditions which could have an adverse effect on our business and financial condition, including impairing our ability to raise capital when needed.</w:t>
      </w:r>
    </w:p>
    <w:p>
      <w:pPr>
        <w:spacing w:after="0" w:line="203"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Such disruptions could impede, delay, limit or prevent completion of our ongoing clinical trials and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 our CROs, CMOs and clinical sites as we seek to mitigate the impact of the ongoing COVID-19 pandemic on our studies and current timelines. Measures we have taken in response to the ongoing COVID-19 pandemic include, where feasible, conducting remote clinical trial site activations and data monitoring, and limiting on-site patient visits by adjusting patient assessments and protocol. However, despite these efforts, we have experienced limited delays in trial site initiations, patient participation and patient enrollment in some of our clinical trials and we may continue to experience some delays in our clinical trials and preclinical studies and delays in data collection and analysis. These delays so far have had a limited impact, but this may change as the ongoing COVID-19 pandemic and the response to such ongoing COVID-19 pandemic continues to evolve, and could have an adverse impact on our timelines and our business. The ongoing COVID-19 pandemic could also affect the business of the FDA, EMA or other health authorities, which could result in delays in meetings related to planned or completed clinical trials and ultimately of reviews and approvals of our product candidates. The ongoing global COVID-19 pandemic continues to rapidly evolve. The extent to which the ongoing COVID-19 pandemic may impact our business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336" w:lineRule="exact"/>
        <w:rPr>
          <w:sz w:val="20"/>
          <w:szCs w:val="20"/>
          <w:color w:val="auto"/>
        </w:rPr>
      </w:pPr>
    </w:p>
    <w:p>
      <w:pPr>
        <w:jc w:val="both"/>
        <w:ind w:left="4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side effects or other safety risks associated with PRT1419, PRT2527, PRT3645, PRT3789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79" w:lineRule="exact"/>
        <w:rPr>
          <w:sz w:val="20"/>
          <w:szCs w:val="20"/>
          <w:color w:val="auto"/>
        </w:rPr>
      </w:pPr>
    </w:p>
    <w:p>
      <w:pPr>
        <w:ind w:right="60" w:firstLine="416"/>
        <w:spacing w:after="0" w:line="260" w:lineRule="auto"/>
        <w:rPr>
          <w:sz w:val="20"/>
          <w:szCs w:val="20"/>
          <w:color w:val="auto"/>
        </w:rPr>
      </w:pPr>
      <w:r>
        <w:rPr>
          <w:rFonts w:ascii="Times New Roman" w:cs="Times New Roman" w:eastAsia="Times New Roman" w:hAnsi="Times New Roman"/>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ind w:right="260"/>
        <w:spacing w:after="0" w:line="281" w:lineRule="auto"/>
        <w:rPr>
          <w:sz w:val="20"/>
          <w:szCs w:val="20"/>
          <w:color w:val="auto"/>
        </w:rPr>
      </w:pPr>
      <w:r>
        <w:rPr>
          <w:rFonts w:ascii="Times New Roman" w:cs="Times New Roman" w:eastAsia="Times New Roman" w:hAnsi="Times New Roman"/>
          <w:sz w:val="18"/>
          <w:szCs w:val="18"/>
          <w:color w:val="auto"/>
        </w:rPr>
        <w:t>exposure, rare and severe side effects of our product candidates or those of our competitors may only be uncovered with a significantly larger number of patients exposed to the drug.</w:t>
      </w:r>
    </w:p>
    <w:p>
      <w:pPr>
        <w:spacing w:after="0" w:line="190"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Additionally, due to the high mortality rates of the cancers for which we are initially pursuing development and the pretreated nature of many patients in our ongoing clinical trials of PRT1419, PRT2527, PRT3645, and PRT3789 a material percentage of patients in these clinical trials may die during a trial, which could impact development of PRT1419, PRT2527, PRT3645, and PRT3789, respectively. If we elect or are required to delay, suspend or terminate any clinical trial, the commercial prospects of our product candidates will be harmed and our ability to generate product revenues from this product candidate will be delayed or eliminated. Serious adverse events observed in clinical trials could hinder or prevent market acceptance of our product candidates. Any of these occurrences may harm our business, prospects, financial condition and results of operations significantly.</w:t>
      </w:r>
    </w:p>
    <w:p>
      <w:pPr>
        <w:spacing w:after="0" w:line="212" w:lineRule="exact"/>
        <w:rPr>
          <w:sz w:val="20"/>
          <w:szCs w:val="20"/>
          <w:color w:val="auto"/>
        </w:rPr>
      </w:pPr>
    </w:p>
    <w:p>
      <w:pPr>
        <w:ind w:right="80" w:firstLine="416"/>
        <w:spacing w:after="0" w:line="255"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213"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209" w:lineRule="exact"/>
        <w:rPr>
          <w:sz w:val="20"/>
          <w:szCs w:val="20"/>
          <w:color w:val="auto"/>
        </w:rPr>
      </w:pPr>
    </w:p>
    <w:p>
      <w:pPr>
        <w:ind w:right="160" w:firstLine="416"/>
        <w:spacing w:after="0" w:line="281" w:lineRule="auto"/>
        <w:rPr>
          <w:sz w:val="20"/>
          <w:szCs w:val="20"/>
          <w:color w:val="auto"/>
        </w:rPr>
      </w:pPr>
      <w:r>
        <w:rPr>
          <w:rFonts w:ascii="Times New Roman" w:cs="Times New Roman" w:eastAsia="Times New Roman" w:hAnsi="Times New Roman"/>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68" w:lineRule="exact"/>
        <w:rPr>
          <w:sz w:val="20"/>
          <w:szCs w:val="20"/>
          <w:color w:val="auto"/>
        </w:rPr>
      </w:pPr>
    </w:p>
    <w:p>
      <w:pPr>
        <w:ind w:left="840" w:hanging="41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of the drug;</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the drug is administered to patients;</w:t>
      </w:r>
    </w:p>
    <w:p>
      <w:pPr>
        <w:spacing w:after="0" w:line="116" w:lineRule="exact"/>
        <w:rPr>
          <w:rFonts w:ascii="Times New Roman" w:cs="Times New Roman" w:eastAsia="Times New Roman" w:hAnsi="Times New Roman"/>
          <w:sz w:val="18"/>
          <w:szCs w:val="18"/>
          <w:color w:val="auto"/>
        </w:rPr>
      </w:pPr>
    </w:p>
    <w:p>
      <w:pPr>
        <w:ind w:left="840" w:hanging="413"/>
        <w:spacing w:after="0" w:line="281"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54" w:lineRule="exact"/>
        <w:rPr>
          <w:rFonts w:ascii="Times New Roman" w:cs="Times New Roman" w:eastAsia="Times New Roman" w:hAnsi="Times New Roman"/>
          <w:sz w:val="18"/>
          <w:szCs w:val="18"/>
          <w:color w:val="auto"/>
        </w:rPr>
      </w:pPr>
    </w:p>
    <w:p>
      <w:pPr>
        <w:ind w:left="840" w:right="80" w:hanging="413"/>
        <w:spacing w:after="0" w:line="281"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or REMS, or create a medication guide outlining the risks of such side effects for distribution to patients;</w:t>
      </w:r>
    </w:p>
    <w:p>
      <w:pPr>
        <w:spacing w:after="0" w:line="54" w:lineRule="exact"/>
        <w:rPr>
          <w:rFonts w:ascii="Times New Roman" w:cs="Times New Roman" w:eastAsia="Times New Roman" w:hAnsi="Times New Roman"/>
          <w:sz w:val="18"/>
          <w:szCs w:val="18"/>
          <w:color w:val="auto"/>
        </w:rPr>
      </w:pPr>
    </w:p>
    <w:p>
      <w:pPr>
        <w:ind w:left="840" w:right="160" w:hanging="413"/>
        <w:spacing w:after="0" w:line="281"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or promotion of the particular product or the manufacturing processes for the product or any component thereof;</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could become less competitive; and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65" w:lineRule="exact"/>
        <w:rPr>
          <w:sz w:val="20"/>
          <w:szCs w:val="20"/>
          <w:color w:val="auto"/>
        </w:rPr>
      </w:pPr>
    </w:p>
    <w:p>
      <w:pPr>
        <w:ind w:firstLine="416"/>
        <w:spacing w:after="0" w:line="28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 w:name="page42"/>
    <w:bookmarkEnd w:id="41"/>
    <w:p>
      <w:pPr>
        <w:ind w:left="4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64"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Common Stock” for more disclosure related to the risk of volatility in our stock price.</w:t>
      </w:r>
    </w:p>
    <w:p>
      <w:pPr>
        <w:spacing w:after="0" w:line="18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PRT1419, PRT2527, PRT3645, or PRT3789, or any other product candidates may be harmed, which could harm our business, financial condition, results of operations and prospects.</w:t>
      </w:r>
    </w:p>
    <w:p>
      <w:pPr>
        <w:spacing w:after="0" w:line="249" w:lineRule="exact"/>
        <w:rPr>
          <w:sz w:val="20"/>
          <w:szCs w:val="20"/>
          <w:color w:val="auto"/>
        </w:rPr>
      </w:pPr>
    </w:p>
    <w:p>
      <w:pPr>
        <w:ind w:left="4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3" w:lineRule="exact"/>
        <w:rPr>
          <w:sz w:val="20"/>
          <w:szCs w:val="20"/>
          <w:color w:val="auto"/>
        </w:rPr>
      </w:pPr>
    </w:p>
    <w:p>
      <w:pPr>
        <w:ind w:right="240" w:firstLine="416"/>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design additional potential product candidates.</w:t>
      </w:r>
    </w:p>
    <w:p>
      <w:pPr>
        <w:spacing w:after="0" w:line="107"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47" w:lineRule="exact"/>
        <w:rPr>
          <w:sz w:val="20"/>
          <w:szCs w:val="20"/>
          <w:color w:val="auto"/>
        </w:rPr>
      </w:pPr>
    </w:p>
    <w:p>
      <w:pPr>
        <w:ind w:left="5540" w:right="2860" w:hanging="5113"/>
        <w:spacing w:after="0" w:line="531" w:lineRule="auto"/>
        <w:tabs>
          <w:tab w:leader="none" w:pos="8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selection methodology used may not be successful in identifying potential product candidates;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2" w:name="page43"/>
    <w:bookmarkEnd w:id="42"/>
    <w:p>
      <w:pPr>
        <w:ind w:left="840" w:right="440" w:hanging="413"/>
        <w:spacing w:after="0" w:line="281"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drugs that will obtain marketing approval or achieve market acceptance; or</w:t>
      </w:r>
    </w:p>
    <w:p>
      <w:pPr>
        <w:spacing w:after="0" w:line="2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not be effective in treating their targeted diseases.</w:t>
      </w:r>
    </w:p>
    <w:p>
      <w:pPr>
        <w:spacing w:after="0" w:line="225" w:lineRule="exact"/>
        <w:rPr>
          <w:sz w:val="20"/>
          <w:szCs w:val="20"/>
          <w:color w:val="auto"/>
        </w:rPr>
      </w:pPr>
    </w:p>
    <w:p>
      <w:pPr>
        <w:ind w:right="100" w:firstLine="416"/>
        <w:spacing w:after="0" w:line="260" w:lineRule="auto"/>
        <w:rPr>
          <w:sz w:val="20"/>
          <w:szCs w:val="20"/>
          <w:color w:val="auto"/>
        </w:rPr>
      </w:pPr>
      <w:r>
        <w:rPr>
          <w:rFonts w:ascii="Times New Roman" w:cs="Times New Roman" w:eastAsia="Times New Roman" w:hAnsi="Times New Roman"/>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44" w:lineRule="exact"/>
        <w:rPr>
          <w:sz w:val="20"/>
          <w:szCs w:val="20"/>
          <w:color w:val="auto"/>
        </w:rPr>
      </w:pPr>
    </w:p>
    <w:p>
      <w:pPr>
        <w:ind w:left="4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pharmaceutical products are subject to extensive regulation, and we may not obtain regulatory approvals for PRT1419, PRT2527, PRT3645, PRT3789 or any other product candidates, on a timely basis or at all.</w:t>
      </w:r>
    </w:p>
    <w:p>
      <w:pPr>
        <w:spacing w:after="0" w:line="64"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PRT1419, PRT2527, PRT3645, and PRT3789,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216" w:lineRule="exact"/>
        <w:rPr>
          <w:sz w:val="20"/>
          <w:szCs w:val="20"/>
          <w:color w:val="auto"/>
        </w:rPr>
      </w:pPr>
    </w:p>
    <w:p>
      <w:pPr>
        <w:ind w:right="80" w:firstLine="416"/>
        <w:spacing w:after="0" w:line="260" w:lineRule="auto"/>
        <w:rPr>
          <w:sz w:val="20"/>
          <w:szCs w:val="20"/>
          <w:color w:val="auto"/>
        </w:rPr>
      </w:pPr>
      <w:r>
        <w:rPr>
          <w:rFonts w:ascii="Times New Roman" w:cs="Times New Roman" w:eastAsia="Times New Roman" w:hAnsi="Times New Roman"/>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209"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 The results of preclinical and early clinical trials of PRT1419, PRT2527, PRT3645, PRT3789 or any other product candidate may not be predictive of the results of our later-stage clinical trials.</w:t>
      </w:r>
    </w:p>
    <w:p>
      <w:pPr>
        <w:spacing w:after="0" w:line="209"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FDA could delay, limit or deny approval of a product candidate for many reasons, including because the FDA:</w:t>
      </w:r>
    </w:p>
    <w:p>
      <w:pPr>
        <w:spacing w:after="0" w:line="130" w:lineRule="exact"/>
        <w:rPr>
          <w:sz w:val="20"/>
          <w:szCs w:val="20"/>
          <w:color w:val="auto"/>
        </w:rPr>
      </w:pPr>
    </w:p>
    <w:p>
      <w:pPr>
        <w:ind w:left="840" w:hanging="413"/>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deem our product candidate to be safe and effective;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product candidate does not have an acceptable benefit-risk profile;</w:t>
      </w:r>
    </w:p>
    <w:p>
      <w:pPr>
        <w:spacing w:after="0" w:line="116" w:lineRule="exact"/>
        <w:rPr>
          <w:rFonts w:ascii="Times New Roman" w:cs="Times New Roman" w:eastAsia="Times New Roman" w:hAnsi="Times New Roman"/>
          <w:sz w:val="18"/>
          <w:szCs w:val="18"/>
          <w:color w:val="auto"/>
        </w:rPr>
      </w:pPr>
    </w:p>
    <w:p>
      <w:pPr>
        <w:ind w:left="840" w:right="100" w:hanging="413"/>
        <w:spacing w:after="0" w:line="281" w:lineRule="auto"/>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in the case of an NDA seeking accelerated approval that the NDA does not provide evidence that the product candidate represents a meaningful advantage over available therapies;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that the objective response rate, or ORR, and duration of response are not clinically meaningful;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3" w:name="page44"/>
    <w:bookmarkEnd w:id="43"/>
    <w:p>
      <w:pPr>
        <w:ind w:left="840" w:right="20" w:hanging="413"/>
        <w:spacing w:after="0" w:line="281"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adverse events experienced by participants in our clinical trials represent an unacceptable level of risk;</w:t>
      </w:r>
    </w:p>
    <w:p>
      <w:pPr>
        <w:spacing w:after="0" w:line="116" w:lineRule="exact"/>
        <w:rPr>
          <w:rFonts w:ascii="Times New Roman" w:cs="Times New Roman" w:eastAsia="Times New Roman" w:hAnsi="Times New Roman"/>
          <w:sz w:val="18"/>
          <w:szCs w:val="18"/>
          <w:color w:val="auto"/>
        </w:rPr>
      </w:pPr>
    </w:p>
    <w:p>
      <w:pPr>
        <w:ind w:left="840" w:right="160" w:hanging="413"/>
        <w:spacing w:after="0" w:line="281"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determine that population studied in the clinical trial may not be sufficiently broad or representative to assure safety in the full population for which we seek approval;</w:t>
      </w:r>
    </w:p>
    <w:p>
      <w:pPr>
        <w:spacing w:after="0" w:line="54" w:lineRule="exact"/>
        <w:rPr>
          <w:rFonts w:ascii="Times New Roman" w:cs="Times New Roman" w:eastAsia="Times New Roman" w:hAnsi="Times New Roman"/>
          <w:sz w:val="18"/>
          <w:szCs w:val="18"/>
          <w:color w:val="auto"/>
        </w:rPr>
      </w:pPr>
    </w:p>
    <w:p>
      <w:pPr>
        <w:ind w:left="840" w:right="600" w:hanging="413"/>
        <w:spacing w:after="0" w:line="281"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accept clinical data from trials, which are conducted at clinical facilities or in countries where the standard of care is potentially different from that of the United States;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disagree regarding the formulation, labeling and/or the specifications;</w:t>
      </w:r>
    </w:p>
    <w:p>
      <w:pPr>
        <w:spacing w:after="0" w:line="116" w:lineRule="exact"/>
        <w:rPr>
          <w:rFonts w:ascii="Times New Roman" w:cs="Times New Roman" w:eastAsia="Times New Roman" w:hAnsi="Times New Roman"/>
          <w:sz w:val="18"/>
          <w:szCs w:val="18"/>
          <w:color w:val="auto"/>
        </w:rPr>
      </w:pPr>
    </w:p>
    <w:p>
      <w:pPr>
        <w:ind w:left="840" w:right="280" w:hanging="413"/>
        <w:spacing w:after="0" w:line="281"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approve the manufacturing processes associated with our product candidate or may determine that a manufacturing facility does not have an acceptable compliance status;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change approval policies or adopt new regulations; or</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file a submission due to, among other reasons, the content or formatting of the submission.</w:t>
      </w:r>
    </w:p>
    <w:p>
      <w:pPr>
        <w:spacing w:after="0" w:line="265" w:lineRule="exact"/>
        <w:rPr>
          <w:sz w:val="20"/>
          <w:szCs w:val="20"/>
          <w:color w:val="auto"/>
        </w:rPr>
      </w:pPr>
    </w:p>
    <w:p>
      <w:pPr>
        <w:ind w:right="60" w:firstLine="416"/>
        <w:spacing w:after="0" w:line="253" w:lineRule="auto"/>
        <w:rPr>
          <w:sz w:val="20"/>
          <w:szCs w:val="20"/>
          <w:color w:val="auto"/>
        </w:rPr>
      </w:pPr>
      <w:r>
        <w:rPr>
          <w:rFonts w:ascii="Times New Roman" w:cs="Times New Roman" w:eastAsia="Times New Roman" w:hAnsi="Times New Roman"/>
          <w:sz w:val="18"/>
          <w:szCs w:val="18"/>
          <w:color w:val="auto"/>
        </w:rPr>
        <w:t>In addition, we may experience delays or rejections based upon additional government regulation from future legislation or administrative action, or changes in regulatory authority policy during the period of product development, clinical trials, and the review process. For example, the Oncology Center of Excellence, or OCE, within the FDA has recently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We are considering these policy changes as they relate to our programs. We have not obtained FDA approval for any product. This lack of experience may impede our ability to obtain FDA approval in a timely manner, if at all, for our clinical product candidates.</w:t>
      </w:r>
    </w:p>
    <w:p>
      <w:pPr>
        <w:spacing w:after="0" w:line="216" w:lineRule="exact"/>
        <w:rPr>
          <w:sz w:val="20"/>
          <w:szCs w:val="20"/>
          <w:color w:val="auto"/>
        </w:rPr>
      </w:pPr>
    </w:p>
    <w:p>
      <w:pPr>
        <w:ind w:right="20" w:firstLine="416"/>
        <w:spacing w:after="0" w:line="281" w:lineRule="auto"/>
        <w:rPr>
          <w:sz w:val="20"/>
          <w:szCs w:val="20"/>
          <w:color w:val="auto"/>
        </w:rPr>
      </w:pPr>
      <w:r>
        <w:rPr>
          <w:rFonts w:ascii="Times New Roman" w:cs="Times New Roman" w:eastAsia="Times New Roman" w:hAnsi="Times New Roman"/>
          <w:sz w:val="18"/>
          <w:szCs w:val="18"/>
          <w:color w:val="auto"/>
        </w:rPr>
        <w:t>We have not obtained FDA approval for any product. This lack of experience may impede our ability to obtain FDA approval in a timely manner, if at all, for our clinical product candidates.</w:t>
      </w:r>
    </w:p>
    <w:p>
      <w:pPr>
        <w:spacing w:after="0" w:line="163" w:lineRule="exact"/>
        <w:rPr>
          <w:sz w:val="20"/>
          <w:szCs w:val="20"/>
          <w:color w:val="auto"/>
        </w:rPr>
      </w:pPr>
    </w:p>
    <w:p>
      <w:pPr>
        <w:ind w:right="240" w:firstLine="416"/>
        <w:spacing w:after="0" w:line="265"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PRT1419, PRT2527, PRT3645, or PRT3789, our commercial prospects will be harmed and our ability to generate revenues will be materially impaired which would adversely affect our business, prospects, financial condition and results of operations.</w:t>
      </w:r>
    </w:p>
    <w:p>
      <w:pPr>
        <w:spacing w:after="0" w:line="322" w:lineRule="exact"/>
        <w:rPr>
          <w:sz w:val="20"/>
          <w:szCs w:val="20"/>
          <w:color w:val="auto"/>
        </w:rPr>
      </w:pPr>
    </w:p>
    <w:p>
      <w:pPr>
        <w:ind w:left="4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4"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212" w:lineRule="exact"/>
        <w:rPr>
          <w:sz w:val="20"/>
          <w:szCs w:val="20"/>
          <w:color w:val="auto"/>
        </w:rPr>
      </w:pPr>
    </w:p>
    <w:p>
      <w:pPr>
        <w:ind w:right="40" w:firstLine="416"/>
        <w:spacing w:after="0" w:line="260" w:lineRule="auto"/>
        <w:rPr>
          <w:sz w:val="20"/>
          <w:szCs w:val="20"/>
          <w:color w:val="auto"/>
        </w:rPr>
      </w:pPr>
      <w:r>
        <w:rPr>
          <w:rFonts w:ascii="Times New Roman" w:cs="Times New Roman" w:eastAsia="Times New Roman" w:hAnsi="Times New Roman"/>
          <w:sz w:val="18"/>
          <w:szCs w:val="18"/>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granting accelerated approval. If any of our competitors were to receive full approval on the basis of a confirmatory trial for an indication for which we are seeking accelerated approval before we receive accelerated approval, the indication we are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150" w:lineRule="exact"/>
        <w:rPr>
          <w:sz w:val="20"/>
          <w:szCs w:val="20"/>
          <w:color w:val="auto"/>
        </w:rPr>
      </w:pPr>
    </w:p>
    <w:p>
      <w:pPr>
        <w:ind w:left="840" w:right="560" w:hanging="413"/>
        <w:spacing w:after="0" w:line="281"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evidence demonstrates that our product candidate is not shown to be safe or effective under the conditions of use;</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conduct any required post-approval trial of our product candidate with due diligence; or</w:t>
      </w:r>
    </w:p>
    <w:p>
      <w:pPr>
        <w:spacing w:after="0" w:line="10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disseminate false or misleading promotional materials relating to the relevant product candidate.</w:t>
      </w:r>
    </w:p>
    <w:p>
      <w:pPr>
        <w:spacing w:after="0" w:line="144" w:lineRule="exact"/>
        <w:rPr>
          <w:sz w:val="20"/>
          <w:szCs w:val="20"/>
          <w:color w:val="auto"/>
        </w:rPr>
      </w:pPr>
    </w:p>
    <w:p>
      <w:pPr>
        <w:ind w:right="80" w:firstLine="419"/>
        <w:spacing w:after="0" w:line="254" w:lineRule="auto"/>
        <w:rPr>
          <w:sz w:val="20"/>
          <w:szCs w:val="20"/>
          <w:color w:val="auto"/>
        </w:rPr>
      </w:pPr>
      <w:r>
        <w:rPr>
          <w:rFonts w:ascii="Times New Roman" w:cs="Times New Roman" w:eastAsia="Times New Roman" w:hAnsi="Times New Roman"/>
          <w:sz w:val="18"/>
          <w:szCs w:val="18"/>
          <w:color w:val="auto"/>
        </w:rPr>
        <w:t>Recently, the accelerated approval pathway has come under scrutiny within the FDA and by Congress. The FDA has put increased focus on ensuring that confirmatory studies are conducted with diligence and, ultimately, that such studies confirm the benefit. For example, FDA has convened its Oncologic Drugs Advisory Committee to review what the FDA has called dangling or delinquent accelerated approvals where confirmatory studies have not been completed or where results did not confirm benefit. In addition, the OCE has recently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 Furthermore, Congress is considering various proposals to potentially make changes to the accelerated approval pathway, including proposals to increase the likelihood of withdrawal of approval in such circumstances.</w:t>
      </w:r>
    </w:p>
    <w:p>
      <w:pPr>
        <w:spacing w:after="0" w:line="293" w:lineRule="exact"/>
        <w:rPr>
          <w:sz w:val="20"/>
          <w:szCs w:val="20"/>
          <w:color w:val="auto"/>
        </w:rPr>
      </w:pPr>
    </w:p>
    <w:p>
      <w:pPr>
        <w:ind w:left="4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52" w:lineRule="exact"/>
        <w:rPr>
          <w:sz w:val="20"/>
          <w:szCs w:val="20"/>
          <w:color w:val="auto"/>
        </w:rPr>
      </w:pPr>
    </w:p>
    <w:p>
      <w:pPr>
        <w:ind w:right="60" w:firstLine="416"/>
        <w:spacing w:after="0" w:line="271" w:lineRule="auto"/>
        <w:rPr>
          <w:sz w:val="20"/>
          <w:szCs w:val="20"/>
          <w:color w:val="auto"/>
        </w:rPr>
      </w:pPr>
      <w:r>
        <w:rPr>
          <w:rFonts w:ascii="Times New Roman" w:cs="Times New Roman" w:eastAsia="Times New Roman" w:hAnsi="Times New Roman"/>
          <w:sz w:val="17"/>
          <w:szCs w:val="17"/>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3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w:t>
      </w:r>
    </w:p>
    <w:p>
      <w:pPr>
        <w:spacing w:after="0" w:line="107"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82"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firstLine="416"/>
        <w:spacing w:after="0" w:line="253" w:lineRule="auto"/>
        <w:rPr>
          <w:sz w:val="20"/>
          <w:szCs w:val="20"/>
          <w:color w:val="auto"/>
        </w:rPr>
      </w:pPr>
      <w:r>
        <w:rPr>
          <w:rFonts w:ascii="Times New Roman" w:cs="Times New Roman" w:eastAsia="Times New Roman" w:hAnsi="Times New Roman"/>
          <w:sz w:val="18"/>
          <w:szCs w:val="18"/>
          <w:color w:val="auto"/>
        </w:rPr>
        <w:t>We may apply for an orphan drug designation in the United States or other geographies for our product candidates, where such designation is available,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w:t>
      </w:r>
    </w:p>
    <w:p>
      <w:pPr>
        <w:spacing w:after="0" w:line="336" w:lineRule="exact"/>
        <w:rPr>
          <w:sz w:val="20"/>
          <w:szCs w:val="20"/>
          <w:color w:val="auto"/>
        </w:rPr>
      </w:pPr>
    </w:p>
    <w:p>
      <w:pPr>
        <w:ind w:left="4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64"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213" w:lineRule="exact"/>
        <w:rPr>
          <w:sz w:val="20"/>
          <w:szCs w:val="20"/>
          <w:color w:val="auto"/>
        </w:rPr>
      </w:pPr>
    </w:p>
    <w:p>
      <w:pPr>
        <w:ind w:right="80" w:firstLine="416"/>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330" w:lineRule="exact"/>
        <w:rPr>
          <w:sz w:val="20"/>
          <w:szCs w:val="20"/>
          <w:color w:val="auto"/>
        </w:rPr>
      </w:pPr>
    </w:p>
    <w:p>
      <w:pPr>
        <w:ind w:left="4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7" w:lineRule="exact"/>
        <w:rPr>
          <w:sz w:val="20"/>
          <w:szCs w:val="20"/>
          <w:color w:val="auto"/>
        </w:rPr>
      </w:pPr>
    </w:p>
    <w:p>
      <w:pPr>
        <w:ind w:right="240" w:firstLine="416"/>
        <w:spacing w:after="0" w:line="261" w:lineRule="auto"/>
        <w:rPr>
          <w:sz w:val="20"/>
          <w:szCs w:val="20"/>
          <w:color w:val="auto"/>
        </w:rPr>
      </w:pPr>
      <w:r>
        <w:rPr>
          <w:rFonts w:ascii="Times New Roman" w:cs="Times New Roman" w:eastAsia="Times New Roman" w:hAnsi="Times New Roman"/>
          <w:sz w:val="18"/>
          <w:szCs w:val="18"/>
          <w:color w:val="auto"/>
        </w:rPr>
        <w:t xml:space="preserve">A companion diagnostic is a medical device, often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207" w:lineRule="exact"/>
        <w:rPr>
          <w:sz w:val="20"/>
          <w:szCs w:val="20"/>
          <w:color w:val="auto"/>
        </w:rPr>
      </w:pPr>
    </w:p>
    <w:p>
      <w:pPr>
        <w:jc w:val="both"/>
        <w:ind w:right="80" w:firstLine="416"/>
        <w:spacing w:after="0" w:line="276" w:lineRule="auto"/>
        <w:rPr>
          <w:sz w:val="20"/>
          <w:szCs w:val="20"/>
          <w:color w:val="auto"/>
        </w:rPr>
      </w:pPr>
      <w:r>
        <w:rPr>
          <w:rFonts w:ascii="Times New Roman" w:cs="Times New Roman" w:eastAsia="Times New Roman" w:hAnsi="Times New Roman"/>
          <w:sz w:val="17"/>
          <w:szCs w:val="17"/>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97" w:lineRule="exact"/>
        <w:rPr>
          <w:sz w:val="20"/>
          <w:szCs w:val="20"/>
          <w:color w:val="auto"/>
        </w:rPr>
      </w:pPr>
    </w:p>
    <w:p>
      <w:pPr>
        <w:ind w:right="40" w:firstLine="416"/>
        <w:spacing w:after="0" w:line="265" w:lineRule="auto"/>
        <w:rPr>
          <w:sz w:val="20"/>
          <w:szCs w:val="20"/>
          <w:color w:val="auto"/>
        </w:rPr>
      </w:pPr>
      <w:r>
        <w:rPr>
          <w:rFonts w:ascii="Times New Roman" w:cs="Times New Roman" w:eastAsia="Times New Roman" w:hAnsi="Times New Roman"/>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FDA and IRB is required before such diagnostic is used in conjunction with the clinical trials for a corresponding product candidate.</w:t>
      </w:r>
    </w:p>
    <w:p>
      <w:pPr>
        <w:spacing w:after="0" w:line="251"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If we decide to pursue a Fast Track Designation by the FDA, it may not lead to a faster development or regulatory review or approval process.</w:t>
      </w:r>
    </w:p>
    <w:p>
      <w:pPr>
        <w:spacing w:after="0" w:line="134"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330" w:lineRule="exact"/>
        <w:rPr>
          <w:sz w:val="20"/>
          <w:szCs w:val="20"/>
          <w:color w:val="auto"/>
        </w:rPr>
      </w:pPr>
    </w:p>
    <w:p>
      <w:pPr>
        <w:ind w:left="42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9" w:lineRule="exact"/>
        <w:rPr>
          <w:sz w:val="20"/>
          <w:szCs w:val="20"/>
          <w:color w:val="auto"/>
        </w:rPr>
      </w:pPr>
    </w:p>
    <w:p>
      <w:pPr>
        <w:ind w:right="120" w:firstLine="416"/>
        <w:spacing w:after="0" w:line="260" w:lineRule="auto"/>
        <w:rPr>
          <w:sz w:val="20"/>
          <w:szCs w:val="20"/>
          <w:color w:val="auto"/>
        </w:rPr>
      </w:pPr>
      <w:r>
        <w:rPr>
          <w:rFonts w:ascii="Times New Roman" w:cs="Times New Roman" w:eastAsia="Times New Roman" w:hAnsi="Times New Roman"/>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w:t>
      </w:r>
    </w:p>
    <w:p>
      <w:pPr>
        <w:spacing w:after="0" w:line="182" w:lineRule="exact"/>
        <w:rPr>
          <w:sz w:val="20"/>
          <w:szCs w:val="20"/>
          <w:color w:val="auto"/>
        </w:rPr>
      </w:pPr>
    </w:p>
    <w:p>
      <w:pPr>
        <w:ind w:right="160" w:firstLine="416"/>
        <w:spacing w:after="0" w:line="265"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77" w:lineRule="exact"/>
        <w:rPr>
          <w:sz w:val="20"/>
          <w:szCs w:val="20"/>
          <w:color w:val="auto"/>
        </w:rPr>
      </w:pPr>
    </w:p>
    <w:p>
      <w:pPr>
        <w:ind w:right="40" w:firstLine="416"/>
        <w:spacing w:after="0" w:line="260" w:lineRule="auto"/>
        <w:rPr>
          <w:sz w:val="20"/>
          <w:szCs w:val="20"/>
          <w:color w:val="auto"/>
        </w:rPr>
      </w:pPr>
      <w:r>
        <w:rPr>
          <w:rFonts w:ascii="Times New Roman" w:cs="Times New Roman" w:eastAsia="Times New Roman" w:hAnsi="Times New Roman"/>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2" w:lineRule="exact"/>
        <w:rPr>
          <w:sz w:val="20"/>
          <w:szCs w:val="20"/>
          <w:color w:val="auto"/>
        </w:rPr>
      </w:pPr>
    </w:p>
    <w:p>
      <w:pPr>
        <w:ind w:right="260" w:firstLine="416"/>
        <w:spacing w:after="0" w:line="26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7" w:name="page48"/>
    <w:bookmarkEnd w:id="47"/>
    <w:p>
      <w:pPr>
        <w:ind w:right="240"/>
        <w:spacing w:after="0" w:line="281" w:lineRule="auto"/>
        <w:rPr>
          <w:sz w:val="20"/>
          <w:szCs w:val="20"/>
          <w:color w:val="auto"/>
        </w:rPr>
      </w:pPr>
      <w:r>
        <w:rPr>
          <w:rFonts w:ascii="Times New Roman" w:cs="Times New Roman" w:eastAsia="Times New Roman" w:hAnsi="Times New Roman"/>
          <w:sz w:val="18"/>
          <w:szCs w:val="18"/>
          <w:color w:val="auto"/>
        </w:rPr>
        <w:t>documentation and reporting requirements. We and our CMOs could be subject to periodic unannounced inspections by the FDA to monitor and ensure compliance with cGMPs.</w:t>
      </w:r>
    </w:p>
    <w:p>
      <w:pPr>
        <w:spacing w:after="0" w:line="163"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313" w:lineRule="exact"/>
        <w:rPr>
          <w:sz w:val="20"/>
          <w:szCs w:val="20"/>
          <w:color w:val="auto"/>
        </w:rPr>
      </w:pPr>
    </w:p>
    <w:p>
      <w:pPr>
        <w:ind w:left="4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174" w:lineRule="exact"/>
        <w:rPr>
          <w:sz w:val="20"/>
          <w:szCs w:val="20"/>
          <w:color w:val="auto"/>
        </w:rPr>
      </w:pPr>
    </w:p>
    <w:p>
      <w:pPr>
        <w:ind w:right="180" w:firstLine="416"/>
        <w:spacing w:after="0" w:line="25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86"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81" w:lineRule="exact"/>
        <w:rPr>
          <w:sz w:val="20"/>
          <w:szCs w:val="20"/>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6"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48" w:name="page49"/>
    <w:bookmarkEnd w:id="48"/>
    <w:p>
      <w:pPr>
        <w:ind w:left="960" w:hanging="533"/>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38" w:lineRule="exact"/>
        <w:rPr>
          <w:sz w:val="20"/>
          <w:szCs w:val="20"/>
          <w:color w:val="auto"/>
        </w:rPr>
      </w:pPr>
    </w:p>
    <w:p>
      <w:pPr>
        <w:ind w:right="740" w:firstLine="416"/>
        <w:spacing w:after="0" w:line="281"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80" w:lineRule="exact"/>
        <w:rPr>
          <w:sz w:val="20"/>
          <w:szCs w:val="20"/>
          <w:color w:val="auto"/>
        </w:rPr>
      </w:pPr>
    </w:p>
    <w:p>
      <w:pPr>
        <w:ind w:left="4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66" w:lineRule="exact"/>
        <w:rPr>
          <w:sz w:val="20"/>
          <w:szCs w:val="20"/>
          <w:color w:val="auto"/>
        </w:rPr>
      </w:pPr>
    </w:p>
    <w:p>
      <w:pPr>
        <w:ind w:right="120" w:firstLine="419"/>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74" w:lineRule="exact"/>
        <w:rPr>
          <w:sz w:val="20"/>
          <w:szCs w:val="20"/>
          <w:color w:val="auto"/>
        </w:rPr>
      </w:pPr>
    </w:p>
    <w:p>
      <w:pPr>
        <w:ind w:left="840" w:right="140" w:hanging="413"/>
        <w:spacing w:after="0" w:line="260"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46" w:lineRule="exact"/>
        <w:rPr>
          <w:rFonts w:ascii="Times New Roman" w:cs="Times New Roman" w:eastAsia="Times New Roman" w:hAnsi="Times New Roman"/>
          <w:sz w:val="18"/>
          <w:szCs w:val="18"/>
          <w:color w:val="auto"/>
        </w:rPr>
      </w:pPr>
    </w:p>
    <w:p>
      <w:pPr>
        <w:ind w:left="840" w:hanging="413"/>
        <w:spacing w:after="0" w:line="258"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60" w:lineRule="exact"/>
        <w:rPr>
          <w:rFonts w:ascii="Times New Roman" w:cs="Times New Roman" w:eastAsia="Times New Roman" w:hAnsi="Times New Roman"/>
          <w:sz w:val="18"/>
          <w:szCs w:val="18"/>
          <w:color w:val="auto"/>
        </w:rPr>
      </w:pPr>
    </w:p>
    <w:p>
      <w:pPr>
        <w:ind w:left="840" w:right="100" w:hanging="413"/>
        <w:spacing w:after="0" w:line="280" w:lineRule="auto"/>
        <w:tabs>
          <w:tab w:leader="none" w:pos="8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prohibits, among other things, knowingly and willfully executing, or attempting to execute, a scheme to defraud any healthcare benefit program, regardless of the payor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45" w:lineRule="exact"/>
        <w:rPr>
          <w:rFonts w:ascii="Times New Roman" w:cs="Times New Roman" w:eastAsia="Times New Roman" w:hAnsi="Times New Roman"/>
          <w:sz w:val="17"/>
          <w:szCs w:val="17"/>
          <w:color w:val="auto"/>
        </w:rPr>
      </w:pPr>
    </w:p>
    <w:p>
      <w:pPr>
        <w:ind w:left="840" w:right="20" w:hanging="413"/>
        <w:spacing w:after="0" w:line="260"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46" w:lineRule="exact"/>
        <w:rPr>
          <w:rFonts w:ascii="Times New Roman" w:cs="Times New Roman" w:eastAsia="Times New Roman" w:hAnsi="Times New Roman"/>
          <w:sz w:val="18"/>
          <w:szCs w:val="18"/>
          <w:color w:val="auto"/>
        </w:rPr>
      </w:pPr>
    </w:p>
    <w:p>
      <w:pPr>
        <w:ind w:left="840" w:right="40" w:hanging="413"/>
        <w:spacing w:after="0" w:line="254"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annually report to the Centers for Medicare &amp; Medicaid Services, or CMS, information related to payments and other transfers of value provided to, and ownership and investment interests held by, physicians, defined to include doctors, dentists, optometrists, podiatrists and chiropractors,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anesthesiologist assistants, certified nurse anesthetists and certified nurse-midwives; and</w:t>
      </w:r>
    </w:p>
    <w:p>
      <w:pPr>
        <w:spacing w:after="0" w:line="67" w:lineRule="exact"/>
        <w:rPr>
          <w:rFonts w:ascii="Times New Roman" w:cs="Times New Roman" w:eastAsia="Times New Roman" w:hAnsi="Times New Roman"/>
          <w:sz w:val="18"/>
          <w:szCs w:val="18"/>
          <w:color w:val="auto"/>
        </w:rPr>
      </w:pPr>
    </w:p>
    <w:p>
      <w:pPr>
        <w:ind w:left="840" w:right="100" w:hanging="413"/>
        <w:spacing w:after="0" w:line="255" w:lineRule="auto"/>
        <w:tabs>
          <w:tab w:leader="none" w:pos="8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9" w:name="page50"/>
    <w:bookmarkEnd w:id="49"/>
    <w:p>
      <w:pPr>
        <w:ind w:left="840" w:right="240"/>
        <w:spacing w:after="0" w:line="281" w:lineRule="auto"/>
        <w:rPr>
          <w:sz w:val="20"/>
          <w:szCs w:val="20"/>
          <w:color w:val="auto"/>
        </w:rPr>
      </w:pPr>
      <w:r>
        <w:rPr>
          <w:rFonts w:ascii="Times New Roman" w:cs="Times New Roman" w:eastAsia="Times New Roman" w:hAnsi="Times New Roman"/>
          <w:sz w:val="18"/>
          <w:szCs w:val="18"/>
          <w:color w:val="auto"/>
        </w:rPr>
        <w:t>privacy and security of health information in some circumstances, many of which differ from each other in significant ways and often are not preempted by HIPAA, thus complicating compliance efforts.</w:t>
      </w:r>
    </w:p>
    <w:p>
      <w:pPr>
        <w:spacing w:after="0" w:line="190" w:lineRule="exact"/>
        <w:rPr>
          <w:sz w:val="20"/>
          <w:szCs w:val="20"/>
          <w:color w:val="auto"/>
        </w:rPr>
      </w:pPr>
    </w:p>
    <w:p>
      <w:pPr>
        <w:ind w:right="80" w:firstLine="416"/>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Health care policy changes, including U.S. health care reform legislation, may have a material adverse effect on our business.</w:t>
      </w:r>
    </w:p>
    <w:p>
      <w:pPr>
        <w:spacing w:after="0" w:line="121"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In response to perceived increases in health care costs in recent years, there have been and continue to be proposals by the federal government, state governments, regulators, and third-party payors to control these costs and, more generally, to reform the U.S. health care system. Certain of these proposals could limit the prices we are able to charge for our products or the amounts of reimbursement available for our products and could limit the acceptance and availability of our products. Further, while the United States has begun shifting to pay-for-performance rather than fee-for-service models and has been embracing many shared-risk arrangements, CMS and OIG specifically excluded medical device manufacturers from utilizing the new, more flexible Stark Law exceptions and Anti-Kickback Statute safe harbors under the Final Rules, part of the U.S. Department of Health and Human Services’ Regulatory Sprint to Coordinated Care, which were published on December 2, 2020 in the Federal Register and were largely effective January 19, 2021. The exclusion of manufacturers from utilizing these exceptions and safe harbors will not allow us to avail ourselves of immunity from liability under the laws, potentially inviting greater scrutiny over our shared risk arrangements.</w:t>
      </w:r>
    </w:p>
    <w:p>
      <w:pPr>
        <w:spacing w:after="0" w:line="78"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Comprehensive healthcare legislation, signed into law in the United States in March 2010, titled the Patient Protection and Affordable Care Act, as amended by the Health Care and Education Affordability Reconciliation Act of 2010, collectively, the ACA, imposes certain stringent compliance, recordkeeping, and reporting requirements on companies in various sectors of the life sciences industry, and enhanced penalties for non-compliance. Despite the ACA going into effect over a decade ago, there have been numerous legal and Congressional challenges to the law’s provisions and the effect of certain provisions have made compliance costly. More recently, in June 2021, a case challenging the constitutionality of the ACA’s individual mandate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was overturned at the Supreme Court.</w:t>
      </w:r>
    </w:p>
    <w:p>
      <w:pPr>
        <w:spacing w:after="0" w:line="78" w:lineRule="exact"/>
        <w:rPr>
          <w:sz w:val="20"/>
          <w:szCs w:val="20"/>
          <w:color w:val="auto"/>
        </w:rPr>
      </w:pPr>
    </w:p>
    <w:p>
      <w:pPr>
        <w:ind w:right="280" w:firstLine="479"/>
        <w:spacing w:after="0" w:line="260" w:lineRule="auto"/>
        <w:rPr>
          <w:sz w:val="20"/>
          <w:szCs w:val="20"/>
          <w:color w:val="auto"/>
        </w:rPr>
      </w:pPr>
      <w:r>
        <w:rPr>
          <w:rFonts w:ascii="Times New Roman" w:cs="Times New Roman" w:eastAsia="Times New Roman" w:hAnsi="Times New Roman"/>
          <w:sz w:val="18"/>
          <w:szCs w:val="18"/>
          <w:color w:val="auto"/>
        </w:rPr>
        <w:t>We cannot predict what additional new legislation, agency priorities, and rulemakings may be on the horizon as the United States continues to reassess how it pays for healthcare. As a result, we cannot quantify or predict what impact any changes might have on our business and results of operations. However, any changes that lower reimbursement for our products could materially and adversely affect our business, financial condition and results of operations.</w:t>
      </w:r>
    </w:p>
    <w:p>
      <w:pPr>
        <w:spacing w:after="0" w:line="74"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Other legal, regulatory and commercial policy influences are subjecting our industry to significant changes, and we cannot predict whether new regulations or policies will emerge from U.S. federal or state governments, foreign governments, or third-party payors. Government and commercial payors may, in the future, consider healthcare policies and proposals intended to curb rising healthcare costs, including those that could significantly affect reimbursement for healthcare products such as our systems. These policies have included, and may in the future include: basing reimbursement policies and rates on clinical outcomes, the comparative effectiveness, and costs, of different treatment technologies and modalities; imposing price controls and taxes on medical device providers; and other measures. These policies recently culminated in the enactment of the Inflation Reduction Act, or IRA, in August 2022, which will, among other things, allow the U.S. Department of Health and Human Services, or HHS, to negotiate the selling price of certain drugs and biologics that CMS reimburses under Medicare Part B and Part D, although this will only apply to high-expenditure single-source drugs that have been approved for at least 7 years (11 years for biologics). The negotiated prices, which will first become effective in 2026, will be capped at a statutory ceiling price beginning in October 2023, penalize drug manufacturers that increase prices of Medicare Part B and Part D drugs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 IRA also extends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0" w:name="page51"/>
    <w:bookmarkEnd w:id="50"/>
    <w:p>
      <w:pPr>
        <w:ind w:right="20"/>
        <w:spacing w:after="0" w:line="260" w:lineRule="auto"/>
        <w:rPr>
          <w:sz w:val="20"/>
          <w:szCs w:val="20"/>
          <w:color w:val="auto"/>
        </w:rPr>
      </w:pPr>
      <w:r>
        <w:rPr>
          <w:rFonts w:ascii="Times New Roman" w:cs="Times New Roman" w:eastAsia="Times New Roman" w:hAnsi="Times New Roman"/>
          <w:sz w:val="18"/>
          <w:szCs w:val="18"/>
          <w:color w:val="auto"/>
        </w:rPr>
        <w:t>enhanced subsidies for individuals purchasing health insurance coverage in ACA marketplaces through plan year 2025. These provisions will take effect progressively starting in 2023, although they may be subject to legal challenges. Future significant changes in the healthcare systems in the United States or elsewhere could also have a negative impact on the demand for our current and future products. These include changes that may reduce reimbursement rates for our products and changes that may be proposed or implemented by the current or future laws or regulations.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34"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 from its membership in the EU, often referred to as “Brexit”, could lead to legal and regulatory uncertainty in the United Kingdom and may lead to the United Kingdom and EU adopting divergent laws and regulations, including those related to the pricing of prescription pharmaceuticals, as 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191" w:lineRule="exact"/>
        <w:rPr>
          <w:sz w:val="20"/>
          <w:szCs w:val="20"/>
          <w:color w:val="auto"/>
        </w:rPr>
      </w:pPr>
    </w:p>
    <w:p>
      <w:pPr>
        <w:ind w:left="48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66" w:lineRule="exact"/>
        <w:rPr>
          <w:sz w:val="20"/>
          <w:szCs w:val="20"/>
          <w:color w:val="auto"/>
        </w:rPr>
      </w:pPr>
    </w:p>
    <w:p>
      <w:pPr>
        <w:ind w:right="60" w:firstLine="479"/>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200" w:lineRule="exact"/>
        <w:rPr>
          <w:sz w:val="20"/>
          <w:szCs w:val="20"/>
          <w:color w:val="auto"/>
        </w:rPr>
      </w:pPr>
    </w:p>
    <w:p>
      <w:pPr>
        <w:jc w:val="both"/>
        <w:ind w:right="80" w:firstLine="479"/>
        <w:spacing w:after="0" w:line="260"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2"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95" w:lineRule="exact"/>
        <w:rPr>
          <w:sz w:val="20"/>
          <w:szCs w:val="20"/>
          <w:color w:val="auto"/>
        </w:rPr>
      </w:pPr>
    </w:p>
    <w:p>
      <w:pPr>
        <w:ind w:right="60" w:firstLine="479"/>
        <w:spacing w:after="0" w:line="265"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ind w:left="4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50" w:lineRule="exact"/>
        <w:rPr>
          <w:sz w:val="20"/>
          <w:szCs w:val="20"/>
          <w:color w:val="auto"/>
        </w:rPr>
      </w:pPr>
    </w:p>
    <w:p>
      <w:pPr>
        <w:ind w:right="160" w:firstLine="479"/>
        <w:spacing w:after="0" w:line="256" w:lineRule="auto"/>
        <w:rPr>
          <w:sz w:val="20"/>
          <w:szCs w:val="20"/>
          <w:color w:val="auto"/>
        </w:rPr>
      </w:pPr>
      <w:r>
        <w:rPr>
          <w:rFonts w:ascii="Times New Roman" w:cs="Times New Roman" w:eastAsia="Times New Roman" w:hAnsi="Times New Roman"/>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99" w:lineRule="exact"/>
        <w:rPr>
          <w:sz w:val="20"/>
          <w:szCs w:val="20"/>
          <w:color w:val="auto"/>
        </w:rPr>
      </w:pPr>
    </w:p>
    <w:p>
      <w:pPr>
        <w:ind w:right="60" w:firstLine="479"/>
        <w:spacing w:after="0" w:line="260" w:lineRule="auto"/>
        <w:rPr>
          <w:sz w:val="20"/>
          <w:szCs w:val="20"/>
          <w:color w:val="auto"/>
        </w:rPr>
      </w:pPr>
      <w:r>
        <w:rPr>
          <w:rFonts w:ascii="Times New Roman" w:cs="Times New Roman" w:eastAsia="Times New Roman" w:hAnsi="Times New Roman"/>
          <w:sz w:val="18"/>
          <w:szCs w:val="18"/>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209" w:lineRule="exact"/>
        <w:rPr>
          <w:sz w:val="20"/>
          <w:szCs w:val="20"/>
          <w:color w:val="auto"/>
        </w:rPr>
      </w:pPr>
    </w:p>
    <w:p>
      <w:pPr>
        <w:ind w:firstLine="479"/>
        <w:spacing w:after="0" w:line="265" w:lineRule="auto"/>
        <w:rPr>
          <w:sz w:val="20"/>
          <w:szCs w:val="20"/>
          <w:color w:val="auto"/>
        </w:rPr>
      </w:pPr>
      <w:r>
        <w:rPr>
          <w:rFonts w:ascii="Times New Roman" w:cs="Times New Roman" w:eastAsia="Times New Roman" w:hAnsi="Times New Roman"/>
          <w:sz w:val="18"/>
          <w:szCs w:val="18"/>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204" w:lineRule="exact"/>
        <w:rPr>
          <w:sz w:val="20"/>
          <w:szCs w:val="20"/>
          <w:color w:val="auto"/>
        </w:rPr>
      </w:pPr>
    </w:p>
    <w:p>
      <w:pPr>
        <w:jc w:val="both"/>
        <w:ind w:right="200" w:firstLine="479"/>
        <w:spacing w:after="0" w:line="265" w:lineRule="auto"/>
        <w:rPr>
          <w:sz w:val="20"/>
          <w:szCs w:val="20"/>
          <w:color w:val="auto"/>
        </w:rPr>
      </w:pPr>
      <w:r>
        <w:rPr>
          <w:rFonts w:ascii="Times New Roman" w:cs="Times New Roman" w:eastAsia="Times New Roman" w:hAnsi="Times New Roman"/>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4" w:lineRule="exact"/>
        <w:rPr>
          <w:sz w:val="20"/>
          <w:szCs w:val="20"/>
          <w:color w:val="auto"/>
        </w:rPr>
      </w:pPr>
    </w:p>
    <w:p>
      <w:pPr>
        <w:jc w:val="both"/>
        <w:ind w:right="200" w:firstLine="479"/>
        <w:spacing w:after="0" w:line="26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322" w:lineRule="exact"/>
        <w:rPr>
          <w:sz w:val="20"/>
          <w:szCs w:val="20"/>
          <w:color w:val="auto"/>
        </w:rPr>
      </w:pPr>
    </w:p>
    <w:p>
      <w:pPr>
        <w:ind w:left="480" w:right="29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27"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213" w:lineRule="exact"/>
        <w:rPr>
          <w:sz w:val="20"/>
          <w:szCs w:val="20"/>
          <w:color w:val="auto"/>
        </w:rPr>
      </w:pPr>
    </w:p>
    <w:p>
      <w:pPr>
        <w:ind w:right="80" w:firstLine="479"/>
        <w:spacing w:after="0" w:line="281" w:lineRule="auto"/>
        <w:rPr>
          <w:sz w:val="20"/>
          <w:szCs w:val="20"/>
          <w:color w:val="auto"/>
        </w:rPr>
      </w:pPr>
      <w:r>
        <w:rPr>
          <w:rFonts w:ascii="Times New Roman" w:cs="Times New Roman" w:eastAsia="Times New Roman" w:hAnsi="Times New Roman"/>
          <w:sz w:val="18"/>
          <w:szCs w:val="18"/>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48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71"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all aspects of our preclinical testing or clinical trials ourselves. As a result, we are dependent on third parties to conduct our ongoing and planned clinical trials of PRT1419. PRT2527, PRT3645, and PRT3789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We and our CROs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on to comply with these regulations may require us to stop and/or repeat clinical trials, which would delay the marketing approval process.</w:t>
      </w:r>
    </w:p>
    <w:p>
      <w:pPr>
        <w:spacing w:after="0" w:line="220"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212" w:lineRule="exact"/>
        <w:rPr>
          <w:sz w:val="20"/>
          <w:szCs w:val="20"/>
          <w:color w:val="auto"/>
        </w:rPr>
      </w:pPr>
    </w:p>
    <w:p>
      <w:pPr>
        <w:ind w:right="200" w:firstLine="479"/>
        <w:spacing w:after="0" w:line="258"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PRT1419. PRT2527, PRT3645, PRT3789 or any other product candidates and will not be able to, or may be delayed in our efforts to, successfully commercialize our products.</w:t>
      </w:r>
    </w:p>
    <w:p>
      <w:pPr>
        <w:spacing w:after="0" w:line="326" w:lineRule="exact"/>
        <w:rPr>
          <w:sz w:val="20"/>
          <w:szCs w:val="20"/>
          <w:color w:val="auto"/>
        </w:rPr>
      </w:pPr>
    </w:p>
    <w:p>
      <w:pPr>
        <w:ind w:left="480"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7"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In addition, the ongoing COVID-19 pandemic may result in disruptions to the operations or an extended shutdown of certain businesses, which could include certain of our contract manufacturers.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ind w:right="740" w:firstLine="479"/>
        <w:spacing w:after="0" w:line="281" w:lineRule="auto"/>
        <w:rPr>
          <w:sz w:val="20"/>
          <w:szCs w:val="20"/>
          <w:color w:val="auto"/>
        </w:rPr>
      </w:pPr>
      <w:r>
        <w:rPr>
          <w:rFonts w:ascii="Times New Roman" w:cs="Times New Roman" w:eastAsia="Times New Roman" w:hAnsi="Times New Roman"/>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68" w:lineRule="exact"/>
        <w:rPr>
          <w:sz w:val="20"/>
          <w:szCs w:val="20"/>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product development, analytical testing, and data generation to support regulatory applications;</w:t>
      </w:r>
    </w:p>
    <w:p>
      <w:pPr>
        <w:spacing w:after="0" w:line="116" w:lineRule="exact"/>
        <w:rPr>
          <w:rFonts w:ascii="Times New Roman" w:cs="Times New Roman" w:eastAsia="Times New Roman" w:hAnsi="Times New Roman"/>
          <w:sz w:val="18"/>
          <w:szCs w:val="18"/>
          <w:color w:val="auto"/>
        </w:rPr>
      </w:pPr>
    </w:p>
    <w:p>
      <w:pPr>
        <w:jc w:val="both"/>
        <w:ind w:left="840" w:right="80" w:hanging="413"/>
        <w:spacing w:after="0" w:line="265" w:lineRule="auto"/>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69"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 and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our drugs under specified storage conditions and in a timely manner.</w:t>
      </w:r>
    </w:p>
    <w:p>
      <w:pPr>
        <w:spacing w:after="0" w:line="265"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209" w:lineRule="exact"/>
        <w:rPr>
          <w:sz w:val="20"/>
          <w:szCs w:val="20"/>
          <w:color w:val="auto"/>
        </w:rPr>
      </w:pPr>
    </w:p>
    <w:p>
      <w:pPr>
        <w:ind w:right="140" w:firstLine="416"/>
        <w:spacing w:after="0" w:line="260" w:lineRule="auto"/>
        <w:rPr>
          <w:sz w:val="20"/>
          <w:szCs w:val="20"/>
          <w:color w:val="auto"/>
        </w:rPr>
      </w:pPr>
      <w:r>
        <w:rPr>
          <w:rFonts w:ascii="Times New Roman" w:cs="Times New Roman" w:eastAsia="Times New Roman" w:hAnsi="Times New Roman"/>
          <w:sz w:val="18"/>
          <w:szCs w:val="18"/>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209"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91"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209" w:lineRule="exact"/>
        <w:rPr>
          <w:sz w:val="20"/>
          <w:szCs w:val="20"/>
          <w:color w:val="auto"/>
        </w:rPr>
      </w:pPr>
    </w:p>
    <w:p>
      <w:pPr>
        <w:ind w:right="80" w:firstLine="416"/>
        <w:spacing w:after="0" w:line="281"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There are a limited number of manufacturers that operate under cGMP regulations and that might be capable of manufacturing for us.</w:t>
      </w:r>
    </w:p>
    <w:p>
      <w:pPr>
        <w:spacing w:after="0" w:line="251"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21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including the ongoing conflict in Ukraine, or public health epidemics such as the ongoing COVID-19 pandemic. If our current third-party manufacturers cannot perform as agreed, we may be required to replace such manufacturers and we may be unable to replace them on a timely basis or at all.</w:t>
      </w:r>
    </w:p>
    <w:p>
      <w:pPr>
        <w:spacing w:after="0" w:line="216" w:lineRule="exact"/>
        <w:rPr>
          <w:sz w:val="20"/>
          <w:szCs w:val="20"/>
          <w:color w:val="auto"/>
        </w:rPr>
      </w:pPr>
    </w:p>
    <w:p>
      <w:pPr>
        <w:ind w:right="40" w:firstLine="416"/>
        <w:spacing w:after="0" w:line="281"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307" w:lineRule="exact"/>
        <w:rPr>
          <w:sz w:val="20"/>
          <w:szCs w:val="20"/>
          <w:color w:val="auto"/>
        </w:rPr>
      </w:pPr>
    </w:p>
    <w:p>
      <w:pPr>
        <w:ind w:left="4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64" w:lineRule="exact"/>
        <w:rPr>
          <w:sz w:val="20"/>
          <w:szCs w:val="20"/>
          <w:color w:val="auto"/>
        </w:rPr>
      </w:pPr>
    </w:p>
    <w:p>
      <w:pPr>
        <w:ind w:right="140" w:firstLine="416"/>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212" w:lineRule="exact"/>
        <w:rPr>
          <w:sz w:val="20"/>
          <w:szCs w:val="20"/>
          <w:color w:val="auto"/>
        </w:rPr>
      </w:pPr>
    </w:p>
    <w:p>
      <w:pPr>
        <w:ind w:right="20" w:firstLine="416"/>
        <w:spacing w:after="0" w:line="260" w:lineRule="auto"/>
        <w:rPr>
          <w:sz w:val="20"/>
          <w:szCs w:val="20"/>
          <w:color w:val="auto"/>
        </w:rPr>
      </w:pPr>
      <w:r>
        <w:rPr>
          <w:rFonts w:ascii="Times New Roman" w:cs="Times New Roman" w:eastAsia="Times New Roman" w:hAnsi="Times New Roman"/>
          <w:sz w:val="18"/>
          <w:szCs w:val="18"/>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87" w:lineRule="exact"/>
        <w:rPr>
          <w:sz w:val="20"/>
          <w:szCs w:val="20"/>
          <w:color w:val="auto"/>
        </w:rPr>
      </w:pPr>
    </w:p>
    <w:p>
      <w:pPr>
        <w:ind w:left="840" w:right="520" w:hanging="413"/>
        <w:spacing w:after="0" w:line="281" w:lineRule="auto"/>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41" w:lineRule="exact"/>
        <w:rPr>
          <w:rFonts w:ascii="Times New Roman" w:cs="Times New Roman" w:eastAsia="Times New Roman" w:hAnsi="Times New Roman"/>
          <w:sz w:val="18"/>
          <w:szCs w:val="18"/>
          <w:color w:val="auto"/>
        </w:rPr>
      </w:pPr>
    </w:p>
    <w:p>
      <w:pPr>
        <w:ind w:left="840" w:right="180" w:hanging="413"/>
        <w:spacing w:after="0" w:line="260" w:lineRule="auto"/>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3" w:lineRule="exact"/>
        <w:rPr>
          <w:rFonts w:ascii="Times New Roman" w:cs="Times New Roman" w:eastAsia="Times New Roman" w:hAnsi="Times New Roman"/>
          <w:sz w:val="18"/>
          <w:szCs w:val="18"/>
          <w:color w:val="auto"/>
        </w:rPr>
      </w:pPr>
    </w:p>
    <w:p>
      <w:pPr>
        <w:ind w:left="840" w:right="600" w:hanging="413"/>
        <w:spacing w:after="0" w:line="281" w:lineRule="auto"/>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1" w:lineRule="exact"/>
        <w:rPr>
          <w:rFonts w:ascii="Times New Roman" w:cs="Times New Roman" w:eastAsia="Times New Roman" w:hAnsi="Times New Roman"/>
          <w:sz w:val="18"/>
          <w:szCs w:val="18"/>
          <w:color w:val="auto"/>
        </w:rPr>
      </w:pPr>
    </w:p>
    <w:p>
      <w:pPr>
        <w:ind w:left="840" w:right="440" w:hanging="413"/>
        <w:spacing w:after="0" w:line="281" w:lineRule="auto"/>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5" w:name="page56"/>
    <w:bookmarkEnd w:id="55"/>
    <w:p>
      <w:pPr>
        <w:ind w:left="840"/>
        <w:spacing w:after="0"/>
        <w:rPr>
          <w:sz w:val="20"/>
          <w:szCs w:val="20"/>
          <w:color w:val="auto"/>
        </w:rPr>
      </w:pPr>
      <w:r>
        <w:rPr>
          <w:rFonts w:ascii="Times New Roman" w:cs="Times New Roman" w:eastAsia="Times New Roman" w:hAnsi="Times New Roman"/>
          <w:sz w:val="18"/>
          <w:szCs w:val="18"/>
          <w:color w:val="auto"/>
        </w:rPr>
        <w:t>likely to be successfully developed or can be commercialized under terms that are more economically attractive than ours;</w:t>
      </w:r>
    </w:p>
    <w:p>
      <w:pPr>
        <w:spacing w:after="0" w:line="117" w:lineRule="exact"/>
        <w:rPr>
          <w:sz w:val="20"/>
          <w:szCs w:val="20"/>
          <w:color w:val="auto"/>
        </w:rPr>
      </w:pPr>
    </w:p>
    <w:p>
      <w:pPr>
        <w:ind w:left="840" w:right="40" w:hanging="413"/>
        <w:spacing w:after="0" w:line="281"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41" w:lineRule="exact"/>
        <w:rPr>
          <w:rFonts w:ascii="Times New Roman" w:cs="Times New Roman" w:eastAsia="Times New Roman" w:hAnsi="Times New Roman"/>
          <w:sz w:val="18"/>
          <w:szCs w:val="18"/>
          <w:color w:val="auto"/>
        </w:rPr>
      </w:pPr>
    </w:p>
    <w:p>
      <w:pPr>
        <w:ind w:left="840" w:hanging="413"/>
        <w:spacing w:after="0" w:line="265"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55" w:lineRule="exact"/>
        <w:rPr>
          <w:rFonts w:ascii="Times New Roman" w:cs="Times New Roman" w:eastAsia="Times New Roman" w:hAnsi="Times New Roman"/>
          <w:sz w:val="18"/>
          <w:szCs w:val="18"/>
          <w:color w:val="auto"/>
        </w:rPr>
      </w:pPr>
    </w:p>
    <w:p>
      <w:pPr>
        <w:ind w:left="840" w:right="20" w:hanging="413"/>
        <w:spacing w:after="0" w:line="281"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840" w:right="1140" w:hanging="413"/>
        <w:spacing w:after="0" w:line="281"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41"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pacing w:after="0" w:line="103" w:lineRule="exact"/>
        <w:rPr>
          <w:rFonts w:ascii="Times New Roman" w:cs="Times New Roman" w:eastAsia="Times New Roman" w:hAnsi="Times New Roman"/>
          <w:sz w:val="18"/>
          <w:szCs w:val="18"/>
          <w:color w:val="auto"/>
        </w:rPr>
      </w:pPr>
    </w:p>
    <w:p>
      <w:pPr>
        <w:ind w:left="840" w:right="100" w:hanging="413"/>
        <w:spacing w:after="0" w:line="281"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76" w:lineRule="exact"/>
        <w:rPr>
          <w:sz w:val="20"/>
          <w:szCs w:val="20"/>
          <w:color w:val="auto"/>
        </w:rPr>
      </w:pPr>
    </w:p>
    <w:p>
      <w:pPr>
        <w:ind w:right="380" w:firstLine="416"/>
        <w:spacing w:after="0" w:line="281" w:lineRule="auto"/>
        <w:rPr>
          <w:sz w:val="20"/>
          <w:szCs w:val="20"/>
          <w:color w:val="auto"/>
        </w:rPr>
      </w:pPr>
      <w:r>
        <w:rPr>
          <w:rFonts w:ascii="Times New Roman" w:cs="Times New Roman" w:eastAsia="Times New Roman" w:hAnsi="Times New Roman"/>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30" w:lineRule="exact"/>
        <w:rPr>
          <w:sz w:val="20"/>
          <w:szCs w:val="20"/>
          <w:color w:val="auto"/>
        </w:rPr>
      </w:pPr>
    </w:p>
    <w:p>
      <w:pPr>
        <w:ind w:left="4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79" w:lineRule="exact"/>
        <w:rPr>
          <w:sz w:val="20"/>
          <w:szCs w:val="20"/>
          <w:color w:val="auto"/>
        </w:rPr>
      </w:pPr>
    </w:p>
    <w:p>
      <w:pPr>
        <w:ind w:right="80" w:firstLine="416"/>
        <w:spacing w:after="0" w:line="255" w:lineRule="auto"/>
        <w:rPr>
          <w:sz w:val="20"/>
          <w:szCs w:val="20"/>
          <w:color w:val="auto"/>
        </w:rPr>
      </w:pPr>
      <w:r>
        <w:rPr>
          <w:rFonts w:ascii="Times New Roman" w:cs="Times New Roman" w:eastAsia="Times New Roman" w:hAnsi="Times New Roman"/>
          <w:sz w:val="18"/>
          <w:szCs w:val="18"/>
          <w:color w:val="auto"/>
        </w:rPr>
        <w:t>The total addressable market opportunity for PRT1419, PRT2527, PRT3645, PRT3789 and any other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331" w:lineRule="exact"/>
        <w:rPr>
          <w:sz w:val="20"/>
          <w:szCs w:val="20"/>
          <w:color w:val="auto"/>
        </w:rPr>
      </w:pPr>
    </w:p>
    <w:p>
      <w:pPr>
        <w:ind w:left="4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64" w:lineRule="exact"/>
        <w:rPr>
          <w:sz w:val="20"/>
          <w:szCs w:val="20"/>
          <w:color w:val="auto"/>
        </w:rPr>
      </w:pPr>
    </w:p>
    <w:p>
      <w:pPr>
        <w:ind w:right="280" w:firstLine="416"/>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8" w:lineRule="exact"/>
        <w:rPr>
          <w:sz w:val="20"/>
          <w:szCs w:val="20"/>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as front-line treatment for various indications;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for our product candidates by the FDA;</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56" w:name="page57"/>
    <w:bookmarkEnd w:id="56"/>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for our product candidates and competing products and treatments;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distribution and/or use restrictions, such as through a REMS;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from patient advocacy groups; and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369" w:lineRule="exact"/>
        <w:rPr>
          <w:sz w:val="20"/>
          <w:szCs w:val="20"/>
          <w:color w:val="auto"/>
        </w:rPr>
      </w:pPr>
    </w:p>
    <w:p>
      <w:pPr>
        <w:jc w:val="both"/>
        <w:ind w:left="4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93" w:lineRule="exact"/>
        <w:rPr>
          <w:sz w:val="20"/>
          <w:szCs w:val="20"/>
          <w:color w:val="auto"/>
        </w:rPr>
      </w:pPr>
    </w:p>
    <w:p>
      <w:pPr>
        <w:ind w:right="220" w:firstLine="416"/>
        <w:spacing w:after="0" w:line="265" w:lineRule="auto"/>
        <w:rPr>
          <w:sz w:val="20"/>
          <w:szCs w:val="20"/>
          <w:color w:val="auto"/>
        </w:rPr>
      </w:pPr>
      <w:r>
        <w:rPr>
          <w:rFonts w:ascii="Times New Roman" w:cs="Times New Roman" w:eastAsia="Times New Roman" w:hAnsi="Times New Roman"/>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77" w:lineRule="exact"/>
        <w:rPr>
          <w:sz w:val="20"/>
          <w:szCs w:val="20"/>
          <w:color w:val="auto"/>
        </w:rPr>
      </w:pPr>
    </w:p>
    <w:p>
      <w:pPr>
        <w:ind w:right="20" w:firstLine="416"/>
        <w:spacing w:after="0" w:line="260" w:lineRule="auto"/>
        <w:rPr>
          <w:sz w:val="20"/>
          <w:szCs w:val="20"/>
          <w:color w:val="auto"/>
        </w:rPr>
      </w:pPr>
      <w:r>
        <w:rPr>
          <w:rFonts w:ascii="Times New Roman" w:cs="Times New Roman" w:eastAsia="Times New Roman" w:hAnsi="Times New Roman"/>
          <w:sz w:val="18"/>
          <w:szCs w:val="18"/>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44" w:lineRule="exact"/>
        <w:rPr>
          <w:sz w:val="20"/>
          <w:szCs w:val="20"/>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raise financing necessary to build our commercialization infrastructure;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an adequate number of physicians as to the benefits of our products;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third-party payor coverage and reimbursement in any geography;</w:t>
      </w:r>
    </w:p>
    <w:p>
      <w:pPr>
        <w:spacing w:after="0" w:line="116" w:lineRule="exact"/>
        <w:rPr>
          <w:rFonts w:ascii="Times New Roman" w:cs="Times New Roman" w:eastAsia="Times New Roman" w:hAnsi="Times New Roman"/>
          <w:sz w:val="18"/>
          <w:szCs w:val="18"/>
          <w:color w:val="auto"/>
        </w:rPr>
      </w:pPr>
    </w:p>
    <w:p>
      <w:pPr>
        <w:ind w:left="840" w:hanging="413"/>
        <w:spacing w:after="0" w:line="281" w:lineRule="auto"/>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51"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0" w:lineRule="exact"/>
        <w:rPr>
          <w:sz w:val="20"/>
          <w:szCs w:val="20"/>
          <w:color w:val="auto"/>
        </w:rPr>
      </w:pPr>
    </w:p>
    <w:p>
      <w:pPr>
        <w:ind w:right="80" w:firstLine="41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Arvinas Inc., Aurigene, Black Diamond Therapeutics, Inc., Boehringer Ingelheim, C4 Therapeutics, Constellation Pharmaceuticals, Inc., Eli Lilly and Company, F. Hoffman-La Roche, Foghorn Therapeutics Inc., Fochon Pharmaceuticals, G1 Therapeutics Inc., Genentech, Kronos Bio, Inc., Kura Oncology, Inc., Kymera Therapeutics Inc., Mirati Therapeutics Inc., Nuvation Bio Inc. Repare Therapeutics Inc., Revolution Medicines, Inc., Relay Therapeutics, Inc., Springworks Therapeutics, Inc., Syndax Pharmaceuticals, Inc., and Zentalis Pharmaceuticals, Inc. In addition, we may face competition from companies developing product candidates that are based on targeting pathways of adaptive resistance, including Amgen Inc., AbbVie Inc., AstraZeneca plc, GlaxoSmithKline plc, Ideaya Biosciences, Johnson &amp; Johnson Services, Inc., Pfizer Inc., Tango Therapeutics, Inc., Vincerx Pharma, Inc., Novartis AG, and Gilead Sciences, Inc.</w:t>
      </w:r>
    </w:p>
    <w:p>
      <w:pPr>
        <w:spacing w:after="0" w:line="186" w:lineRule="exact"/>
        <w:rPr>
          <w:sz w:val="20"/>
          <w:szCs w:val="20"/>
          <w:color w:val="auto"/>
        </w:rPr>
      </w:pPr>
    </w:p>
    <w:p>
      <w:pPr>
        <w:ind w:right="40" w:firstLine="461"/>
        <w:spacing w:after="0" w:line="256" w:lineRule="auto"/>
        <w:rPr>
          <w:sz w:val="20"/>
          <w:szCs w:val="20"/>
          <w:color w:val="auto"/>
        </w:rPr>
      </w:pPr>
      <w:r>
        <w:rPr>
          <w:rFonts w:ascii="Times New Roman" w:cs="Times New Roman" w:eastAsia="Times New Roman" w:hAnsi="Times New Roman"/>
          <w:sz w:val="18"/>
          <w:szCs w:val="18"/>
          <w:color w:val="auto"/>
        </w:rPr>
        <w:t>For our MCL1 program, PRT1419, other companies are developing MCL1 inhibitors with monotherapy and/or combination trials ongoing, including Amgen (AMG176), AstraZeneca (AZD5991), Novartis (MIK665), and Gilead (GS-9716). For our CDK9 program, PRT2527, both AstraZeneca (AZD4573), Vincerx (VIP512), and Kronos (KB-0742) have CDK9 programs in Phase 1 clinical trials. For our CDK4/6 program, PRT3645, Novartis (ribociclib), Lilly (abemaciclib), Pfizer (palbociclib), G1 Therapeutics (G1T38), and Fochon Pharmaceuticals (FCN-437) have clinical trials ongoing. For our SMARCA2 (BRM) degrader program, other companies, including Amgen, Aurigene, C4 Therapeutics, F. Hoffmann-La Roche, Foghorn Therapeutics, Inc., Kymera Therapeutics, Arvinas, Genentech, Boehringer Ingelheim, and Lilly have publicly disclosed their pre-clinical research efforts.</w:t>
      </w:r>
    </w:p>
    <w:p>
      <w:pPr>
        <w:spacing w:after="0" w:line="212"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213" w:lineRule="exact"/>
        <w:rPr>
          <w:sz w:val="20"/>
          <w:szCs w:val="20"/>
          <w:color w:val="auto"/>
        </w:rPr>
      </w:pPr>
    </w:p>
    <w:p>
      <w:pPr>
        <w:ind w:right="60" w:firstLine="416"/>
        <w:spacing w:after="0" w:line="254"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216" w:lineRule="exact"/>
        <w:rPr>
          <w:sz w:val="20"/>
          <w:szCs w:val="20"/>
          <w:color w:val="auto"/>
        </w:rPr>
      </w:pPr>
    </w:p>
    <w:p>
      <w:pPr>
        <w:ind w:right="160" w:firstLine="416"/>
        <w:spacing w:after="0" w:line="258"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efficacy, safety, convenience, price, the level of generic competition and the availability of reimbursement from government and other third-party payors.</w:t>
      </w:r>
    </w:p>
    <w:p>
      <w:pPr>
        <w:spacing w:after="0" w:line="369" w:lineRule="exact"/>
        <w:rPr>
          <w:sz w:val="20"/>
          <w:szCs w:val="20"/>
          <w:color w:val="auto"/>
        </w:rPr>
      </w:pPr>
    </w:p>
    <w:p>
      <w:pPr>
        <w:ind w:left="4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64"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213" w:lineRule="exact"/>
        <w:rPr>
          <w:sz w:val="20"/>
          <w:szCs w:val="20"/>
          <w:color w:val="auto"/>
        </w:rPr>
      </w:pPr>
    </w:p>
    <w:p>
      <w:pPr>
        <w:ind w:right="260" w:firstLine="416"/>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21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216"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 uncertainty regarding our ability to obtain coverage and adequate reimbursement for the same reasons applicable to our product candidates.</w:t>
      </w:r>
    </w:p>
    <w:p>
      <w:pPr>
        <w:spacing w:after="0" w:line="209"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ind w:right="40"/>
        <w:spacing w:after="0" w:line="260" w:lineRule="auto"/>
        <w:rPr>
          <w:sz w:val="20"/>
          <w:szCs w:val="20"/>
          <w:color w:val="auto"/>
        </w:rPr>
      </w:pPr>
      <w:r>
        <w:rPr>
          <w:rFonts w:ascii="Times New Roman" w:cs="Times New Roman" w:eastAsia="Times New Roman" w:hAnsi="Times New Roman"/>
          <w:sz w:val="18"/>
          <w:szCs w:val="18"/>
          <w:color w:val="auto"/>
        </w:rPr>
        <w:t>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178" w:lineRule="exact"/>
        <w:rPr>
          <w:sz w:val="20"/>
          <w:szCs w:val="20"/>
          <w:color w:val="auto"/>
        </w:rPr>
      </w:pPr>
    </w:p>
    <w:p>
      <w:pPr>
        <w:ind w:left="4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4" w:lineRule="exact"/>
        <w:rPr>
          <w:sz w:val="20"/>
          <w:szCs w:val="20"/>
          <w:color w:val="auto"/>
        </w:rPr>
      </w:pPr>
    </w:p>
    <w:p>
      <w:pPr>
        <w:ind w:right="340" w:firstLine="416"/>
        <w:spacing w:after="0" w:line="288" w:lineRule="auto"/>
        <w:rPr>
          <w:sz w:val="20"/>
          <w:szCs w:val="20"/>
          <w:color w:val="auto"/>
        </w:rPr>
      </w:pPr>
      <w:r>
        <w:rPr>
          <w:rFonts w:ascii="Times New Roman" w:cs="Times New Roman" w:eastAsia="Times New Roman" w:hAnsi="Times New Roman"/>
          <w:sz w:val="17"/>
          <w:szCs w:val="17"/>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65" w:lineRule="exact"/>
        <w:rPr>
          <w:sz w:val="20"/>
          <w:szCs w:val="20"/>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65"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Our Operations</w:t>
      </w:r>
    </w:p>
    <w:p>
      <w:pPr>
        <w:spacing w:after="0" w:line="144" w:lineRule="exact"/>
        <w:rPr>
          <w:sz w:val="20"/>
          <w:szCs w:val="20"/>
          <w:color w:val="auto"/>
        </w:rPr>
      </w:pPr>
    </w:p>
    <w:p>
      <w:pPr>
        <w:ind w:left="4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and to attract, retain and motivate qualified personnel and manage our human capital.</w:t>
      </w:r>
    </w:p>
    <w:p>
      <w:pPr>
        <w:spacing w:after="0" w:line="64"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209" w:lineRule="exact"/>
        <w:rPr>
          <w:sz w:val="20"/>
          <w:szCs w:val="20"/>
          <w:color w:val="auto"/>
        </w:rPr>
      </w:pPr>
    </w:p>
    <w:p>
      <w:pPr>
        <w:ind w:right="100" w:firstLine="479"/>
        <w:spacing w:after="0" w:line="254" w:lineRule="auto"/>
        <w:rPr>
          <w:sz w:val="20"/>
          <w:szCs w:val="20"/>
          <w:color w:val="auto"/>
        </w:rPr>
      </w:pPr>
      <w:r>
        <w:rPr>
          <w:rFonts w:ascii="Times New Roman" w:cs="Times New Roman" w:eastAsia="Times New Roman" w:hAnsi="Times New Roman"/>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and in addition, the ongoing COVID-19 pandemic has increased companies’ willingness to hire remote workers,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right="300"/>
        <w:spacing w:after="0" w:line="281" w:lineRule="auto"/>
        <w:rPr>
          <w:sz w:val="20"/>
          <w:szCs w:val="20"/>
          <w:color w:val="auto"/>
        </w:rPr>
      </w:pPr>
      <w:r>
        <w:rPr>
          <w:rFonts w:ascii="Times New Roman" w:cs="Times New Roman" w:eastAsia="Times New Roman" w:hAnsi="Times New Roman"/>
          <w:sz w:val="18"/>
          <w:szCs w:val="18"/>
          <w:color w:val="auto"/>
        </w:rPr>
        <w:t>to continue to attract and retain high quality personnel, which could negatively affect our ability to successfully develop and commercialize our product candidates and to grow our business and operations as currently contemplated.</w:t>
      </w:r>
    </w:p>
    <w:p>
      <w:pPr>
        <w:spacing w:after="0" w:line="320"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37"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As of December 31, 2022, we had 122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87" w:lineRule="exact"/>
        <w:rPr>
          <w:sz w:val="20"/>
          <w:szCs w:val="20"/>
          <w:color w:val="auto"/>
        </w:rPr>
      </w:pPr>
    </w:p>
    <w:p>
      <w:pPr>
        <w:ind w:firstLine="416"/>
        <w:spacing w:after="0" w:line="271" w:lineRule="auto"/>
        <w:rPr>
          <w:sz w:val="20"/>
          <w:szCs w:val="20"/>
          <w:color w:val="auto"/>
        </w:rPr>
      </w:pPr>
      <w:r>
        <w:rPr>
          <w:rFonts w:ascii="Times New Roman" w:cs="Times New Roman" w:eastAsia="Times New Roman" w:hAnsi="Times New Roman"/>
          <w:sz w:val="17"/>
          <w:szCs w:val="17"/>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PRT1419, PRT2527, PRT3645, and PRT3789,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PRT1419, PRT2527, PRT3645, PRT3789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76" w:lineRule="exact"/>
        <w:rPr>
          <w:sz w:val="20"/>
          <w:szCs w:val="20"/>
          <w:color w:val="auto"/>
        </w:rPr>
      </w:pPr>
    </w:p>
    <w:p>
      <w:pPr>
        <w:ind w:firstLine="416"/>
        <w:spacing w:after="0" w:line="265" w:lineRule="auto"/>
        <w:rPr>
          <w:sz w:val="20"/>
          <w:szCs w:val="20"/>
          <w:color w:val="auto"/>
        </w:rPr>
      </w:pPr>
      <w:r>
        <w:rPr>
          <w:rFonts w:ascii="Times New Roman" w:cs="Times New Roman" w:eastAsia="Times New Roman" w:hAnsi="Times New Roman"/>
          <w:sz w:val="18"/>
          <w:szCs w:val="18"/>
          <w:color w:val="auto"/>
        </w:rPr>
        <w:t>If we are not able to effectively manage growth and expand our organization, we may not be able to successfully implement the tasks necessary to further develop and commercialize PRT1419, PRT2527, PRT3645, or PRT3789, our other pipeline product candidates or any future product candidates and, accordingly, may not achieve our research, development and commercialization goals.</w:t>
      </w:r>
    </w:p>
    <w:p>
      <w:pPr>
        <w:spacing w:after="0" w:line="281"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37"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89" w:lineRule="exact"/>
        <w:rPr>
          <w:sz w:val="20"/>
          <w:szCs w:val="20"/>
          <w:color w:val="auto"/>
        </w:rPr>
      </w:pPr>
    </w:p>
    <w:p>
      <w:pPr>
        <w:ind w:right="40" w:firstLine="416"/>
        <w:spacing w:after="0" w:line="254"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restructuring of our operations, any of which could adversely affect our ability to operate our business and our results of operations.</w:t>
      </w:r>
    </w:p>
    <w:p>
      <w:pPr>
        <w:spacing w:after="0" w:line="369" w:lineRule="exact"/>
        <w:rPr>
          <w:sz w:val="20"/>
          <w:szCs w:val="20"/>
          <w:color w:val="auto"/>
        </w:rPr>
      </w:pPr>
    </w:p>
    <w:p>
      <w:pPr>
        <w:ind w:left="4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85"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ongoing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213" w:lineRule="exact"/>
        <w:rPr>
          <w:sz w:val="20"/>
          <w:szCs w:val="20"/>
          <w:color w:val="auto"/>
        </w:rPr>
      </w:pPr>
    </w:p>
    <w:p>
      <w:pPr>
        <w:ind w:firstLine="416"/>
        <w:spacing w:after="0" w:line="251"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third-party CROs, CMOs, vendors and other contractors and consultants are potentially vulnerable to breakdown or other damage or interruption from service interruptions, system malfunction, accidents by our employees or third party service providers, natural disasters, terrorism, war and telecommunication and electrical failures, as well as security breaches from inadvertent or intentional actions by our employees, third-party CROs, CMOs,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CMOs,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ongoing COVID-19 pandemic is generally increasing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ongoing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CROs, CMOs, vendors and other contractors and consultants, or inappropriate disclosure of confidential or proprietary information, we could incur liability and reputational damage and the further development and commercialization of PRT1419, PRT2527, PRT3645, PRT3789 or any future product candidates could be delayed. Any breach, loss or compromise of clinical trial participant personal data may also subject us to civil fines and penalties, including under HIPAA, and other relevant state and federal privacy laws in the United States. The costs related to significant security breaches or disruptions could be material and exceed the limits of the cybersecurity insurance we maintain against such risks. If the information technology systems of our third-party CROs, CMOs,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4" w:lineRule="exact"/>
        <w:rPr>
          <w:sz w:val="20"/>
          <w:szCs w:val="20"/>
          <w:color w:val="auto"/>
        </w:rPr>
      </w:pPr>
    </w:p>
    <w:p>
      <w:pPr>
        <w:ind w:right="280" w:firstLine="416"/>
        <w:spacing w:after="0" w:line="265"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2" w:name="page63"/>
    <w:bookmarkEnd w:id="62"/>
    <w:p>
      <w:pPr>
        <w:spacing w:after="0" w:line="268" w:lineRule="auto"/>
        <w:rPr>
          <w:sz w:val="20"/>
          <w:szCs w:val="20"/>
          <w:color w:val="auto"/>
        </w:rPr>
      </w:pPr>
      <w:r>
        <w:rPr>
          <w:rFonts w:ascii="Times New Roman" w:cs="Times New Roman" w:eastAsia="Times New Roman" w:hAnsi="Times New Roman"/>
          <w:sz w:val="17"/>
          <w:szCs w:val="17"/>
          <w:color w:val="auto"/>
        </w:rPr>
        <w:t>breakdowns, data leakages, breaches in our systems, or those of our third-party CROs, CMOs,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PRT1419, PRT2527, PRT3645, PRT3789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246" w:lineRule="exact"/>
        <w:rPr>
          <w:sz w:val="20"/>
          <w:szCs w:val="20"/>
          <w:color w:val="auto"/>
        </w:rPr>
      </w:pPr>
    </w:p>
    <w:p>
      <w:pPr>
        <w:ind w:left="4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23"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data protection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76" w:lineRule="exact"/>
        <w:rPr>
          <w:sz w:val="20"/>
          <w:szCs w:val="20"/>
          <w:color w:val="auto"/>
        </w:rPr>
      </w:pPr>
    </w:p>
    <w:p>
      <w:pPr>
        <w:ind w:right="40" w:firstLine="419"/>
        <w:spacing w:after="0" w:line="251" w:lineRule="auto"/>
        <w:rPr>
          <w:sz w:val="20"/>
          <w:szCs w:val="20"/>
          <w:color w:val="auto"/>
        </w:rPr>
      </w:pPr>
      <w:r>
        <w:rPr>
          <w:rFonts w:ascii="Times New Roman" w:cs="Times New Roman" w:eastAsia="Times New Roman" w:hAnsi="Times New Roman"/>
          <w:sz w:val="18"/>
          <w:szCs w:val="18"/>
          <w:color w:val="auto"/>
        </w:rPr>
        <w:t>International data protection laws, including Regulation 2016/679, known as the General Data Protection Regulation, or GDPR, may also apply to health-related and other personal information obtained outside of the United States. The GDPR went into effect on May 25, 2018. The GDPR introduced new data protection requirements in the EU, as well as potential fines for noncompliant companies of up to the greater of €20 million or 4% of annual global revenue. The regulation imposes numerous new requirements for the collection, use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right to access, correct and delete their data). In addition, the GDPR includes restrictions on cross-border data transfer. The GDPR will increase our responsibility and liability in relation to personal data that we process, and we may be required to put in place additional mechanisms to ensure compliance with the new EU data protection rules. In addition,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they are subject to pending legal challenges that, if successful, could invalidate these mechanisms, restrict our ability to process personal data of Europeans outside of Europe and adversely impact our business. For example, in July 2020, the European Courts of Justice invalidated the EU-U.S. Privacy Shield, which enabled the transfer of personal data from EU to the U.S. for companies that had self-certified to the Privacy Shield. On August 10, 2020, the U.S. Department of Commerce and the European Commission announced new discussions to evaluate the potential for an enhanced EU-U.S. Privacy Shield framework to comply with the July 16 judgment of the Court of Justice. While the Court of Justice upheld the use of other data transfer mechanisms, such as the Binding Corporate Rules, the decision has led to some uncertainty regarding the use of such mechanisms for data transfers to the United States, and the court made clear that reliance on Binding Corporate Rules alone may not necessarily be sufficient in all circumstances. Use of the data transfer mechanisms must now be assessed on a case-by-case basis taking into account the legal regime applicable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right="240"/>
        <w:spacing w:after="0" w:line="256" w:lineRule="auto"/>
        <w:rPr>
          <w:sz w:val="20"/>
          <w:szCs w:val="20"/>
          <w:color w:val="auto"/>
        </w:rPr>
      </w:pPr>
      <w:r>
        <w:rPr>
          <w:rFonts w:ascii="Times New Roman" w:cs="Times New Roman" w:eastAsia="Times New Roman" w:hAnsi="Times New Roman"/>
          <w:sz w:val="18"/>
          <w:szCs w:val="18"/>
          <w:color w:val="auto"/>
        </w:rPr>
        <w:t>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Binding Corporate Rules, for cross-border data transfers. To comply with this guidance, we may need to implement additional safeguards to further enhance the security of data transferred out of the European Economic Area, which could increase our compliance costs, expose us to further regulatory scrutiny and liability, and adversely affect our business. To the extent that we were to rely on Privacy Shield, we will not be able to do so in the future, which could increase our costs and our ability to efficiently process personal data from the EU.</w:t>
      </w:r>
    </w:p>
    <w:p>
      <w:pPr>
        <w:spacing w:after="0" w:line="212"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Beginning in 2021, the United Kingdom became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209" w:lineRule="exact"/>
        <w:rPr>
          <w:sz w:val="20"/>
          <w:szCs w:val="20"/>
          <w:color w:val="auto"/>
        </w:rPr>
      </w:pPr>
    </w:p>
    <w:p>
      <w:pPr>
        <w:ind w:right="40" w:firstLine="416"/>
        <w:spacing w:after="0" w:line="252" w:lineRule="auto"/>
        <w:rPr>
          <w:sz w:val="20"/>
          <w:szCs w:val="20"/>
          <w:color w:val="auto"/>
        </w:rPr>
      </w:pPr>
      <w:r>
        <w:rPr>
          <w:rFonts w:ascii="Times New Roman" w:cs="Times New Roman" w:eastAsia="Times New Roman" w:hAnsi="Times New Roman"/>
          <w:sz w:val="18"/>
          <w:szCs w:val="18"/>
          <w:color w:val="auto"/>
        </w:rPr>
        <w:t>In addition, the state of California recently enacted the California Consumer Privacy Act, or CCPA, which creates new individual privacy rights for California consumers (as defined in the CCPA)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became enforceable by the California Attorney General on July 1, 2020, along with related regulations which came into force on August 14, 2020 and may impact our business activities and exemplifies the vulnerability of our business to the evolving regulatory environment related to personal data and protected health information. Additionally, although not effective until January 1, 2023, the California Privacy Rights Act, or the CPRA, which expands upon the CCPA, was passed in the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unlimited civil penalties for violations, as well as a private right of action for data breaches that is expected to increase data breach litigation. The CCPA and CPRA may increase our compliance costs and potential liability, particularly in the event of a data breach. Additionally, the CCPA has prompted a number of proposals in the U.S. for new federal and state-level privacy legislation that, if passed, could increase our potential liability, increase our compliance costs, and adversely affect our business. Other states are also seeking to regulate consumer privacy stringently, and both Virginia and Colorado signed comprehensive privacy legislation in 2021. These laws (the Virginia Consumer Data Protection Act and the Colorado Privacy Act) are set to come into force in 2023 and a number of other state legislatures are actively considering passing similar consumer privacy laws, including those in New York and Washington.</w:t>
      </w:r>
    </w:p>
    <w:p>
      <w:pPr>
        <w:spacing w:after="0" w:line="216" w:lineRule="exact"/>
        <w:rPr>
          <w:sz w:val="20"/>
          <w:szCs w:val="20"/>
          <w:color w:val="auto"/>
        </w:rPr>
      </w:pPr>
    </w:p>
    <w:p>
      <w:pPr>
        <w:ind w:right="100" w:firstLine="416"/>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34" w:lineRule="exact"/>
        <w:rPr>
          <w:sz w:val="20"/>
          <w:szCs w:val="20"/>
          <w:color w:val="auto"/>
        </w:rPr>
      </w:pPr>
    </w:p>
    <w:p>
      <w:pPr>
        <w:ind w:left="4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4"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Our company is located in Delaware. Any unplanned event, such as flood, fire, explosion, earthquake, extreme weather condition, medical epidemic, including the ongoing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4" w:name="page65"/>
    <w:bookmarkEnd w:id="64"/>
    <w:p>
      <w:pPr>
        <w:ind w:right="40"/>
        <w:spacing w:after="0" w:line="252" w:lineRule="auto"/>
        <w:rPr>
          <w:sz w:val="20"/>
          <w:szCs w:val="20"/>
          <w:color w:val="auto"/>
        </w:rPr>
      </w:pPr>
      <w:r>
        <w:rPr>
          <w:rFonts w:ascii="Times New Roman" w:cs="Times New Roman" w:eastAsia="Times New Roman" w:hAnsi="Times New Roman"/>
          <w:sz w:val="18"/>
          <w:szCs w:val="18"/>
          <w:color w:val="auto"/>
        </w:rPr>
        <w:t>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In addition, the long-term effects of climate change on general economic conditions and the pharmaceutical industry in particular are unclear, and may heighten or intensify existing risk of natural disasters.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43" w:lineRule="exact"/>
        <w:rPr>
          <w:sz w:val="20"/>
          <w:szCs w:val="20"/>
          <w:color w:val="auto"/>
        </w:rPr>
      </w:pPr>
    </w:p>
    <w:p>
      <w:pPr>
        <w:ind w:left="4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3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5" w:name="page66"/>
    <w:bookmarkEnd w:id="65"/>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34" w:lineRule="exact"/>
        <w:rPr>
          <w:sz w:val="20"/>
          <w:szCs w:val="20"/>
          <w:color w:val="auto"/>
        </w:rPr>
      </w:pPr>
    </w:p>
    <w:p>
      <w:pPr>
        <w:ind w:right="20" w:firstLine="419"/>
        <w:spacing w:after="0" w:line="267" w:lineRule="auto"/>
        <w:rPr>
          <w:sz w:val="20"/>
          <w:szCs w:val="20"/>
          <w:color w:val="auto"/>
        </w:rPr>
      </w:pPr>
      <w:r>
        <w:rPr>
          <w:rFonts w:ascii="Times New Roman" w:cs="Times New Roman" w:eastAsia="Times New Roman" w:hAnsi="Times New Roman"/>
          <w:sz w:val="17"/>
          <w:szCs w:val="17"/>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in taxable years beginning after December 31, 2020,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181" w:lineRule="exact"/>
        <w:rPr>
          <w:sz w:val="20"/>
          <w:szCs w:val="20"/>
          <w:color w:val="auto"/>
        </w:rPr>
      </w:pPr>
    </w:p>
    <w:p>
      <w:pPr>
        <w:ind w:left="4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50"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91" w:lineRule="exact"/>
        <w:rPr>
          <w:sz w:val="20"/>
          <w:szCs w:val="20"/>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16" w:lineRule="exact"/>
        <w:rPr>
          <w:rFonts w:ascii="Times New Roman" w:cs="Times New Roman" w:eastAsia="Times New Roman" w:hAnsi="Times New Roman"/>
          <w:sz w:val="18"/>
          <w:szCs w:val="18"/>
          <w:color w:val="auto"/>
        </w:rPr>
      </w:pPr>
    </w:p>
    <w:p>
      <w:pPr>
        <w:ind w:left="840" w:right="240" w:hanging="413"/>
        <w:spacing w:after="0" w:line="281" w:lineRule="auto"/>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systems and personnel of any acquired businesses with our operations, systems and personnel;</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portfolio of investments or bank deposits may be subject to market, interest and credit risk that may reduce in value.</w:t>
      </w:r>
    </w:p>
    <w:p>
      <w:pPr>
        <w:spacing w:after="0" w:line="148" w:lineRule="exact"/>
        <w:rPr>
          <w:sz w:val="20"/>
          <w:szCs w:val="20"/>
          <w:color w:val="auto"/>
        </w:rPr>
      </w:pPr>
    </w:p>
    <w:p>
      <w:pPr>
        <w:ind w:right="100" w:firstLine="416"/>
        <w:spacing w:after="0" w:line="270" w:lineRule="auto"/>
        <w:rPr>
          <w:sz w:val="20"/>
          <w:szCs w:val="20"/>
          <w:color w:val="auto"/>
        </w:rPr>
      </w:pPr>
      <w:r>
        <w:rPr>
          <w:rFonts w:ascii="Times New Roman" w:cs="Times New Roman" w:eastAsia="Times New Roman" w:hAnsi="Times New Roman"/>
          <w:sz w:val="17"/>
          <w:szCs w:val="17"/>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In addition, we are aware of the closure of Silicon Valley Bank, or SVB, and appointment of the Federal Deposit Insurance Corporation as receiver. In addition to an operating account at SVB, we have a line of credit with SVB (see note 8 to our financial statements included elsewhere in this Annual Report on Form 10-</w:t>
      </w:r>
    </w:p>
    <w:p>
      <w:pPr>
        <w:spacing w:after="0" w:line="2" w:lineRule="exact"/>
        <w:rPr>
          <w:sz w:val="20"/>
          <w:szCs w:val="20"/>
          <w:color w:val="auto"/>
        </w:rPr>
      </w:pPr>
    </w:p>
    <w:p>
      <w:pPr>
        <w:ind w:right="60" w:firstLine="8"/>
        <w:spacing w:after="0" w:line="253" w:lineRule="auto"/>
        <w:tabs>
          <w:tab w:leader="none" w:pos="2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we may not be able to access in the future. Furthermore, a possible recession, rising inflation, and the ongoing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44" w:lineRule="exact"/>
        <w:rPr>
          <w:sz w:val="20"/>
          <w:szCs w:val="20"/>
          <w:color w:val="auto"/>
        </w:rPr>
      </w:pPr>
    </w:p>
    <w:p>
      <w:pPr>
        <w:ind w:left="4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79"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for example, PRT1419, PRT2527, PRT3645, and PRT3789,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213" w:lineRule="exact"/>
        <w:rPr>
          <w:sz w:val="20"/>
          <w:szCs w:val="20"/>
          <w:color w:val="auto"/>
        </w:rPr>
      </w:pPr>
    </w:p>
    <w:p>
      <w:pPr>
        <w:jc w:val="both"/>
        <w:ind w:right="100" w:firstLine="416"/>
        <w:spacing w:after="0" w:line="260" w:lineRule="auto"/>
        <w:rPr>
          <w:sz w:val="20"/>
          <w:szCs w:val="20"/>
          <w:color w:val="auto"/>
        </w:rPr>
      </w:pPr>
      <w:r>
        <w:rPr>
          <w:rFonts w:ascii="Times New Roman" w:cs="Times New Roman" w:eastAsia="Times New Roman" w:hAnsi="Times New Roman"/>
          <w:sz w:val="18"/>
          <w:szCs w:val="18"/>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in foreign jurisdictions relating to PRT543, PRT811, PRT1419, PRT2527, PRT3645 and PRT3789.</w:t>
      </w:r>
    </w:p>
    <w:p>
      <w:pPr>
        <w:spacing w:after="0" w:line="182"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213"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While we have filed patent applications covering aspects of our current product candidates, we currently have four issued U.S. patents covering PRT543 that is expected to expire no</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earlier than August 9, 2038, three issued U.S. patents covering PRT811 that are expected to expire no earlier than March 14, 2039; and one issued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covering PRT1419 that is expected to expire no earlier than November 8, 2039. We do not yet have issued patents on all of our product candidates.</w:t>
      </w:r>
    </w:p>
    <w:p>
      <w:pPr>
        <w:spacing w:after="0" w:line="233"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213"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222" w:lineRule="exact"/>
        <w:rPr>
          <w:sz w:val="20"/>
          <w:szCs w:val="20"/>
          <w:color w:val="auto"/>
        </w:rPr>
      </w:pPr>
    </w:p>
    <w:p>
      <w:pPr>
        <w:ind w:right="100" w:firstLine="416"/>
        <w:spacing w:after="0" w:line="254"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16"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right="40" w:firstLine="416"/>
        <w:spacing w:after="0" w:line="252" w:lineRule="auto"/>
        <w:rPr>
          <w:sz w:val="20"/>
          <w:szCs w:val="20"/>
          <w:color w:val="auto"/>
        </w:rPr>
      </w:pPr>
      <w:r>
        <w:rPr>
          <w:rFonts w:ascii="Times New Roman" w:cs="Times New Roman" w:eastAsia="Times New Roman" w:hAnsi="Times New Roman"/>
          <w:sz w:val="18"/>
          <w:szCs w:val="18"/>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 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222"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282"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23" w:lineRule="exact"/>
        <w:rPr>
          <w:sz w:val="20"/>
          <w:szCs w:val="20"/>
          <w:color w:val="auto"/>
        </w:rPr>
      </w:pPr>
    </w:p>
    <w:p>
      <w:pPr>
        <w:ind w:right="40" w:firstLine="416"/>
        <w:spacing w:after="0" w:line="252" w:lineRule="auto"/>
        <w:rPr>
          <w:sz w:val="20"/>
          <w:szCs w:val="20"/>
          <w:color w:val="auto"/>
        </w:rPr>
      </w:pPr>
      <w:r>
        <w:rPr>
          <w:rFonts w:ascii="Times New Roman" w:cs="Times New Roman" w:eastAsia="Times New Roman" w:hAnsi="Times New Roman"/>
          <w:sz w:val="18"/>
          <w:szCs w:val="18"/>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77" w:lineRule="exact"/>
        <w:rPr>
          <w:sz w:val="20"/>
          <w:szCs w:val="20"/>
          <w:color w:val="auto"/>
        </w:rPr>
      </w:pPr>
    </w:p>
    <w:p>
      <w:pPr>
        <w:ind w:right="100" w:firstLine="416"/>
        <w:spacing w:after="0" w:line="281"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The U.S. Supreme Court has ruled on several patent cases in recent years, either</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9" w:name="page70"/>
    <w:bookmarkEnd w:id="69"/>
    <w:p>
      <w:pPr>
        <w:ind w:right="60"/>
        <w:spacing w:after="0" w:line="256" w:lineRule="auto"/>
        <w:rPr>
          <w:sz w:val="20"/>
          <w:szCs w:val="20"/>
          <w:color w:val="auto"/>
        </w:rPr>
      </w:pPr>
      <w:r>
        <w:rPr>
          <w:rFonts w:ascii="Times New Roman" w:cs="Times New Roman" w:eastAsia="Times New Roman" w:hAnsi="Times New Roman"/>
          <w:sz w:val="18"/>
          <w:szCs w:val="18"/>
          <w:color w:val="auto"/>
        </w:rPr>
        <w:t>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could have a material adverse effect on our existing patent portfolio and weaken our ability to obtain new patents or to enforce our existing patents and patents that we might obtain in the future.</w:t>
      </w:r>
    </w:p>
    <w:p>
      <w:pPr>
        <w:spacing w:after="0" w:line="276" w:lineRule="exact"/>
        <w:rPr>
          <w:sz w:val="20"/>
          <w:szCs w:val="20"/>
          <w:color w:val="auto"/>
        </w:rPr>
      </w:pPr>
    </w:p>
    <w:p>
      <w:pPr>
        <w:ind w:left="4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23"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 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209" w:lineRule="exact"/>
        <w:rPr>
          <w:sz w:val="20"/>
          <w:szCs w:val="20"/>
          <w:color w:val="auto"/>
        </w:rPr>
      </w:pPr>
    </w:p>
    <w:p>
      <w:pPr>
        <w:ind w:right="340" w:firstLine="416"/>
        <w:spacing w:after="0" w:line="258" w:lineRule="auto"/>
        <w:rPr>
          <w:sz w:val="20"/>
          <w:szCs w:val="20"/>
          <w:color w:val="auto"/>
        </w:rPr>
      </w:pPr>
      <w:r>
        <w:rPr>
          <w:rFonts w:ascii="Times New Roman" w:cs="Times New Roman" w:eastAsia="Times New Roman" w:hAnsi="Times New Roman"/>
          <w:sz w:val="18"/>
          <w:szCs w:val="18"/>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209"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13"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16" w:lineRule="exact"/>
        <w:rPr>
          <w:sz w:val="20"/>
          <w:szCs w:val="20"/>
          <w:color w:val="auto"/>
        </w:rPr>
      </w:pPr>
    </w:p>
    <w:p>
      <w:pPr>
        <w:jc w:val="both"/>
        <w:ind w:right="80" w:firstLine="416"/>
        <w:spacing w:after="0" w:line="260" w:lineRule="auto"/>
        <w:rPr>
          <w:sz w:val="20"/>
          <w:szCs w:val="20"/>
          <w:color w:val="auto"/>
        </w:rPr>
      </w:pPr>
      <w:r>
        <w:rPr>
          <w:rFonts w:ascii="Times New Roman" w:cs="Times New Roman" w:eastAsia="Times New Roman" w:hAnsi="Times New Roman"/>
          <w:sz w:val="18"/>
          <w:szCs w:val="18"/>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Such proceedings could result in revocation, cancellation or amendment to our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right="100"/>
        <w:spacing w:after="0" w:line="270" w:lineRule="auto"/>
        <w:rPr>
          <w:sz w:val="20"/>
          <w:szCs w:val="20"/>
          <w:color w:val="auto"/>
        </w:rPr>
      </w:pPr>
      <w:r>
        <w:rPr>
          <w:rFonts w:ascii="Times New Roman" w:cs="Times New Roman" w:eastAsia="Times New Roman" w:hAnsi="Times New Roman"/>
          <w:sz w:val="17"/>
          <w:szCs w:val="17"/>
          <w:color w:val="auto"/>
        </w:rPr>
        <w:t>patents in such a way that they no longer cover and protect our product candidates. The outcome following legal assertions of 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3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or enforce our intellectual property and proprietary rights throughout the world.</w:t>
      </w:r>
    </w:p>
    <w:p>
      <w:pPr>
        <w:spacing w:after="0" w:line="134" w:lineRule="exact"/>
        <w:rPr>
          <w:sz w:val="20"/>
          <w:szCs w:val="20"/>
          <w:color w:val="auto"/>
        </w:rPr>
      </w:pPr>
    </w:p>
    <w:p>
      <w:pPr>
        <w:ind w:right="60" w:firstLine="416"/>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 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 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213"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187" w:lineRule="exact"/>
        <w:rPr>
          <w:sz w:val="20"/>
          <w:szCs w:val="20"/>
          <w:color w:val="auto"/>
        </w:rPr>
      </w:pPr>
    </w:p>
    <w:p>
      <w:pPr>
        <w:ind w:right="80" w:firstLine="419"/>
        <w:spacing w:after="0" w:line="280" w:lineRule="auto"/>
        <w:rPr>
          <w:sz w:val="20"/>
          <w:szCs w:val="20"/>
          <w:color w:val="auto"/>
        </w:rPr>
      </w:pPr>
      <w:r>
        <w:rPr>
          <w:rFonts w:ascii="Times New Roman" w:cs="Times New Roman" w:eastAsia="Times New Roman" w:hAnsi="Times New Roman"/>
          <w:sz w:val="17"/>
          <w:szCs w:val="17"/>
          <w:color w:val="auto"/>
        </w:rPr>
        <w:t>Further, the complexity and uncertainty of European patent laws have increased in recent years. In Europe, a new unitary patent system has been introduced in early 2023, which could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right="120"/>
        <w:spacing w:after="0" w:line="260" w:lineRule="auto"/>
        <w:rPr>
          <w:sz w:val="20"/>
          <w:szCs w:val="20"/>
          <w:color w:val="auto"/>
        </w:rPr>
      </w:pPr>
      <w:r>
        <w:rPr>
          <w:rFonts w:ascii="Times New Roman" w:cs="Times New Roman" w:eastAsia="Times New Roman" w:hAnsi="Times New Roman"/>
          <w:sz w:val="18"/>
          <w:szCs w:val="18"/>
          <w:color w:val="auto"/>
        </w:rPr>
        <w:t>Patents granted before the implementation of the UPC have the option of opting out of the jurisdiction of the UPC and remaining as national patents in the UPC countries. Patents that remain under the jurisdiction of the UPC could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232" w:lineRule="exact"/>
        <w:rPr>
          <w:sz w:val="20"/>
          <w:szCs w:val="20"/>
          <w:color w:val="auto"/>
        </w:rPr>
      </w:pPr>
    </w:p>
    <w:p>
      <w:pPr>
        <w:ind w:left="4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64" w:lineRule="exact"/>
        <w:rPr>
          <w:sz w:val="20"/>
          <w:szCs w:val="20"/>
          <w:color w:val="auto"/>
        </w:rPr>
      </w:pPr>
    </w:p>
    <w:p>
      <w:pPr>
        <w:ind w:right="80" w:firstLine="416"/>
        <w:spacing w:after="0" w:line="276" w:lineRule="auto"/>
        <w:rPr>
          <w:sz w:val="20"/>
          <w:szCs w:val="20"/>
          <w:color w:val="auto"/>
        </w:rPr>
      </w:pPr>
      <w:r>
        <w:rPr>
          <w:rFonts w:ascii="Times New Roman" w:cs="Times New Roman" w:eastAsia="Times New Roman" w:hAnsi="Times New Roman"/>
          <w:sz w:val="17"/>
          <w:szCs w:val="17"/>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197"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216" w:lineRule="exact"/>
        <w:rPr>
          <w:sz w:val="20"/>
          <w:szCs w:val="20"/>
          <w:color w:val="auto"/>
        </w:rPr>
      </w:pPr>
    </w:p>
    <w:p>
      <w:pPr>
        <w:ind w:right="20" w:firstLine="416"/>
        <w:spacing w:after="0" w:line="252"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 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219"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2" w:name="page73"/>
    <w:bookmarkEnd w:id="72"/>
    <w:p>
      <w:pPr>
        <w:ind w:right="240"/>
        <w:spacing w:after="0" w:line="265" w:lineRule="auto"/>
        <w:rPr>
          <w:sz w:val="20"/>
          <w:szCs w:val="20"/>
          <w:color w:val="auto"/>
        </w:rPr>
      </w:pPr>
      <w:r>
        <w:rPr>
          <w:rFonts w:ascii="Times New Roman" w:cs="Times New Roman" w:eastAsia="Times New Roman" w:hAnsi="Times New Roman"/>
          <w:sz w:val="18"/>
          <w:szCs w:val="18"/>
          <w:color w:val="auto"/>
        </w:rPr>
        <w:t>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322" w:lineRule="exact"/>
        <w:rPr>
          <w:sz w:val="20"/>
          <w:szCs w:val="20"/>
          <w:color w:val="auto"/>
        </w:rPr>
      </w:pPr>
    </w:p>
    <w:p>
      <w:pPr>
        <w:ind w:left="4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64"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218"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Rights to improvements to our product candidates may be held by third parties.</w:t>
      </w:r>
    </w:p>
    <w:p>
      <w:pPr>
        <w:spacing w:after="0" w:line="148"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term of our patents may be inadequate to protect our competitive position on our products.</w:t>
      </w:r>
    </w:p>
    <w:p>
      <w:pPr>
        <w:spacing w:after="0" w:line="148"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remaining term of a patent beyond a total of 14 years from the date of product approval, only one patent applicable to an approved drug is eligible for the extension and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331" w:lineRule="exact"/>
        <w:rPr>
          <w:sz w:val="20"/>
          <w:szCs w:val="20"/>
          <w:color w:val="auto"/>
        </w:rPr>
      </w:pPr>
    </w:p>
    <w:p>
      <w:pPr>
        <w:ind w:left="4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79" w:lineRule="exact"/>
        <w:rPr>
          <w:sz w:val="20"/>
          <w:szCs w:val="20"/>
          <w:color w:val="auto"/>
        </w:rPr>
      </w:pPr>
    </w:p>
    <w:p>
      <w:pPr>
        <w:ind w:right="80" w:firstLine="416"/>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7" w:right="359" w:bottom="1440" w:gutter="0" w:footer="0" w:header="0"/>
        </w:sectPr>
      </w:pPr>
    </w:p>
    <w:bookmarkStart w:id="74" w:name="page75"/>
    <w:bookmarkEnd w:id="74"/>
    <w:p>
      <w:pPr>
        <w:ind w:left="4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50"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48" w:lineRule="exact"/>
        <w:rPr>
          <w:sz w:val="20"/>
          <w:szCs w:val="20"/>
          <w:color w:val="auto"/>
        </w:rPr>
      </w:pPr>
    </w:p>
    <w:p>
      <w:pPr>
        <w:ind w:right="100" w:firstLine="416"/>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8" w:lineRule="exact"/>
        <w:rPr>
          <w:sz w:val="20"/>
          <w:szCs w:val="20"/>
          <w:color w:val="auto"/>
        </w:rPr>
      </w:pPr>
    </w:p>
    <w:p>
      <w:pPr>
        <w:ind w:left="840" w:right="340" w:hanging="413"/>
        <w:spacing w:after="0" w:line="281" w:lineRule="auto"/>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54" w:lineRule="exact"/>
        <w:rPr>
          <w:rFonts w:ascii="Times New Roman" w:cs="Times New Roman" w:eastAsia="Times New Roman" w:hAnsi="Times New Roman"/>
          <w:sz w:val="18"/>
          <w:szCs w:val="18"/>
          <w:color w:val="auto"/>
        </w:rPr>
      </w:pPr>
    </w:p>
    <w:p>
      <w:pPr>
        <w:ind w:left="840" w:right="120" w:hanging="413"/>
        <w:spacing w:after="0" w:line="281" w:lineRule="auto"/>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54" w:lineRule="exact"/>
        <w:rPr>
          <w:rFonts w:ascii="Times New Roman" w:cs="Times New Roman" w:eastAsia="Times New Roman" w:hAnsi="Times New Roman"/>
          <w:sz w:val="18"/>
          <w:szCs w:val="18"/>
          <w:color w:val="auto"/>
        </w:rPr>
      </w:pPr>
    </w:p>
    <w:p>
      <w:pPr>
        <w:ind w:left="840" w:right="120" w:hanging="413"/>
        <w:spacing w:after="0" w:line="281" w:lineRule="auto"/>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license partners or current or future collaborators, might not have been the first to file patent applications covering certain of our or their inventions;</w:t>
      </w:r>
    </w:p>
    <w:p>
      <w:pPr>
        <w:spacing w:after="0" w:line="54" w:lineRule="exact"/>
        <w:rPr>
          <w:rFonts w:ascii="Times New Roman" w:cs="Times New Roman" w:eastAsia="Times New Roman" w:hAnsi="Times New Roman"/>
          <w:sz w:val="18"/>
          <w:szCs w:val="18"/>
          <w:color w:val="auto"/>
        </w:rPr>
      </w:pPr>
    </w:p>
    <w:p>
      <w:pPr>
        <w:ind w:left="840" w:right="60" w:hanging="413"/>
        <w:spacing w:after="0" w:line="281" w:lineRule="auto"/>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16" w:lineRule="exact"/>
        <w:rPr>
          <w:rFonts w:ascii="Times New Roman" w:cs="Times New Roman" w:eastAsia="Times New Roman" w:hAnsi="Times New Roman"/>
          <w:sz w:val="18"/>
          <w:szCs w:val="18"/>
          <w:color w:val="auto"/>
        </w:rPr>
      </w:pPr>
    </w:p>
    <w:p>
      <w:pPr>
        <w:ind w:left="840" w:right="100" w:hanging="413"/>
        <w:spacing w:after="0" w:line="281" w:lineRule="auto"/>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54" w:lineRule="exact"/>
        <w:rPr>
          <w:rFonts w:ascii="Times New Roman" w:cs="Times New Roman" w:eastAsia="Times New Roman" w:hAnsi="Times New Roman"/>
          <w:sz w:val="18"/>
          <w:szCs w:val="18"/>
          <w:color w:val="auto"/>
        </w:rPr>
      </w:pPr>
    </w:p>
    <w:p>
      <w:pPr>
        <w:ind w:left="840" w:right="240" w:hanging="413"/>
        <w:spacing w:after="0" w:line="281" w:lineRule="auto"/>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6" w:lineRule="exact"/>
        <w:rPr>
          <w:rFonts w:ascii="Times New Roman" w:cs="Times New Roman" w:eastAsia="Times New Roman" w:hAnsi="Times New Roman"/>
          <w:sz w:val="18"/>
          <w:szCs w:val="18"/>
          <w:color w:val="auto"/>
        </w:rPr>
      </w:pPr>
    </w:p>
    <w:p>
      <w:pPr>
        <w:ind w:left="840" w:right="440" w:hanging="413"/>
        <w:spacing w:after="0" w:line="281" w:lineRule="auto"/>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 how, and a third party may subsequently file a patent covering such intellectual property.</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420" w:right="5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ind w:right="140" w:firstLine="416"/>
        <w:spacing w:after="0" w:line="252" w:lineRule="auto"/>
        <w:rPr>
          <w:sz w:val="20"/>
          <w:szCs w:val="20"/>
          <w:color w:val="auto"/>
        </w:rPr>
      </w:pPr>
      <w:r>
        <w:rPr>
          <w:rFonts w:ascii="Times New Roman" w:cs="Times New Roman" w:eastAsia="Times New Roman" w:hAnsi="Times New Roman"/>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97" w:lineRule="exact"/>
        <w:rPr>
          <w:sz w:val="20"/>
          <w:szCs w:val="20"/>
          <w:color w:val="auto"/>
        </w:rPr>
      </w:pPr>
    </w:p>
    <w:p>
      <w:pPr>
        <w:ind w:left="4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0" w:lineRule="exact"/>
        <w:rPr>
          <w:sz w:val="20"/>
          <w:szCs w:val="20"/>
          <w:color w:val="auto"/>
        </w:rPr>
      </w:pPr>
    </w:p>
    <w:p>
      <w:pPr>
        <w:ind w:right="140" w:firstLine="416"/>
        <w:spacing w:after="0" w:line="281"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41" w:lineRule="exact"/>
        <w:rPr>
          <w:sz w:val="20"/>
          <w:szCs w:val="20"/>
          <w:color w:val="auto"/>
        </w:rPr>
      </w:pPr>
    </w:p>
    <w:p>
      <w:pPr>
        <w:ind w:left="840" w:right="180" w:hanging="413"/>
        <w:spacing w:after="0" w:line="281" w:lineRule="auto"/>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planned and ongoing development of our product candidates or future development programs, including scale-up CMC expenses;</w:t>
      </w:r>
    </w:p>
    <w:p>
      <w:pPr>
        <w:spacing w:after="0" w:line="54" w:lineRule="exact"/>
        <w:rPr>
          <w:rFonts w:ascii="Times New Roman" w:cs="Times New Roman" w:eastAsia="Times New Roman" w:hAnsi="Times New Roman"/>
          <w:sz w:val="18"/>
          <w:szCs w:val="18"/>
          <w:color w:val="auto"/>
        </w:rPr>
      </w:pPr>
    </w:p>
    <w:p>
      <w:pPr>
        <w:ind w:left="840" w:right="160" w:hanging="413"/>
        <w:spacing w:after="0" w:line="281" w:lineRule="auto"/>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or the addition or termination of future preclinical or clinical trials or funding support by us, or future collaborators or licensing partners;</w:t>
      </w:r>
    </w:p>
    <w:p>
      <w:pPr>
        <w:spacing w:after="0" w:line="54" w:lineRule="exact"/>
        <w:rPr>
          <w:rFonts w:ascii="Times New Roman" w:cs="Times New Roman" w:eastAsia="Times New Roman" w:hAnsi="Times New Roman"/>
          <w:sz w:val="18"/>
          <w:szCs w:val="18"/>
          <w:color w:val="auto"/>
        </w:rPr>
      </w:pPr>
    </w:p>
    <w:p>
      <w:pPr>
        <w:ind w:left="840" w:right="260" w:hanging="413"/>
        <w:spacing w:after="0" w:line="281" w:lineRule="auto"/>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6" w:lineRule="exact"/>
        <w:rPr>
          <w:rFonts w:ascii="Times New Roman" w:cs="Times New Roman" w:eastAsia="Times New Roman" w:hAnsi="Times New Roman"/>
          <w:sz w:val="18"/>
          <w:szCs w:val="18"/>
          <w:color w:val="auto"/>
        </w:rPr>
      </w:pPr>
    </w:p>
    <w:p>
      <w:pPr>
        <w:ind w:left="840" w:right="380" w:hanging="413"/>
        <w:spacing w:after="0" w:line="281" w:lineRule="auto"/>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4" w:lineRule="exact"/>
        <w:rPr>
          <w:rFonts w:ascii="Times New Roman" w:cs="Times New Roman" w:eastAsia="Times New Roman" w:hAnsi="Times New Roman"/>
          <w:sz w:val="18"/>
          <w:szCs w:val="18"/>
          <w:color w:val="auto"/>
        </w:rPr>
      </w:pPr>
    </w:p>
    <w:p>
      <w:pPr>
        <w:ind w:left="840" w:right="160" w:hanging="413"/>
        <w:spacing w:after="0" w:line="281" w:lineRule="auto"/>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receives regulatory approval, the terms of such approval and market acceptance and demand for such product candidates;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 and</w:t>
      </w:r>
    </w:p>
    <w:p>
      <w:pPr>
        <w:spacing w:after="0" w:line="116" w:lineRule="exact"/>
        <w:rPr>
          <w:rFonts w:ascii="Times New Roman" w:cs="Times New Roman" w:eastAsia="Times New Roman" w:hAnsi="Times New Roman"/>
          <w:sz w:val="18"/>
          <w:szCs w:val="18"/>
          <w:color w:val="auto"/>
        </w:rPr>
      </w:pPr>
    </w:p>
    <w:p>
      <w:pPr>
        <w:ind w:left="840" w:right="380" w:hanging="413"/>
        <w:spacing w:after="0" w:line="281" w:lineRule="auto"/>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and general macroeconomic conditions, including but not limited to the ongoing conflict in Ukraine, supply chain disruptions, rising interest rates, rising inflation rates, a potential recession or the ongoing COVID-19 pandemic.</w:t>
      </w:r>
    </w:p>
    <w:p>
      <w:pPr>
        <w:spacing w:after="0" w:line="230" w:lineRule="exact"/>
        <w:rPr>
          <w:sz w:val="20"/>
          <w:szCs w:val="20"/>
          <w:color w:val="auto"/>
        </w:rPr>
      </w:pPr>
    </w:p>
    <w:p>
      <w:pPr>
        <w:ind w:right="180" w:firstLine="416"/>
        <w:spacing w:after="0" w:line="260"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3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which could result in substantial losses for purchasers of our common stock.</w:t>
      </w:r>
    </w:p>
    <w:p>
      <w:pPr>
        <w:spacing w:after="0" w:line="148"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has been highly volatile since our initial public offering, or IPO. From January 1, 2022 to December 31, 2022, the closing price of common stock on the Nasdaq Global Select Market ranged from $4.00 to $13.22 per share. The market price of our common stock is likely to continue to be highly volatile and subject to wide fluctuations in response to various factors, some of which we cannot control. As a result of this volatility, investors may not be able to sell their common stock at or above the price paid. The market price for our common stock may be influenced by many factors, including the other risks described in this section of this Annual Report on Form 10-K and the following:</w:t>
      </w:r>
    </w:p>
    <w:p>
      <w:pPr>
        <w:spacing w:after="0" w:line="101" w:lineRule="exact"/>
        <w:rPr>
          <w:sz w:val="20"/>
          <w:szCs w:val="20"/>
          <w:color w:val="auto"/>
        </w:rPr>
      </w:pPr>
    </w:p>
    <w:p>
      <w:pPr>
        <w:ind w:left="840" w:right="540" w:hanging="413"/>
        <w:spacing w:after="0" w:line="281" w:lineRule="auto"/>
        <w:tabs>
          <w:tab w:leader="none" w:pos="8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or results of clinical trials of our product candidates, or those of our competitors or our future collaborators, or changes in the development status of our product candidates;</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76" w:name="page77"/>
    <w:bookmarkEnd w:id="76"/>
    <w:p>
      <w:pPr>
        <w:ind w:left="840" w:right="240" w:hanging="413"/>
        <w:spacing w:after="0" w:line="281"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product candidates;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6" w:lineRule="exact"/>
        <w:rPr>
          <w:rFonts w:ascii="Times New Roman" w:cs="Times New Roman" w:eastAsia="Times New Roman" w:hAnsi="Times New Roman"/>
          <w:sz w:val="18"/>
          <w:szCs w:val="18"/>
          <w:color w:val="auto"/>
        </w:rPr>
      </w:pPr>
    </w:p>
    <w:p>
      <w:pPr>
        <w:ind w:left="840" w:right="360" w:hanging="413"/>
        <w:spacing w:after="0" w:line="281"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future commercialization partners, or our competitors, and the timing of these introductions or announcements;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product candidates;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any future collaborations, including but not limited to those with development and commercialization partners;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6" w:lineRule="exact"/>
        <w:rPr>
          <w:rFonts w:ascii="Times New Roman" w:cs="Times New Roman" w:eastAsia="Times New Roman" w:hAnsi="Times New Roman"/>
          <w:sz w:val="18"/>
          <w:szCs w:val="18"/>
          <w:color w:val="auto"/>
        </w:rPr>
      </w:pPr>
    </w:p>
    <w:p>
      <w:pPr>
        <w:ind w:left="840" w:right="360" w:hanging="413"/>
        <w:spacing w:after="0" w:line="281"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 candidates and products;</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840" w:right="320" w:hanging="413"/>
        <w:spacing w:after="0" w:line="281"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4"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fluctuations of trading volume of our common stock;</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purchases of our common stock by us, insiders or our stockholders;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(including the ongoing conflict in Ukraine);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6" w:lineRule="exact"/>
        <w:rPr>
          <w:rFonts w:ascii="Times New Roman" w:cs="Times New Roman" w:eastAsia="Times New Roman" w:hAnsi="Times New Roman"/>
          <w:sz w:val="18"/>
          <w:szCs w:val="18"/>
          <w:color w:val="auto"/>
        </w:rPr>
      </w:pPr>
    </w:p>
    <w:p>
      <w:pPr>
        <w:ind w:left="840" w:hanging="413"/>
        <w:spacing w:after="0" w:line="281"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or other events or factors, many of which are beyond our control, including but not limited to a potential recession, rising interest rates, rising inflation, and the ongoing COVID-19 pandemic.</w:t>
      </w:r>
    </w:p>
    <w:p>
      <w:pPr>
        <w:spacing w:after="0" w:line="190" w:lineRule="exact"/>
        <w:rPr>
          <w:sz w:val="20"/>
          <w:szCs w:val="20"/>
          <w:color w:val="auto"/>
        </w:rPr>
      </w:pPr>
    </w:p>
    <w:p>
      <w:pPr>
        <w:ind w:right="180" w:firstLine="416"/>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7" w:name="page78"/>
    <w:bookmarkEnd w:id="77"/>
    <w:p>
      <w:pPr>
        <w:ind w:left="48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50" w:lineRule="exact"/>
        <w:rPr>
          <w:sz w:val="20"/>
          <w:szCs w:val="20"/>
          <w:color w:val="auto"/>
        </w:rPr>
      </w:pPr>
    </w:p>
    <w:p>
      <w:pPr>
        <w:ind w:right="40" w:firstLine="479"/>
        <w:spacing w:after="0" w:line="265" w:lineRule="auto"/>
        <w:rPr>
          <w:sz w:val="20"/>
          <w:szCs w:val="20"/>
          <w:color w:val="auto"/>
        </w:rPr>
      </w:pPr>
      <w:r>
        <w:rPr>
          <w:rFonts w:ascii="Times New Roman" w:cs="Times New Roman" w:eastAsia="Times New Roman" w:hAnsi="Times New Roman"/>
          <w:sz w:val="18"/>
          <w:szCs w:val="18"/>
          <w:color w:val="auto"/>
        </w:rPr>
        <w:t>As of December 31, 2022, our executive officers, directors, beneficial owners of 5% or more of our capital stock and their respective affiliates beneficially owned a substantial portion of our common stock. The voting power of this group may increase to the extent they convert shares of non-voting common stock they hold into common stock.</w:t>
      </w:r>
    </w:p>
    <w:p>
      <w:pPr>
        <w:spacing w:after="0" w:line="69"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This group of stockholders have the ability to control us through this ownership position and are able to determine all matters requiring stockholder approval. For example, these stockholders are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14" w:lineRule="exact"/>
        <w:rPr>
          <w:sz w:val="20"/>
          <w:szCs w:val="20"/>
          <w:color w:val="auto"/>
        </w:rPr>
      </w:pPr>
    </w:p>
    <w:p>
      <w:pPr>
        <w:ind w:left="48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64"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restated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at March 9, 2023, the common stock will have 100% of the voting power, but if the holders of non-voting common stock were to convert all of their shares into common stock, the prior common stock would have 76.2% of the voting power, and the former non-voting common stock would represent 23.8% of the voting power. Additionally, stockholders who hold, in the aggregate, more than 10% of our common stock and non-voting common stock,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331" w:lineRule="exact"/>
        <w:rPr>
          <w:sz w:val="20"/>
          <w:szCs w:val="20"/>
          <w:color w:val="auto"/>
        </w:rPr>
      </w:pPr>
    </w:p>
    <w:p>
      <w:pPr>
        <w:ind w:left="480" w:right="3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27" w:lineRule="exact"/>
        <w:rPr>
          <w:sz w:val="20"/>
          <w:szCs w:val="20"/>
          <w:color w:val="auto"/>
        </w:rPr>
      </w:pPr>
    </w:p>
    <w:p>
      <w:pPr>
        <w:ind w:right="80" w:firstLine="47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this Annual Report on Form 10-K as well as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in this Annual Report on Form 10-K.</w:t>
      </w:r>
    </w:p>
    <w:p>
      <w:pPr>
        <w:spacing w:after="0" w:line="79" w:lineRule="exact"/>
        <w:rPr>
          <w:sz w:val="20"/>
          <w:szCs w:val="20"/>
          <w:color w:val="auto"/>
        </w:rPr>
      </w:pPr>
    </w:p>
    <w:p>
      <w:pPr>
        <w:ind w:right="120" w:firstLine="479"/>
        <w:spacing w:after="0" w:line="254" w:lineRule="auto"/>
        <w:rPr>
          <w:sz w:val="20"/>
          <w:szCs w:val="20"/>
          <w:color w:val="auto"/>
        </w:rPr>
      </w:pPr>
      <w:r>
        <w:rPr>
          <w:rFonts w:ascii="Times New Roman" w:cs="Times New Roman" w:eastAsia="Times New Roman" w:hAnsi="Times New Roman"/>
          <w:sz w:val="18"/>
          <w:szCs w:val="18"/>
          <w:color w:val="auto"/>
        </w:rPr>
        <w:t>We could be an emerging growth company until December 31, 2025, although circumstances could cause us to lose that status earlier, including if we are deemed to be a “large accelerated filer,” which occurs when the market value of our common stock that is held by non-affiliates equals or exceeds $700 million as of the prior June 30, or if we have total annual gross revenue of $1.235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our revenues remain less than $100.0 million, and reduced disclosure obligations regarding executive compensation in this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8" w:name="page79"/>
    <w:bookmarkEnd w:id="78"/>
    <w:p>
      <w:pPr>
        <w:jc w:val="both"/>
        <w:spacing w:after="0" w:line="265" w:lineRule="auto"/>
        <w:rPr>
          <w:sz w:val="20"/>
          <w:szCs w:val="20"/>
          <w:color w:val="auto"/>
        </w:rPr>
      </w:pPr>
      <w:r>
        <w:rPr>
          <w:rFonts w:ascii="Times New Roman" w:cs="Times New Roman" w:eastAsia="Times New Roman" w:hAnsi="Times New Roman"/>
          <w:sz w:val="18"/>
          <w:szCs w:val="18"/>
          <w:color w:val="auto"/>
        </w:rPr>
        <w:t>Annual Report on Form 10-K as well as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69"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78" w:lineRule="exact"/>
        <w:rPr>
          <w:sz w:val="20"/>
          <w:szCs w:val="20"/>
          <w:color w:val="auto"/>
        </w:rPr>
      </w:pPr>
    </w:p>
    <w:p>
      <w:pPr>
        <w:ind w:right="80" w:firstLine="47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as of the prior June 30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41" w:lineRule="exact"/>
        <w:rPr>
          <w:sz w:val="20"/>
          <w:szCs w:val="20"/>
          <w:color w:val="auto"/>
        </w:rPr>
      </w:pPr>
    </w:p>
    <w:p>
      <w:pPr>
        <w:ind w:left="4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64" w:lineRule="exact"/>
        <w:rPr>
          <w:sz w:val="20"/>
          <w:szCs w:val="20"/>
          <w:color w:val="auto"/>
        </w:rPr>
      </w:pPr>
    </w:p>
    <w:p>
      <w:pPr>
        <w:ind w:right="60" w:firstLine="416"/>
        <w:spacing w:after="0" w:line="265"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83" w:lineRule="exact"/>
        <w:rPr>
          <w:sz w:val="20"/>
          <w:szCs w:val="20"/>
          <w:color w:val="auto"/>
        </w:rPr>
      </w:pPr>
    </w:p>
    <w:p>
      <w:pPr>
        <w:ind w:left="840" w:hanging="413"/>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6" w:lineRule="exact"/>
        <w:rPr>
          <w:rFonts w:ascii="Times New Roman" w:cs="Times New Roman" w:eastAsia="Times New Roman" w:hAnsi="Times New Roman"/>
          <w:sz w:val="18"/>
          <w:szCs w:val="18"/>
          <w:color w:val="auto"/>
        </w:rPr>
      </w:pPr>
    </w:p>
    <w:p>
      <w:pPr>
        <w:ind w:left="840" w:right="60" w:hanging="413"/>
        <w:spacing w:after="0" w:line="281" w:lineRule="auto"/>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76" w:lineRule="exact"/>
        <w:rPr>
          <w:sz w:val="20"/>
          <w:szCs w:val="20"/>
          <w:color w:val="auto"/>
        </w:rPr>
      </w:pPr>
    </w:p>
    <w:p>
      <w:pPr>
        <w:jc w:val="both"/>
        <w:ind w:right="120" w:firstLine="416"/>
        <w:spacing w:after="0" w:line="265"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9" w:name="page80"/>
    <w:bookmarkEnd w:id="79"/>
    <w:p>
      <w:pPr>
        <w:ind w:left="420" w:right="1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spacing w:after="0" w:line="27" w:lineRule="exact"/>
        <w:rPr>
          <w:sz w:val="20"/>
          <w:szCs w:val="20"/>
          <w:color w:val="auto"/>
        </w:rPr>
      </w:pPr>
    </w:p>
    <w:p>
      <w:pPr>
        <w:jc w:val="both"/>
        <w:ind w:right="60" w:firstLine="416"/>
        <w:spacing w:after="0" w:line="272" w:lineRule="auto"/>
        <w:rPr>
          <w:sz w:val="20"/>
          <w:szCs w:val="20"/>
          <w:color w:val="auto"/>
        </w:rPr>
      </w:pPr>
      <w:r>
        <w:rPr>
          <w:rFonts w:ascii="Times New Roman" w:cs="Times New Roman" w:eastAsia="Times New Roman" w:hAnsi="Times New Roman"/>
          <w:sz w:val="17"/>
          <w:szCs w:val="17"/>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180" w:lineRule="exact"/>
        <w:rPr>
          <w:sz w:val="20"/>
          <w:szCs w:val="20"/>
          <w:color w:val="auto"/>
        </w:rPr>
      </w:pPr>
    </w:p>
    <w:p>
      <w:pPr>
        <w:ind w:right="40" w:firstLine="416"/>
        <w:spacing w:after="0" w:line="260"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95" w:lineRule="exact"/>
        <w:rPr>
          <w:sz w:val="20"/>
          <w:szCs w:val="20"/>
          <w:color w:val="auto"/>
        </w:rPr>
      </w:pPr>
    </w:p>
    <w:p>
      <w:pPr>
        <w:ind w:right="60" w:firstLine="416"/>
        <w:spacing w:after="0" w:line="254"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81" w:lineRule="exact"/>
        <w:rPr>
          <w:sz w:val="20"/>
          <w:szCs w:val="20"/>
          <w:color w:val="auto"/>
        </w:rPr>
      </w:pPr>
    </w:p>
    <w:p>
      <w:pPr>
        <w:ind w:right="40" w:firstLine="479"/>
        <w:spacing w:after="0" w:line="260"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stockholders will not be deemed to have waived our compliance with the federal securities laws and the regulations promulgated thereunder.</w:t>
      </w:r>
    </w:p>
    <w:p>
      <w:pPr>
        <w:spacing w:after="0" w:line="117" w:lineRule="exact"/>
        <w:rPr>
          <w:sz w:val="20"/>
          <w:szCs w:val="20"/>
          <w:color w:val="auto"/>
        </w:rPr>
      </w:pPr>
    </w:p>
    <w:p>
      <w:pPr>
        <w:ind w:right="120" w:firstLine="479"/>
        <w:spacing w:after="0" w:line="260"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72" w:lineRule="exact"/>
        <w:rPr>
          <w:sz w:val="20"/>
          <w:szCs w:val="20"/>
          <w:color w:val="auto"/>
        </w:rPr>
      </w:pPr>
    </w:p>
    <w:p>
      <w:pPr>
        <w:ind w:left="48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0"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ind w:right="540"/>
        <w:spacing w:after="0" w:line="281" w:lineRule="auto"/>
        <w:rPr>
          <w:sz w:val="20"/>
          <w:szCs w:val="20"/>
          <w:color w:val="auto"/>
        </w:rPr>
      </w:pPr>
      <w:r>
        <w:rPr>
          <w:rFonts w:ascii="Times New Roman" w:cs="Times New Roman" w:eastAsia="Times New Roman" w:hAnsi="Times New Roman"/>
          <w:sz w:val="18"/>
          <w:szCs w:val="18"/>
          <w:color w:val="auto"/>
        </w:rPr>
        <w:t>regulatory and governing bodies. This could result in continuing uncertainty regarding compliance matters and higher costs necessitated by ongoing revisions to disclosure and governance practices.</w:t>
      </w:r>
    </w:p>
    <w:p>
      <w:pPr>
        <w:spacing w:after="0" w:line="159" w:lineRule="exact"/>
        <w:rPr>
          <w:sz w:val="20"/>
          <w:szCs w:val="20"/>
          <w:color w:val="auto"/>
        </w:rPr>
      </w:pPr>
    </w:p>
    <w:p>
      <w:pPr>
        <w:ind w:left="48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4" w:lineRule="exact"/>
        <w:rPr>
          <w:sz w:val="20"/>
          <w:szCs w:val="20"/>
          <w:color w:val="auto"/>
        </w:rPr>
      </w:pPr>
    </w:p>
    <w:p>
      <w:pPr>
        <w:ind w:right="120" w:firstLine="479"/>
        <w:spacing w:after="0" w:line="26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44" w:lineRule="exact"/>
        <w:rPr>
          <w:sz w:val="20"/>
          <w:szCs w:val="20"/>
          <w:color w:val="auto"/>
        </w:rPr>
      </w:pPr>
    </w:p>
    <w:p>
      <w:pPr>
        <w:ind w:left="48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4"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330" w:lineRule="exact"/>
        <w:rPr>
          <w:sz w:val="20"/>
          <w:szCs w:val="20"/>
          <w:color w:val="auto"/>
        </w:rPr>
      </w:pPr>
    </w:p>
    <w:p>
      <w:pPr>
        <w:ind w:left="4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50" w:lineRule="exact"/>
        <w:rPr>
          <w:sz w:val="20"/>
          <w:szCs w:val="20"/>
          <w:color w:val="auto"/>
        </w:rPr>
      </w:pPr>
    </w:p>
    <w:p>
      <w:pPr>
        <w:ind w:right="140" w:firstLine="479"/>
        <w:spacing w:after="0" w:line="26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the listing requirements of the Nasdaq Global Select Market. The Sarbanes-Oxley Act requires, among other things, that we maintain effective disclosure controls and procedures and internal control over financial reporting.</w:t>
      </w:r>
    </w:p>
    <w:p>
      <w:pPr>
        <w:spacing w:after="0" w:line="177" w:lineRule="exact"/>
        <w:rPr>
          <w:sz w:val="20"/>
          <w:szCs w:val="20"/>
          <w:color w:val="auto"/>
        </w:rPr>
      </w:pPr>
    </w:p>
    <w:p>
      <w:pPr>
        <w:ind w:right="120" w:firstLine="479"/>
        <w:spacing w:after="0" w:line="260" w:lineRule="auto"/>
        <w:rPr>
          <w:sz w:val="20"/>
          <w:szCs w:val="20"/>
          <w:color w:val="auto"/>
        </w:rPr>
      </w:pPr>
      <w:r>
        <w:rPr>
          <w:rFonts w:ascii="Times New Roman" w:cs="Times New Roman" w:eastAsia="Times New Roman" w:hAnsi="Times New Roman"/>
          <w:sz w:val="18"/>
          <w:szCs w:val="18"/>
          <w:color w:val="auto"/>
        </w:rPr>
        <w:t>We perform system and process evaluation and testing of our internal control over financial reporting to allow management to report on the effectiveness of our internal control over financial reporting in our Annual Report on Form 10-K filing for that year, as required by Section 404(a) of the Sarbanes-Oxley Act. This requires that we incur substantial additional professional fees and internal costs to expand our accounting and finance functions and that we expend significant management efforts.</w:t>
      </w:r>
    </w:p>
    <w:p>
      <w:pPr>
        <w:spacing w:after="0" w:line="182" w:lineRule="exact"/>
        <w:rPr>
          <w:sz w:val="20"/>
          <w:szCs w:val="20"/>
          <w:color w:val="auto"/>
        </w:rPr>
      </w:pPr>
    </w:p>
    <w:p>
      <w:pPr>
        <w:jc w:val="both"/>
        <w:ind w:right="220" w:firstLine="479"/>
        <w:spacing w:after="0" w:line="260" w:lineRule="auto"/>
        <w:rPr>
          <w:sz w:val="20"/>
          <w:szCs w:val="20"/>
          <w:color w:val="auto"/>
        </w:rPr>
      </w:pPr>
      <w:r>
        <w:rPr>
          <w:rFonts w:ascii="Times New Roman" w:cs="Times New Roman" w:eastAsia="Times New Roman" w:hAnsi="Times New Roman"/>
          <w:sz w:val="18"/>
          <w:szCs w:val="18"/>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2" w:lineRule="exact"/>
        <w:rPr>
          <w:sz w:val="20"/>
          <w:szCs w:val="20"/>
          <w:color w:val="auto"/>
        </w:rPr>
      </w:pPr>
    </w:p>
    <w:p>
      <w:pPr>
        <w:ind w:right="180" w:firstLine="479"/>
        <w:spacing w:after="0" w:line="260"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180" w:firstLine="479"/>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00" w:firstLine="479"/>
        <w:spacing w:after="0" w:line="260" w:lineRule="auto"/>
        <w:rPr>
          <w:sz w:val="20"/>
          <w:szCs w:val="20"/>
          <w:color w:val="auto"/>
        </w:rPr>
      </w:pPr>
      <w:r>
        <w:rPr>
          <w:rFonts w:ascii="Times New Roman" w:cs="Times New Roman" w:eastAsia="Times New Roman" w:hAnsi="Times New Roman"/>
          <w:sz w:val="18"/>
          <w:szCs w:val="18"/>
          <w:color w:val="auto"/>
        </w:rPr>
        <w:t>Our principal executive office is located in Wilmington, Delaware where we license and lease space in two buildings for a total of approximately 39,294 square feet of office and laboratory space that is utilized for administrative, research and development and other business related activities. The license covering our laboratory, supportive, and executive offices expires on December 31, 2023. Our secondary office presence is leased through June 30, 2023.</w:t>
      </w:r>
    </w:p>
    <w:p>
      <w:pPr>
        <w:spacing w:after="0" w:line="74"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On November 30, 2021, we entered into a lease agreement (the “Chestnut Run Lease”) for approximately 81,000 square feet of office and laboratory space that we intend to use for administrative, research and development and other activities located at Chestnut Run Plaza in Wilmington, Delaware. The Chestnut Run Lease has an initial term of 162 months from the earlier of (i) the Landlord Work Substantial Completion Date (as such term is defined in the Chestnut Run Lease) or (ii) the date the Company takes possession of the premises for the conduct of the Company’s business. In August 2022, the Chestnut Run Lease was amended to increase the tenant improvement allowance and the monthly base rent payments. We have an option to extend the term of the lease by up to three additional five-year terms and certain expansion rights.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believe that our facilities are sufficient to meet our current needs and that suitable additional space will be available as and when needed.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140" w:firstLine="47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4" w:lineRule="exact"/>
        <w:rPr>
          <w:sz w:val="20"/>
          <w:szCs w:val="20"/>
          <w:color w:val="auto"/>
        </w:rPr>
      </w:pPr>
    </w:p>
    <w:p>
      <w:pPr>
        <w:ind w:left="380" w:right="1920" w:hanging="373"/>
        <w:spacing w:after="0" w:line="33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spacing w:after="0" w:line="77" w:lineRule="exact"/>
        <w:rPr>
          <w:sz w:val="20"/>
          <w:szCs w:val="20"/>
          <w:color w:val="auto"/>
        </w:rPr>
      </w:pPr>
    </w:p>
    <w:p>
      <w:pPr>
        <w:ind w:right="360" w:firstLine="374"/>
        <w:spacing w:after="0" w:line="281"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under the symbol “PRLD” since September 25, 2020. Prior to that there was no public trading market for our common stock.</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8" w:lineRule="exact"/>
        <w:rPr>
          <w:sz w:val="20"/>
          <w:szCs w:val="20"/>
          <w:color w:val="auto"/>
        </w:rPr>
      </w:pPr>
    </w:p>
    <w:p>
      <w:pPr>
        <w:ind w:right="20" w:firstLine="374"/>
        <w:spacing w:after="0" w:line="265" w:lineRule="auto"/>
        <w:rPr>
          <w:sz w:val="20"/>
          <w:szCs w:val="20"/>
          <w:color w:val="auto"/>
        </w:rPr>
      </w:pPr>
      <w:r>
        <w:rPr>
          <w:rFonts w:ascii="Times New Roman" w:cs="Times New Roman" w:eastAsia="Times New Roman" w:hAnsi="Times New Roman"/>
          <w:sz w:val="18"/>
          <w:szCs w:val="18"/>
          <w:color w:val="auto"/>
        </w:rPr>
        <w:t>As of March 9, 2023, there were approximately 19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ind w:right="100" w:firstLine="374"/>
        <w:spacing w:after="0" w:line="260" w:lineRule="auto"/>
        <w:rPr>
          <w:sz w:val="20"/>
          <w:szCs w:val="20"/>
          <w:color w:val="auto"/>
        </w:rPr>
      </w:pPr>
      <w:r>
        <w:rPr>
          <w:rFonts w:ascii="Times New Roman" w:cs="Times New Roman" w:eastAsia="Times New Roman" w:hAnsi="Times New Roman"/>
          <w:sz w:val="18"/>
          <w:szCs w:val="18"/>
          <w:color w:val="auto"/>
        </w:rPr>
        <w:t>We currently intend to retain future earnings, if any, for use in operation of our business and to fund future growth. 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88" w:lineRule="exact"/>
        <w:rPr>
          <w:sz w:val="20"/>
          <w:szCs w:val="20"/>
          <w:color w:val="auto"/>
        </w:rPr>
      </w:pPr>
    </w:p>
    <w:p>
      <w:pPr>
        <w:ind w:right="80" w:firstLine="374"/>
        <w:spacing w:after="0" w:line="222" w:lineRule="exact"/>
        <w:rPr>
          <w:sz w:val="20"/>
          <w:szCs w:val="20"/>
          <w:color w:val="auto"/>
        </w:rPr>
      </w:pPr>
      <w:r>
        <w:rPr>
          <w:rFonts w:ascii="Times New Roman" w:cs="Times New Roman" w:eastAsia="Times New Roman" w:hAnsi="Times New Roman"/>
          <w:sz w:val="18"/>
          <w:szCs w:val="18"/>
          <w:color w:val="auto"/>
        </w:rPr>
        <w:t>On September 29, 2020, we completed our IPO and sold 9,573,750 shares of common stock at an IPO price of $19.00 per share. The offer and sale of all of the shares in the IPO were registered under the Securities Act pursuant to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(File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248628), which was declared effective by the SEC on September 24, 2020. No additional shares were registered.</w:t>
      </w:r>
    </w:p>
    <w:p>
      <w:pPr>
        <w:spacing w:after="0" w:line="158" w:lineRule="exact"/>
        <w:rPr>
          <w:sz w:val="20"/>
          <w:szCs w:val="20"/>
          <w:color w:val="auto"/>
        </w:rPr>
      </w:pPr>
    </w:p>
    <w:p>
      <w:pPr>
        <w:ind w:firstLine="374"/>
        <w:spacing w:after="0" w:line="260" w:lineRule="auto"/>
        <w:rPr>
          <w:sz w:val="20"/>
          <w:szCs w:val="20"/>
          <w:color w:val="auto"/>
        </w:rPr>
      </w:pPr>
      <w:r>
        <w:rPr>
          <w:rFonts w:ascii="Times New Roman" w:cs="Times New Roman" w:eastAsia="Times New Roman" w:hAnsi="Times New Roman"/>
          <w:sz w:val="18"/>
          <w:szCs w:val="18"/>
          <w:color w:val="auto"/>
        </w:rPr>
        <w:t>We received net proceeds from the IPO of approximately $166.6 million, after deducting underwriting discounts and commissions and offering costs. Morgan Stanley &amp; Co. LLC, Goldman Sachs &amp; Co. LLC and BofA Securities, Inc.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155" w:lineRule="exact"/>
        <w:rPr>
          <w:sz w:val="20"/>
          <w:szCs w:val="20"/>
          <w:color w:val="auto"/>
        </w:rPr>
      </w:pPr>
    </w:p>
    <w:p>
      <w:pPr>
        <w:ind w:right="280" w:firstLine="374"/>
        <w:spacing w:after="0" w:line="281"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the Prospectus filed with the SEC pursuant to Rule 424(b)(4) under the Securities Act on September 25, 2020.</w:t>
      </w:r>
    </w:p>
    <w:p>
      <w:pPr>
        <w:spacing w:after="0" w:line="122" w:lineRule="exact"/>
        <w:rPr>
          <w:sz w:val="20"/>
          <w:szCs w:val="20"/>
          <w:color w:val="auto"/>
        </w:rPr>
      </w:pPr>
    </w:p>
    <w:p>
      <w:pPr>
        <w:ind w:firstLine="374"/>
        <w:spacing w:after="0" w:line="220" w:lineRule="exact"/>
        <w:rPr>
          <w:sz w:val="20"/>
          <w:szCs w:val="20"/>
          <w:color w:val="auto"/>
        </w:rPr>
      </w:pPr>
      <w:r>
        <w:rPr>
          <w:rFonts w:ascii="Times New Roman" w:cs="Times New Roman" w:eastAsia="Times New Roman" w:hAnsi="Times New Roman"/>
          <w:sz w:val="18"/>
          <w:szCs w:val="18"/>
          <w:color w:val="auto"/>
        </w:rPr>
        <w:t>In January 2021, the Company sold 2,875,000 shares of its common stock at a public offering price of $60.00 per share. The offer and sale of all of the shares were registered under the Securities Act pursuant to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filed January 4, 2021, which was declared effective by the SEC on January 6, 2021. We received net proceeds of $161.4 million after deducting underwriting discounts, commissions, and other offering expenses paid by the Company. There has been no material change in the planned use of proceeds as described in the Prospectus filed with the SEC pursuant to Rule 424(b)(4) under the Securities Act on January 7, 2021.</w:t>
      </w:r>
    </w:p>
    <w:p>
      <w:pPr>
        <w:spacing w:after="0" w:line="3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334"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Annual Report on Form 10-K. Some of the information contained in this discussion and analysis contains forward-looking statements that involve risks and uncertainties. You should review the section titled “Risk Factors” in this Annual Report on Form 10-K for a discussion of important factors that could cause actual results to differ materially from the results described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auto"/>
        </w:rPr>
        <w:t>We are a clinical-stage fully integrated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fully-integrated drug discovery engine and the development expertise necessary to identify compelling biological targets and create new chemical entities, or NCEs, that we rapidly advance into clinical trials.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multiple investigational new drug applications, or INDs, and successfully advanced several programs into clinical trials. In addition, we have other unique programs in various stages of preclinical development.</w:t>
      </w:r>
    </w:p>
    <w:p>
      <w:pPr>
        <w:spacing w:after="0" w:line="189" w:lineRule="exact"/>
        <w:rPr>
          <w:sz w:val="20"/>
          <w:szCs w:val="20"/>
          <w:color w:val="auto"/>
        </w:rPr>
      </w:pPr>
    </w:p>
    <w:p>
      <w:pPr>
        <w:ind w:right="20" w:firstLine="419"/>
        <w:spacing w:after="0" w:line="260"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spanning methyltransferases, kinases, protein-protein interactions and targeted protein degraders.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182" w:lineRule="exact"/>
        <w:rPr>
          <w:sz w:val="20"/>
          <w:szCs w:val="20"/>
          <w:color w:val="auto"/>
        </w:rPr>
      </w:pPr>
    </w:p>
    <w:p>
      <w:pPr>
        <w:ind w:right="40" w:firstLine="419"/>
        <w:spacing w:after="0" w:line="265" w:lineRule="auto"/>
        <w:rPr>
          <w:sz w:val="20"/>
          <w:szCs w:val="20"/>
          <w:color w:val="auto"/>
        </w:rPr>
      </w:pPr>
      <w:r>
        <w:rPr>
          <w:rFonts w:ascii="Times New Roman" w:cs="Times New Roman" w:eastAsia="Times New Roman" w:hAnsi="Times New Roman"/>
          <w:sz w:val="18"/>
          <w:szCs w:val="18"/>
          <w:color w:val="auto"/>
        </w:rPr>
        <w:t>We have several drug candidates in clinical development, and we believe we can generate proof-of-concept clinical data in the next 12 to 24 months to guide our future regulatory pathways to approval. Our CDK9 and MCL1 inhibitors are selective and potent, with potentially superior safety profiles. Our next generation CDK4/6 inhibitor is specifically designed to be a brain and tissue penetrant and our SMARCA2 molecule is a unique, first-in-class protein degrader, targeting specific patient populations.</w:t>
      </w:r>
    </w:p>
    <w:p>
      <w:pPr>
        <w:spacing w:after="0" w:line="178" w:lineRule="exact"/>
        <w:rPr>
          <w:sz w:val="20"/>
          <w:szCs w:val="20"/>
          <w:color w:val="auto"/>
        </w:rPr>
      </w:pPr>
    </w:p>
    <w:p>
      <w:pPr>
        <w:ind w:right="40" w:firstLine="419"/>
        <w:spacing w:after="0" w:line="260" w:lineRule="auto"/>
        <w:rPr>
          <w:sz w:val="20"/>
          <w:szCs w:val="20"/>
          <w:color w:val="auto"/>
        </w:rPr>
      </w:pPr>
      <w:r>
        <w:rPr>
          <w:rFonts w:ascii="Times New Roman" w:cs="Times New Roman" w:eastAsia="Times New Roman" w:hAnsi="Times New Roman"/>
          <w:sz w:val="18"/>
          <w:szCs w:val="18"/>
          <w:color w:val="auto"/>
        </w:rPr>
        <w:t>Our CDK9 candidate, PRT2527, is designed to be a potent and selective CDK9 inhibitor. In preclinical studies, PRT2527 was shown to reduce MCL1 and MYC protein levels and was highly active in preclinical models at well-tolerated doses. Our preclinical studies suggest that PRT2527 demonstrates high kinase selectivity and potency, providing opportunity for a wider therapeutic index compared to less selective CDK9 inhibitors, allowing for rapid development in combinations.</w:t>
      </w:r>
    </w:p>
    <w:p>
      <w:pPr>
        <w:spacing w:after="0" w:line="182"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Dose dependent increases in exposure and target engagement were observed as evidenced by MYC and MCL1 depletion to levels associated with tumor regression in preclinical models. A Phase 1 trial is underway evaluating escalating IV doses of PRT2527 as a monotherapy in patients with selected solid tumors. No adverse events leading to dose reduction or discontinuation have been reported and we expect to select a recommended Phase 2 dose, or RP2D, in solid tumors. We plan to use this safety data to continue the cohort expansion study in solid tumors, as well as to inform and rapidly progress PRT2527 in a hematology malignancies clinical trial. We expect to present solid tumor dose escalation data at a medical conference in the first half of 2023, demonstrate a RP2D in hematological malignancies in the second half of 2023, and present initial clinical results for hematological malignancies at a medical conference in the second half of 2023.</w:t>
      </w:r>
    </w:p>
    <w:p>
      <w:pPr>
        <w:spacing w:after="0" w:line="186" w:lineRule="exact"/>
        <w:rPr>
          <w:sz w:val="20"/>
          <w:szCs w:val="20"/>
          <w:color w:val="auto"/>
        </w:rPr>
      </w:pPr>
    </w:p>
    <w:p>
      <w:pPr>
        <w:ind w:right="60" w:firstLine="419"/>
        <w:spacing w:after="0" w:line="255" w:lineRule="auto"/>
        <w:rPr>
          <w:sz w:val="20"/>
          <w:szCs w:val="20"/>
          <w:color w:val="auto"/>
        </w:rPr>
      </w:pPr>
      <w:r>
        <w:rPr>
          <w:rFonts w:ascii="Times New Roman" w:cs="Times New Roman" w:eastAsia="Times New Roman" w:hAnsi="Times New Roman"/>
          <w:sz w:val="18"/>
          <w:szCs w:val="18"/>
          <w:color w:val="auto"/>
        </w:rPr>
        <w:t>Our MCL1 candidate, PRT1419,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The IV formulation of PRT1419 has demonstrated a desirable pharmacokinetic, pharmacodynamic and safety profile with potential for differentiation from competitor compounds. We are enrolling patients in a Phase 1 solid tumor dose escalation and confirmation study, including a significant number of patients at the recommended expansion dose of 80 mg/m2. In this study, PRT1419 has been generally well tolerated, with no cardiotoxicity observed in these patients to date. Cardiovascular parameters including troponin levels and ejection fraction changes were evaluated, in addition to standard safety, pharmacokinetics and target engagement metrics.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4" w:name="page85"/>
    <w:bookmarkEnd w:id="84"/>
    <w:p>
      <w:pPr>
        <w:ind w:right="80"/>
        <w:spacing w:after="0" w:line="255" w:lineRule="auto"/>
        <w:rPr>
          <w:sz w:val="20"/>
          <w:szCs w:val="20"/>
          <w:color w:val="auto"/>
        </w:rPr>
      </w:pPr>
      <w:r>
        <w:rPr>
          <w:rFonts w:ascii="Times New Roman" w:cs="Times New Roman" w:eastAsia="Times New Roman" w:hAnsi="Times New Roman"/>
          <w:sz w:val="18"/>
          <w:szCs w:val="18"/>
          <w:color w:val="auto"/>
        </w:rPr>
        <w:t>The clinical pharmacodynamic profile of PRT1419 demonstrates the desired level of target engagement, as measured by caspase activation in peripheral mononuclear cells and reduction of CD14+ monocytes to levels associated with tumor regressions in preclinical models of hematological cancers. We intend to evaluate PRT1419 in hematology malignancies in monotherapy, as well as in combinations, with the goal of establishing safety, clinical activity and a RP2D in hematology malignancies in 2023. Advancement in hematological cancers will include monotherapy expansions in CLL and NHL based on a strong rationale for MCL1 inhibition and the need for novel treatments in second line. We expect to present solid tumor data at a medical conference in the first half of 2023, demonstrate a RP2D in hematological malignancies in the second half of 2023, and present hematological malignancy data in the second half of 2023.</w:t>
      </w:r>
    </w:p>
    <w:p>
      <w:pPr>
        <w:spacing w:after="0" w:line="187"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In July 2022, we received IND clearance for PRT3645, a brain and tissue penetrant molecule that potently targets CDK4/6 with a biased selectivity for CDK4. A Phase 1 clinical trial has been initiated for PRT3645 in biomarker enriched patients with select tumor types including sarcomas, mesothelioma, gliomas, head and neck cancers and non-small cell lung cancer, in addition to breast cancer with or without brain metastases, and our first patient was dosed in December 2022.</w:t>
      </w:r>
    </w:p>
    <w:p>
      <w:pPr>
        <w:spacing w:after="0" w:line="182" w:lineRule="exact"/>
        <w:rPr>
          <w:sz w:val="20"/>
          <w:szCs w:val="20"/>
          <w:color w:val="auto"/>
        </w:rPr>
      </w:pPr>
    </w:p>
    <w:p>
      <w:pPr>
        <w:ind w:right="480" w:firstLine="419"/>
        <w:spacing w:after="0" w:line="281" w:lineRule="auto"/>
        <w:rPr>
          <w:sz w:val="20"/>
          <w:szCs w:val="20"/>
          <w:color w:val="auto"/>
        </w:rPr>
      </w:pPr>
      <w:r>
        <w:rPr>
          <w:rFonts w:ascii="Times New Roman" w:cs="Times New Roman" w:eastAsia="Times New Roman" w:hAnsi="Times New Roman"/>
          <w:sz w:val="18"/>
          <w:szCs w:val="18"/>
          <w:color w:val="auto"/>
        </w:rPr>
        <w:t>In October 2022, we received IND clearance for PRT3879, a potent and selective SMARCA2 protein degrader. SMARCA2 degradation has the greatest potential in patients with SMARCA4 deficient cancers, including approximately 5-10% of non-small cell lung cancers.</w:t>
      </w:r>
    </w:p>
    <w:p>
      <w:pPr>
        <w:spacing w:after="0" w:line="163" w:lineRule="exact"/>
        <w:rPr>
          <w:sz w:val="20"/>
          <w:szCs w:val="20"/>
          <w:color w:val="auto"/>
        </w:rPr>
      </w:pPr>
    </w:p>
    <w:p>
      <w:pPr>
        <w:ind w:right="40" w:firstLine="419"/>
        <w:spacing w:after="0" w:line="265" w:lineRule="auto"/>
        <w:rPr>
          <w:sz w:val="20"/>
          <w:szCs w:val="20"/>
          <w:color w:val="auto"/>
        </w:rPr>
      </w:pPr>
      <w:r>
        <w:rPr>
          <w:rFonts w:ascii="Times New Roman" w:cs="Times New Roman" w:eastAsia="Times New Roman" w:hAnsi="Times New Roman"/>
          <w:sz w:val="18"/>
          <w:szCs w:val="18"/>
          <w:color w:val="auto"/>
        </w:rPr>
        <w:t>In November 2022, we announced that we will discontinue the internal development of our two clinical candidates that are designed to be oral, potent and selective inhibitors of protein arginine methyltransferase 5, or PRMT5. Discontinuation of the PRMT5 programs will allow us to focus our efforts on our CDK9, MCL1, CDK4/6 and SMARCA2 programs.</w:t>
      </w:r>
    </w:p>
    <w:p>
      <w:pPr>
        <w:spacing w:after="0" w:line="177"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Our net loss was $115.4 million and $111.7 million for the years ended December 31, 2022 and 2021, respectively. As of December 31, 2022, we had an accumulated deficit of $334.6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94" w:lineRule="exact"/>
        <w:rPr>
          <w:sz w:val="20"/>
          <w:szCs w:val="20"/>
          <w:color w:val="auto"/>
        </w:rPr>
      </w:pPr>
    </w:p>
    <w:p>
      <w:pPr>
        <w:ind w:right="60" w:firstLine="478"/>
        <w:spacing w:after="0" w:line="255"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87" w:lineRule="exact"/>
        <w:rPr>
          <w:sz w:val="20"/>
          <w:szCs w:val="20"/>
          <w:color w:val="auto"/>
        </w:rPr>
      </w:pPr>
    </w:p>
    <w:p>
      <w:pPr>
        <w:ind w:right="80" w:firstLine="478"/>
        <w:spacing w:after="0" w:line="281" w:lineRule="auto"/>
        <w:rPr>
          <w:sz w:val="20"/>
          <w:szCs w:val="20"/>
          <w:color w:val="auto"/>
        </w:rPr>
      </w:pPr>
      <w:r>
        <w:rPr>
          <w:rFonts w:ascii="Times New Roman" w:cs="Times New Roman" w:eastAsia="Times New Roman" w:hAnsi="Times New Roman"/>
          <w:sz w:val="18"/>
          <w:szCs w:val="18"/>
          <w:color w:val="auto"/>
        </w:rPr>
        <w:t>As of December 31, 2022, we had $201.7 million in cash, cash equivalents, and marketable securities. We expect our existing cash, cash equivalents and marketable securities will enable us to fund our operating expense and capital expenditures through the fourth quarter of 2024.</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 w:firstLine="478"/>
        <w:spacing w:after="0" w:line="260" w:lineRule="auto"/>
        <w:rPr>
          <w:sz w:val="20"/>
          <w:szCs w:val="20"/>
          <w:color w:val="auto"/>
        </w:rPr>
      </w:pPr>
      <w:r>
        <w:rPr>
          <w:rFonts w:ascii="Times New Roman" w:cs="Times New Roman" w:eastAsia="Times New Roman" w:hAnsi="Times New Roman"/>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98" w:lineRule="exact"/>
        <w:rPr>
          <w:sz w:val="20"/>
          <w:szCs w:val="20"/>
          <w:color w:val="auto"/>
        </w:rPr>
      </w:pPr>
    </w:p>
    <w:p>
      <w:pPr>
        <w:ind w:left="960" w:hanging="474"/>
        <w:spacing w:after="0" w:line="281"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4" w:lineRule="exact"/>
        <w:rPr>
          <w:rFonts w:ascii="Times New Roman" w:cs="Times New Roman" w:eastAsia="Times New Roman" w:hAnsi="Times New Roman"/>
          <w:sz w:val="18"/>
          <w:szCs w:val="18"/>
          <w:color w:val="auto"/>
        </w:rPr>
      </w:pPr>
    </w:p>
    <w:p>
      <w:pPr>
        <w:ind w:left="960" w:right="860" w:hanging="474"/>
        <w:spacing w:after="0" w:line="281"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54" w:lineRule="exact"/>
        <w:rPr>
          <w:rFonts w:ascii="Times New Roman" w:cs="Times New Roman" w:eastAsia="Times New Roman" w:hAnsi="Times New Roman"/>
          <w:sz w:val="18"/>
          <w:szCs w:val="18"/>
          <w:color w:val="auto"/>
        </w:rPr>
      </w:pPr>
    </w:p>
    <w:p>
      <w:pPr>
        <w:ind w:left="960" w:right="380" w:hanging="474"/>
        <w:spacing w:after="0" w:line="281"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54" w:lineRule="exact"/>
        <w:rPr>
          <w:rFonts w:ascii="Times New Roman" w:cs="Times New Roman" w:eastAsia="Times New Roman" w:hAnsi="Times New Roman"/>
          <w:sz w:val="18"/>
          <w:szCs w:val="18"/>
          <w:color w:val="auto"/>
        </w:rPr>
      </w:pPr>
    </w:p>
    <w:p>
      <w:pPr>
        <w:ind w:left="960" w:right="20" w:hanging="474"/>
        <w:spacing w:after="0" w:line="281"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4"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6"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6"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260"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2" w:lineRule="exact"/>
        <w:rPr>
          <w:sz w:val="20"/>
          <w:szCs w:val="20"/>
          <w:color w:val="auto"/>
        </w:rPr>
      </w:pPr>
    </w:p>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478"/>
        <w:spacing w:after="0" w:line="280"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6" w:lineRule="exact"/>
        <w:rPr>
          <w:sz w:val="20"/>
          <w:szCs w:val="20"/>
          <w:color w:val="auto"/>
        </w:rPr>
      </w:pPr>
    </w:p>
    <w:p>
      <w:pPr>
        <w:ind w:right="140" w:firstLine="478"/>
        <w:spacing w:after="0" w:line="260"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increase in the future to support our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we anticipate increased costs associated with being a public</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6" w:right="359" w:bottom="1440" w:gutter="0" w:footer="0" w:header="0"/>
        </w:sectPr>
      </w:pPr>
    </w:p>
    <w:bookmarkStart w:id="86" w:name="page87"/>
    <w:bookmarkEnd w:id="86"/>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company, including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2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40" w:firstLine="478"/>
        <w:spacing w:after="0" w:line="265"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and grant income received from the State of Delaware. We anticipate re-applying for the grant from the State of Delaware from time to time as long as we maintain qualifying headcount levels in the State of Delaware. We expect our interest income, net to increase due to our investment of cash received from the sale of common stock.</w:t>
      </w:r>
    </w:p>
    <w:p>
      <w:pPr>
        <w:spacing w:after="0" w:line="2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100" w:firstLine="478"/>
        <w:spacing w:after="0" w:line="265"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6"/>
        </w:trPr>
        <w:tc>
          <w:tcPr>
            <w:tcW w:w="64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92,889</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86,778</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tcPr>
          <w:p>
            <w:pPr>
              <w:spacing w:after="0"/>
              <w:rPr>
                <w:sz w:val="20"/>
                <w:szCs w:val="20"/>
                <w:color w:val="auto"/>
              </w:rPr>
            </w:pPr>
          </w:p>
        </w:tc>
      </w:tr>
      <w:tr>
        <w:trPr>
          <w:trHeight w:val="243"/>
        </w:trPr>
        <w:tc>
          <w:tcPr>
            <w:tcW w:w="66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30,651</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123,540</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113,735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00" w:type="dxa"/>
            <w:vAlign w:val="bottom"/>
          </w:tcPr>
          <w:p>
            <w:pPr>
              <w:spacing w:after="0"/>
              <w:rPr>
                <w:sz w:val="20"/>
                <w:szCs w:val="20"/>
                <w:color w:val="auto"/>
              </w:rPr>
            </w:pPr>
          </w:p>
        </w:tc>
      </w:tr>
      <w:tr>
        <w:trPr>
          <w:trHeight w:val="240"/>
        </w:trPr>
        <w:tc>
          <w:tcPr>
            <w:tcW w:w="66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(123,540</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(113,735</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(115,438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(111,694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-667385</wp:posOffset>
            </wp:positionV>
            <wp:extent cx="7683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-667385</wp:posOffset>
            </wp:positionV>
            <wp:extent cx="6858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$6.1 million to $92.9 million for the year ended December 31, 2022 from $86.8 million for the year ended December 31, 2021. Included in research and development expenses for the year ended December 31, 2022, was $11.5 million of non-cash expense related to stock-based compensation expense, including employee stock options, compared to $9.5 million for the year ended December 31, 2021. The increase in research and development expense was primarily due to an increase in discovery-stage program expenses and from the growth and advancement of our clinical pipeline along with an increase in internal costs, including non-cash stock-based compensation expense.</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r>
      <w:tr>
        <w:trPr>
          <w:trHeight w:val="169"/>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PRT543</w:t>
            </w:r>
          </w:p>
        </w:tc>
        <w:tc>
          <w:tcPr>
            <w:tcW w:w="3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100" w:type="dxa"/>
            <w:vAlign w:val="bottom"/>
            <w:shd w:val="clear" w:color="auto" w:fill="CFF0FC"/>
          </w:tcPr>
          <w:p>
            <w:pPr>
              <w:spacing w:after="0"/>
              <w:rPr>
                <w:sz w:val="20"/>
                <w:szCs w:val="20"/>
                <w:color w:val="auto"/>
              </w:rPr>
            </w:pP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PRT811</w:t>
            </w:r>
          </w:p>
        </w:tc>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PRT1419 (Oral and IV)</w:t>
            </w:r>
          </w:p>
        </w:tc>
        <w:tc>
          <w:tcPr>
            <w:tcW w:w="3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100" w:type="dxa"/>
            <w:vAlign w:val="bottom"/>
            <w:shd w:val="clear" w:color="auto" w:fill="CFF0FC"/>
          </w:tcPr>
          <w:p>
            <w:pPr>
              <w:spacing w:after="0"/>
              <w:rPr>
                <w:sz w:val="21"/>
                <w:szCs w:val="21"/>
                <w:color w:val="auto"/>
              </w:rPr>
            </w:pP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PRT2527</w:t>
            </w:r>
          </w:p>
        </w:tc>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Discovery programs</w:t>
            </w:r>
          </w:p>
        </w:tc>
        <w:tc>
          <w:tcPr>
            <w:tcW w:w="3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25,150</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100" w:type="dxa"/>
            <w:vAlign w:val="bottom"/>
            <w:shd w:val="clear" w:color="auto" w:fill="CFF0FC"/>
          </w:tcPr>
          <w:p>
            <w:pPr>
              <w:spacing w:after="0"/>
              <w:rPr>
                <w:sz w:val="21"/>
                <w:szCs w:val="21"/>
                <w:color w:val="auto"/>
              </w:rPr>
            </w:pP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42,725</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32,204</w:t>
            </w:r>
          </w:p>
        </w:tc>
        <w:tc>
          <w:tcPr>
            <w:tcW w:w="100" w:type="dxa"/>
            <w:vAlign w:val="bottom"/>
          </w:tcPr>
          <w:p>
            <w:pPr>
              <w:spacing w:after="0"/>
              <w:rPr>
                <w:sz w:val="20"/>
                <w:szCs w:val="20"/>
                <w:color w:val="auto"/>
              </w:rPr>
            </w:pPr>
          </w:p>
        </w:tc>
      </w:tr>
      <w:tr>
        <w:trPr>
          <w:trHeight w:val="276"/>
        </w:trPr>
        <w:tc>
          <w:tcPr>
            <w:tcW w:w="4280" w:type="dxa"/>
            <w:vAlign w:val="bottom"/>
            <w:tcBorders>
              <w:bottom w:val="single" w:sz="8" w:color="CFF0FC"/>
            </w:tcBorders>
            <w:shd w:val="clear" w:color="auto" w:fill="CFF0FC"/>
          </w:tcPr>
          <w:p>
            <w:pPr>
              <w:spacing w:after="0"/>
              <w:rPr>
                <w:sz w:val="24"/>
                <w:szCs w:val="24"/>
                <w:color w:val="auto"/>
              </w:rPr>
            </w:pPr>
          </w:p>
        </w:tc>
        <w:tc>
          <w:tcPr>
            <w:tcW w:w="3460" w:type="dxa"/>
            <w:vAlign w:val="bottom"/>
            <w:tcBorders>
              <w:bottom w:val="single" w:sz="8" w:color="CFF0FC"/>
            </w:tcBorders>
            <w:gridSpan w:val="2"/>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92,889</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86,778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2"/>
        </w:trPr>
        <w:tc>
          <w:tcPr>
            <w:tcW w:w="4280" w:type="dxa"/>
            <w:vAlign w:val="bottom"/>
          </w:tcPr>
          <w:p>
            <w:pPr>
              <w:spacing w:after="0"/>
              <w:rPr>
                <w:sz w:val="24"/>
                <w:szCs w:val="24"/>
                <w:color w:val="auto"/>
              </w:rPr>
            </w:pPr>
          </w:p>
        </w:tc>
        <w:tc>
          <w:tcPr>
            <w:tcW w:w="330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-521970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-504825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7" w:name="page88"/>
    <w:bookmarkEnd w:id="87"/>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47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$3.7 million to $30.7 million for the year ended December 31, 2022 from $27.0 million for the year ended December 31, 2021. Included in the general and administrative expenses for the year ended December 31, 2022, was $13.6 million of non-cash expense related to stock-based compensation expense, including employee stock options, as compared to $11.5 million for the same period in 2021. The increase in general and administrative expense was primarily due to an increase in non-cash stock-based compensation expense and an increase in personnel related expenses due to a higher employee headcount.</w:t>
      </w: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right="160" w:firstLine="478"/>
        <w:spacing w:after="0" w:line="265" w:lineRule="auto"/>
        <w:rPr>
          <w:sz w:val="20"/>
          <w:szCs w:val="20"/>
          <w:color w:val="auto"/>
        </w:rPr>
      </w:pPr>
      <w:r>
        <w:rPr>
          <w:rFonts w:ascii="Times New Roman" w:cs="Times New Roman" w:eastAsia="Times New Roman" w:hAnsi="Times New Roman"/>
          <w:sz w:val="18"/>
          <w:szCs w:val="18"/>
          <w:color w:val="auto"/>
        </w:rPr>
        <w:t>Other income, net increased by $6.1 million to $8.1 million for the year ended December 31, 2022 from $2.0 million for the year ended December 31, 2021, primarily due to the receipt and recognition of research and development tax credits from the State of Delaware during 2022, as well as interest earned on the investment of our cash proceeds.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firstLine="478"/>
        <w:spacing w:after="0" w:line="256"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through the sale of convertible preferred stock and common stock. As of December 31, 2022, we had $201.7 million in cash, cash equivalents, and marketable securities and had an accumulated deficit of $334.6 million. We expect our existing cash, cash equivalents, and marketable securities will enable us to fund our operating expense and capital expenditures through the fourth quarter of 2024. We have based these estimates on assumptions that may prove to be imprecise, and we could utilize our available capital resources sooner than we expect.</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0" w:firstLine="478"/>
        <w:spacing w:after="0" w:line="265"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7" w:lineRule="exact"/>
        <w:rPr>
          <w:sz w:val="20"/>
          <w:szCs w:val="20"/>
          <w:color w:val="auto"/>
        </w:rPr>
      </w:pPr>
    </w:p>
    <w:p>
      <w:pPr>
        <w:ind w:firstLine="478"/>
        <w:spacing w:after="0" w:line="265"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9" w:lineRule="exact"/>
        <w:rPr>
          <w:sz w:val="20"/>
          <w:szCs w:val="20"/>
          <w:color w:val="auto"/>
        </w:rPr>
      </w:pPr>
    </w:p>
    <w:p>
      <w:pPr>
        <w:ind w:left="960" w:hanging="47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6"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6" w:lineRule="exact"/>
        <w:rPr>
          <w:rFonts w:ascii="Times New Roman" w:cs="Times New Roman" w:eastAsia="Times New Roman" w:hAnsi="Times New Roman"/>
          <w:sz w:val="18"/>
          <w:szCs w:val="18"/>
          <w:color w:val="auto"/>
        </w:rPr>
      </w:pPr>
    </w:p>
    <w:p>
      <w:pPr>
        <w:ind w:left="960" w:right="320" w:hanging="474"/>
        <w:spacing w:after="0" w:line="281"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54" w:lineRule="exact"/>
        <w:rPr>
          <w:rFonts w:ascii="Times New Roman" w:cs="Times New Roman" w:eastAsia="Times New Roman" w:hAnsi="Times New Roman"/>
          <w:sz w:val="18"/>
          <w:szCs w:val="18"/>
          <w:color w:val="auto"/>
        </w:rPr>
      </w:pPr>
    </w:p>
    <w:p>
      <w:pPr>
        <w:ind w:left="960" w:right="300" w:hanging="474"/>
        <w:spacing w:after="0" w:line="281"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4"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6"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6"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6"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6" w:lineRule="exact"/>
        <w:rPr>
          <w:rFonts w:ascii="Times New Roman" w:cs="Times New Roman" w:eastAsia="Times New Roman" w:hAnsi="Times New Roman"/>
          <w:sz w:val="18"/>
          <w:szCs w:val="18"/>
          <w:color w:val="auto"/>
        </w:rPr>
      </w:pPr>
    </w:p>
    <w:p>
      <w:pPr>
        <w:ind w:left="960" w:hanging="474"/>
        <w:spacing w:after="0" w:line="281"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4"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3" w:right="399" w:bottom="1440" w:gutter="0" w:footer="0" w:header="0"/>
        </w:sectPr>
      </w:pPr>
    </w:p>
    <w:bookmarkStart w:id="88" w:name="page89"/>
    <w:bookmarkEnd w:id="88"/>
    <w:p>
      <w:pPr>
        <w:ind w:right="160" w:firstLine="478"/>
        <w:spacing w:after="0" w:line="260"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2" w:lineRule="exact"/>
        <w:rPr>
          <w:sz w:val="20"/>
          <w:szCs w:val="20"/>
          <w:color w:val="auto"/>
        </w:rPr>
      </w:pPr>
    </w:p>
    <w:p>
      <w:pPr>
        <w:ind w:right="20" w:firstLine="478"/>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gridSpan w:val="5"/>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(83,729</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(83,531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(263,803 )</w:t>
            </w: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(1,223 )</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(182,437 )</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7683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20" w:firstLine="478"/>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2022, we used $83.7 million of cash in operating activities. Cash used in operating activities reflected our net loss of $115.4 million, offset by a $0.9 million net decrease in our operating assets and liabilities and noncash charges of $30.8 million, which consisted of $25.1 million in stock-based compensation, $2.6 million in amortization of premiums and discounts on marketable securities, $1.7 million noncash lease expense, and $1.3 million in depreciation. The primary use of cash was to fund our operations related to the development of our product candidates.</w:t>
      </w:r>
    </w:p>
    <w:p>
      <w:pPr>
        <w:spacing w:after="0" w:line="74" w:lineRule="exact"/>
        <w:rPr>
          <w:sz w:val="20"/>
          <w:szCs w:val="20"/>
          <w:color w:val="auto"/>
        </w:rPr>
      </w:pPr>
    </w:p>
    <w:p>
      <w:pPr>
        <w:ind w:right="120" w:firstLine="478"/>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2021, we used $83.5 million of cash in operating activities. Cash used in operating activities reflected our net loss of $111.7 million, offset by a $3.6 million net decrease in our operating assets and liabilities and noncash charges of $24.5 million, which consisted of $20.9 million in stock-based compensation, $1.4 million in amortization of premiums and discounts on marketable securities, $1.3 million noncash lease expense, and $0.9 million in depreciation. The primary use of cash was to fund our operations related to the development of our product candidates.</w:t>
      </w: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40" w:firstLine="478"/>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2022 investing activities provided $81.7 million of cash primarily due to net maturities of marketable securities of $84.7 million. During the year ended December 31, 2021 we used $261.5 million of cash to purchase marketable securities and $2.3 million of cash for the purchase of property and equipment.</w:t>
      </w:r>
    </w:p>
    <w:p>
      <w:pPr>
        <w:spacing w:after="0" w:line="2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60" w:firstLine="478"/>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2022, financing activities provided $0.8 million due to the exercise of stock options and purchases of stock under the Employee Stock Purchase Plan.</w:t>
      </w:r>
    </w:p>
    <w:p>
      <w:pPr>
        <w:spacing w:after="0" w:line="55" w:lineRule="exact"/>
        <w:rPr>
          <w:sz w:val="20"/>
          <w:szCs w:val="20"/>
          <w:color w:val="auto"/>
        </w:rPr>
      </w:pPr>
    </w:p>
    <w:p>
      <w:pPr>
        <w:ind w:right="320" w:firstLine="478"/>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2021, financing activities provided $164.9 million, which reflected the receipt of net cash of $161.4 million from the sale of common stock as well as the receipt of $3.8 million from the exercise of stock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ind w:right="140"/>
        <w:spacing w:after="0" w:line="281" w:lineRule="auto"/>
        <w:rPr>
          <w:sz w:val="20"/>
          <w:szCs w:val="20"/>
          <w:color w:val="auto"/>
        </w:rPr>
      </w:pPr>
      <w:r>
        <w:rPr>
          <w:rFonts w:ascii="Times New Roman" w:cs="Times New Roman" w:eastAsia="Times New Roman" w:hAnsi="Times New Roman"/>
          <w:sz w:val="18"/>
          <w:szCs w:val="18"/>
          <w:color w:val="auto"/>
        </w:rPr>
        <w:t>options and purchases of stock under the Employee Stock Purchase Plan. During the year ended December 31, 2021, we also paid $0.3 million in deferred offering costs in connection with the sale of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336" w:lineRule="exact"/>
        <w:rPr>
          <w:sz w:val="20"/>
          <w:szCs w:val="20"/>
          <w:color w:val="auto"/>
        </w:rPr>
      </w:pPr>
    </w:p>
    <w:p>
      <w:pPr>
        <w:ind w:right="260" w:firstLine="479"/>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2022 and the effects that such obligations are expected to have on our liquidity and cash flows in future periods: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center"/>
              <w:ind w:right="102"/>
              <w:spacing w:after="0" w:line="131" w:lineRule="exact"/>
              <w:rPr>
                <w:sz w:val="20"/>
                <w:szCs w:val="20"/>
                <w:color w:val="auto"/>
              </w:rPr>
            </w:pPr>
            <w:r>
              <w:rPr>
                <w:rFonts w:ascii="Times New Roman" w:cs="Times New Roman" w:eastAsia="Times New Roman" w:hAnsi="Times New Roman"/>
                <w:sz w:val="14"/>
                <w:szCs w:val="14"/>
                <w:b w:val="1"/>
                <w:bCs w:val="1"/>
                <w:color w:val="auto"/>
              </w:rPr>
              <w:t>More than 5</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00" w:type="dxa"/>
            <w:vAlign w:val="bottom"/>
          </w:tcPr>
          <w:p>
            <w:pPr>
              <w:spacing w:after="0"/>
              <w:rPr>
                <w:sz w:val="16"/>
                <w:szCs w:val="16"/>
                <w:color w:val="auto"/>
              </w:rPr>
            </w:pPr>
          </w:p>
        </w:tc>
        <w:tc>
          <w:tcPr>
            <w:tcW w:w="10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420" w:type="dxa"/>
            <w:vAlign w:val="bottom"/>
            <w:tcBorders>
              <w:top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31,479</w:t>
            </w:r>
          </w:p>
        </w:tc>
        <w:tc>
          <w:tcPr>
            <w:tcW w:w="1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44,564</w:t>
            </w:r>
          </w:p>
        </w:tc>
        <w:tc>
          <w:tcPr>
            <w:tcW w:w="100" w:type="dxa"/>
            <w:vAlign w:val="bottom"/>
            <w:shd w:val="clear" w:color="auto" w:fill="CFF0FC"/>
          </w:tcPr>
          <w:p>
            <w:pPr>
              <w:spacing w:after="0"/>
              <w:rPr>
                <w:sz w:val="20"/>
                <w:szCs w:val="20"/>
                <w:color w:val="auto"/>
              </w:rPr>
            </w:pPr>
          </w:p>
        </w:tc>
      </w:tr>
    </w:tbl>
    <w:p>
      <w:pPr>
        <w:spacing w:after="0" w:line="305" w:lineRule="exact"/>
        <w:rPr>
          <w:sz w:val="20"/>
          <w:szCs w:val="20"/>
          <w:color w:val="auto"/>
        </w:rPr>
      </w:pPr>
    </w:p>
    <w:p>
      <w:pPr>
        <w:ind w:right="260" w:firstLine="479"/>
        <w:spacing w:after="0" w:line="265" w:lineRule="auto"/>
        <w:rPr>
          <w:sz w:val="20"/>
          <w:szCs w:val="20"/>
          <w:color w:val="auto"/>
        </w:rPr>
      </w:pPr>
      <w:r>
        <w:rPr>
          <w:rFonts w:ascii="Times New Roman" w:cs="Times New Roman" w:eastAsia="Times New Roman" w:hAnsi="Times New Roman"/>
          <w:sz w:val="18"/>
          <w:szCs w:val="18"/>
          <w:color w:val="auto"/>
        </w:rPr>
        <w:t>The Company leases office and laboratory space in Wilmington, Delaware under a noncancelable lease (the “Lease”). During the first quarter of 2022, the Lease was amended to allow the Company the option to renew the Lease for two 6-month periods. The Company exercised its option to renew the lease for each additional 6 month period during 2022, and the lease term is now extended until December 31, 2023.</w:t>
      </w:r>
    </w:p>
    <w:p>
      <w:pPr>
        <w:spacing w:after="0" w:line="177" w:lineRule="exact"/>
        <w:rPr>
          <w:sz w:val="20"/>
          <w:szCs w:val="20"/>
          <w:color w:val="auto"/>
        </w:rPr>
      </w:pPr>
    </w:p>
    <w:p>
      <w:pPr>
        <w:ind w:right="140" w:firstLine="479"/>
        <w:spacing w:after="0" w:line="256" w:lineRule="auto"/>
        <w:rPr>
          <w:sz w:val="20"/>
          <w:szCs w:val="20"/>
          <w:color w:val="auto"/>
        </w:rPr>
      </w:pPr>
      <w:r>
        <w:rPr>
          <w:rFonts w:ascii="Times New Roman" w:cs="Times New Roman" w:eastAsia="Times New Roman" w:hAnsi="Times New Roman"/>
          <w:sz w:val="18"/>
          <w:szCs w:val="18"/>
          <w:color w:val="auto"/>
        </w:rPr>
        <w:t>In August 2022, we entered into an amendment (the “Lease Amendment”) to the lease agreement for office and lab space at Chestnut Run Plaza in Wilmington, Delaware (the “Chestnut Run Lease”). The Chestnut Run Lease has a commencement date of the earlier of (i) the Landlord Work Substantial Completion Date (as such term is defined in the Chestnut Run Lease), or (ii) the date the Company takes possession of the premises for the conduct of the Company’s business (the “Commencement Date”). The Chestnut Run Lease premises includes approximately 81,000 rentable square feet, located at Chestnut Run Plaza in Wilmington, Delaware (the Premises). Upon the Commencement Date, the Company will recognize a right-of-use asset and operating lease liability. The Chestnut Run Lease has an initial term of 162 months with 3 five-year extension options and certain expansion rights.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478"/>
        <w:spacing w:after="0" w:line="281"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3 to our audited financial statements included elsewhere in this Annual Report on Form 10-K, we believe the following accounting policies are the most critical to the judgments and estimates used in the preparation of our financial statements.</w:t>
      </w:r>
    </w:p>
    <w:p>
      <w:pPr>
        <w:spacing w:after="0" w:line="2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80" w:firstLine="478"/>
        <w:spacing w:after="0" w:line="281"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of our product candidates. We expense research and development costs as incurred.</w:t>
      </w:r>
    </w:p>
    <w:p>
      <w:pPr>
        <w:spacing w:after="0" w:line="163"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We accrue an expense for preclinical studies and clinical trial activities performed by our CROs and vendors based upon estimates of the proportion of work completed. We determine the estimates by reviewing contracts, vendor agreements and purchase orders, and through discussions with our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our clinical development plan.</w:t>
      </w:r>
    </w:p>
    <w:p>
      <w:pPr>
        <w:spacing w:after="0" w:line="182" w:lineRule="exact"/>
        <w:rPr>
          <w:sz w:val="20"/>
          <w:szCs w:val="20"/>
          <w:color w:val="auto"/>
        </w:rPr>
      </w:pPr>
    </w:p>
    <w:p>
      <w:pPr>
        <w:ind w:right="80" w:firstLine="478"/>
        <w:spacing w:after="0" w:line="258" w:lineRule="auto"/>
        <w:rPr>
          <w:sz w:val="20"/>
          <w:szCs w:val="20"/>
          <w:color w:val="auto"/>
        </w:rPr>
      </w:pPr>
      <w:r>
        <w:rPr>
          <w:rFonts w:ascii="Times New Roman" w:cs="Times New Roman" w:eastAsia="Times New Roman" w:hAnsi="Times New Roman"/>
          <w:sz w:val="18"/>
          <w:szCs w:val="18"/>
          <w:color w:val="auto"/>
        </w:rPr>
        <w:t>We make estimates of our accrued expenses as of each balance sheet date in our financial statements based on facts and circumstances known at that time. If the actual timing of the performance of services or the level of effort varies from the estimate, we will adjust the accrual accordingly. 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34" w:lineRule="exact"/>
        <w:rPr>
          <w:sz w:val="20"/>
          <w:szCs w:val="20"/>
          <w:color w:val="auto"/>
        </w:rPr>
      </w:pPr>
    </w:p>
    <w:p>
      <w:pPr>
        <w:ind w:right="260" w:firstLine="478"/>
        <w:spacing w:after="0" w:line="281" w:lineRule="auto"/>
        <w:rPr>
          <w:sz w:val="20"/>
          <w:szCs w:val="20"/>
          <w:color w:val="auto"/>
        </w:rPr>
      </w:pPr>
      <w:r>
        <w:rPr>
          <w:rFonts w:ascii="Times New Roman" w:cs="Times New Roman" w:eastAsia="Times New Roman" w:hAnsi="Times New Roman"/>
          <w:sz w:val="18"/>
          <w:szCs w:val="18"/>
          <w:color w:val="auto"/>
        </w:rPr>
        <w:t>We recognize compensation costs related to share-based awards granted to employees and directors, including stock options and vesting restricted stock, based on the estimated fair value of the awards on the date of grant. We estimate the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0" w:name="page91"/>
    <w:bookmarkEnd w:id="90"/>
    <w:p>
      <w:pPr>
        <w:ind w:right="100"/>
        <w:spacing w:after="0" w:line="265" w:lineRule="auto"/>
        <w:rPr>
          <w:sz w:val="20"/>
          <w:szCs w:val="20"/>
          <w:color w:val="auto"/>
        </w:rPr>
      </w:pPr>
      <w:r>
        <w:rPr>
          <w:rFonts w:ascii="Times New Roman" w:cs="Times New Roman" w:eastAsia="Times New Roman" w:hAnsi="Times New Roman"/>
          <w:sz w:val="18"/>
          <w:szCs w:val="18"/>
          <w:color w:val="auto"/>
        </w:rPr>
        <w:t>grant date fair value of stock options, and the resulting stock-based compensation, using the Black-Scholes option-pricing model. The grant date fair value of the stock-based awards is recognized on a straight-line basis over the requisite service period, which is generally the vesting period of the respective awards.</w:t>
      </w:r>
    </w:p>
    <w:p>
      <w:pPr>
        <w:spacing w:after="0" w:line="177" w:lineRule="exact"/>
        <w:rPr>
          <w:sz w:val="20"/>
          <w:szCs w:val="20"/>
          <w:color w:val="auto"/>
        </w:rPr>
      </w:pPr>
    </w:p>
    <w:p>
      <w:pPr>
        <w:ind w:right="160" w:firstLine="478"/>
        <w:spacing w:after="0" w:line="258"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option-pricing model, which requires assumptions, including volatility, the expected term of our stock options, the risk-free interest rate for a period that approximates the expected term of our stock options, and our expected dividend yield. Certain assumptions used in our Black-Scholes option-pricing model represent management’s best estimates and involve a number of variables, uncertainties and assumptions and the application of management’s judgment, as they are inherently subjective. If any assumptions change, our stock-based compensation expense could be materially different in the future.</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These subjective assumptions are estimated as follows:</w:t>
      </w:r>
    </w:p>
    <w:p>
      <w:pPr>
        <w:spacing w:after="0" w:line="223" w:lineRule="exact"/>
        <w:rPr>
          <w:sz w:val="20"/>
          <w:szCs w:val="20"/>
          <w:color w:val="auto"/>
        </w:rPr>
      </w:pPr>
    </w:p>
    <w:p>
      <w:pPr>
        <w:ind w:firstLine="478"/>
        <w:spacing w:after="0" w:line="258"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—As a privately held company we did not have any trading history for our common stock; accordingly the expected volatility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based on the average volatility for comparable publicly traded biotechnology companies over a period equal to the expected term of the stock option grants. The comparable companies were chosen based on their similar size, stage in the life cycle or area of specialty. As a public company we have computed the historical volatility of our own stock price and will continue to use the average volatility for comparable publicly traded biotechnology companies until we have ample trading history of our own stock commensurate with the estimated expected term of our options.</w:t>
      </w:r>
    </w:p>
    <w:p>
      <w:pPr>
        <w:spacing w:after="0" w:line="182" w:lineRule="exact"/>
        <w:rPr>
          <w:sz w:val="20"/>
          <w:szCs w:val="20"/>
          <w:color w:val="auto"/>
        </w:rPr>
      </w:pPr>
    </w:p>
    <w:p>
      <w:pPr>
        <w:jc w:val="both"/>
        <w:ind w:right="360" w:firstLine="478"/>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 The expected term represents the period that stock-based awards are expected to be outstanding. The expected term for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is determined using the simplified method. The simplified method deems the expected term to be the midpoint between the vesting date and the contractual life of the stock-based awards.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firstLine="419"/>
        <w:spacing w:after="0" w:line="26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77" w:lineRule="exact"/>
        <w:rPr>
          <w:sz w:val="20"/>
          <w:szCs w:val="20"/>
          <w:color w:val="auto"/>
        </w:rPr>
      </w:pPr>
    </w:p>
    <w:p>
      <w:pPr>
        <w:jc w:val="both"/>
        <w:ind w:right="140" w:firstLine="419"/>
        <w:spacing w:after="0" w:line="260" w:lineRule="auto"/>
        <w:rPr>
          <w:sz w:val="20"/>
          <w:szCs w:val="20"/>
          <w:color w:val="auto"/>
        </w:rPr>
      </w:pPr>
      <w:r>
        <w:rPr>
          <w:rFonts w:ascii="Times New Roman" w:cs="Times New Roman" w:eastAsia="Times New Roman" w:hAnsi="Times New Roman"/>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2" w:lineRule="exact"/>
        <w:rPr>
          <w:sz w:val="20"/>
          <w:szCs w:val="20"/>
          <w:color w:val="auto"/>
        </w:rPr>
      </w:pPr>
    </w:p>
    <w:p>
      <w:pPr>
        <w:ind w:right="40" w:firstLine="419"/>
        <w:spacing w:after="0" w:line="239"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our first fiscal year (a) in which we have total annual gross revenues of at least $1.235 billion, or (b) in which we are deemed to be a large accelerated filer, which means the market value of our common stock that is held by non-affiliates exceeds $700.0 million as of the prior June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 the date on which we have issued more than $1.0 billion in non-convertible debt securities during the prior three-year period and (3) December 31, 2025.</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1160" w:firstLine="478"/>
        <w:spacing w:after="0" w:line="281" w:lineRule="auto"/>
        <w:rPr>
          <w:sz w:val="20"/>
          <w:szCs w:val="20"/>
          <w:color w:val="auto"/>
        </w:rPr>
      </w:pPr>
      <w:r>
        <w:rPr>
          <w:rFonts w:ascii="Times New Roman" w:cs="Times New Roman" w:eastAsia="Times New Roman" w:hAnsi="Times New Roman"/>
          <w:sz w:val="18"/>
          <w:szCs w:val="18"/>
          <w:color w:val="auto"/>
        </w:rPr>
        <w:t>See Note 3 to our financial statements included elsewhere in this Annual Report on Form 10-K for a description of recent accounting pronouncements applicable to our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478"/>
        <w:spacing w:after="0" w:line="255"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1" w:name="page92"/>
    <w:bookmarkEnd w:id="91"/>
    <w:p>
      <w:pPr>
        <w:ind w:firstLine="479"/>
        <w:spacing w:after="0" w:line="270" w:lineRule="auto"/>
        <w:rPr>
          <w:sz w:val="20"/>
          <w:szCs w:val="20"/>
          <w:color w:val="auto"/>
        </w:rPr>
      </w:pPr>
      <w:r>
        <w:rPr>
          <w:rFonts w:ascii="Times New Roman" w:cs="Times New Roman" w:eastAsia="Times New Roman" w:hAnsi="Times New Roman"/>
          <w:sz w:val="17"/>
          <w:szCs w:val="17"/>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$1.235 billion or</w:t>
      </w:r>
    </w:p>
    <w:p>
      <w:pPr>
        <w:spacing w:after="0" w:line="2" w:lineRule="exact"/>
        <w:rPr>
          <w:sz w:val="20"/>
          <w:szCs w:val="20"/>
          <w:color w:val="auto"/>
        </w:rPr>
      </w:pPr>
    </w:p>
    <w:p>
      <w:pPr>
        <w:ind w:right="40" w:firstLine="8"/>
        <w:spacing w:after="0" w:line="255" w:lineRule="auto"/>
        <w:tabs>
          <w:tab w:leader="none" w:pos="3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85" w:lineRule="exact"/>
        <w:rPr>
          <w:sz w:val="20"/>
          <w:szCs w:val="20"/>
          <w:color w:val="auto"/>
        </w:rPr>
      </w:pPr>
    </w:p>
    <w:p>
      <w:pPr>
        <w:ind w:firstLine="478"/>
        <w:spacing w:after="0" w:line="276" w:lineRule="auto"/>
        <w:rPr>
          <w:sz w:val="20"/>
          <w:szCs w:val="20"/>
          <w:color w:val="auto"/>
        </w:rPr>
      </w:pPr>
      <w:r>
        <w:rPr>
          <w:rFonts w:ascii="Times New Roman" w:cs="Times New Roman" w:eastAsia="Times New Roman" w:hAnsi="Times New Roman"/>
          <w:sz w:val="17"/>
          <w:szCs w:val="17"/>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w:t>
      </w:r>
    </w:p>
    <w:p>
      <w:pPr>
        <w:ind w:right="80" w:firstLine="8"/>
        <w:spacing w:after="0" w:line="252"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198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92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344"/>
        </w:trPr>
        <w:tc>
          <w:tcPr>
            <w:tcW w:w="20" w:type="dxa"/>
            <w:vAlign w:val="bottom"/>
          </w:tcPr>
          <w:p>
            <w:pPr>
              <w:spacing w:after="0"/>
              <w:rPr>
                <w:sz w:val="24"/>
                <w:szCs w:val="24"/>
                <w:color w:val="auto"/>
              </w:rPr>
            </w:pPr>
          </w:p>
        </w:tc>
        <w:tc>
          <w:tcPr>
            <w:tcW w:w="42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Balance Sheets as of December 31, 2022 and 2021</w:t>
            </w:r>
          </w:p>
        </w:tc>
        <w:tc>
          <w:tcPr>
            <w:tcW w:w="5020" w:type="dxa"/>
            <w:vAlign w:val="bottom"/>
            <w:gridSpan w:val="4"/>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92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Statements of Operations and Comprehensive Loss for the Years ended December 31, 2022 and 2021</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44"/>
        </w:trPr>
        <w:tc>
          <w:tcPr>
            <w:tcW w:w="20" w:type="dxa"/>
            <w:vAlign w:val="bottom"/>
          </w:tcPr>
          <w:p>
            <w:pPr>
              <w:spacing w:after="0"/>
              <w:rPr>
                <w:sz w:val="24"/>
                <w:szCs w:val="24"/>
                <w:color w:val="auto"/>
              </w:rPr>
            </w:pPr>
          </w:p>
        </w:tc>
        <w:tc>
          <w:tcPr>
            <w:tcW w:w="72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Statements of Changes in Stockholders’ Equity for the Years ended December 31, 2022 and 2021</w:t>
            </w:r>
          </w:p>
        </w:tc>
        <w:tc>
          <w:tcPr>
            <w:tcW w:w="19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44"/>
        </w:trPr>
        <w:tc>
          <w:tcPr>
            <w:tcW w:w="20" w:type="dxa"/>
            <w:vAlign w:val="bottom"/>
          </w:tcPr>
          <w:p>
            <w:pPr>
              <w:spacing w:after="0"/>
              <w:rPr>
                <w:sz w:val="24"/>
                <w:szCs w:val="24"/>
                <w:color w:val="auto"/>
              </w:rPr>
            </w:pPr>
          </w:p>
        </w:tc>
        <w:tc>
          <w:tcPr>
            <w:tcW w:w="54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Statements of Cash Flows for the Years ended December 31, 2022 and 2021</w:t>
            </w:r>
          </w:p>
        </w:tc>
        <w:tc>
          <w:tcPr>
            <w:tcW w:w="1520" w:type="dxa"/>
            <w:vAlign w:val="bottom"/>
            <w:tcBorders>
              <w:top w:val="single" w:sz="8" w:color="0000FF"/>
            </w:tcBorders>
          </w:tcPr>
          <w:p>
            <w:pPr>
              <w:spacing w:after="0"/>
              <w:rPr>
                <w:sz w:val="24"/>
                <w:szCs w:val="24"/>
                <w:color w:val="auto"/>
              </w:rPr>
            </w:pPr>
          </w:p>
        </w:tc>
        <w:tc>
          <w:tcPr>
            <w:tcW w:w="2240" w:type="dxa"/>
            <w:vAlign w:val="bottom"/>
            <w:gridSpan w:val="2"/>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344"/>
        </w:trPr>
        <w:tc>
          <w:tcPr>
            <w:tcW w:w="20" w:type="dxa"/>
            <w:vAlign w:val="bottom"/>
          </w:tcPr>
          <w:p>
            <w:pPr>
              <w:spacing w:after="0"/>
              <w:rPr>
                <w:sz w:val="24"/>
                <w:szCs w:val="24"/>
                <w:color w:val="auto"/>
              </w:rPr>
            </w:pPr>
          </w:p>
        </w:tc>
        <w:tc>
          <w:tcPr>
            <w:tcW w:w="2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7080" w:type="dxa"/>
            <w:vAlign w:val="bottom"/>
            <w:gridSpan w:val="6"/>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681"/>
        </w:trPr>
        <w:tc>
          <w:tcPr>
            <w:tcW w:w="7020" w:type="dxa"/>
            <w:vAlign w:val="bottom"/>
            <w:gridSpan w:val="6"/>
          </w:tcPr>
          <w:p>
            <w:pPr>
              <w:jc w:val="right"/>
              <w:ind w:right="1300"/>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ind w:right="2460" w:firstLine="2539"/>
        <w:spacing w:after="0" w:line="48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Prelude Therapeutics Incorporated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Prelude Therapeutics Incorporated (the Company) as of December 31, 2022 and 2021, the related statements of operations and comprehensive loss, changes in stockholders’ equity and cash flows for the years then ended, and the related notes (collectively referred to as the “financial statements”). In our opinion, the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firstLine="419"/>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ind w:right="40" w:firstLine="419"/>
        <w:spacing w:after="0" w:line="26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2023</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3" w:right="4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171,123</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259,405</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204,380</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295,115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305,098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26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21,702</w:t>
            </w: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(note 8)</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Voting common stock, $0.0001 par value: 487,149,741 shares authorized; 36,496,994 and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36,200,299 shares issued and outstanding at December 31, 2022 and 2021, 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1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Non-voting common stock, $0.0001 par value: 12,850,259 shares authorized; 11,402,037 and</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11,402,037 shares issued and outstanding at December 31, 2022 and 2021, respectively</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531,682</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505,723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(1,692 )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(711 )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(334,558 )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(219,120 )</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195,437</w:t>
            </w:r>
          </w:p>
        </w:tc>
        <w:tc>
          <w:tcPr>
            <w:tcW w:w="2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260" w:type="dxa"/>
            <w:vAlign w:val="bottom"/>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305,098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-3929380</wp:posOffset>
            </wp:positionV>
            <wp:extent cx="6858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-3929380</wp:posOffset>
            </wp:positionV>
            <wp:extent cx="6858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-2987675</wp:posOffset>
            </wp:positionV>
            <wp:extent cx="1233170" cy="1797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-1711960</wp:posOffset>
            </wp:positionV>
            <wp:extent cx="68580"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92,889</w:t>
            </w:r>
          </w:p>
        </w:tc>
        <w:tc>
          <w:tcPr>
            <w:tcW w:w="2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30,651</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123,540</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113,735</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(123,540</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(113,735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(115,438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(2.44 )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23"/>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47,371,589</w:t>
            </w:r>
          </w:p>
        </w:tc>
        <w:tc>
          <w:tcPr>
            <w:tcW w:w="26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46,049,763</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(115,438 )</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(111,694 )</w:t>
            </w:r>
          </w:p>
        </w:tc>
      </w:tr>
      <w:tr>
        <w:trPr>
          <w:trHeight w:val="243"/>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(981 )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(116,419 )</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(112,405 )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-1831975</wp:posOffset>
            </wp:positionV>
            <wp:extent cx="6858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-1831975</wp:posOffset>
            </wp:positionV>
            <wp:extent cx="6858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-1189355</wp:posOffset>
            </wp:positionV>
            <wp:extent cx="1233170" cy="1797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-855345</wp:posOffset>
            </wp:positionV>
            <wp:extent cx="1233170" cy="205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33170" cy="20574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Addition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100" w:type="dxa"/>
            <w:vAlign w:val="bottom"/>
          </w:tcPr>
          <w:p>
            <w:pPr>
              <w:spacing w:after="0"/>
              <w:rPr>
                <w:sz w:val="17"/>
                <w:szCs w:val="17"/>
                <w:color w:val="auto"/>
              </w:rPr>
            </w:pPr>
          </w:p>
        </w:tc>
        <w:tc>
          <w:tcPr>
            <w:tcW w:w="222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  Accumulate</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Non-voting common</w:t>
            </w:r>
          </w:p>
        </w:tc>
        <w:tc>
          <w:tcPr>
            <w:tcW w:w="12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83"/>
              </w:rPr>
              <w:t>e</w:t>
            </w:r>
          </w:p>
        </w:tc>
        <w:tc>
          <w:tcPr>
            <w:tcW w:w="8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86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Voting common stock</w:t>
            </w:r>
          </w:p>
        </w:tc>
        <w:tc>
          <w:tcPr>
            <w:tcW w:w="180" w:type="dxa"/>
            <w:vAlign w:val="bottom"/>
          </w:tcPr>
          <w:p>
            <w:pPr>
              <w:spacing w:after="0"/>
              <w:rPr>
                <w:sz w:val="19"/>
                <w:szCs w:val="19"/>
                <w:color w:val="auto"/>
              </w:rPr>
            </w:pPr>
          </w:p>
        </w:tc>
        <w:tc>
          <w:tcPr>
            <w:tcW w:w="1060" w:type="dxa"/>
            <w:vAlign w:val="bottom"/>
            <w:gridSpan w:val="2"/>
          </w:tcPr>
          <w:p>
            <w:pPr>
              <w:jc w:val="center"/>
              <w:ind w:left="453"/>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00" w:type="dxa"/>
            <w:vAlign w:val="bottom"/>
          </w:tcPr>
          <w:p>
            <w:pPr>
              <w:spacing w:after="0"/>
              <w:rPr>
                <w:sz w:val="19"/>
                <w:szCs w:val="19"/>
                <w:color w:val="auto"/>
              </w:rPr>
            </w:pPr>
          </w:p>
        </w:tc>
        <w:tc>
          <w:tcPr>
            <w:tcW w:w="13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8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w:t>
            </w:r>
          </w:p>
        </w:tc>
        <w:tc>
          <w:tcPr>
            <w:tcW w:w="1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20"/>
                <w:szCs w:val="20"/>
                <w:color w:val="auto"/>
              </w:rPr>
            </w:pPr>
          </w:p>
        </w:tc>
        <w:tc>
          <w:tcPr>
            <w:tcW w:w="3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w:t>
            </w:r>
          </w:p>
        </w:tc>
        <w:tc>
          <w:tcPr>
            <w:tcW w:w="180" w:type="dxa"/>
            <w:vAlign w:val="bottom"/>
          </w:tcPr>
          <w:p>
            <w:pPr>
              <w:spacing w:after="0"/>
              <w:rPr>
                <w:sz w:val="20"/>
                <w:szCs w:val="20"/>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20"/>
                <w:szCs w:val="20"/>
                <w:color w:val="auto"/>
              </w:rPr>
            </w:pPr>
          </w:p>
        </w:tc>
        <w:tc>
          <w:tcPr>
            <w:tcW w:w="38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4"/>
        </w:trPr>
        <w:tc>
          <w:tcPr>
            <w:tcW w:w="386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90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36,200,29</w:t>
            </w:r>
          </w:p>
        </w:tc>
        <w:tc>
          <w:tcPr>
            <w:tcW w:w="1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11,402,03</w:t>
            </w:r>
          </w:p>
        </w:tc>
        <w:tc>
          <w:tcPr>
            <w:tcW w:w="1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line="204" w:lineRule="exact"/>
              <w:rPr>
                <w:sz w:val="20"/>
                <w:szCs w:val="20"/>
                <w:color w:val="auto"/>
              </w:rPr>
            </w:pPr>
            <w:r>
              <w:rPr>
                <w:rFonts w:ascii="Times New Roman" w:cs="Times New Roman" w:eastAsia="Times New Roman" w:hAnsi="Times New Roman"/>
                <w:sz w:val="18"/>
                <w:szCs w:val="18"/>
                <w:color w:val="auto"/>
              </w:rPr>
              <w:t>505,72</w:t>
            </w:r>
          </w:p>
        </w:tc>
        <w:tc>
          <w:tcPr>
            <w:tcW w:w="1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38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(711 ) $</w:t>
            </w:r>
          </w:p>
        </w:tc>
        <w:tc>
          <w:tcPr>
            <w:tcW w:w="1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(219,120 ) $ 285,897</w:t>
            </w:r>
          </w:p>
        </w:tc>
        <w:tc>
          <w:tcPr>
            <w:tcW w:w="100" w:type="dxa"/>
            <w:vAlign w:val="bottom"/>
            <w:shd w:val="clear" w:color="auto" w:fill="CFF0FC"/>
          </w:tcPr>
          <w:p>
            <w:pPr>
              <w:spacing w:after="0"/>
              <w:rPr>
                <w:sz w:val="21"/>
                <w:szCs w:val="21"/>
                <w:color w:val="auto"/>
              </w:rPr>
            </w:pPr>
          </w:p>
        </w:tc>
      </w:tr>
      <w:tr>
        <w:trPr>
          <w:trHeight w:val="21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&amp; vesting of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222,905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0"/>
                <w:szCs w:val="20"/>
                <w:color w:val="auto"/>
              </w:rPr>
            </w:pPr>
          </w:p>
        </w:tc>
      </w:tr>
      <w:tr>
        <w:trPr>
          <w:trHeight w:val="249"/>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97,206</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21"/>
                <w:szCs w:val="21"/>
                <w:color w:val="auto"/>
              </w:rPr>
            </w:pPr>
          </w:p>
        </w:tc>
      </w:tr>
      <w:tr>
        <w:trPr>
          <w:trHeight w:val="21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marketable securities, net</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tax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(981 )</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(981 )</w:t>
            </w:r>
          </w:p>
        </w:tc>
      </w:tr>
      <w:tr>
        <w:trPr>
          <w:trHeight w:val="21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net of</w:t>
            </w: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 of restricted stock</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(23,416 )</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100" w:type="dxa"/>
            <w:vAlign w:val="bottom"/>
            <w:shd w:val="clear" w:color="auto" w:fill="CFF0FC"/>
          </w:tcPr>
          <w:p>
            <w:pPr>
              <w:spacing w:after="0"/>
              <w:rPr>
                <w:sz w:val="21"/>
                <w:szCs w:val="21"/>
                <w:color w:val="auto"/>
              </w:rPr>
            </w:pPr>
          </w:p>
        </w:tc>
      </w:tr>
      <w:tr>
        <w:trPr>
          <w:trHeight w:val="211"/>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tcPr>
          <w:p>
            <w:pPr>
              <w:spacing w:after="0"/>
              <w:rPr>
                <w:sz w:val="18"/>
                <w:szCs w:val="18"/>
                <w:color w:val="auto"/>
              </w:rPr>
            </w:pPr>
          </w:p>
        </w:tc>
      </w:tr>
      <w:tr>
        <w:trPr>
          <w:trHeight w:val="241"/>
        </w:trPr>
        <w:tc>
          <w:tcPr>
            <w:tcW w:w="38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(115,438 )</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11"/>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36,496,99</w:t>
            </w: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11,402,03</w:t>
            </w: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531,68</w:t>
            </w: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61"/>
        </w:trPr>
        <w:tc>
          <w:tcPr>
            <w:tcW w:w="38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spacing w:after="0"/>
              <w:rPr>
                <w:sz w:val="22"/>
                <w:szCs w:val="22"/>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(1,692 ) $</w:t>
            </w:r>
          </w:p>
        </w:tc>
        <w:tc>
          <w:tcPr>
            <w:tcW w:w="1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(334,558 ) $ 195,437</w:t>
            </w:r>
          </w:p>
        </w:tc>
        <w:tc>
          <w:tcPr>
            <w:tcW w:w="100" w:type="dxa"/>
            <w:vAlign w:val="bottom"/>
            <w:shd w:val="clear" w:color="auto" w:fill="CFF0FC"/>
          </w:tcPr>
          <w:p>
            <w:pPr>
              <w:spacing w:after="0"/>
              <w:rPr>
                <w:sz w:val="22"/>
                <w:szCs w:val="22"/>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3027680</wp:posOffset>
            </wp:positionH>
            <wp:positionV relativeFrom="paragraph">
              <wp:posOffset>-24765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-24765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-7620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-24765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6495415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6495415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Non-voting 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8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shares)</w:t>
            </w:r>
          </w:p>
        </w:tc>
        <w:tc>
          <w:tcPr>
            <w:tcW w:w="1720" w:type="dxa"/>
            <w:vAlign w:val="bottom"/>
            <w:gridSpan w:val="4"/>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Voting common stock</w:t>
            </w:r>
          </w:p>
        </w:tc>
        <w:tc>
          <w:tcPr>
            <w:tcW w:w="120" w:type="dxa"/>
            <w:vAlign w:val="bottom"/>
          </w:tcPr>
          <w:p>
            <w:pPr>
              <w:spacing w:after="0"/>
              <w:rPr>
                <w:sz w:val="20"/>
                <w:szCs w:val="20"/>
                <w:color w:val="auto"/>
              </w:rPr>
            </w:pPr>
          </w:p>
        </w:tc>
        <w:tc>
          <w:tcPr>
            <w:tcW w:w="1140" w:type="dxa"/>
            <w:vAlign w:val="bottom"/>
            <w:gridSpan w:val="2"/>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80" w:type="dxa"/>
            <w:vAlign w:val="bottom"/>
          </w:tcPr>
          <w:p>
            <w:pPr>
              <w:spacing w:after="0"/>
              <w:rPr>
                <w:sz w:val="20"/>
                <w:szCs w:val="20"/>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8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3"/>
        </w:trPr>
        <w:tc>
          <w:tcPr>
            <w:tcW w:w="33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w:t>
            </w: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338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w:t>
            </w:r>
          </w:p>
        </w:tc>
        <w:tc>
          <w:tcPr>
            <w:tcW w:w="12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32,595,30</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11,110,37</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319,60</w:t>
            </w: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3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(107,426 )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$ 212,183</w:t>
            </w:r>
          </w:p>
        </w:tc>
        <w:tc>
          <w:tcPr>
            <w:tcW w:w="100" w:type="dxa"/>
            <w:vAlign w:val="bottom"/>
            <w:shd w:val="clear" w:color="auto" w:fill="CFF0FC"/>
          </w:tcPr>
          <w:p>
            <w:pPr>
              <w:spacing w:after="0"/>
              <w:rPr>
                <w:sz w:val="21"/>
                <w:szCs w:val="21"/>
                <w:color w:val="auto"/>
              </w:rPr>
            </w:pPr>
          </w:p>
        </w:tc>
      </w:tr>
      <w:tr>
        <w:trPr>
          <w:trHeight w:val="211"/>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exercise 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995,950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tcPr>
          <w:p>
            <w:pPr>
              <w:spacing w:after="0"/>
              <w:rPr>
                <w:sz w:val="20"/>
                <w:szCs w:val="20"/>
                <w:color w:val="auto"/>
              </w:rPr>
            </w:pPr>
          </w:p>
        </w:tc>
      </w:tr>
      <w:tr>
        <w:trPr>
          <w:trHeight w:val="218"/>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 of common stock, net of offering costs</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$739</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2,583,334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291,666</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161,411</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161,412</w:t>
            </w:r>
          </w:p>
        </w:tc>
        <w:tc>
          <w:tcPr>
            <w:tcW w:w="100" w:type="dxa"/>
            <w:vAlign w:val="bottom"/>
            <w:shd w:val="clear" w:color="auto" w:fill="CFF0FC"/>
          </w:tcPr>
          <w:p>
            <w:pPr>
              <w:spacing w:after="0"/>
              <w:rPr>
                <w:sz w:val="21"/>
                <w:szCs w:val="21"/>
                <w:color w:val="auto"/>
              </w:rPr>
            </w:pP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r>
      <w:tr>
        <w:trPr>
          <w:trHeight w:val="215"/>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(loss) on marketable</w:t>
            </w: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(711 )</w:t>
            </w: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(711 )</w:t>
            </w: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100" w:type="dxa"/>
            <w:vAlign w:val="bottom"/>
          </w:tcPr>
          <w:p>
            <w:pPr>
              <w:spacing w:after="0"/>
              <w:rPr>
                <w:sz w:val="20"/>
                <w:szCs w:val="20"/>
                <w:color w:val="auto"/>
              </w:rPr>
            </w:pPr>
          </w:p>
        </w:tc>
      </w:tr>
      <w:tr>
        <w:trPr>
          <w:trHeight w:val="243"/>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(111,694 )</w:t>
            </w: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(111,694 )</w:t>
            </w:r>
          </w:p>
        </w:tc>
      </w:tr>
      <w:tr>
        <w:trPr>
          <w:trHeight w:val="209"/>
        </w:trPr>
        <w:tc>
          <w:tcPr>
            <w:tcW w:w="3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36,200,29</w:t>
            </w:r>
          </w:p>
        </w:tc>
        <w:tc>
          <w:tcPr>
            <w:tcW w:w="2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11,402,03</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505,72</w:t>
            </w:r>
          </w:p>
        </w:tc>
        <w:tc>
          <w:tcPr>
            <w:tcW w:w="1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41"/>
        </w:trPr>
        <w:tc>
          <w:tcPr>
            <w:tcW w:w="3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(711 )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(219,120 )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$ 285,897</w:t>
            </w:r>
          </w:p>
        </w:tc>
        <w:tc>
          <w:tcPr>
            <w:tcW w:w="100" w:type="dxa"/>
            <w:vAlign w:val="bottom"/>
          </w:tcPr>
          <w:p>
            <w:pPr>
              <w:spacing w:after="0"/>
              <w:rPr>
                <w:sz w:val="20"/>
                <w:szCs w:val="20"/>
                <w:color w:val="auto"/>
              </w:rPr>
            </w:pPr>
          </w:p>
        </w:tc>
      </w:tr>
      <w:tr>
        <w:trPr>
          <w:trHeight w:val="20"/>
        </w:trPr>
        <w:tc>
          <w:tcPr>
            <w:tcW w:w="3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-324485</wp:posOffset>
            </wp:positionV>
            <wp:extent cx="76835" cy="3251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-324485</wp:posOffset>
            </wp:positionV>
            <wp:extent cx="76835" cy="3251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-324485</wp:posOffset>
            </wp:positionV>
            <wp:extent cx="76835" cy="3251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-324485</wp:posOffset>
            </wp:positionV>
            <wp:extent cx="68580" cy="3251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-324485</wp:posOffset>
            </wp:positionV>
            <wp:extent cx="68580" cy="3251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5750560</wp:posOffset>
            </wp:positionH>
            <wp:positionV relativeFrom="paragraph">
              <wp:posOffset>-324485</wp:posOffset>
            </wp:positionV>
            <wp:extent cx="68580" cy="3251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-324485</wp:posOffset>
            </wp:positionV>
            <wp:extent cx="68580" cy="3251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-324485</wp:posOffset>
            </wp:positionV>
            <wp:extent cx="68580" cy="3251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32512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5"/>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(115,438 )</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(111,694 )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(3,843 )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0"/>
                <w:szCs w:val="20"/>
                <w:color w:val="auto"/>
              </w:rPr>
            </w:pP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(347 )</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20"/>
                <w:szCs w:val="20"/>
                <w:color w:val="auto"/>
              </w:rPr>
            </w:pPr>
          </w:p>
        </w:tc>
        <w:tc>
          <w:tcPr>
            <w:tcW w:w="14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(1,711 )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(1,359 )</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(83,729</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(83,531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(119,223 )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(261,480 )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203,933</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(3,019 )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81,691</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(263,803 )</w:t>
            </w: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sale of common stock, net of offering costs</w:t>
            </w:r>
          </w:p>
        </w:tc>
        <w:tc>
          <w:tcPr>
            <w:tcW w:w="360" w:type="dxa"/>
            <w:vAlign w:val="bottom"/>
          </w:tcPr>
          <w:p>
            <w:pPr>
              <w:spacing w:after="0"/>
              <w:rPr>
                <w:sz w:val="20"/>
                <w:szCs w:val="20"/>
                <w:color w:val="auto"/>
              </w:rPr>
            </w:pPr>
          </w:p>
        </w:tc>
        <w:tc>
          <w:tcPr>
            <w:tcW w:w="1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161,424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the exercise of stock options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164,897</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(182,437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218,309</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6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9"/>
        </w:trPr>
        <w:tc>
          <w:tcPr>
            <w:tcW w:w="7740" w:type="dxa"/>
            <w:vAlign w:val="bottom"/>
          </w:tcPr>
          <w:p>
            <w:pPr>
              <w:ind w:left="388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3"/>
        </w:trPr>
        <w:tc>
          <w:tcPr>
            <w:tcW w:w="77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7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-3424555</wp:posOffset>
            </wp:positionV>
            <wp:extent cx="68580" cy="162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-3424555</wp:posOffset>
            </wp:positionV>
            <wp:extent cx="68580" cy="162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-2799080</wp:posOffset>
            </wp:positionV>
            <wp:extent cx="685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-2799080</wp:posOffset>
            </wp:positionV>
            <wp:extent cx="685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-1857375</wp:posOffset>
            </wp:positionV>
            <wp:extent cx="6858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-1857375</wp:posOffset>
            </wp:positionV>
            <wp:extent cx="685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-1215390</wp:posOffset>
            </wp:positionV>
            <wp:extent cx="1233170" cy="1797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-881380</wp:posOffset>
            </wp:positionV>
            <wp:extent cx="1233170" cy="205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33170" cy="20574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-521970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-504825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21" w:lineRule="exact"/>
        <w:rPr>
          <w:sz w:val="20"/>
          <w:szCs w:val="20"/>
          <w:color w:val="auto"/>
        </w:rPr>
      </w:pPr>
    </w:p>
    <w:p>
      <w:pPr>
        <w:ind w:right="40" w:firstLine="479"/>
        <w:spacing w:after="0" w:line="260" w:lineRule="auto"/>
        <w:rPr>
          <w:sz w:val="20"/>
          <w:szCs w:val="20"/>
          <w:color w:val="auto"/>
        </w:rPr>
      </w:pPr>
      <w:r>
        <w:rPr>
          <w:rFonts w:ascii="Times New Roman" w:cs="Times New Roman" w:eastAsia="Times New Roman" w:hAnsi="Times New Roman"/>
          <w:sz w:val="18"/>
          <w:szCs w:val="18"/>
          <w:color w:val="auto"/>
        </w:rPr>
        <w:t>Prelude Therapeutics Incorporated (the “Company”) was incorporated in Delaware on February 5, 2016 and is a clinical-stage fully integrated oncology company built on a foundation of drug discovery excellence to deliver novel precision cancer medicines to underserved patients. Since beginning operations, the Company has devoted substantially all its efforts to research and development, conducting preclinical and clinical studies, recruiting management and technical staff, administration, and raising capital.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121" w:lineRule="exact"/>
        <w:rPr>
          <w:sz w:val="20"/>
          <w:szCs w:val="20"/>
          <w:color w:val="auto"/>
        </w:rPr>
      </w:pPr>
    </w:p>
    <w:p>
      <w:pPr>
        <w:ind w:right="60" w:firstLine="478"/>
        <w:spacing w:after="0" w:line="253" w:lineRule="auto"/>
        <w:rPr>
          <w:sz w:val="20"/>
          <w:szCs w:val="20"/>
          <w:color w:val="auto"/>
        </w:rPr>
      </w:pPr>
      <w:r>
        <w:rPr>
          <w:rFonts w:ascii="Times New Roman" w:cs="Times New Roman" w:eastAsia="Times New Roman" w:hAnsi="Times New Roman"/>
          <w:sz w:val="18"/>
          <w:szCs w:val="18"/>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91" w:lineRule="exact"/>
        <w:rPr>
          <w:sz w:val="20"/>
          <w:szCs w:val="20"/>
          <w:color w:val="auto"/>
        </w:rPr>
      </w:pPr>
    </w:p>
    <w:p>
      <w:pPr>
        <w:ind w:right="100" w:firstLine="478"/>
        <w:spacing w:after="0" w:line="265"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had an accumulated deficit of $334.6 million at December 31, 2022.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77" w:lineRule="exact"/>
        <w:rPr>
          <w:sz w:val="20"/>
          <w:szCs w:val="20"/>
          <w:color w:val="auto"/>
        </w:rPr>
      </w:pPr>
    </w:p>
    <w:p>
      <w:pPr>
        <w:ind w:right="440" w:firstLine="478"/>
        <w:spacing w:after="0" w:line="281" w:lineRule="auto"/>
        <w:rPr>
          <w:sz w:val="20"/>
          <w:szCs w:val="20"/>
          <w:color w:val="auto"/>
        </w:rPr>
      </w:pPr>
      <w:r>
        <w:rPr>
          <w:rFonts w:ascii="Times New Roman" w:cs="Times New Roman" w:eastAsia="Times New Roman" w:hAnsi="Times New Roman"/>
          <w:sz w:val="18"/>
          <w:szCs w:val="18"/>
          <w:color w:val="auto"/>
        </w:rPr>
        <w:t>The Company believes that its cash, cash equivalents and marketable securities as of December 31, 2022 will be sufficient to fund its operating expenses and capital expenditure requirements through the fourth quarter of 2024.</w:t>
      </w:r>
    </w:p>
    <w:p>
      <w:pPr>
        <w:spacing w:after="0" w:line="163" w:lineRule="exact"/>
        <w:rPr>
          <w:sz w:val="20"/>
          <w:szCs w:val="20"/>
          <w:color w:val="auto"/>
        </w:rPr>
      </w:pPr>
    </w:p>
    <w:p>
      <w:pPr>
        <w:ind w:right="120" w:firstLine="478"/>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86" w:lineRule="exact"/>
        <w:rPr>
          <w:sz w:val="20"/>
          <w:szCs w:val="20"/>
          <w:color w:val="auto"/>
        </w:rPr>
      </w:pPr>
    </w:p>
    <w:p>
      <w:pPr>
        <w:ind w:firstLine="478"/>
        <w:spacing w:after="0" w:line="255" w:lineRule="auto"/>
        <w:rPr>
          <w:sz w:val="20"/>
          <w:szCs w:val="20"/>
          <w:color w:val="auto"/>
        </w:rPr>
      </w:pPr>
      <w:r>
        <w:rPr>
          <w:rFonts w:ascii="Times New Roman" w:cs="Times New Roman" w:eastAsia="Times New Roman" w:hAnsi="Times New Roman"/>
          <w:sz w:val="18"/>
          <w:szCs w:val="18"/>
          <w:color w:val="auto"/>
        </w:rPr>
        <w:t>On March 10, 2020, the World Health Organization characterized the novel COVID-19 virus as a global pandemic. There continues to be significant uncertainty as to the effects of this disease and emerging variants which may, among other things, materially impact the Company’s planned clinical trials. This pandemic or outbreak could result in difficulty securing clinical trial site locations, contract research organizations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the ongoing COVID-19 pandemic,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financial statements.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48" w:lineRule="exact"/>
        <w:rPr>
          <w:sz w:val="20"/>
          <w:szCs w:val="20"/>
          <w:color w:val="auto"/>
        </w:rPr>
      </w:pPr>
    </w:p>
    <w:p>
      <w:pPr>
        <w:ind w:left="480" w:right="7680" w:hanging="472"/>
        <w:spacing w:after="0" w:line="377" w:lineRule="auto"/>
        <w:tabs>
          <w:tab w:leader="none" w:pos="182"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ind w:right="160" w:firstLine="478"/>
        <w:spacing w:after="0" w:line="265"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generally accepted accounting principles (“GAAP”). Any reference in these notes to applicable guidance is meant to refer to GAAP as found in the Accounting Standards Codification (“ASC”) and Accounting Standards Updates (“ASU”) promulgated by the Financial Accounting Standards Board (“FASB”).</w:t>
      </w:r>
    </w:p>
    <w:p>
      <w:pPr>
        <w:spacing w:after="0" w:line="2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80" w:firstLine="478"/>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77" w:lineRule="exact"/>
        <w:rPr>
          <w:sz w:val="20"/>
          <w:szCs w:val="20"/>
          <w:color w:val="auto"/>
        </w:rPr>
      </w:pPr>
    </w:p>
    <w:p>
      <w:pPr>
        <w:ind w:right="300" w:firstLine="478"/>
        <w:spacing w:after="0" w:line="281"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financial statements in the period they are determined to be necessary. The most significant estimate relates to accrued clinical trial expenses.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60" w:firstLine="478"/>
        <w:spacing w:after="0" w:line="26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The Company maintains deposits in federally insured financial institutions in excess of federally insured limits. The Company has not experienced any losses in such accounts and believes it is not exposed to significant credit risk beyond the normal credit risk associated with commercial banking relationships.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firstLine="478"/>
        <w:spacing w:after="0" w:line="26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and manages its operations as a single operating segment.</w:t>
      </w:r>
    </w:p>
    <w:p>
      <w:pPr>
        <w:spacing w:after="0" w:line="2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500" w:firstLine="478"/>
        <w:spacing w:after="0" w:line="281" w:lineRule="auto"/>
        <w:rPr>
          <w:sz w:val="20"/>
          <w:szCs w:val="20"/>
          <w:color w:val="auto"/>
        </w:rPr>
      </w:pPr>
      <w:r>
        <w:rPr>
          <w:rFonts w:ascii="Times New Roman" w:cs="Times New Roman" w:eastAsia="Times New Roman" w:hAnsi="Times New Roman"/>
          <w:sz w:val="18"/>
          <w:szCs w:val="18"/>
          <w:color w:val="auto"/>
        </w:rPr>
        <w:t>Management believes that the carrying amounts of the Company’s financial instruments, including cash, restricted cash, accounts payable, and accrued expenses, approximate fair value due to the short-term nature of these instruments.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220" w:firstLine="478"/>
        <w:spacing w:after="0" w:line="281"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55" w:lineRule="exact"/>
        <w:rPr>
          <w:sz w:val="20"/>
          <w:szCs w:val="20"/>
          <w:color w:val="auto"/>
        </w:rPr>
      </w:pPr>
    </w:p>
    <w:p>
      <w:pPr>
        <w:ind w:right="420" w:firstLine="478"/>
        <w:spacing w:after="0" w:line="281" w:lineRule="auto"/>
        <w:rPr>
          <w:sz w:val="20"/>
          <w:szCs w:val="20"/>
          <w:color w:val="auto"/>
        </w:rPr>
      </w:pPr>
      <w:r>
        <w:rPr>
          <w:rFonts w:ascii="Times New Roman" w:cs="Times New Roman" w:eastAsia="Times New Roman" w:hAnsi="Times New Roman"/>
          <w:sz w:val="18"/>
          <w:szCs w:val="18"/>
          <w:color w:val="auto"/>
        </w:rPr>
        <w:t>Restricted cash comprises a letter of credit with Silicon Valley Bank for the benefit of the landlord in connection with the Company’s new lease facility. See note 8 for further details.</w:t>
      </w:r>
    </w:p>
    <w:p>
      <w:pPr>
        <w:spacing w:after="0" w:line="55" w:lineRule="exact"/>
        <w:rPr>
          <w:sz w:val="20"/>
          <w:szCs w:val="20"/>
          <w:color w:val="auto"/>
        </w:rPr>
      </w:pPr>
    </w:p>
    <w:p>
      <w:pPr>
        <w:ind w:right="500" w:firstLine="478"/>
        <w:spacing w:after="0" w:line="281"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100" w:type="dxa"/>
            <w:vAlign w:val="bottom"/>
            <w:shd w:val="clear" w:color="auto" w:fill="CFF0FC"/>
          </w:tcPr>
          <w:p>
            <w:pPr>
              <w:spacing w:after="0"/>
              <w:rPr>
                <w:sz w:val="20"/>
                <w:szCs w:val="20"/>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20"/>
                <w:szCs w:val="20"/>
                <w:color w:val="auto"/>
              </w:rPr>
            </w:pPr>
          </w:p>
        </w:tc>
      </w:tr>
      <w:tr>
        <w:trPr>
          <w:trHeight w:val="24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100" w:type="dxa"/>
            <w:vAlign w:val="bottom"/>
            <w:shd w:val="clear" w:color="auto" w:fill="CFF0FC"/>
          </w:tcPr>
          <w:p>
            <w:pPr>
              <w:spacing w:after="0"/>
              <w:rPr>
                <w:sz w:val="20"/>
                <w:szCs w:val="20"/>
                <w:color w:val="auto"/>
              </w:rPr>
            </w:pPr>
          </w:p>
        </w:tc>
      </w:tr>
      <w:tr>
        <w:trPr>
          <w:trHeight w:val="647"/>
        </w:trPr>
        <w:tc>
          <w:tcPr>
            <w:tcW w:w="82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8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and United States, or U.S., government debt securities that are classified as available-for-sale. The securities are carried at fair value with the unrealized gains and losses, net of tax, included in accumulated other comprehensive income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80" w:firstLine="478"/>
        <w:spacing w:after="0" w:line="28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expense is recognized using the straight-line method over the estimated useful life of the asset, ranging from 5-7 years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Fixed Asset Type</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23"/>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219" w:lineRule="exact"/>
        <w:rPr>
          <w:sz w:val="20"/>
          <w:szCs w:val="20"/>
          <w:color w:val="auto"/>
        </w:rPr>
      </w:pPr>
    </w:p>
    <w:p>
      <w:pPr>
        <w:ind w:right="300" w:firstLine="478"/>
        <w:spacing w:after="0" w:line="281"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estimated useful life of the assets or the remaining lease term. Assets under capital leases are recorded in property and equipment, net on the balance sheets and depreciated in a manner similar to other property and equipment.</w:t>
      </w:r>
    </w:p>
    <w:p>
      <w:pPr>
        <w:spacing w:after="0" w:line="163" w:lineRule="exact"/>
        <w:rPr>
          <w:sz w:val="20"/>
          <w:szCs w:val="20"/>
          <w:color w:val="auto"/>
        </w:rPr>
      </w:pPr>
    </w:p>
    <w:p>
      <w:pPr>
        <w:ind w:right="180" w:firstLine="478"/>
        <w:spacing w:after="0" w:line="265"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while major betterments are capitalized. Upon retirement or sale, the cost and related accumulated depreciation of assets disposed of are removed from the accounts and any resulting gain or loss is included in the statements of operations.</w:t>
      </w:r>
    </w:p>
    <w:p>
      <w:pPr>
        <w:spacing w:after="0" w:line="177" w:lineRule="exact"/>
        <w:rPr>
          <w:sz w:val="20"/>
          <w:szCs w:val="20"/>
          <w:color w:val="auto"/>
        </w:rPr>
      </w:pPr>
    </w:p>
    <w:p>
      <w:pPr>
        <w:ind w:right="60" w:firstLine="478"/>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such as property and equipment, for impairment when events or changes in circumstances indicate the carrying amount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then the asset is considered to be impaired and its carrying value is written down to fair value, based on the related estimated discounted future cash flows.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300" w:firstLine="479"/>
        <w:spacing w:after="0" w:line="281" w:lineRule="auto"/>
        <w:rPr>
          <w:sz w:val="20"/>
          <w:szCs w:val="20"/>
          <w:color w:val="auto"/>
        </w:rPr>
      </w:pPr>
      <w:r>
        <w:rPr>
          <w:rFonts w:ascii="Times New Roman" w:cs="Times New Roman" w:eastAsia="Times New Roman" w:hAnsi="Times New Roman"/>
          <w:sz w:val="18"/>
          <w:szCs w:val="18"/>
          <w:color w:val="auto"/>
        </w:rPr>
        <w:t>Comprehensive loss includes net loss and certain changes in stockholders’ equity that are excluded from net loss. The Company’s comprehensive loss for the years ended December 31, 2022 and 2021 comprised net loss and unrealized loss on marketable securities.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20" w:firstLine="479"/>
        <w:spacing w:after="0" w:line="281" w:lineRule="auto"/>
        <w:rPr>
          <w:sz w:val="20"/>
          <w:szCs w:val="20"/>
          <w:color w:val="auto"/>
        </w:rPr>
      </w:pPr>
      <w:r>
        <w:rPr>
          <w:rFonts w:ascii="Times New Roman" w:cs="Times New Roman" w:eastAsia="Times New Roman" w:hAnsi="Times New Roman"/>
          <w:sz w:val="18"/>
          <w:szCs w:val="18"/>
          <w:color w:val="auto"/>
        </w:rPr>
        <w:t>The Company measures share-based awards at their grant-date fair value and records compensation expense on a straight-line basis over the vesting period of the awards.</w:t>
      </w:r>
    </w:p>
    <w:p>
      <w:pPr>
        <w:spacing w:after="0" w:line="55"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Estimating the fair value of share-based awards requires the input of subjective assumptions, including, for stock options, the expected life of the options and stock price volatility. The Company accounts for forfeitures for stock option awards as they occur. The Company uses the Black-Scholes option pricing model to value its stock option awards. The assumptions used in estimating the fair value of share-based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spacing w:after="0" w:line="182" w:lineRule="exact"/>
        <w:rPr>
          <w:sz w:val="20"/>
          <w:szCs w:val="20"/>
          <w:color w:val="auto"/>
        </w:rPr>
      </w:pPr>
    </w:p>
    <w:p>
      <w:pPr>
        <w:ind w:right="180" w:firstLine="479"/>
        <w:spacing w:after="0" w:line="260" w:lineRule="auto"/>
        <w:rPr>
          <w:sz w:val="20"/>
          <w:szCs w:val="20"/>
          <w:color w:val="auto"/>
        </w:rPr>
      </w:pPr>
      <w:r>
        <w:rPr>
          <w:rFonts w:ascii="Times New Roman" w:cs="Times New Roman" w:eastAsia="Times New Roman" w:hAnsi="Times New Roman"/>
          <w:sz w:val="18"/>
          <w:szCs w:val="18"/>
          <w:color w:val="auto"/>
        </w:rPr>
        <w:t>The expected life of the stock options is estimated using the “simplified method”,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comparable public companies as a basis for its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expected volatility to calculate the fair value of option grants. The risk-free rate is based on the U.S. Treasury yield curve commensurate with the expected life of the option.</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Grant Income and Research and Development Tax Credits</w:t>
      </w:r>
    </w:p>
    <w:p>
      <w:pPr>
        <w:spacing w:after="0" w:line="121" w:lineRule="exact"/>
        <w:rPr>
          <w:sz w:val="20"/>
          <w:szCs w:val="20"/>
          <w:color w:val="auto"/>
        </w:rPr>
      </w:pPr>
    </w:p>
    <w:p>
      <w:pPr>
        <w:ind w:right="140" w:firstLine="478"/>
        <w:spacing w:after="0" w:line="260" w:lineRule="auto"/>
        <w:rPr>
          <w:sz w:val="20"/>
          <w:szCs w:val="20"/>
          <w:color w:val="auto"/>
        </w:rPr>
      </w:pPr>
      <w:r>
        <w:rPr>
          <w:rFonts w:ascii="Times New Roman" w:cs="Times New Roman" w:eastAsia="Times New Roman" w:hAnsi="Times New Roman"/>
          <w:sz w:val="18"/>
          <w:szCs w:val="18"/>
          <w:color w:val="auto"/>
        </w:rPr>
        <w:t>The Company recognizes grants related to income and Delaware research and development tax credits in other income, net in the statements of operations when the necessary qualifying conditions, as stated in the agreements, are met and all contingencies have been resolved. For the years ended December 31, 2022 and 2021, the Company recorded other income of $6.1 million and $1.3 million, respectively. The Company recognizes grants related to assets as deferred income on the balance sheet. The deferred income is then recognized as grant income over the use life of the related assets.</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200" w:firstLine="478"/>
        <w:spacing w:after="0" w:line="260"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of employees, and other operational costs related to the Company’s research and development activities, including allocated facility-related expenses and external costs of outside vendors, such as clinical research organizations and clinical manufacturing organizations, and other direct and indirect costs.</w:t>
      </w:r>
    </w:p>
    <w:p>
      <w:pPr>
        <w:spacing w:after="0" w:line="182" w:lineRule="exact"/>
        <w:rPr>
          <w:sz w:val="20"/>
          <w:szCs w:val="20"/>
          <w:color w:val="auto"/>
        </w:rPr>
      </w:pPr>
    </w:p>
    <w:p>
      <w:pPr>
        <w:ind w:right="20" w:firstLine="478"/>
        <w:spacing w:after="0" w:line="258" w:lineRule="auto"/>
        <w:rPr>
          <w:sz w:val="20"/>
          <w:szCs w:val="20"/>
          <w:color w:val="auto"/>
        </w:rPr>
      </w:pPr>
      <w:r>
        <w:rPr>
          <w:rFonts w:ascii="Times New Roman" w:cs="Times New Roman" w:eastAsia="Times New Roman" w:hAnsi="Times New Roman"/>
          <w:sz w:val="18"/>
          <w:szCs w:val="18"/>
          <w:color w:val="auto"/>
        </w:rPr>
        <w:t>Management makes estimates of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right="80" w:firstLine="478"/>
        <w:spacing w:after="0" w:line="255" w:lineRule="auto"/>
        <w:rPr>
          <w:sz w:val="20"/>
          <w:szCs w:val="20"/>
          <w:color w:val="auto"/>
        </w:rPr>
      </w:pPr>
      <w:r>
        <w:rPr>
          <w:rFonts w:ascii="Times New Roman" w:cs="Times New Roman" w:eastAsia="Times New Roman" w:hAnsi="Times New Roman"/>
          <w:sz w:val="18"/>
          <w:szCs w:val="18"/>
          <w:color w:val="auto"/>
        </w:rPr>
        <w:t xml:space="preserve">Income taxes are accounted for under the asset-and-liability method as required by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87"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 xml:space="preserve">FASB ASC Subtopic 740-10, </w:t>
      </w:r>
      <w:r>
        <w:rPr>
          <w:rFonts w:ascii="Times New Roman" w:cs="Times New Roman" w:eastAsia="Times New Roman" w:hAnsi="Times New Roman"/>
          <w:sz w:val="18"/>
          <w:szCs w:val="18"/>
          <w:i w:val="1"/>
          <w:iCs w:val="1"/>
          <w:color w:val="auto"/>
        </w:rPr>
        <w:t>Accounting for Uncertainty of Income Taxes</w:t>
      </w:r>
      <w:r>
        <w:rPr>
          <w:rFonts w:ascii="Times New Roman" w:cs="Times New Roman" w:eastAsia="Times New Roman" w:hAnsi="Times New Roman"/>
          <w:sz w:val="18"/>
          <w:szCs w:val="18"/>
          <w:color w:val="auto"/>
        </w:rPr>
        <w:t>, (“ASC 740-10”)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a component of income tax expense.</w:t>
      </w:r>
    </w:p>
    <w:p>
      <w:pPr>
        <w:spacing w:after="0" w:line="2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100" w:firstLine="478"/>
        <w:spacing w:after="0" w:line="256"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of securities, such as stock options, and the effect from unvested restricted stock awards and restricted stock units which would result in the issuance of incremental shares of common stock. For diluted net loss per share, the weighted-average number of shares of common stock is the same for basic net loss per share due to the fact that when a net</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loss exists, dilutive securities are not included in the calculation as the impact is anti-dilutive. The Company’s unvested restricted stock awards entitle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unvested restricted stock awards have no obligation to fund losses.</w:t>
      </w:r>
    </w:p>
    <w:p>
      <w:pPr>
        <w:spacing w:after="0" w:line="182" w:lineRule="exact"/>
        <w:rPr>
          <w:sz w:val="20"/>
          <w:szCs w:val="20"/>
          <w:color w:val="auto"/>
        </w:rPr>
      </w:pPr>
    </w:p>
    <w:p>
      <w:pPr>
        <w:ind w:right="680" w:firstLine="478"/>
        <w:spacing w:after="0" w:line="281"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20" w:type="dxa"/>
            <w:vAlign w:val="bottom"/>
          </w:tcPr>
          <w:p>
            <w:pPr>
              <w:spacing w:after="0"/>
              <w:rPr>
                <w:sz w:val="16"/>
                <w:szCs w:val="16"/>
                <w:color w:val="auto"/>
              </w:rPr>
            </w:pPr>
          </w:p>
        </w:tc>
        <w:tc>
          <w:tcPr>
            <w:tcW w:w="224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15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201,716</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611,608</w:t>
            </w:r>
          </w:p>
        </w:tc>
        <w:tc>
          <w:tcPr>
            <w:tcW w:w="100" w:type="dxa"/>
            <w:vAlign w:val="bottom"/>
            <w:shd w:val="clear" w:color="auto" w:fill="CFF0FC"/>
          </w:tcPr>
          <w:p>
            <w:pPr>
              <w:spacing w:after="0"/>
              <w:rPr>
                <w:sz w:val="20"/>
                <w:szCs w:val="20"/>
                <w:color w:val="auto"/>
              </w:rPr>
            </w:pPr>
          </w:p>
        </w:tc>
      </w:tr>
      <w:tr>
        <w:trPr>
          <w:trHeight w:val="23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0"/>
                <w:szCs w:val="20"/>
                <w:color w:val="auto"/>
              </w:rPr>
            </w:pPr>
          </w:p>
        </w:tc>
      </w:tr>
      <w:tr>
        <w:trPr>
          <w:trHeight w:val="243"/>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9,390,930</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7,179,482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2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9,757,646</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7,811,090</w:t>
            </w:r>
          </w:p>
        </w:tc>
        <w:tc>
          <w:tcPr>
            <w:tcW w:w="100" w:type="dxa"/>
            <w:vAlign w:val="bottom"/>
          </w:tcPr>
          <w:p>
            <w:pPr>
              <w:spacing w:after="0"/>
              <w:rPr>
                <w:sz w:val="20"/>
                <w:szCs w:val="20"/>
                <w:color w:val="auto"/>
              </w:rPr>
            </w:pPr>
          </w:p>
        </w:tc>
      </w:tr>
      <w:tr>
        <w:trPr>
          <w:trHeight w:val="20"/>
        </w:trPr>
        <w:tc>
          <w:tcPr>
            <w:tcW w:w="78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-187960</wp:posOffset>
            </wp:positionV>
            <wp:extent cx="685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119" w:lineRule="exact"/>
        <w:rPr>
          <w:sz w:val="20"/>
          <w:szCs w:val="20"/>
          <w:color w:val="auto"/>
        </w:rPr>
      </w:pPr>
    </w:p>
    <w:p>
      <w:pPr>
        <w:ind w:right="180" w:firstLine="478"/>
        <w:spacing w:after="0" w:line="274" w:lineRule="auto"/>
        <w:rPr>
          <w:sz w:val="20"/>
          <w:szCs w:val="20"/>
          <w:color w:val="auto"/>
        </w:rPr>
      </w:pPr>
      <w:r>
        <w:rPr>
          <w:rFonts w:ascii="Times New Roman" w:cs="Times New Roman" w:eastAsia="Times New Roman" w:hAnsi="Times New Roman"/>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19" w:lineRule="exact"/>
        <w:rPr>
          <w:sz w:val="20"/>
          <w:szCs w:val="20"/>
          <w:color w:val="auto"/>
        </w:rPr>
      </w:pPr>
    </w:p>
    <w:p>
      <w:pPr>
        <w:ind w:right="80" w:firstLine="478"/>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Measurement of Credit Losses on Financial Instruments” which has subsequently been amended by ASU No. 2019-04, ASU No. 2019-05, ASU No. 2019-10, ASU No. 2019-11, and ASU No. 2020-03 (“ASU 2016-03”). This guidance replaces the incurred loss impairment methodology under current U.S. GAAP with a methodology that reflects expected credit losses and requires consideration of a broader range of reasonable and supportable information to inform credit loss estimates. The Company early adopted this standard as of January 1, 2022 using a modified retrospective approach. It did not have a material impact on the Company’s financial statements and related disclosures.</w:t>
      </w:r>
    </w:p>
    <w:p>
      <w:pPr>
        <w:spacing w:after="0" w:line="78" w:lineRule="exact"/>
        <w:rPr>
          <w:sz w:val="20"/>
          <w:szCs w:val="20"/>
          <w:color w:val="auto"/>
        </w:rPr>
      </w:pPr>
    </w:p>
    <w:p>
      <w:pPr>
        <w:ind w:right="40" w:firstLine="478"/>
        <w:spacing w:after="0" w:line="256" w:lineRule="auto"/>
        <w:rPr>
          <w:sz w:val="20"/>
          <w:szCs w:val="20"/>
          <w:color w:val="auto"/>
        </w:rPr>
      </w:pPr>
      <w:r>
        <w:rPr>
          <w:rFonts w:ascii="Times New Roman" w:cs="Times New Roman" w:eastAsia="Times New Roman" w:hAnsi="Times New Roman"/>
          <w:sz w:val="18"/>
          <w:szCs w:val="18"/>
          <w:color w:val="auto"/>
        </w:rPr>
        <w:t>In November 2021, the FASB issued ASU No. 2021-10, “Government Assistance: Disclosures by Business Entities about Government Assistance”. The amendments in this Update improve financial reporting by requiring disclosures that increase the transparency of transactions with a government. The amendments require the following annual disclosures about transactions with a government that are accounted for by applying a grant or contribution accounting model by analogy (i) the type of transaction (ii) the accounting for the transaction, and (iii) the effect of the transaction on the entity’s financial statements. The Company adopted this standard as of January 1, 2022 using a prospective approach and it did not have a material impact on the Company’s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the Company’s marketable securities as of December 31,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300" w:type="dxa"/>
            <w:vAlign w:val="bottom"/>
          </w:tcPr>
          <w:p>
            <w:pPr>
              <w:spacing w:after="0"/>
              <w:rPr>
                <w:sz w:val="16"/>
                <w:szCs w:val="16"/>
                <w:color w:val="auto"/>
              </w:rPr>
            </w:pPr>
          </w:p>
        </w:tc>
        <w:tc>
          <w:tcPr>
            <w:tcW w:w="13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6"/>
        </w:trPr>
        <w:tc>
          <w:tcPr>
            <w:tcW w:w="3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163,208</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(1,672 )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161,543</w:t>
            </w:r>
          </w:p>
        </w:tc>
        <w:tc>
          <w:tcPr>
            <w:tcW w:w="100" w:type="dxa"/>
            <w:vAlign w:val="bottom"/>
            <w:shd w:val="clear" w:color="auto" w:fill="CFF0FC"/>
          </w:tcPr>
          <w:p>
            <w:pPr>
              <w:spacing w:after="0"/>
              <w:rPr>
                <w:sz w:val="21"/>
                <w:szCs w:val="2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(27 )</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100" w:type="dxa"/>
            <w:vAlign w:val="bottom"/>
          </w:tcPr>
          <w:p>
            <w:pPr>
              <w:spacing w:after="0"/>
              <w:rPr>
                <w:sz w:val="20"/>
                <w:szCs w:val="20"/>
                <w:color w:val="auto"/>
              </w:rPr>
            </w:pPr>
          </w:p>
        </w:tc>
      </w:tr>
      <w:tr>
        <w:trPr>
          <w:trHeight w:val="276"/>
        </w:trPr>
        <w:tc>
          <w:tcPr>
            <w:tcW w:w="3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172,815</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171,123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193,798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(696 )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193,103</w:t>
            </w:r>
          </w:p>
        </w:tc>
        <w:tc>
          <w:tcPr>
            <w:tcW w:w="100" w:type="dxa"/>
            <w:vAlign w:val="bottom"/>
          </w:tcPr>
          <w:p>
            <w:pPr>
              <w:spacing w:after="0"/>
              <w:rPr>
                <w:sz w:val="20"/>
                <w:szCs w:val="20"/>
                <w:color w:val="auto"/>
              </w:rPr>
            </w:pPr>
          </w:p>
        </w:tc>
      </w:tr>
      <w:tr>
        <w:trPr>
          <w:trHeight w:val="243"/>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66,318</w:t>
            </w: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(17 )</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66,302</w:t>
            </w:r>
          </w:p>
        </w:tc>
        <w:tc>
          <w:tcPr>
            <w:tcW w:w="100" w:type="dxa"/>
            <w:vAlign w:val="bottom"/>
            <w:shd w:val="clear" w:color="auto" w:fill="CFF0FC"/>
          </w:tcPr>
          <w:p>
            <w:pPr>
              <w:spacing w:after="0"/>
              <w:rPr>
                <w:sz w:val="21"/>
                <w:szCs w:val="2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260,116</w:t>
            </w:r>
          </w:p>
        </w:tc>
        <w:tc>
          <w:tcPr>
            <w:tcW w:w="3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(713 )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259,405</w:t>
            </w:r>
          </w:p>
        </w:tc>
        <w:tc>
          <w:tcPr>
            <w:tcW w:w="100" w:type="dxa"/>
            <w:vAlign w:val="bottom"/>
          </w:tcPr>
          <w:p>
            <w:pPr>
              <w:spacing w:after="0"/>
              <w:rPr>
                <w:sz w:val="20"/>
                <w:szCs w:val="20"/>
                <w:color w:val="auto"/>
              </w:rPr>
            </w:pPr>
          </w:p>
        </w:tc>
      </w:tr>
      <w:tr>
        <w:trPr>
          <w:trHeight w:val="20"/>
        </w:trPr>
        <w:tc>
          <w:tcPr>
            <w:tcW w:w="3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3293110</wp:posOffset>
            </wp:positionH>
            <wp:positionV relativeFrom="paragraph">
              <wp:posOffset>-829945</wp:posOffset>
            </wp:positionV>
            <wp:extent cx="384429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44290" cy="17970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-187960</wp:posOffset>
            </wp:positionV>
            <wp:extent cx="76835"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-187960</wp:posOffset>
            </wp:positionV>
            <wp:extent cx="6858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-187960</wp:posOffset>
            </wp:positionV>
            <wp:extent cx="6858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0"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12 months or less. As of December 31, 2022, the Company had 20 securities with a total fair market value of $163.6 million in an unrealized loss position. The Company believes that any unrealized losses associated with the decline in value of its securities is temporary and is primarily related to the change in market interest rates since purchase and believes that it is more likely than not that it will be able to hold its debt securities to maturity.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121" w:lineRule="exact"/>
        <w:rPr>
          <w:sz w:val="20"/>
          <w:szCs w:val="20"/>
          <w:color w:val="auto"/>
        </w:rPr>
      </w:pPr>
    </w:p>
    <w:p>
      <w:pPr>
        <w:ind w:right="60" w:firstLine="478"/>
        <w:spacing w:after="0" w:line="256"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Fair Value Measurement, for financial assets and liabilities measured on a recurring basis. The guidance requires fair value measurements be classified and disclosed in one of the following three categories:</w:t>
      </w:r>
    </w:p>
    <w:p>
      <w:pPr>
        <w:spacing w:after="0" w:line="76" w:lineRule="exact"/>
        <w:rPr>
          <w:sz w:val="20"/>
          <w:szCs w:val="20"/>
          <w:color w:val="auto"/>
        </w:rPr>
      </w:pPr>
    </w:p>
    <w:p>
      <w:pPr>
        <w:ind w:left="960" w:hanging="47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6" w:lineRule="exact"/>
        <w:rPr>
          <w:rFonts w:ascii="Times New Roman" w:cs="Times New Roman" w:eastAsia="Times New Roman" w:hAnsi="Times New Roman"/>
          <w:sz w:val="18"/>
          <w:szCs w:val="18"/>
          <w:color w:val="auto"/>
        </w:rPr>
      </w:pPr>
    </w:p>
    <w:p>
      <w:pPr>
        <w:ind w:left="960" w:right="20" w:hanging="474"/>
        <w:spacing w:after="0" w:line="283"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1" w:lineRule="exact"/>
        <w:rPr>
          <w:rFonts w:ascii="Times New Roman" w:cs="Times New Roman" w:eastAsia="Times New Roman" w:hAnsi="Times New Roman"/>
          <w:sz w:val="18"/>
          <w:szCs w:val="18"/>
          <w:color w:val="auto"/>
        </w:rPr>
      </w:pPr>
    </w:p>
    <w:p>
      <w:pPr>
        <w:ind w:left="960" w:right="520" w:hanging="474"/>
        <w:spacing w:after="0" w:line="283"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7"/>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 active</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161,543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171,123</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4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193,103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 paper</w:t>
            </w:r>
          </w:p>
        </w:tc>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66,302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30,520</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259,405</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2"/>
        </w:trPr>
        <w:tc>
          <w:tcPr>
            <w:tcW w:w="4320" w:type="dxa"/>
            <w:vAlign w:val="bottom"/>
          </w:tcPr>
          <w:p>
            <w:pPr>
              <w:spacing w:after="0"/>
              <w:rPr>
                <w:sz w:val="24"/>
                <w:szCs w:val="24"/>
                <w:color w:val="auto"/>
              </w:rPr>
            </w:pPr>
          </w:p>
        </w:tc>
        <w:tc>
          <w:tcPr>
            <w:tcW w:w="23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-1788795</wp:posOffset>
            </wp:positionV>
            <wp:extent cx="2072005" cy="1797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72005" cy="17970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-521970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-504825</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-521970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-504825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4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0"/>
                <w:szCs w:val="20"/>
                <w:color w:val="auto"/>
              </w:rPr>
            </w:pPr>
          </w:p>
        </w:tc>
      </w:tr>
      <w:tr>
        <w:trPr>
          <w:trHeight w:val="240"/>
        </w:trPr>
        <w:tc>
          <w:tcPr>
            <w:tcW w:w="77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(3,319 )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(1,998 )</w:t>
            </w:r>
          </w:p>
        </w:tc>
      </w:tr>
      <w:tr>
        <w:trPr>
          <w:trHeight w:val="276"/>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tcBorders>
              <w:top w:val="single" w:sz="8" w:color="auto"/>
              <w:bottom w:val="single" w:sz="8" w:color="auto"/>
            </w:tcBorders>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67"/>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tcPr>
          <w:p>
            <w:pPr>
              <w:spacing w:after="0"/>
              <w:rPr>
                <w:sz w:val="20"/>
                <w:szCs w:val="20"/>
                <w:color w:val="auto"/>
              </w:rPr>
            </w:pPr>
          </w:p>
        </w:tc>
        <w:tc>
          <w:tcPr>
            <w:tcW w:w="4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9,621</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-1771650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-1754505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-1771650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20" w:firstLine="479"/>
        <w:spacing w:after="0" w:line="260" w:lineRule="auto"/>
        <w:rPr>
          <w:sz w:val="20"/>
          <w:szCs w:val="20"/>
          <w:color w:val="auto"/>
        </w:rPr>
      </w:pPr>
      <w:r>
        <w:rPr>
          <w:rFonts w:ascii="Times New Roman" w:cs="Times New Roman" w:eastAsia="Times New Roman" w:hAnsi="Times New Roman"/>
          <w:sz w:val="18"/>
          <w:szCs w:val="18"/>
          <w:color w:val="auto"/>
        </w:rPr>
        <w:t>The Company leases office and laboratory space in Wilmington, Delaware under a noncancelable lease (the “Lease”). During the first quarter of 2022, the Lease was amended to allow the Company the option to renew the Lease for two 6-month periods. The Company exercised its option to renew the lease for each additional 6 month period during 2022, and the lease term is now extended until December 31, 2023. The discount rate used to account for the Company’s operating lease under ASC 842, Leases, is the Company’s estimated incremental borrowing rate of 9.5%.</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future minimum lease payments under the Lease at December 31, 2022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8"/>
        </w:trPr>
        <w:tc>
          <w:tcPr>
            <w:tcW w:w="9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82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Pr>
          <w:p>
            <w:pPr>
              <w:spacing w:after="0"/>
              <w:rPr>
                <w:sz w:val="20"/>
                <w:szCs w:val="20"/>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87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20" w:type="dxa"/>
            <w:vAlign w:val="bottom"/>
          </w:tcPr>
          <w:p>
            <w:pPr>
              <w:spacing w:after="0"/>
              <w:rPr>
                <w:sz w:val="20"/>
                <w:szCs w:val="20"/>
                <w:color w:val="auto"/>
              </w:rPr>
            </w:pPr>
          </w:p>
        </w:tc>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lease liability</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In August 2022, we entered into an amendment (the “Lease Amendment”) to the lease agreement for office and lab space at Chestnut Run Plaza in Wilmington, Delaware (the “Chestnut Run Lease”). The Chestnut Run Lease has a commencement date of the earlier of (i) the Landlord Work Substantial Completion Date (as such term is defined in the Chestnut Run Lease), or (ii) the date the Company takes possession of the premises for the conduct of the Company’s business (the “Commencement Date”). The Chestnut Run Lease premises includes approximately 81,000 rentable square feet, located at Chestnut Run Plaza in Wilmington, Delaware (the Premises). Under the terms of the Chestnut Run Lease, the landlord will provide an allowance towards the cost of completing tenant improvements for the premises. The Company concluded that the improvements resulting from both the landlord's build-out and the tenant improvements are the landlord's assets for accounting purposes. Costs incurred by the Company related to the tenant improvements in excess of the landlord's allowance will be treated as prepaid rent and will increase the right-of-use asset once the accounting commencement date occurs. As of December 31, 2022, the Company recorded $5.1 million of prepaid rent. Upon the Commencement Date,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2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Company will recognize a right-of-use asset and operating lease liability in accordance with ASC 842. The Chestnut Run Lease has an initial term of 162 months with 3 five-year extension options and certain expansion rights. The estimated rent payments related to the Chestnut Run Lease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43"/>
        </w:trPr>
        <w:tc>
          <w:tcPr>
            <w:tcW w:w="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20" w:type="dxa"/>
            <w:vAlign w:val="bottom"/>
            <w:shd w:val="clear" w:color="auto" w:fill="CFF0FC"/>
          </w:tcPr>
          <w:p>
            <w:pPr>
              <w:spacing w:after="0"/>
              <w:rPr>
                <w:sz w:val="21"/>
                <w:szCs w:val="21"/>
                <w:color w:val="auto"/>
              </w:rPr>
            </w:pPr>
          </w:p>
        </w:tc>
        <w:tc>
          <w:tcPr>
            <w:tcW w:w="4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2,125</w:t>
            </w:r>
          </w:p>
        </w:tc>
      </w:tr>
      <w:tr>
        <w:trPr>
          <w:trHeight w:val="247"/>
        </w:trPr>
        <w:tc>
          <w:tcPr>
            <w:tcW w:w="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20" w:type="dxa"/>
            <w:vAlign w:val="bottom"/>
            <w:shd w:val="clear" w:color="auto" w:fill="CFF0FC"/>
          </w:tcPr>
          <w:p>
            <w:pPr>
              <w:spacing w:after="0"/>
              <w:rPr>
                <w:sz w:val="21"/>
                <w:szCs w:val="21"/>
                <w:color w:val="auto"/>
              </w:rPr>
            </w:pPr>
          </w:p>
        </w:tc>
        <w:tc>
          <w:tcPr>
            <w:tcW w:w="49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2,937</w:t>
            </w:r>
          </w:p>
        </w:tc>
      </w:tr>
      <w:tr>
        <w:trPr>
          <w:trHeight w:val="238"/>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3,010</w:t>
            </w:r>
          </w:p>
        </w:tc>
      </w:tr>
      <w:tr>
        <w:trPr>
          <w:trHeight w:val="247"/>
        </w:trPr>
        <w:tc>
          <w:tcPr>
            <w:tcW w:w="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20" w:type="dxa"/>
            <w:vAlign w:val="bottom"/>
            <w:shd w:val="clear" w:color="auto" w:fill="CFF0FC"/>
          </w:tcPr>
          <w:p>
            <w:pPr>
              <w:spacing w:after="0"/>
              <w:rPr>
                <w:sz w:val="21"/>
                <w:szCs w:val="21"/>
                <w:color w:val="auto"/>
              </w:rPr>
            </w:pPr>
          </w:p>
        </w:tc>
        <w:tc>
          <w:tcPr>
            <w:tcW w:w="49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3,085</w:t>
            </w:r>
          </w:p>
        </w:tc>
      </w:tr>
      <w:tr>
        <w:trPr>
          <w:trHeight w:val="234"/>
        </w:trPr>
        <w:tc>
          <w:tcPr>
            <w:tcW w:w="2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90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31,479</w:t>
            </w:r>
          </w:p>
        </w:tc>
      </w:tr>
    </w:tbl>
    <w:p>
      <w:pPr>
        <w:spacing w:after="0" w:line="98" w:lineRule="exact"/>
        <w:rPr>
          <w:sz w:val="20"/>
          <w:szCs w:val="20"/>
          <w:color w:val="auto"/>
        </w:rPr>
      </w:pPr>
    </w:p>
    <w:p>
      <w:pPr>
        <w:ind w:right="120" w:firstLine="479"/>
        <w:spacing w:after="0" w:line="265" w:lineRule="auto"/>
        <w:rPr>
          <w:sz w:val="20"/>
          <w:szCs w:val="20"/>
          <w:color w:val="auto"/>
        </w:rPr>
      </w:pPr>
      <w:r>
        <w:rPr>
          <w:rFonts w:ascii="Times New Roman" w:cs="Times New Roman" w:eastAsia="Times New Roman" w:hAnsi="Times New Roman"/>
          <w:sz w:val="18"/>
          <w:szCs w:val="18"/>
          <w:color w:val="auto"/>
        </w:rPr>
        <w:t>The Company paid a security deposit in the form of a letter of credit with Silicon Valley Bank of $4.0 million which is included in the balance sheet as restricted cash as of December 31, 2022 and 2021. The security deposit may be reduced to $0.5 million over time in accordance with the terms of the Chestnut Run Lease.</w:t>
      </w:r>
    </w:p>
    <w:p>
      <w:pPr>
        <w:spacing w:after="0" w:line="69"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In connection with the Company’s expansion of operations in the State of Delaware, the Company was approved for a grant from the State of Delaware in 2021 that will provide up to $5.5 million in reimbursements over three years for the development of lab space in addition to increasing jobs in Delaware to meet specific targeted levels through 2023. During the third quarter of 2022, the Company was approved for an additional grant from the State of Delaware for the development of lab space in the amount of $1.0 million. In 2022, the Company received cash of $3.4 million from the grants for the development of lab space. The Company has deferred the recognition of these grant funds as they relate to capitalized costs and has classified them as long-term liabilities on the balance sheet. The Company will recognize the grant funds in other income as grant income over the useful life of the related assets. If, after two years from the disbursement date, the incurred costs for lab space are less than the $3.4 million received, the Company is required to pay back the difference between total funds received and allowable costs incurred. Additionally, if the Company leaves the State of Delaware within five years of the disbursement, the Company is required to return an amount equal to the amount of grant funds disbursed on a pro-rated basis.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Rent expense for the years ended December 31, 2022 and 2021 was $2.1 million and $1.8 million, respectively.</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right="500" w:firstLine="478"/>
        <w:spacing w:after="0" w:line="281"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for compensation and severance in certain circumstances, as defined in the respective employment agreements.</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92" w:lineRule="exact"/>
        <w:rPr>
          <w:sz w:val="20"/>
          <w:szCs w:val="20"/>
          <w:color w:val="auto"/>
        </w:rPr>
      </w:pPr>
    </w:p>
    <w:p>
      <w:pPr>
        <w:ind w:right="480" w:firstLine="479"/>
        <w:spacing w:after="0" w:line="227" w:lineRule="exact"/>
        <w:rPr>
          <w:sz w:val="20"/>
          <w:szCs w:val="20"/>
          <w:color w:val="auto"/>
        </w:rPr>
      </w:pPr>
      <w:r>
        <w:rPr>
          <w:rFonts w:ascii="Times New Roman" w:cs="Times New Roman" w:eastAsia="Times New Roman" w:hAnsi="Times New Roman"/>
          <w:sz w:val="18"/>
          <w:szCs w:val="18"/>
          <w:color w:val="auto"/>
        </w:rPr>
        <w:t>The Company sponsors a 401(k)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with a maximum amount of 3% of the participant’s compensation. During the years ended December 31, 2022 and 2021 the Company made matching contributions of $0.6 million and $0.5 million, respectively.</w:t>
      </w:r>
    </w:p>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w:t>
      </w:r>
    </w:p>
    <w:p>
      <w:pPr>
        <w:spacing w:after="0" w:line="121"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7"/>
          <w:szCs w:val="17"/>
          <w:color w:val="auto"/>
        </w:rPr>
        <w:t>In September 2021, the Company entered into a research collaboration agreement estimated to last for approximately one year (the “Darwin Health Agreement”) with Darwin Health, Inc. (“DarwinHealth”). Under the terms of the Darwin Health Agreement, DarwinHealth will utilize their drug discovery technologies and certified methodologies in precision oncology to advance and accelerate clinical development for certain of the Company’s programs across a broad range of tumor subtypes. The Company will pay DarwinHealth a total of $3.0 million in three equal installments over the one-year term (the “Research Term”) to fund the research and, if the Company adopts any of DarwinHealth’s development ideas, the Company will be responsible for the development, manufacturing, and commercialization of any such products. For the year ended December 31, 2021, research and development expense related to this agreement recognized in the statement of operations was $1.0 million. In addition to research funding, DarwinHealth is eligible to receive future research, development and regulatory milestones of up to $3.0 million for each product candidate and is also eligible to receive tiered royalties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33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low single digits on net sales of each product developed using DarwinHealth’s development technologies or methods. However, within eighteen-months following the Research Term, the Company, in its sole discretion, may notify. DarwinHealth that it will not utilize its development ideas and will be entitled to receive a refund of $0.5 million.</w:t>
      </w:r>
    </w:p>
    <w:p>
      <w:pPr>
        <w:spacing w:after="0" w:line="2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121" w:lineRule="exact"/>
        <w:rPr>
          <w:sz w:val="20"/>
          <w:szCs w:val="20"/>
          <w:color w:val="auto"/>
        </w:rPr>
      </w:pPr>
    </w:p>
    <w:p>
      <w:pPr>
        <w:ind w:right="360" w:firstLine="478"/>
        <w:spacing w:after="0" w:line="281" w:lineRule="auto"/>
        <w:rPr>
          <w:sz w:val="20"/>
          <w:szCs w:val="20"/>
          <w:color w:val="auto"/>
        </w:rPr>
      </w:pPr>
      <w:r>
        <w:rPr>
          <w:rFonts w:ascii="Times New Roman" w:cs="Times New Roman" w:eastAsia="Times New Roman" w:hAnsi="Times New Roman"/>
          <w:sz w:val="18"/>
          <w:szCs w:val="18"/>
          <w:color w:val="auto"/>
        </w:rPr>
        <w:t>The Company enters into agreements with CROs to assist in the performance of research and development activities. Expenditures to CROs will represent a significant cost in clinical development for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3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160" w:firstLine="479"/>
        <w:spacing w:after="0" w:line="281" w:lineRule="auto"/>
        <w:rPr>
          <w:sz w:val="20"/>
          <w:szCs w:val="20"/>
          <w:color w:val="auto"/>
        </w:rPr>
      </w:pPr>
      <w:r>
        <w:rPr>
          <w:rFonts w:ascii="Times New Roman" w:cs="Times New Roman" w:eastAsia="Times New Roman" w:hAnsi="Times New Roman"/>
          <w:sz w:val="18"/>
          <w:szCs w:val="18"/>
          <w:color w:val="auto"/>
        </w:rPr>
        <w:t>In January 2021, the Company sold 2,875,000 shares of its common stock at a public offering price of $60.00 per share. The Company received net proceeds of $161.4 million after deducting underwriting discounts, commissions, and other offering expenses paid by the Company.</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firstLine="478"/>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The total number of shares initially authorized under the Plan was 4,680,000, which was increased on January 1, 2021 and will automatically increase on January 1st of each year, continuing for ten years,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At December 31, 2022, 5,139,028 shares were available for future grants and on January 1, 2023, 2,394,951 shares were added to the Plan.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1 year and then monthly thereafter, and have a term of ten years.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4" w:lineRule="exact"/>
        <w:rPr>
          <w:sz w:val="20"/>
          <w:szCs w:val="20"/>
          <w:color w:val="auto"/>
        </w:rPr>
      </w:pPr>
    </w:p>
    <w:p>
      <w:pPr>
        <w:ind w:right="120" w:firstLine="478"/>
        <w:spacing w:after="0" w:line="265"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5"/>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11,549</w:t>
            </w:r>
          </w:p>
        </w:tc>
        <w:tc>
          <w:tcPr>
            <w:tcW w:w="2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25,144</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51"/>
        </w:trPr>
        <w:tc>
          <w:tcPr>
            <w:tcW w:w="69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Plan in the years indicated:</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3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6,839,091</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2,600,231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(995,950 )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(1,263,890 )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7,179,482</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3,884,429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(217,905 )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(1,455,076 )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9,390,930</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3,593,614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-2876550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-2859405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-2876550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-2859405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-855345</wp:posOffset>
            </wp:positionV>
            <wp:extent cx="76835"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-205105</wp:posOffset>
            </wp:positionV>
            <wp:extent cx="76835" cy="2057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205740"/>
                    </a:xfrm>
                    <a:prstGeom prst="rect">
                      <a:avLst/>
                    </a:prstGeom>
                    <a:noFill/>
                  </pic:spPr>
                </pic:pic>
              </a:graphicData>
            </a:graphic>
          </wp:anchor>
        </w:drawing>
      </w:r>
    </w:p>
    <w:p>
      <w:pPr>
        <w:spacing w:after="0" w:line="204" w:lineRule="exact"/>
        <w:rPr>
          <w:sz w:val="20"/>
          <w:szCs w:val="20"/>
          <w:color w:val="auto"/>
        </w:rPr>
      </w:pPr>
    </w:p>
    <w:p>
      <w:pPr>
        <w:ind w:right="480" w:firstLine="478"/>
        <w:spacing w:after="0" w:line="265" w:lineRule="auto"/>
        <w:rPr>
          <w:sz w:val="20"/>
          <w:szCs w:val="20"/>
          <w:color w:val="auto"/>
        </w:rPr>
      </w:pPr>
      <w:r>
        <w:rPr>
          <w:rFonts w:ascii="Times New Roman" w:cs="Times New Roman" w:eastAsia="Times New Roman" w:hAnsi="Times New Roman"/>
          <w:sz w:val="18"/>
          <w:szCs w:val="18"/>
          <w:color w:val="auto"/>
        </w:rPr>
        <w:t>The aggregate intrinsic value of options exercised was $1.1 million and $26.9 million during the year ended December 31, 2022 and 2021, respectively. At December 31, 2022, the aggregate intrinsic value of outstanding options and exercisable options was $10.4 million and $6.7 million, respectively.</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and exercisable at December 31, 2022 under the Plan: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9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left="288"/>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56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18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2"/>
                <w:szCs w:val="12"/>
                <w:color w:val="auto"/>
              </w:rPr>
            </w:pPr>
          </w:p>
        </w:tc>
        <w:tc>
          <w:tcPr>
            <w:tcW w:w="1060" w:type="dxa"/>
            <w:vAlign w:val="bottom"/>
          </w:tcPr>
          <w:p>
            <w:pPr>
              <w:jc w:val="center"/>
              <w:ind w:left="34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5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6"/>
                <w:szCs w:val="16"/>
                <w:color w:val="auto"/>
              </w:rPr>
            </w:pPr>
          </w:p>
        </w:tc>
        <w:tc>
          <w:tcPr>
            <w:tcW w:w="118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bottom w:val="single" w:sz="8" w:color="auto"/>
            </w:tcBorders>
          </w:tcPr>
          <w:p>
            <w:pPr>
              <w:jc w:val="center"/>
              <w:ind w:left="34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$0.31 - $4.73</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2,280,360</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88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1,576,638</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$4.74 - $10.34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1,929,093</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$10.35 - $13.04</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3,286,604</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11.96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1,209,901</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$13.05 - $88.98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1,894,873</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30.93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798,075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980" w:type="dxa"/>
            <w:vAlign w:val="bottom"/>
            <w:tcBorders>
              <w:bottom w:val="single" w:sz="8" w:color="CFF0FC"/>
            </w:tcBorders>
            <w:shd w:val="clear" w:color="auto" w:fill="CFF0FC"/>
          </w:tcPr>
          <w:p>
            <w:pPr>
              <w:spacing w:after="0"/>
              <w:rPr>
                <w:sz w:val="23"/>
                <w:szCs w:val="23"/>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9,390,930</w:t>
            </w:r>
          </w:p>
        </w:tc>
        <w:tc>
          <w:tcPr>
            <w:tcW w:w="14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3,593,614</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2882265</wp:posOffset>
            </wp:positionH>
            <wp:positionV relativeFrom="paragraph">
              <wp:posOffset>-24765</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-7620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320" w:firstLine="478"/>
        <w:spacing w:after="0" w:line="260"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$5.49 and $22.80 per share for the years ended December 31, 2022 and 2021, respectively. The Company recorded stock-based compensation expense of $23.9 million and $19.9 million for the years ended December 31, 2022 and 2021, respectively, related to stock options. As of December 31, 2022, the total unrecognized compensation expense related to unvested stock option awards was $48.5 million, which the Company expects to recognize over a weighted-average period of 2.44 years.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5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0.94 %</w:t>
            </w:r>
          </w:p>
        </w:tc>
      </w:tr>
      <w:tr>
        <w:trPr>
          <w:trHeight w:val="249"/>
        </w:trPr>
        <w:tc>
          <w:tcPr>
            <w:tcW w:w="8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and Units</w:t>
      </w:r>
    </w:p>
    <w:p>
      <w:pPr>
        <w:spacing w:after="0" w:line="121" w:lineRule="exact"/>
        <w:rPr>
          <w:sz w:val="20"/>
          <w:szCs w:val="20"/>
          <w:color w:val="auto"/>
        </w:rPr>
      </w:pPr>
    </w:p>
    <w:p>
      <w:pPr>
        <w:jc w:val="both"/>
        <w:ind w:right="300" w:firstLine="478"/>
        <w:spacing w:after="0" w:line="265" w:lineRule="auto"/>
        <w:rPr>
          <w:sz w:val="20"/>
          <w:szCs w:val="20"/>
          <w:color w:val="auto"/>
        </w:rPr>
      </w:pPr>
      <w:r>
        <w:rPr>
          <w:rFonts w:ascii="Times New Roman" w:cs="Times New Roman" w:eastAsia="Times New Roman" w:hAnsi="Times New Roman"/>
          <w:sz w:val="18"/>
          <w:szCs w:val="18"/>
          <w:color w:val="auto"/>
        </w:rPr>
        <w:t>The Company issues restricted stock awards (“RSA”) to employees that generally vest over a four-year period with 25% of awards vesting after 1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RSA stock-based payment awards: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82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30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18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3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2021</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1,214,767</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(603,159 )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2021</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611,608</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(386,476 )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(23,416 )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31, 2022</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201,716</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-521970</wp:posOffset>
            </wp:positionV>
            <wp:extent cx="68580"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-187960</wp:posOffset>
            </wp:positionV>
            <wp:extent cx="68580"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4" w:lineRule="exact"/>
        <w:rPr>
          <w:sz w:val="20"/>
          <w:szCs w:val="20"/>
          <w:color w:val="auto"/>
        </w:rPr>
      </w:pPr>
    </w:p>
    <w:p>
      <w:pPr>
        <w:ind w:right="180" w:firstLine="478"/>
        <w:spacing w:after="0" w:line="265" w:lineRule="auto"/>
        <w:rPr>
          <w:sz w:val="20"/>
          <w:szCs w:val="20"/>
          <w:color w:val="auto"/>
        </w:rPr>
      </w:pPr>
      <w:r>
        <w:rPr>
          <w:rFonts w:ascii="Times New Roman" w:cs="Times New Roman" w:eastAsia="Times New Roman" w:hAnsi="Times New Roman"/>
          <w:sz w:val="18"/>
          <w:szCs w:val="18"/>
          <w:color w:val="auto"/>
        </w:rPr>
        <w:t>The Company recorded stock-based compensation expense of $0.8 million and $0.9 million for the years ended December 31, 2022 and 2021, respectively, related to RSAs. As of December 31, 2022, the total unrecognized expense related to all RSAs was $0.6 million, which the Company expects to recognize over a weighted-average period of 1.05 years.</w:t>
      </w:r>
    </w:p>
    <w:p>
      <w:pPr>
        <w:spacing w:after="0" w:line="69" w:lineRule="exact"/>
        <w:rPr>
          <w:sz w:val="20"/>
          <w:szCs w:val="20"/>
          <w:color w:val="auto"/>
        </w:rPr>
      </w:pPr>
    </w:p>
    <w:p>
      <w:pPr>
        <w:ind w:right="140" w:firstLine="478"/>
        <w:spacing w:after="0" w:line="281" w:lineRule="auto"/>
        <w:rPr>
          <w:sz w:val="20"/>
          <w:szCs w:val="20"/>
          <w:color w:val="auto"/>
        </w:rPr>
      </w:pPr>
      <w:r>
        <w:rPr>
          <w:rFonts w:ascii="Times New Roman" w:cs="Times New Roman" w:eastAsia="Times New Roman" w:hAnsi="Times New Roman"/>
          <w:sz w:val="18"/>
          <w:szCs w:val="18"/>
          <w:color w:val="auto"/>
        </w:rPr>
        <w:t>The Company issues restricted stock units (“RSU”) to employees that generally vest over a four-year period with 25% of awards vesting after 1 year and then quarterly thereafter. Any unvested shares will be forfeited upon termination of services.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30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3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(25,000 )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-684530</wp:posOffset>
            </wp:positionV>
            <wp:extent cx="6858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20" w:firstLine="478"/>
        <w:spacing w:after="0" w:line="265" w:lineRule="auto"/>
        <w:rPr>
          <w:sz w:val="20"/>
          <w:szCs w:val="20"/>
          <w:color w:val="auto"/>
        </w:rPr>
      </w:pPr>
      <w:r>
        <w:rPr>
          <w:rFonts w:ascii="Times New Roman" w:cs="Times New Roman" w:eastAsia="Times New Roman" w:hAnsi="Times New Roman"/>
          <w:sz w:val="18"/>
          <w:szCs w:val="18"/>
          <w:color w:val="auto"/>
        </w:rPr>
        <w:t>The Company recorded stock-based compensation expense of $229 thousand and $20 thousand for the years ended December 31, 2022 and 2021, respectively, related to RSUs. At December 31, 2022 the total unrecognized expense related to the RSUs was $0.8 million, which the Company expects to recognize over 3.11 years.</w:t>
      </w:r>
    </w:p>
    <w:p>
      <w:pPr>
        <w:spacing w:after="0" w:line="3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“ESPP”), which as of December 31, 2022 had 1,310,159 shares of common stock reserved for future issuance. The Company issued 97,206 shares under the ESPP in 2022.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board of directors or compensation committee to determine a lesser number of shares shall be added for such year. As such, on January 1, 2023, 478,990 shares were added to the ESPP.</w:t>
      </w:r>
    </w:p>
    <w:p>
      <w:pPr>
        <w:spacing w:after="0" w:line="186" w:lineRule="exact"/>
        <w:rPr>
          <w:sz w:val="20"/>
          <w:szCs w:val="20"/>
          <w:color w:val="auto"/>
        </w:rPr>
      </w:pPr>
    </w:p>
    <w:p>
      <w:pPr>
        <w:ind w:right="160" w:firstLine="47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can purchase the Company’s common stock through accumulated payroll deductions at such times as are established by the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82" w:lineRule="exact"/>
        <w:rPr>
          <w:sz w:val="20"/>
          <w:szCs w:val="20"/>
          <w:color w:val="auto"/>
        </w:rPr>
      </w:pPr>
    </w:p>
    <w:p>
      <w:pPr>
        <w:ind w:right="80" w:firstLine="479"/>
        <w:spacing w:after="0" w:line="260" w:lineRule="auto"/>
        <w:rPr>
          <w:sz w:val="20"/>
          <w:szCs w:val="20"/>
          <w:color w:val="auto"/>
        </w:rPr>
      </w:pPr>
      <w:r>
        <w:rPr>
          <w:rFonts w:ascii="Times New Roman" w:cs="Times New Roman" w:eastAsia="Times New Roman" w:hAnsi="Times New Roman"/>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$0.3 million and $0.2 million for the years ended December 31, 2022 and 2021, respectively, related to the ESPP.</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tax effects of temporary differences that gave rise to significant portions of the deferred tax assets and liabilities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66,067</w:t>
            </w:r>
          </w:p>
        </w:tc>
        <w:tc>
          <w:tcPr>
            <w:tcW w:w="26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60,495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19,900</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75,958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(111,053 )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(75,371 )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0"/>
                <w:szCs w:val="20"/>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3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(476 )</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(74 )</w:t>
            </w:r>
          </w:p>
        </w:tc>
        <w:tc>
          <w:tcPr>
            <w:tcW w:w="4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(574 )</w:t>
            </w: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-1292225</wp:posOffset>
            </wp:positionV>
            <wp:extent cx="68580" cy="162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1625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-350520</wp:posOffset>
            </wp:positionV>
            <wp:extent cx="68580"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40" w:firstLine="478"/>
        <w:spacing w:after="0" w:line="255" w:lineRule="auto"/>
        <w:rPr>
          <w:sz w:val="20"/>
          <w:szCs w:val="20"/>
          <w:color w:val="auto"/>
        </w:rPr>
      </w:pPr>
      <w:r>
        <w:rPr>
          <w:rFonts w:ascii="Times New Roman" w:cs="Times New Roman" w:eastAsia="Times New Roman" w:hAnsi="Times New Roman"/>
          <w:sz w:val="18"/>
          <w:szCs w:val="18"/>
          <w:color w:val="auto"/>
        </w:rPr>
        <w:t>The deferred tax assets as of December 31, 2022, includes capitalized research and development expenses of $19.9 million. The Tax Cuts and Jobs Act passed in 2017 included a provision which would require taxpayers to capitalize and amortize U.S.-based research development expenses over a period of five years and non-U.S.-based research and development expenses over a period of 15 years effective for tax years beginning after December 31, 2021. 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 likely than not threshold for realizability. Accordingly, a full valuation allowance has been recorded against the Company’s net deferred tax assets as of December 31, 2022 and December 31, 2021.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FINANCIAL STATEMENTS —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allowance increased by $35.7 million and $42.5 million during the years ended December 31, 2022 and 2021, respectively.</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is as follows:</w:t>
      </w:r>
    </w:p>
    <w:p>
      <w:pPr>
        <w:spacing w:after="0" w:line="259"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64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tax benefit at statutory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5"/>
              </w:rPr>
              <w:t>)%</w:t>
            </w:r>
          </w:p>
        </w:tc>
      </w:tr>
      <w:tr>
        <w:trPr>
          <w:trHeight w:val="245"/>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(6.6 )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1"/>
                <w:szCs w:val="21"/>
                <w:color w:val="auto"/>
              </w:rPr>
            </w:pPr>
          </w:p>
        </w:tc>
      </w:tr>
      <w:tr>
        <w:trPr>
          <w:trHeight w:val="249"/>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(3.5 )</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(0.6 )</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7660" w:type="dxa"/>
            <w:vAlign w:val="bottom"/>
          </w:tcPr>
          <w:p>
            <w:pPr>
              <w:spacing w:after="0"/>
              <w:rPr>
                <w:sz w:val="20"/>
                <w:szCs w:val="20"/>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carryforwards of federal and state net operating losses (“NOL”) and research tax credits: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NOL carryforwards - Federal</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236,898</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217,038</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NOL carryforwards - State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237,565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217,038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tax credits - Federal</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15,201</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11,206</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tax credits - State</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right="100" w:firstLine="478"/>
        <w:spacing w:after="0" w:line="260" w:lineRule="auto"/>
        <w:rPr>
          <w:sz w:val="20"/>
          <w:szCs w:val="20"/>
          <w:color w:val="auto"/>
        </w:rPr>
      </w:pPr>
      <w:r>
        <w:rPr>
          <w:rFonts w:ascii="Times New Roman" w:cs="Times New Roman" w:eastAsia="Times New Roman" w:hAnsi="Times New Roman"/>
          <w:sz w:val="18"/>
          <w:szCs w:val="18"/>
          <w:color w:val="auto"/>
        </w:rPr>
        <w:t>The NOL carryforwards begin expiring in 2036 for federal and Delaware state income tax purposes, however; all federal, Delaware state, and Kansas state NOL carryforwards generated subsequent to January 1, 2018, are able to be carried forward indefinitely. As of December 31, 2022, the Company also had federal and Delaware research and development tax credit carryforwards of $15.2 million and $43 thousand, respectively, that will begin to expire in 2038 and 2031, respectively, unless previously utilized.</w:t>
      </w:r>
    </w:p>
    <w:p>
      <w:pPr>
        <w:spacing w:after="0" w:line="182" w:lineRule="exact"/>
        <w:rPr>
          <w:sz w:val="20"/>
          <w:szCs w:val="20"/>
          <w:color w:val="auto"/>
        </w:rPr>
      </w:pPr>
    </w:p>
    <w:p>
      <w:pPr>
        <w:ind w:right="100" w:firstLine="478"/>
        <w:spacing w:after="0" w:line="255" w:lineRule="auto"/>
        <w:rPr>
          <w:sz w:val="20"/>
          <w:szCs w:val="20"/>
          <w:color w:val="auto"/>
        </w:rPr>
      </w:pPr>
      <w:r>
        <w:rPr>
          <w:rFonts w:ascii="Times New Roman" w:cs="Times New Roman" w:eastAsia="Times New Roman" w:hAnsi="Times New Roman"/>
          <w:sz w:val="18"/>
          <w:szCs w:val="18"/>
          <w:color w:val="auto"/>
        </w:rPr>
        <w:t>The NOL and tax credit carryforwards are subject to review and possible adjustment by the Internal Revenue Service and state tax authorities.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 Delaware state NOLs may also be limited.</w:t>
      </w:r>
    </w:p>
    <w:p>
      <w:pPr>
        <w:spacing w:after="0" w:line="187" w:lineRule="exact"/>
        <w:rPr>
          <w:sz w:val="20"/>
          <w:szCs w:val="20"/>
          <w:color w:val="auto"/>
        </w:rPr>
      </w:pPr>
    </w:p>
    <w:p>
      <w:pPr>
        <w:ind w:right="200" w:firstLine="478"/>
        <w:spacing w:after="0" w:line="265" w:lineRule="auto"/>
        <w:rPr>
          <w:sz w:val="20"/>
          <w:szCs w:val="20"/>
          <w:color w:val="auto"/>
        </w:rPr>
      </w:pPr>
      <w:r>
        <w:rPr>
          <w:rFonts w:ascii="Times New Roman" w:cs="Times New Roman" w:eastAsia="Times New Roman" w:hAnsi="Times New Roman"/>
          <w:sz w:val="18"/>
          <w:szCs w:val="18"/>
          <w:color w:val="auto"/>
        </w:rPr>
        <w:t>As of December 31, 2022, the Company had no accrued interest or penalties related to uncertain tax positions and no amounts have been recognized in the Company’s statement of operations. Due to NOL and tax credit carry forwards that remain unutilized, income tax returns for all tax years remain subject to examination by the taxing jurisdictions. The NOL carryforwards remain subject to review until utilized.</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121" w:lineRule="exact"/>
        <w:rPr>
          <w:sz w:val="20"/>
          <w:szCs w:val="20"/>
          <w:color w:val="auto"/>
        </w:rPr>
      </w:pPr>
    </w:p>
    <w:p>
      <w:pPr>
        <w:ind w:firstLine="479"/>
        <w:spacing w:after="0" w:line="252"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(Our principal executive officer) and our Chief Financial Officer (Our principal accounting officer), we evaluated the effectiveness of the design and operation of our disclosure controls and procedures (as defined in Rules 13a-15(e) and 15d-15(e) under the Exchange Act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management’s evaluation (with the participation of our Chief Executive Officer and our Chief Financial Officer), as of the end of the period covered by this report, our Chief Executive Officer and our Chief Financial Officer have concluded that our disclosure controls and procedures were effective at the reasonable assurance level.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promulgated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U.S. generally accepted accounting principles.</w:t>
      </w:r>
    </w:p>
    <w:p>
      <w:pPr>
        <w:spacing w:after="0" w:line="187" w:lineRule="exact"/>
        <w:rPr>
          <w:sz w:val="20"/>
          <w:szCs w:val="20"/>
          <w:color w:val="auto"/>
        </w:rPr>
      </w:pPr>
    </w:p>
    <w:p>
      <w:pPr>
        <w:jc w:val="both"/>
        <w:ind w:right="560" w:firstLine="479"/>
        <w:spacing w:after="0" w:line="265" w:lineRule="auto"/>
        <w:rPr>
          <w:sz w:val="20"/>
          <w:szCs w:val="20"/>
          <w:color w:val="auto"/>
        </w:rPr>
      </w:pPr>
      <w:r>
        <w:rPr>
          <w:rFonts w:ascii="Times New Roman" w:cs="Times New Roman" w:eastAsia="Times New Roman" w:hAnsi="Times New Roman"/>
          <w:sz w:val="18"/>
          <w:szCs w:val="18"/>
          <w:color w:val="auto"/>
        </w:rPr>
        <w:t>Our management conducted an assessment of our internal control over financial reporting based on the framework established in 2013 by the Committee of Sponsoring Organizations of the Treadway Commission in Internal Control-Integrated Framework (2013). Based on the assessment, management concluded that our internal control over financial reporting was effective as of December 31, 2022.</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5" w:lineRule="exact"/>
        <w:rPr>
          <w:sz w:val="20"/>
          <w:szCs w:val="20"/>
          <w:color w:val="auto"/>
        </w:rPr>
      </w:pPr>
    </w:p>
    <w:p>
      <w:pPr>
        <w:ind w:right="200" w:firstLine="479"/>
        <w:spacing w:after="0" w:line="232" w:lineRule="exact"/>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that occurred during the quarter ended December 31, 2022 that have materially affected, or are reasonably likely to materially affect, our internal controls over financial reporting.</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13" w:name="page114"/>
    <w:bookmarkEnd w:id="113"/>
    <w:p>
      <w:pPr>
        <w:ind w:left="52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firstLine="47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firstLine="47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47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7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firstLine="479"/>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333" w:right="919" w:bottom="1440" w:gutter="0" w:footer="0" w:header="0"/>
        </w:sectPr>
      </w:pPr>
    </w:p>
    <w:bookmarkStart w:id="114" w:name="page115"/>
    <w:bookmarkEnd w:id="1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19" w:lineRule="exact"/>
        <w:rPr>
          <w:sz w:val="20"/>
          <w:szCs w:val="20"/>
          <w:color w:val="auto"/>
        </w:rPr>
      </w:pPr>
    </w:p>
    <w:p>
      <w:pPr>
        <w:ind w:left="840" w:hanging="368"/>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right="600" w:firstLine="479"/>
        <w:spacing w:after="0" w:line="281" w:lineRule="auto"/>
        <w:rPr>
          <w:sz w:val="20"/>
          <w:szCs w:val="20"/>
          <w:color w:val="auto"/>
        </w:rPr>
      </w:pPr>
      <w:r>
        <w:rPr>
          <w:rFonts w:ascii="Times New Roman" w:cs="Times New Roman" w:eastAsia="Times New Roman" w:hAnsi="Times New Roman"/>
          <w:sz w:val="18"/>
          <w:szCs w:val="18"/>
          <w:color w:val="auto"/>
        </w:rPr>
        <w:t>The financial statements required by Item 15(a) are filed as part of this Annual Report on Form 10-K under Item 8 “Financial Statements and Supplementary Data.”</w:t>
      </w:r>
    </w:p>
    <w:p>
      <w:pPr>
        <w:spacing w:after="0" w:line="161" w:lineRule="exact"/>
        <w:rPr>
          <w:sz w:val="20"/>
          <w:szCs w:val="20"/>
          <w:color w:val="auto"/>
        </w:rPr>
      </w:pPr>
    </w:p>
    <w:p>
      <w:pPr>
        <w:ind w:left="840" w:hanging="368"/>
        <w:spacing w:after="0"/>
        <w:tabs>
          <w:tab w:leader="none" w:pos="8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ind w:right="380" w:firstLine="479"/>
        <w:spacing w:after="0" w:line="281" w:lineRule="auto"/>
        <w:rPr>
          <w:sz w:val="20"/>
          <w:szCs w:val="20"/>
          <w:color w:val="auto"/>
        </w:rPr>
      </w:pPr>
      <w:r>
        <w:rPr>
          <w:rFonts w:ascii="Times New Roman" w:cs="Times New Roman" w:eastAsia="Times New Roman" w:hAnsi="Times New Roman"/>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ectPr>
          <w:pgSz w:w="11900" w:h="16838" w:orient="portrait"/>
          <w:cols w:equalWidth="0" w:num="1">
            <w:col w:w="11240"/>
          </w:cols>
          <w:pgMar w:left="320" w:top="333" w:right="339" w:bottom="1440" w:gutter="0" w:footer="0" w:header="0"/>
        </w:sectPr>
      </w:pPr>
    </w:p>
    <w:p>
      <w:pPr>
        <w:spacing w:after="0" w:line="161" w:lineRule="exact"/>
        <w:rPr>
          <w:sz w:val="20"/>
          <w:szCs w:val="20"/>
          <w:color w:val="auto"/>
        </w:rPr>
      </w:pPr>
    </w:p>
    <w:p>
      <w:pPr>
        <w:ind w:left="840" w:hanging="368"/>
        <w:spacing w:after="0"/>
        <w:tabs>
          <w:tab w:leader="none" w:pos="8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60" w:type="dxa"/>
            <w:vAlign w:val="bottom"/>
            <w:gridSpan w:val="2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6"/>
          </w:tcPr>
          <w:p>
            <w:pPr>
              <w:spacing w:after="0"/>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Restated Certificate of Incorporation of Prelude Therapeutics</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Incorporated</w:t>
              </w:r>
              <w:r>
                <w:rPr>
                  <w:rFonts w:ascii="Times New Roman" w:cs="Times New Roman" w:eastAsia="Times New Roman" w:hAnsi="Times New Roman"/>
                  <w:sz w:val="14"/>
                  <w:szCs w:val="14"/>
                  <w:u w:val="single" w:color="auto"/>
                  <w:color w:val="000000"/>
                </w:rPr>
                <w:t>.</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6"/>
          </w:tcPr>
          <w:p>
            <w:pPr>
              <w:spacing w:after="0"/>
              <w:rPr>
                <w:rFonts w:ascii="Times New Roman" w:cs="Times New Roman" w:eastAsia="Times New Roman" w:hAnsi="Times New Roman"/>
                <w:sz w:val="14"/>
                <w:szCs w:val="14"/>
                <w:color w:val="0000FF"/>
              </w:rPr>
            </w:pPr>
            <w:hyperlink r:id="rId253">
              <w:r>
                <w:rPr>
                  <w:rFonts w:ascii="Times New Roman" w:cs="Times New Roman" w:eastAsia="Times New Roman" w:hAnsi="Times New Roman"/>
                  <w:sz w:val="14"/>
                  <w:szCs w:val="14"/>
                  <w:color w:val="0000FF"/>
                </w:rPr>
                <w:t>Amended and Restated Bylaws of Prelude Therapeutics</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40" w:type="dxa"/>
            <w:vAlign w:val="bottom"/>
            <w:tcBorders>
              <w:top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253">
              <w:r>
                <w:rPr>
                  <w:rFonts w:ascii="Times New Roman" w:cs="Times New Roman" w:eastAsia="Times New Roman" w:hAnsi="Times New Roman"/>
                  <w:sz w:val="14"/>
                  <w:szCs w:val="14"/>
                  <w:color w:val="0000FF"/>
                </w:rPr>
                <w:t>Incorporated.</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6"/>
          </w:tcPr>
          <w:p>
            <w:pPr>
              <w:spacing w:after="0"/>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Form of Common Stock Certificate</w:t>
              </w:r>
            </w:hyperlink>
            <w:r>
              <w:rPr>
                <w:rFonts w:ascii="Times New Roman" w:cs="Times New Roman" w:eastAsia="Times New Roman" w:hAnsi="Times New Roman"/>
                <w:sz w:val="14"/>
                <w:szCs w:val="14"/>
                <w:u w:val="single" w:color="auto"/>
                <w:color w:val="0563C1"/>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6"/>
          </w:tcPr>
          <w:p>
            <w:pPr>
              <w:spacing w:after="0"/>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Amended and Restated Investors’ Rights Agreement, dated</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4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August 21, 2020, by and among Prelude Therapeutics</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0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Incorporated and certain of its stockholders</w:t>
              </w:r>
            </w:hyperlink>
          </w:p>
        </w:tc>
        <w:tc>
          <w:tcPr>
            <w:tcW w:w="20" w:type="dxa"/>
            <w:vAlign w:val="bottom"/>
            <w:tcBorders>
              <w:top w:val="single" w:sz="8" w:color="0000FF"/>
              <w:bottom w:val="single" w:sz="8" w:color="0000EE"/>
            </w:tcBorders>
          </w:tcPr>
          <w:p>
            <w:pPr>
              <w:spacing w:after="0"/>
              <w:rPr>
                <w:sz w:val="11"/>
                <w:szCs w:val="11"/>
                <w:color w:val="auto"/>
              </w:rPr>
            </w:pPr>
          </w:p>
        </w:tc>
        <w:tc>
          <w:tcPr>
            <w:tcW w:w="600" w:type="dxa"/>
            <w:vAlign w:val="bottom"/>
            <w:tcBorders>
              <w:top w:val="single" w:sz="8" w:color="0000FF"/>
            </w:tcBorders>
            <w:gridSpan w:val="3"/>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6"/>
          </w:tcPr>
          <w:p>
            <w:pPr>
              <w:spacing w:after="0"/>
              <w:rPr>
                <w:rFonts w:ascii="Times New Roman" w:cs="Times New Roman" w:eastAsia="Times New Roman" w:hAnsi="Times New Roman"/>
                <w:sz w:val="14"/>
                <w:szCs w:val="14"/>
                <w:color w:val="0000FF"/>
              </w:rPr>
            </w:pPr>
            <w:hyperlink r:id="rId256">
              <w:r>
                <w:rPr>
                  <w:rFonts w:ascii="Times New Roman" w:cs="Times New Roman" w:eastAsia="Times New Roman" w:hAnsi="Times New Roman"/>
                  <w:sz w:val="14"/>
                  <w:szCs w:val="14"/>
                  <w:color w:val="0000FF"/>
                </w:rPr>
                <w:t>Form of Registration Rights Agreement, by and among Prelude</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0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256">
              <w:r>
                <w:rPr>
                  <w:rFonts w:ascii="Times New Roman" w:cs="Times New Roman" w:eastAsia="Times New Roman" w:hAnsi="Times New Roman"/>
                  <w:sz w:val="14"/>
                  <w:szCs w:val="14"/>
                  <w:color w:val="0000FF"/>
                </w:rPr>
                <w:t>Therapeutics Incorporated and certain of its stockholders</w:t>
              </w:r>
              <w:r>
                <w:rPr>
                  <w:rFonts w:ascii="Times New Roman" w:cs="Times New Roman" w:eastAsia="Times New Roman" w:hAnsi="Times New Roman"/>
                  <w:sz w:val="14"/>
                  <w:szCs w:val="14"/>
                  <w:u w:val="single" w:color="auto"/>
                  <w:color w:val="0563C1"/>
                </w:rPr>
                <w: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Description of Voting Common Stock Registered Under Section</w:t>
            </w: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4"/>
                <w:szCs w:val="14"/>
                <w:color w:val="0000FF"/>
              </w:rPr>
              <w:t>12 of the Securities Exchange Act of 1943, as amended</w:t>
            </w:r>
            <w:r>
              <w:rPr>
                <w:rFonts w:ascii="Times New Roman" w:cs="Times New Roman" w:eastAsia="Times New Roman" w:hAnsi="Times New Roman"/>
                <w:sz w:val="17"/>
                <w:szCs w:val="17"/>
                <w:color w:val="0000FF"/>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6"/>
          </w:tcPr>
          <w:p>
            <w:pPr>
              <w:spacing w:after="0"/>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Form of Indemnification Agreement with directors and officers</w:t>
              </w:r>
            </w:hyperlink>
            <w:r>
              <w:rPr>
                <w:rFonts w:ascii="Times New Roman" w:cs="Times New Roman" w:eastAsia="Times New Roman" w:hAnsi="Times New Roman"/>
                <w:sz w:val="14"/>
                <w:szCs w:val="14"/>
                <w:u w:val="single" w:color="auto"/>
                <w:color w:val="0563C1"/>
              </w:rPr>
              <w:t>.</w:t>
            </w:r>
          </w:p>
        </w:tc>
        <w:tc>
          <w:tcPr>
            <w:tcW w:w="0" w:type="dxa"/>
            <w:vAlign w:val="bottom"/>
          </w:tcPr>
          <w:p>
            <w:pPr>
              <w:spacing w:after="0"/>
              <w:rPr>
                <w:sz w:val="1"/>
                <w:szCs w:val="1"/>
                <w:color w:val="auto"/>
              </w:rPr>
            </w:pPr>
          </w:p>
        </w:tc>
      </w:tr>
      <w:tr>
        <w:trPr>
          <w:trHeight w:val="33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top w:val="single" w:sz="8" w:color="0000FF"/>
            </w:tcBorders>
            <w:gridSpan w:val="20"/>
          </w:tcPr>
          <w:p>
            <w:pPr>
              <w:spacing w:after="0"/>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2016 Stock Incentive Plan, as amended, and forms of award</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0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agreements</w:t>
              </w:r>
              <w:r>
                <w:rPr>
                  <w:rFonts w:ascii="Times New Roman" w:cs="Times New Roman" w:eastAsia="Times New Roman" w:hAnsi="Times New Roman"/>
                  <w:sz w:val="14"/>
                  <w:szCs w:val="14"/>
                  <w:u w:val="single" w:color="auto"/>
                  <w:color w:val="0563C1"/>
                </w:rPr>
                <w:t>.</w:t>
              </w:r>
            </w:hyperlink>
          </w:p>
        </w:tc>
        <w:tc>
          <w:tcPr>
            <w:tcW w:w="12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6"/>
          </w:tcPr>
          <w:p>
            <w:pPr>
              <w:spacing w:after="0"/>
              <w:rPr>
                <w:rFonts w:ascii="Times New Roman" w:cs="Times New Roman" w:eastAsia="Times New Roman" w:hAnsi="Times New Roman"/>
                <w:sz w:val="14"/>
                <w:szCs w:val="14"/>
                <w:color w:val="0000FF"/>
              </w:rPr>
            </w:pPr>
            <w:hyperlink r:id="rId259">
              <w:r>
                <w:rPr>
                  <w:rFonts w:ascii="Times New Roman" w:cs="Times New Roman" w:eastAsia="Times New Roman" w:hAnsi="Times New Roman"/>
                  <w:sz w:val="14"/>
                  <w:szCs w:val="14"/>
                  <w:color w:val="0000FF"/>
                </w:rPr>
                <w:t>2020 Equity Incentive Plan and forms of award agreements</w:t>
              </w:r>
            </w:hyperlink>
            <w:r>
              <w:rPr>
                <w:rFonts w:ascii="Times New Roman" w:cs="Times New Roman" w:eastAsia="Times New Roman" w:hAnsi="Times New Roman"/>
                <w:sz w:val="14"/>
                <w:szCs w:val="14"/>
                <w:u w:val="single" w:color="auto"/>
                <w:color w:val="0563C1"/>
              </w:rPr>
              <w:t>.</w:t>
            </w:r>
          </w:p>
        </w:tc>
        <w:tc>
          <w:tcPr>
            <w:tcW w:w="0" w:type="dxa"/>
            <w:vAlign w:val="bottom"/>
          </w:tcPr>
          <w:p>
            <w:pPr>
              <w:spacing w:after="0"/>
              <w:rPr>
                <w:sz w:val="1"/>
                <w:szCs w:val="1"/>
                <w:color w:val="auto"/>
              </w:rPr>
            </w:pPr>
          </w:p>
        </w:tc>
      </w:tr>
      <w:tr>
        <w:trPr>
          <w:trHeight w:val="331"/>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Borders>
              <w:top w:val="single" w:sz="8" w:color="0000FF"/>
            </w:tcBorders>
            <w:gridSpan w:val="14"/>
          </w:tcPr>
          <w:p>
            <w:pPr>
              <w:spacing w:after="0"/>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2020 Employee Stock Purchase Plan and forms of award</w:t>
              </w:r>
            </w:hyperlink>
          </w:p>
        </w:tc>
        <w:tc>
          <w:tcPr>
            <w:tcW w:w="4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300" w:type="dxa"/>
            <w:vAlign w:val="bottom"/>
            <w:tcBorders>
              <w:top w:val="single" w:sz="8" w:color="0000FF"/>
            </w:tcBorders>
            <w:gridSpan w:val="13"/>
          </w:tcPr>
          <w:p>
            <w:pPr>
              <w:spacing w:after="0" w:line="129" w:lineRule="exact"/>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agreements</w:t>
              </w:r>
              <w:r>
                <w:rPr>
                  <w:rFonts w:ascii="Times New Roman" w:cs="Times New Roman" w:eastAsia="Times New Roman" w:hAnsi="Times New Roman"/>
                  <w:sz w:val="14"/>
                  <w:szCs w:val="14"/>
                  <w:u w:val="single" w:color="auto"/>
                  <w:color w:val="0563C1"/>
                </w:rPr>
                <w:t>.</w:t>
              </w:r>
            </w:hyperlink>
          </w:p>
        </w:tc>
        <w:tc>
          <w:tcPr>
            <w:tcW w:w="180" w:type="dxa"/>
            <w:vAlign w:val="bottom"/>
            <w:gridSpan w:val="3"/>
          </w:tcPr>
          <w:p>
            <w:pPr>
              <w:spacing w:after="0"/>
              <w:rPr>
                <w:sz w:val="11"/>
                <w:szCs w:val="11"/>
                <w:color w:val="auto"/>
              </w:rPr>
            </w:pPr>
          </w:p>
        </w:tc>
        <w:tc>
          <w:tcPr>
            <w:tcW w:w="14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6"/>
          </w:tcPr>
          <w:p>
            <w:pPr>
              <w:spacing w:after="0"/>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Second Amended and Restated Entrepreneur Client License</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80" w:type="dxa"/>
            <w:vAlign w:val="bottom"/>
            <w:tcBorders>
              <w:top w:val="single" w:sz="8" w:color="0000FF"/>
              <w:bottom w:val="single" w:sz="8" w:color="0000FF"/>
            </w:tcBorders>
            <w:gridSpan w:val="16"/>
          </w:tcPr>
          <w:p>
            <w:pPr>
              <w:spacing w:after="0" w:line="129" w:lineRule="exact"/>
              <w:rPr>
                <w:rFonts w:ascii="Times New Roman" w:cs="Times New Roman" w:eastAsia="Times New Roman" w:hAnsi="Times New Roman"/>
                <w:sz w:val="14"/>
                <w:szCs w:val="14"/>
                <w:color w:val="0000FF"/>
                <w:w w:val="99"/>
              </w:rPr>
            </w:pPr>
            <w:hyperlink r:id="rId261">
              <w:r>
                <w:rPr>
                  <w:rFonts w:ascii="Times New Roman" w:cs="Times New Roman" w:eastAsia="Times New Roman" w:hAnsi="Times New Roman"/>
                  <w:sz w:val="14"/>
                  <w:szCs w:val="14"/>
                  <w:color w:val="0000FF"/>
                  <w:w w:val="99"/>
                </w:rPr>
                <w:t>Agreement, dated November 1, 2020, by and between Prelude</w:t>
              </w:r>
            </w:hyperlink>
          </w:p>
        </w:tc>
        <w:tc>
          <w:tcPr>
            <w:tcW w:w="140" w:type="dxa"/>
            <w:vAlign w:val="bottom"/>
            <w:tcBorders>
              <w:bottom w:val="single" w:sz="8" w:color="0000FF"/>
            </w:tcBorders>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20" w:type="dxa"/>
            <w:vAlign w:val="bottom"/>
            <w:gridSpan w:val="26"/>
          </w:tcPr>
          <w:p>
            <w:pPr>
              <w:spacing w:after="0" w:line="129" w:lineRule="exact"/>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Therapeutics Incorporated and Delaware Innovation Space, Inc.</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gridSpan w:val="13"/>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6"/>
          </w:tcPr>
          <w:p>
            <w:pPr>
              <w:spacing w:after="0"/>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Executive Employment Agreement, dated December 30, 2020, by</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and between the Prelude Therapeutics Incorporated and Krishna</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4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Vaddi.</w:t>
              </w:r>
            </w:hyperlink>
          </w:p>
        </w:tc>
        <w:tc>
          <w:tcPr>
            <w:tcW w:w="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26"/>
          </w:tcPr>
          <w:p>
            <w:pPr>
              <w:spacing w:after="0"/>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Executive Employment Agreement, dated December 19, 2020, by</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tcBorders>
              <w:top w:val="single" w:sz="8" w:color="0000FF"/>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and between the Registrant and Peggy Scherle.</w:t>
              </w:r>
            </w:hyperlink>
          </w:p>
        </w:tc>
        <w:tc>
          <w:tcPr>
            <w:tcW w:w="20" w:type="dxa"/>
            <w:vAlign w:val="bottom"/>
            <w:tcBorders>
              <w:top w:val="single" w:sz="8" w:color="0000FF"/>
              <w:bottom w:val="single" w:sz="8" w:color="0000EE"/>
            </w:tcBorders>
          </w:tcPr>
          <w:p>
            <w:pPr>
              <w:spacing w:after="0"/>
              <w:rPr>
                <w:sz w:val="11"/>
                <w:szCs w:val="11"/>
                <w:color w:val="auto"/>
              </w:rPr>
            </w:pPr>
          </w:p>
        </w:tc>
        <w:tc>
          <w:tcPr>
            <w:tcW w:w="1080" w:type="dxa"/>
            <w:vAlign w:val="bottom"/>
            <w:tcBorders>
              <w:top w:val="single" w:sz="8" w:color="0000FF"/>
            </w:tcBorders>
            <w:gridSpan w:val="17"/>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26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20" w:type="dxa"/>
            <w:vAlign w:val="bottom"/>
          </w:tcPr>
          <w:p>
            <w:pPr>
              <w:spacing w:after="0"/>
              <w:rPr>
                <w:sz w:val="13"/>
                <w:szCs w:val="13"/>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10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Form</w:t>
            </w:r>
          </w:p>
        </w:tc>
        <w:tc>
          <w:tcPr>
            <w:tcW w:w="14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File No.</w:t>
            </w:r>
          </w:p>
        </w:tc>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Exhibit</w:t>
            </w:r>
          </w:p>
        </w:tc>
        <w:tc>
          <w:tcPr>
            <w:tcW w:w="17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Filing Date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3.1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November 10, 2020</w:t>
            </w:r>
          </w:p>
        </w:tc>
        <w:tc>
          <w:tcPr>
            <w:tcW w:w="0" w:type="dxa"/>
            <w:vAlign w:val="bottom"/>
          </w:tcPr>
          <w:p>
            <w:pPr>
              <w:spacing w:after="0"/>
              <w:rPr>
                <w:sz w:val="1"/>
                <w:szCs w:val="1"/>
                <w:color w:val="auto"/>
              </w:rPr>
            </w:pPr>
          </w:p>
        </w:tc>
      </w:tr>
      <w:tr>
        <w:trPr>
          <w:trHeight w:val="485"/>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3.1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January 23, 2023</w:t>
            </w:r>
          </w:p>
        </w:tc>
        <w:tc>
          <w:tcPr>
            <w:tcW w:w="0" w:type="dxa"/>
            <w:vAlign w:val="bottom"/>
          </w:tcPr>
          <w:p>
            <w:pPr>
              <w:spacing w:after="0"/>
              <w:rPr>
                <w:sz w:val="1"/>
                <w:szCs w:val="1"/>
                <w:color w:val="auto"/>
              </w:rPr>
            </w:pPr>
          </w:p>
        </w:tc>
      </w:tr>
      <w:tr>
        <w:trPr>
          <w:trHeight w:val="485"/>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September 16, 2020</w:t>
            </w:r>
          </w:p>
        </w:tc>
        <w:tc>
          <w:tcPr>
            <w:tcW w:w="0" w:type="dxa"/>
            <w:vAlign w:val="bottom"/>
          </w:tcPr>
          <w:p>
            <w:pPr>
              <w:spacing w:after="0"/>
              <w:rPr>
                <w:sz w:val="1"/>
                <w:szCs w:val="1"/>
                <w:color w:val="auto"/>
              </w:rPr>
            </w:pPr>
          </w:p>
        </w:tc>
      </w:tr>
      <w:tr>
        <w:trPr>
          <w:trHeight w:val="351"/>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4.2</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September 16, 2020</w:t>
            </w:r>
          </w:p>
        </w:tc>
        <w:tc>
          <w:tcPr>
            <w:tcW w:w="0" w:type="dxa"/>
            <w:vAlign w:val="bottom"/>
          </w:tcPr>
          <w:p>
            <w:pPr>
              <w:spacing w:after="0"/>
              <w:rPr>
                <w:sz w:val="1"/>
                <w:szCs w:val="1"/>
                <w:color w:val="auto"/>
              </w:rPr>
            </w:pPr>
          </w:p>
        </w:tc>
      </w:tr>
      <w:tr>
        <w:trPr>
          <w:trHeight w:val="634"/>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333-251874</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4.3</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January 4, 2021</w:t>
            </w:r>
          </w:p>
        </w:tc>
        <w:tc>
          <w:tcPr>
            <w:tcW w:w="0" w:type="dxa"/>
            <w:vAlign w:val="bottom"/>
          </w:tcPr>
          <w:p>
            <w:pPr>
              <w:spacing w:after="0"/>
              <w:rPr>
                <w:sz w:val="1"/>
                <w:szCs w:val="1"/>
                <w:color w:val="auto"/>
              </w:rPr>
            </w:pPr>
          </w:p>
        </w:tc>
      </w:tr>
      <w:tr>
        <w:trPr>
          <w:trHeight w:val="647"/>
        </w:trPr>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378"/>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September 4, 2020</w:t>
            </w:r>
          </w:p>
        </w:tc>
        <w:tc>
          <w:tcPr>
            <w:tcW w:w="0" w:type="dxa"/>
            <w:vAlign w:val="bottom"/>
          </w:tcPr>
          <w:p>
            <w:pPr>
              <w:spacing w:after="0"/>
              <w:rPr>
                <w:sz w:val="1"/>
                <w:szCs w:val="1"/>
                <w:color w:val="auto"/>
              </w:rPr>
            </w:pPr>
          </w:p>
        </w:tc>
      </w:tr>
      <w:tr>
        <w:trPr>
          <w:trHeight w:val="351"/>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10.2</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September 4, 2020</w:t>
            </w:r>
          </w:p>
        </w:tc>
        <w:tc>
          <w:tcPr>
            <w:tcW w:w="0" w:type="dxa"/>
            <w:vAlign w:val="bottom"/>
          </w:tcPr>
          <w:p>
            <w:pPr>
              <w:spacing w:after="0"/>
              <w:rPr>
                <w:sz w:val="1"/>
                <w:szCs w:val="1"/>
                <w:color w:val="auto"/>
              </w:rPr>
            </w:pPr>
          </w:p>
        </w:tc>
      </w:tr>
      <w:tr>
        <w:trPr>
          <w:trHeight w:val="485"/>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10.3</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September 21, 2020</w:t>
            </w:r>
          </w:p>
        </w:tc>
        <w:tc>
          <w:tcPr>
            <w:tcW w:w="0" w:type="dxa"/>
            <w:vAlign w:val="bottom"/>
          </w:tcPr>
          <w:p>
            <w:pPr>
              <w:spacing w:after="0"/>
              <w:rPr>
                <w:sz w:val="1"/>
                <w:szCs w:val="1"/>
                <w:color w:val="auto"/>
              </w:rPr>
            </w:pPr>
          </w:p>
        </w:tc>
      </w:tr>
      <w:tr>
        <w:trPr>
          <w:trHeight w:val="351"/>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10.4</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September 21, 2020</w:t>
            </w:r>
          </w:p>
        </w:tc>
        <w:tc>
          <w:tcPr>
            <w:tcW w:w="0" w:type="dxa"/>
            <w:vAlign w:val="bottom"/>
          </w:tcPr>
          <w:p>
            <w:pPr>
              <w:spacing w:after="0"/>
              <w:rPr>
                <w:sz w:val="1"/>
                <w:szCs w:val="1"/>
                <w:color w:val="auto"/>
              </w:rPr>
            </w:pPr>
          </w:p>
        </w:tc>
      </w:tr>
      <w:tr>
        <w:trPr>
          <w:trHeight w:val="485"/>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November 4, 2020</w:t>
            </w:r>
          </w:p>
        </w:tc>
        <w:tc>
          <w:tcPr>
            <w:tcW w:w="0" w:type="dxa"/>
            <w:vAlign w:val="bottom"/>
          </w:tcPr>
          <w:p>
            <w:pPr>
              <w:spacing w:after="0"/>
              <w:rPr>
                <w:sz w:val="1"/>
                <w:szCs w:val="1"/>
                <w:color w:val="auto"/>
              </w:rPr>
            </w:pPr>
          </w:p>
        </w:tc>
      </w:tr>
      <w:tr>
        <w:trPr>
          <w:trHeight w:val="634"/>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333-251874</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10.6</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January 4, 2021</w:t>
            </w:r>
          </w:p>
        </w:tc>
        <w:tc>
          <w:tcPr>
            <w:tcW w:w="0" w:type="dxa"/>
            <w:vAlign w:val="bottom"/>
          </w:tcPr>
          <w:p>
            <w:pPr>
              <w:spacing w:after="0"/>
              <w:rPr>
                <w:sz w:val="1"/>
                <w:szCs w:val="1"/>
                <w:color w:val="auto"/>
              </w:rPr>
            </w:pPr>
          </w:p>
        </w:tc>
      </w:tr>
      <w:tr>
        <w:trPr>
          <w:trHeight w:val="634"/>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10.7</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March 17, 2022</w:t>
            </w:r>
          </w:p>
        </w:tc>
        <w:tc>
          <w:tcPr>
            <w:tcW w:w="0" w:type="dxa"/>
            <w:vAlign w:val="bottom"/>
          </w:tcPr>
          <w:p>
            <w:pPr>
              <w:spacing w:after="0"/>
              <w:rPr>
                <w:sz w:val="1"/>
                <w:szCs w:val="1"/>
                <w:color w:val="auto"/>
              </w:rPr>
            </w:pPr>
          </w:p>
        </w:tc>
      </w:tr>
    </w:tbl>
    <w:p>
      <w:pPr>
        <w:spacing w:after="0" w:line="319" w:lineRule="exact"/>
        <w:rPr>
          <w:sz w:val="20"/>
          <w:szCs w:val="20"/>
          <w:color w:val="auto"/>
        </w:rPr>
      </w:pPr>
    </w:p>
    <w:p>
      <w:pPr>
        <w:sectPr>
          <w:pgSz w:w="11900" w:h="16838" w:orient="portrait"/>
          <w:cols w:equalWidth="0" w:num="2">
            <w:col w:w="4680" w:space="0"/>
            <w:col w:w="6560"/>
          </w:cols>
          <w:pgMar w:left="320" w:top="333" w:right="339" w:bottom="1440" w:gutter="0" w:footer="0" w:header="0"/>
          <w:type w:val="continuous"/>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15" w:name="page116"/>
    <w:bookmarkEnd w:id="115"/>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60" w:type="dxa"/>
            <w:vAlign w:val="bottom"/>
            <w:gridSpan w:val="2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64"/>
        </w:trPr>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6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10.8+</w:t>
            </w:r>
          </w:p>
        </w:tc>
        <w:tc>
          <w:tcPr>
            <w:tcW w:w="3820" w:type="dxa"/>
            <w:vAlign w:val="bottom"/>
            <w:gridSpan w:val="27"/>
          </w:tcPr>
          <w:p>
            <w:pPr>
              <w:spacing w:after="0" w:line="157" w:lineRule="exact"/>
              <w:rPr>
                <w:rFonts w:ascii="Times New Roman" w:cs="Times New Roman" w:eastAsia="Times New Roman" w:hAnsi="Times New Roman"/>
                <w:sz w:val="14"/>
                <w:szCs w:val="14"/>
                <w:color w:val="0000FF"/>
              </w:rPr>
            </w:pPr>
            <w:hyperlink r:id="rId265">
              <w:r>
                <w:rPr>
                  <w:rFonts w:ascii="Times New Roman" w:cs="Times New Roman" w:eastAsia="Times New Roman" w:hAnsi="Times New Roman"/>
                  <w:sz w:val="14"/>
                  <w:szCs w:val="14"/>
                  <w:color w:val="0000FF"/>
                </w:rPr>
                <w:t>Executive Employment Agreement, dated January 21, 2022, by</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680" w:type="dxa"/>
            <w:vAlign w:val="bottom"/>
            <w:tcBorders>
              <w:top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265">
              <w:r>
                <w:rPr>
                  <w:rFonts w:ascii="Times New Roman" w:cs="Times New Roman" w:eastAsia="Times New Roman" w:hAnsi="Times New Roman"/>
                  <w:sz w:val="14"/>
                  <w:szCs w:val="14"/>
                  <w:color w:val="0000FF"/>
                </w:rPr>
                <w:t>and between Registrant and Jane Huang.</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3820" w:type="dxa"/>
            <w:vAlign w:val="bottom"/>
            <w:gridSpan w:val="27"/>
          </w:tcPr>
          <w:p>
            <w:pPr>
              <w:spacing w:after="0"/>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Separation Agreement, dated April 6, 2022, between the</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34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Registrant and Deborah Morosini, M.D.</w:t>
              </w:r>
            </w:hyperlink>
          </w:p>
        </w:tc>
        <w:tc>
          <w:tcPr>
            <w:tcW w:w="94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3820" w:type="dxa"/>
            <w:vAlign w:val="bottom"/>
            <w:gridSpan w:val="27"/>
          </w:tcPr>
          <w:p>
            <w:pPr>
              <w:spacing w:after="0"/>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Single-Tenant Triple Net Lease, dated November 30, 2021, by</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040" w:type="dxa"/>
            <w:vAlign w:val="bottom"/>
            <w:tcBorders>
              <w:top w:val="single" w:sz="8" w:color="0000FF"/>
              <w:bottom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and between the Registrant and Crisp Partners, LLC.</w:t>
              </w:r>
            </w:hyperlink>
          </w:p>
        </w:tc>
        <w:tc>
          <w:tcPr>
            <w:tcW w:w="580" w:type="dxa"/>
            <w:vAlign w:val="bottom"/>
            <w:tcBorders>
              <w:top w:val="single" w:sz="8" w:color="0000FF"/>
            </w:tcBorders>
            <w:gridSpan w:val="9"/>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340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First Amendment to Single-Tenant Triple Net Lease, dated</w:t>
              </w:r>
            </w:hyperlink>
          </w:p>
        </w:tc>
        <w:tc>
          <w:tcPr>
            <w:tcW w:w="4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820" w:type="dxa"/>
            <w:vAlign w:val="bottom"/>
            <w:gridSpan w:val="27"/>
          </w:tcPr>
          <w:p>
            <w:pPr>
              <w:spacing w:after="0" w:line="129" w:lineRule="exact"/>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November 30, 2021, by and between the Registrant and Crisp</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60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Partners, LLC.</w:t>
              </w:r>
            </w:hyperlink>
          </w:p>
        </w:tc>
        <w:tc>
          <w:tcPr>
            <w:tcW w:w="4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3820" w:type="dxa"/>
            <w:vAlign w:val="bottom"/>
            <w:gridSpan w:val="27"/>
          </w:tcPr>
          <w:p>
            <w:pPr>
              <w:spacing w:after="0"/>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Second Amendment to Single-Tenant Triple Net Lease, dated</w:t>
              </w:r>
            </w:hyperlink>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56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August 8, 2022, by and between Prelude Therapeutics</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26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Incorporated and CRISP Partners LLC.</w:t>
              </w:r>
            </w:hyperlink>
          </w:p>
        </w:tc>
        <w:tc>
          <w:tcPr>
            <w:tcW w:w="880" w:type="dxa"/>
            <w:vAlign w:val="bottom"/>
            <w:tcBorders>
              <w:top w:val="single" w:sz="8" w:color="0000FF"/>
            </w:tcBorders>
            <w:gridSpan w:val="4"/>
          </w:tcPr>
          <w:p>
            <w:pPr>
              <w:spacing w:after="0"/>
              <w:rPr>
                <w:sz w:val="11"/>
                <w:szCs w:val="11"/>
                <w:color w:val="auto"/>
              </w:rPr>
            </w:pPr>
          </w:p>
        </w:tc>
        <w:tc>
          <w:tcPr>
            <w:tcW w:w="160" w:type="dxa"/>
            <w:vAlign w:val="bottom"/>
            <w:gridSpan w:val="2"/>
          </w:tcPr>
          <w:p>
            <w:pPr>
              <w:spacing w:after="0"/>
              <w:rPr>
                <w:sz w:val="11"/>
                <w:szCs w:val="11"/>
                <w:color w:val="auto"/>
              </w:rPr>
            </w:pPr>
          </w:p>
        </w:tc>
        <w:tc>
          <w:tcPr>
            <w:tcW w:w="18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3820" w:type="dxa"/>
            <w:vAlign w:val="bottom"/>
            <w:gridSpan w:val="27"/>
          </w:tcPr>
          <w:p>
            <w:pPr>
              <w:spacing w:after="0"/>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Subsidiaries of Prelude Therapeutics Incorporated</w:t>
              </w:r>
            </w:hyperlink>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tcBorders>
              <w:right w:val="single" w:sz="8" w:color="0000EE"/>
            </w:tcBorders>
            <w:gridSpan w:val="3"/>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382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Consent of Ernst and Young LLP, an independent registered</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480" w:type="dxa"/>
            <w:vAlign w:val="bottom"/>
            <w:tcBorders>
              <w:top w:val="single" w:sz="8" w:color="0000FF"/>
            </w:tcBorders>
            <w:gridSpan w:val="16"/>
          </w:tcPr>
          <w:p>
            <w:pPr>
              <w:spacing w:after="0" w:line="129" w:lineRule="exact"/>
              <w:rPr>
                <w:sz w:val="20"/>
                <w:szCs w:val="20"/>
                <w:color w:val="auto"/>
              </w:rPr>
            </w:pPr>
            <w:r>
              <w:rPr>
                <w:rFonts w:ascii="Times New Roman" w:cs="Times New Roman" w:eastAsia="Times New Roman" w:hAnsi="Times New Roman"/>
                <w:sz w:val="14"/>
                <w:szCs w:val="14"/>
                <w:color w:val="0000FF"/>
              </w:rPr>
              <w:t>public accounting firm.</w:t>
            </w:r>
          </w:p>
        </w:tc>
        <w:tc>
          <w:tcPr>
            <w:tcW w:w="10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382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580" w:type="dxa"/>
            <w:vAlign w:val="bottom"/>
            <w:tcBorders>
              <w:top w:val="single" w:sz="8" w:color="0000FF"/>
              <w:bottom w:val="single" w:sz="8" w:color="0000FF"/>
            </w:tcBorders>
            <w:gridSpan w:val="18"/>
          </w:tcPr>
          <w:p>
            <w:pPr>
              <w:spacing w:after="0" w:line="129"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60" w:type="dxa"/>
            <w:vAlign w:val="bottom"/>
            <w:tcBorders>
              <w:bottom w:val="single" w:sz="8" w:color="0000FF"/>
            </w:tcBorders>
            <w:gridSpan w:val="3"/>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820" w:type="dxa"/>
            <w:vAlign w:val="bottom"/>
            <w:gridSpan w:val="27"/>
          </w:tcPr>
          <w:p>
            <w:pPr>
              <w:spacing w:after="0" w:line="129" w:lineRule="exact"/>
              <w:rPr>
                <w:sz w:val="20"/>
                <w:szCs w:val="20"/>
                <w:color w:val="auto"/>
              </w:rPr>
            </w:pPr>
            <w:r>
              <w:rPr>
                <w:rFonts w:ascii="Times New Roman" w:cs="Times New Roman" w:eastAsia="Times New Roman" w:hAnsi="Times New Roman"/>
                <w:sz w:val="14"/>
                <w:szCs w:val="14"/>
                <w:color w:val="0000FF"/>
              </w:rPr>
              <w:t>1934, as Adopted Pursuant to Section 302 of the Sarbanes-Oxley</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72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w w:val="99"/>
              </w:rPr>
              <w:t>Act of 2002.</w:t>
            </w:r>
          </w:p>
        </w:tc>
        <w:tc>
          <w:tcPr>
            <w:tcW w:w="3040" w:type="dxa"/>
            <w:vAlign w:val="bottom"/>
            <w:tcBorders>
              <w:top w:val="single" w:sz="8" w:color="0000FF"/>
            </w:tcBorders>
            <w:gridSpan w:val="2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382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720" w:type="dxa"/>
            <w:vAlign w:val="bottom"/>
            <w:tcBorders>
              <w:top w:val="single" w:sz="8" w:color="0000FF"/>
              <w:bottom w:val="single" w:sz="8" w:color="0000FF"/>
            </w:tcBorders>
            <w:gridSpan w:val="23"/>
          </w:tcPr>
          <w:p>
            <w:pPr>
              <w:spacing w:after="0" w:line="129" w:lineRule="exact"/>
              <w:rPr>
                <w:sz w:val="20"/>
                <w:szCs w:val="20"/>
                <w:color w:val="auto"/>
              </w:rPr>
            </w:pPr>
            <w:r>
              <w:rPr>
                <w:rFonts w:ascii="Times New Roman" w:cs="Times New Roman" w:eastAsia="Times New Roman" w:hAnsi="Times New Roman"/>
                <w:sz w:val="14"/>
                <w:szCs w:val="14"/>
                <w:color w:val="0000FF"/>
              </w:rPr>
              <w:t>14(a) and 15d-14(a) under the Securities Exchange Act of 1934,</w:t>
            </w:r>
          </w:p>
        </w:tc>
        <w:tc>
          <w:tcPr>
            <w:tcW w:w="8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820" w:type="dxa"/>
            <w:vAlign w:val="bottom"/>
            <w:tcBorders>
              <w:bottom w:val="single" w:sz="8" w:color="0000FF"/>
            </w:tcBorders>
            <w:gridSpan w:val="27"/>
          </w:tcPr>
          <w:p>
            <w:pPr>
              <w:spacing w:after="0" w:line="129" w:lineRule="exact"/>
              <w:rPr>
                <w:sz w:val="20"/>
                <w:szCs w:val="20"/>
                <w:color w:val="auto"/>
              </w:rPr>
            </w:pPr>
            <w:r>
              <w:rPr>
                <w:rFonts w:ascii="Times New Roman" w:cs="Times New Roman" w:eastAsia="Times New Roman" w:hAnsi="Times New Roman"/>
                <w:sz w:val="14"/>
                <w:szCs w:val="14"/>
                <w:color w:val="0000FF"/>
              </w:rPr>
              <w:t>as Adopted Pursuant to Section 302 of the Sarbanes-Oxley Act of</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20" w:type="dxa"/>
            <w:vAlign w:val="bottom"/>
            <w:tcBorders>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5"/>
              </w:rPr>
              <w:t>2002.</w:t>
            </w:r>
          </w:p>
        </w:tc>
        <w:tc>
          <w:tcPr>
            <w:tcW w:w="20" w:type="dxa"/>
            <w:vAlign w:val="bottom"/>
            <w:tcBorders>
              <w:bottom w:val="single" w:sz="8" w:color="0000EE"/>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38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820" w:type="dxa"/>
            <w:vAlign w:val="bottom"/>
            <w:gridSpan w:val="27"/>
          </w:tcPr>
          <w:p>
            <w:pPr>
              <w:spacing w:after="0" w:line="129" w:lineRule="exact"/>
              <w:rPr>
                <w:sz w:val="20"/>
                <w:szCs w:val="20"/>
                <w:color w:val="auto"/>
              </w:rPr>
            </w:pPr>
            <w:r>
              <w:rPr>
                <w:rFonts w:ascii="Times New Roman" w:cs="Times New Roman" w:eastAsia="Times New Roman" w:hAnsi="Times New Roman"/>
                <w:sz w:val="14"/>
                <w:szCs w:val="14"/>
                <w:color w:val="0000FF"/>
              </w:rPr>
              <w:t>Section 1350, as Adopted Pursuant to Section 906 of the</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68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1600" w:type="dxa"/>
            <w:vAlign w:val="bottom"/>
            <w:tcBorders>
              <w:top w:val="single" w:sz="8" w:color="0000FF"/>
            </w:tcBorders>
            <w:gridSpan w:val="7"/>
          </w:tcPr>
          <w:p>
            <w:pPr>
              <w:spacing w:after="0"/>
              <w:rPr>
                <w:sz w:val="11"/>
                <w:szCs w:val="11"/>
                <w:color w:val="auto"/>
              </w:rPr>
            </w:pPr>
          </w:p>
        </w:tc>
        <w:tc>
          <w:tcPr>
            <w:tcW w:w="480" w:type="dxa"/>
            <w:vAlign w:val="bottom"/>
            <w:gridSpan w:val="11"/>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31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382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780" w:type="dxa"/>
            <w:vAlign w:val="bottom"/>
            <w:tcBorders>
              <w:top w:val="single" w:sz="8" w:color="0000FF"/>
            </w:tcBorders>
            <w:gridSpan w:val="25"/>
          </w:tcPr>
          <w:p>
            <w:pPr>
              <w:spacing w:after="0" w:line="129" w:lineRule="exact"/>
              <w:rPr>
                <w:sz w:val="20"/>
                <w:szCs w:val="20"/>
                <w:color w:val="auto"/>
              </w:rPr>
            </w:pPr>
            <w:r>
              <w:rPr>
                <w:rFonts w:ascii="Times New Roman" w:cs="Times New Roman" w:eastAsia="Times New Roman" w:hAnsi="Times New Roman"/>
                <w:sz w:val="14"/>
                <w:szCs w:val="14"/>
                <w:color w:val="0000FF"/>
              </w:rPr>
              <w:t>Section 1350, as Adopted Pursuant to Section 906 of the</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1680" w:type="dxa"/>
            <w:vAlign w:val="bottom"/>
            <w:tcBorders>
              <w:top w:val="single" w:sz="8" w:color="0000FF"/>
              <w:bottom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1600" w:type="dxa"/>
            <w:vAlign w:val="bottom"/>
            <w:tcBorders>
              <w:top w:val="single" w:sz="8" w:color="0000FF"/>
            </w:tcBorders>
            <w:gridSpan w:val="7"/>
          </w:tcPr>
          <w:p>
            <w:pPr>
              <w:spacing w:after="0"/>
              <w:rPr>
                <w:sz w:val="11"/>
                <w:szCs w:val="11"/>
                <w:color w:val="auto"/>
              </w:rPr>
            </w:pPr>
          </w:p>
        </w:tc>
        <w:tc>
          <w:tcPr>
            <w:tcW w:w="520" w:type="dxa"/>
            <w:vAlign w:val="bottom"/>
            <w:gridSpan w:val="13"/>
          </w:tcPr>
          <w:p>
            <w:pPr>
              <w:spacing w:after="0"/>
              <w:rPr>
                <w:sz w:val="11"/>
                <w:szCs w:val="11"/>
                <w:color w:val="auto"/>
              </w:rPr>
            </w:pPr>
          </w:p>
        </w:tc>
        <w:tc>
          <w:tcPr>
            <w:tcW w:w="0" w:type="dxa"/>
            <w:vAlign w:val="bottom"/>
          </w:tcPr>
          <w:p>
            <w:pPr>
              <w:spacing w:after="0"/>
              <w:rPr>
                <w:sz w:val="1"/>
                <w:szCs w:val="1"/>
                <w:color w:val="auto"/>
              </w:rPr>
            </w:pPr>
          </w:p>
        </w:tc>
      </w:tr>
      <w:tr>
        <w:trPr>
          <w:trHeight w:val="34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382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0" w:type="dxa"/>
            <w:vAlign w:val="bottom"/>
          </w:tcPr>
          <w:p>
            <w:pPr>
              <w:spacing w:after="0"/>
              <w:rPr>
                <w:sz w:val="1"/>
                <w:szCs w:val="1"/>
                <w:color w:val="auto"/>
              </w:rPr>
            </w:pP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382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31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382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w:t>
            </w: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382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Document</w:t>
            </w:r>
          </w:p>
        </w:tc>
        <w:tc>
          <w:tcPr>
            <w:tcW w:w="0" w:type="dxa"/>
            <w:vAlign w:val="bottom"/>
          </w:tcPr>
          <w:p>
            <w:pPr>
              <w:spacing w:after="0"/>
              <w:rPr>
                <w:sz w:val="1"/>
                <w:szCs w:val="1"/>
                <w:color w:val="auto"/>
              </w:rPr>
            </w:pPr>
          </w:p>
        </w:tc>
      </w:tr>
      <w:tr>
        <w:trPr>
          <w:trHeight w:val="299"/>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382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w:t>
            </w: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382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Document</w:t>
            </w:r>
          </w:p>
        </w:tc>
        <w:tc>
          <w:tcPr>
            <w:tcW w:w="0" w:type="dxa"/>
            <w:vAlign w:val="bottom"/>
          </w:tcPr>
          <w:p>
            <w:pPr>
              <w:spacing w:after="0"/>
              <w:rPr>
                <w:sz w:val="1"/>
                <w:szCs w:val="1"/>
                <w:color w:val="auto"/>
              </w:rPr>
            </w:pPr>
          </w:p>
        </w:tc>
      </w:tr>
      <w:tr>
        <w:trPr>
          <w:trHeight w:val="33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382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313"/>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382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w:t>
            </w: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3820" w:type="dxa"/>
            <w:vAlign w:val="bottom"/>
            <w:gridSpan w:val="27"/>
          </w:tcPr>
          <w:p>
            <w:pPr>
              <w:spacing w:after="0"/>
              <w:rPr>
                <w:sz w:val="20"/>
                <w:szCs w:val="20"/>
                <w:color w:val="auto"/>
              </w:rPr>
            </w:pPr>
            <w:r>
              <w:rPr>
                <w:rFonts w:ascii="Times New Roman" w:cs="Times New Roman" w:eastAsia="Times New Roman" w:hAnsi="Times New Roman"/>
                <w:sz w:val="14"/>
                <w:szCs w:val="14"/>
                <w:color w:val="auto"/>
              </w:rPr>
              <w:t>Document</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40" w:right="80" w:hanging="839"/>
        <w:spacing w:after="0" w:line="258" w:lineRule="auto"/>
        <w:tabs>
          <w:tab w:leader="none" w:pos="8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26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7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10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2"/>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Form</w:t>
            </w:r>
          </w:p>
        </w:tc>
        <w:tc>
          <w:tcPr>
            <w:tcW w:w="14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File No.</w:t>
            </w:r>
          </w:p>
        </w:tc>
        <w:tc>
          <w:tcPr>
            <w:tcW w:w="1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Exhibit</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Filing Date</w:t>
            </w:r>
          </w:p>
        </w:tc>
        <w:tc>
          <w:tcPr>
            <w:tcW w:w="0" w:type="dxa"/>
            <w:vAlign w:val="bottom"/>
          </w:tcPr>
          <w:p>
            <w:pPr>
              <w:spacing w:after="0"/>
              <w:rPr>
                <w:sz w:val="1"/>
                <w:szCs w:val="1"/>
                <w:color w:val="auto"/>
              </w:rPr>
            </w:pPr>
          </w:p>
        </w:tc>
      </w:tr>
      <w:tr>
        <w:trPr>
          <w:trHeight w:val="180"/>
        </w:trPr>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Borders>
              <w:top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10.1</w:t>
            </w:r>
          </w:p>
        </w:tc>
        <w:tc>
          <w:tcPr>
            <w:tcW w:w="1720" w:type="dxa"/>
            <w:vAlign w:val="bottom"/>
            <w:tcBorders>
              <w:top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May 10, 2022</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6"/>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August 9, 2022</w:t>
            </w:r>
          </w:p>
        </w:tc>
        <w:tc>
          <w:tcPr>
            <w:tcW w:w="0" w:type="dxa"/>
            <w:vAlign w:val="bottom"/>
          </w:tcPr>
          <w:p>
            <w:pPr>
              <w:spacing w:after="0"/>
              <w:rPr>
                <w:sz w:val="1"/>
                <w:szCs w:val="1"/>
                <w:color w:val="auto"/>
              </w:rPr>
            </w:pPr>
          </w:p>
        </w:tc>
      </w:tr>
      <w:tr>
        <w:trPr>
          <w:trHeight w:val="539"/>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10.11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March 17, 2022</w:t>
            </w:r>
          </w:p>
        </w:tc>
        <w:tc>
          <w:tcPr>
            <w:tcW w:w="0" w:type="dxa"/>
            <w:vAlign w:val="bottom"/>
          </w:tcPr>
          <w:p>
            <w:pPr>
              <w:spacing w:after="0"/>
              <w:rPr>
                <w:sz w:val="1"/>
                <w:szCs w:val="1"/>
                <w:color w:val="auto"/>
              </w:rPr>
            </w:pPr>
          </w:p>
        </w:tc>
      </w:tr>
      <w:tr>
        <w:trPr>
          <w:trHeight w:val="539"/>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10.12</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March 17, 2022</w:t>
            </w:r>
          </w:p>
        </w:tc>
        <w:tc>
          <w:tcPr>
            <w:tcW w:w="0" w:type="dxa"/>
            <w:vAlign w:val="bottom"/>
          </w:tcPr>
          <w:p>
            <w:pPr>
              <w:spacing w:after="0"/>
              <w:rPr>
                <w:sz w:val="1"/>
                <w:szCs w:val="1"/>
                <w:color w:val="auto"/>
              </w:rPr>
            </w:pPr>
          </w:p>
        </w:tc>
      </w:tr>
      <w:tr>
        <w:trPr>
          <w:trHeight w:val="688"/>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001-39527</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w:t>
            </w:r>
          </w:p>
        </w:tc>
        <w:tc>
          <w:tcPr>
            <w:tcW w:w="282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November 14, 2022</w:t>
            </w:r>
          </w:p>
        </w:tc>
        <w:tc>
          <w:tcPr>
            <w:tcW w:w="0" w:type="dxa"/>
            <w:vAlign w:val="bottom"/>
          </w:tcPr>
          <w:p>
            <w:pPr>
              <w:spacing w:after="0"/>
              <w:rPr>
                <w:sz w:val="1"/>
                <w:szCs w:val="1"/>
                <w:color w:val="auto"/>
              </w:rPr>
            </w:pPr>
          </w:p>
        </w:tc>
      </w:tr>
      <w:tr>
        <w:trPr>
          <w:trHeight w:val="634"/>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333-248628</w:t>
            </w:r>
          </w:p>
        </w:tc>
        <w:tc>
          <w:tcPr>
            <w:tcW w:w="12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21.1</w:t>
            </w:r>
          </w:p>
        </w:tc>
        <w:tc>
          <w:tcPr>
            <w:tcW w:w="28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September 4, 2020</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32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7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7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19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19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32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32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19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32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3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73025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640" w:space="20"/>
            <w:col w:w="6560"/>
          </w:cols>
          <w:pgMar w:left="340" w:top="331" w:right="339" w:bottom="1440" w:gutter="0" w:footer="0" w:header="0"/>
        </w:sectPr>
      </w:pPr>
    </w:p>
    <w:bookmarkStart w:id="116" w:name="page117"/>
    <w:bookmarkEnd w:id="116"/>
    <w:p>
      <w:pPr>
        <w:ind w:left="140" w:hanging="131"/>
        <w:spacing w:after="0"/>
        <w:tabs>
          <w:tab w:leader="none" w:pos="1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Indicates a management contract or compensatory plan, contract or arrangement.</w:t>
      </w:r>
    </w:p>
    <w:p>
      <w:pPr>
        <w:spacing w:after="0" w:line="26" w:lineRule="exact"/>
        <w:rPr>
          <w:sz w:val="20"/>
          <w:szCs w:val="20"/>
          <w:color w:val="auto"/>
        </w:rPr>
      </w:pPr>
    </w:p>
    <w:p>
      <w:pPr>
        <w:ind w:right="40" w:firstLine="8"/>
        <w:spacing w:after="0" w:line="273" w:lineRule="auto"/>
        <w:tabs>
          <w:tab w:leader="none" w:pos="1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Certain of the exhibits and schedules to these exhibits have been omitted in accordance with Regulation S-K Item 601(a)(5). The registrant agrees to furnish a copy of all omitted exhibits and schedules to the SEC upon its request.</w:t>
      </w:r>
    </w:p>
    <w:p>
      <w:pPr>
        <w:spacing w:after="0" w:line="18" w:lineRule="exact"/>
        <w:rPr>
          <w:sz w:val="20"/>
          <w:szCs w:val="20"/>
          <w:color w:val="auto"/>
        </w:rPr>
      </w:pPr>
    </w:p>
    <w:p>
      <w:pPr>
        <w:ind w:left="480" w:hanging="471"/>
        <w:spacing w:after="0" w:line="267" w:lineRule="auto"/>
        <w:tabs>
          <w:tab w:leader="none" w:pos="1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95" w:right="39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8" w:lineRule="exact"/>
        <w:rPr>
          <w:sz w:val="20"/>
          <w:szCs w:val="20"/>
          <w:color w:val="auto"/>
        </w:rPr>
      </w:pPr>
    </w:p>
    <w:p>
      <w:pPr>
        <w:ind w:right="140" w:firstLine="478"/>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ectPr>
          <w:pgSz w:w="11900" w:h="16838" w:orient="portrait"/>
          <w:cols w:equalWidth="0" w:num="1">
            <w:col w:w="11240"/>
          </w:cols>
          <w:pgMar w:left="320" w:top="333" w:right="339" w:bottom="1440" w:gutter="0" w:footer="0" w:header="0"/>
        </w:sect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March 15, 2023</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center"/>
        <w:ind w:right="1960"/>
        <w:spacing w:after="0"/>
        <w:rPr>
          <w:sz w:val="20"/>
          <w:szCs w:val="20"/>
          <w:color w:val="auto"/>
        </w:rPr>
      </w:pPr>
      <w:r>
        <w:rPr>
          <w:rFonts w:ascii="Times New Roman" w:cs="Times New Roman" w:eastAsia="Times New Roman" w:hAnsi="Times New Roman"/>
          <w:sz w:val="17"/>
          <w:szCs w:val="17"/>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33020</wp:posOffset>
            </wp:positionV>
            <wp:extent cx="32791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4920" w:space="720"/>
            <w:col w:w="1680" w:space="720"/>
            <w:col w:w="3200"/>
          </w:cols>
          <w:pgMar w:left="320" w:top="333" w:right="339" w:bottom="1440" w:gutter="0" w:footer="0" w:header="0"/>
          <w:type w:val="continuous"/>
        </w:sectPr>
      </w:pPr>
    </w:p>
    <w:p>
      <w:pPr>
        <w:jc w:val="center"/>
        <w:ind w:left="6060"/>
        <w:spacing w:after="0"/>
        <w:rPr>
          <w:sz w:val="20"/>
          <w:szCs w:val="20"/>
          <w:color w:val="auto"/>
        </w:rPr>
      </w:pPr>
      <w:r>
        <w:rPr>
          <w:rFonts w:ascii="Times New Roman" w:cs="Times New Roman" w:eastAsia="Times New Roman" w:hAnsi="Times New Roman"/>
          <w:sz w:val="18"/>
          <w:szCs w:val="18"/>
          <w:color w:val="auto"/>
        </w:rPr>
        <w:t>Krishna Vaddi, Ph.D</w:t>
      </w:r>
    </w:p>
    <w:p>
      <w:pPr>
        <w:spacing w:after="0" w:line="22"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60" w:lineRule="exact"/>
        <w:rPr>
          <w:sz w:val="20"/>
          <w:szCs w:val="20"/>
          <w:color w:val="auto"/>
        </w:rPr>
      </w:pPr>
    </w:p>
    <w:p>
      <w:pPr>
        <w:ind w:right="280" w:firstLine="478"/>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6"/>
                <w:szCs w:val="16"/>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60" w:type="dxa"/>
            <w:vAlign w:val="bottom"/>
          </w:tcPr>
          <w:p>
            <w:pPr>
              <w:spacing w:after="0"/>
              <w:rPr>
                <w:sz w:val="16"/>
                <w:szCs w:val="16"/>
                <w:color w:val="auto"/>
              </w:rPr>
            </w:pPr>
          </w:p>
        </w:tc>
        <w:tc>
          <w:tcPr>
            <w:tcW w:w="18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 w:type="dxa"/>
            <w:vAlign w:val="bottom"/>
          </w:tcPr>
          <w:p>
            <w:pPr>
              <w:spacing w:after="0"/>
              <w:rPr>
                <w:sz w:val="16"/>
                <w:szCs w:val="16"/>
                <w:color w:val="auto"/>
              </w:rPr>
            </w:pPr>
          </w:p>
        </w:tc>
      </w:tr>
      <w:tr>
        <w:trPr>
          <w:trHeight w:val="465"/>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Krishna Vaddi</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March 15,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Krishna Vaddi, Ph.D.</w:t>
            </w:r>
          </w:p>
        </w:tc>
        <w:tc>
          <w:tcPr>
            <w:tcW w:w="14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23"/>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Laurent Chardonnet</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March 15, 2023</w:t>
            </w:r>
          </w:p>
        </w:tc>
        <w:tc>
          <w:tcPr>
            <w:tcW w:w="2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Laurent Chardonnet</w:t>
            </w:r>
          </w:p>
        </w:tc>
        <w:tc>
          <w:tcPr>
            <w:tcW w:w="14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23"/>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A. Friedman</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March 15, 2023</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Paul A. Friedman, M.D.</w:t>
            </w:r>
          </w:p>
        </w:tc>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5"/>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Babler</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March 15, 2023</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Babler</w:t>
            </w:r>
          </w:p>
        </w:tc>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5"/>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Julian Baker</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March 15, 2023</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Julian Baker</w:t>
            </w:r>
          </w:p>
        </w:tc>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5"/>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Bonita</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March 15, 2023</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Bonita, M.D.</w:t>
            </w:r>
          </w:p>
        </w:tc>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5"/>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Mardi C. Dier</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March 15, 2023</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Mardi C. Dier</w:t>
            </w:r>
          </w:p>
        </w:tc>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5"/>
        </w:trPr>
        <w:tc>
          <w:tcPr>
            <w:tcW w:w="20" w:type="dxa"/>
            <w:vAlign w:val="bottom"/>
          </w:tcPr>
          <w:p>
            <w:pPr>
              <w:spacing w:after="0"/>
              <w:rPr>
                <w:sz w:val="24"/>
                <w:szCs w:val="24"/>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Victor Sandor</w:t>
            </w:r>
          </w:p>
        </w:tc>
        <w:tc>
          <w:tcPr>
            <w:tcW w:w="14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6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March 15, 2023</w:t>
            </w:r>
          </w:p>
        </w:tc>
        <w:tc>
          <w:tcPr>
            <w:tcW w:w="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Victor Sandor, M.D.C.M.</w:t>
            </w:r>
          </w:p>
        </w:tc>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903"/>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040" w:type="dxa"/>
            <w:vAlign w:val="bottom"/>
            <w:gridSpan w:val="2"/>
          </w:tcPr>
          <w:p>
            <w:pPr>
              <w:jc w:val="right"/>
              <w:ind w:right="3252"/>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5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As of December 31, 2022, Prelude Therapeutics Incorporated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our</w:t>
      </w:r>
      <w:r>
        <w:rPr>
          <w:rFonts w:ascii="Times New Roman" w:cs="Times New Roman" w:eastAsia="Times New Roman" w:hAnsi="Times New Roman"/>
          <w:sz w:val="18"/>
          <w:szCs w:val="18"/>
          <w:color w:val="auto"/>
        </w:rPr>
        <w:t>”) had one class of securities registered under Section 12 of the Securities Exchange Act of 1934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our common stock, $0.0001 par value per share. Our non-voting common stock are not registered under Section 12 of the Exchange Act. The following summary describes the material terms of our capital stock. The description of capital stock is qualified by reference to our certificate of incorporation, our amended and restated bylaws and our investors rights agreement (the “</w:t>
      </w:r>
      <w:r>
        <w:rPr>
          <w:rFonts w:ascii="Times New Roman" w:cs="Times New Roman" w:eastAsia="Times New Roman" w:hAnsi="Times New Roman"/>
          <w:sz w:val="18"/>
          <w:szCs w:val="18"/>
          <w:b w:val="1"/>
          <w:bCs w:val="1"/>
          <w:i w:val="1"/>
          <w:iCs w:val="1"/>
          <w:color w:val="auto"/>
        </w:rPr>
        <w:t>IRA</w:t>
      </w:r>
      <w:r>
        <w:rPr>
          <w:rFonts w:ascii="Times New Roman" w:cs="Times New Roman" w:eastAsia="Times New Roman" w:hAnsi="Times New Roman"/>
          <w:sz w:val="18"/>
          <w:szCs w:val="18"/>
          <w:color w:val="auto"/>
        </w:rPr>
        <w:t>”), our registration rights agreement (the “</w:t>
      </w:r>
      <w:r>
        <w:rPr>
          <w:rFonts w:ascii="Times New Roman" w:cs="Times New Roman" w:eastAsia="Times New Roman" w:hAnsi="Times New Roman"/>
          <w:sz w:val="18"/>
          <w:szCs w:val="18"/>
          <w:b w:val="1"/>
          <w:bCs w:val="1"/>
          <w:i w:val="1"/>
          <w:iCs w:val="1"/>
          <w:color w:val="auto"/>
        </w:rPr>
        <w:t>Post-IPO RRA</w:t>
      </w:r>
      <w:r>
        <w:rPr>
          <w:rFonts w:ascii="Times New Roman" w:cs="Times New Roman" w:eastAsia="Times New Roman" w:hAnsi="Times New Roman"/>
          <w:sz w:val="18"/>
          <w:szCs w:val="18"/>
          <w:color w:val="auto"/>
        </w:rPr>
        <w:t>”) with certain of our stockholders (the “</w:t>
      </w:r>
      <w:r>
        <w:rPr>
          <w:rFonts w:ascii="Times New Roman" w:cs="Times New Roman" w:eastAsia="Times New Roman" w:hAnsi="Times New Roman"/>
          <w:sz w:val="18"/>
          <w:szCs w:val="18"/>
          <w:b w:val="1"/>
          <w:bCs w:val="1"/>
          <w:i w:val="1"/>
          <w:iCs w:val="1"/>
          <w:color w:val="auto"/>
        </w:rPr>
        <w:t>RRA Investors</w:t>
      </w:r>
      <w:r>
        <w:rPr>
          <w:rFonts w:ascii="Times New Roman" w:cs="Times New Roman" w:eastAsia="Times New Roman" w:hAnsi="Times New Roman"/>
          <w:sz w:val="18"/>
          <w:szCs w:val="18"/>
          <w:color w:val="auto"/>
        </w:rPr>
        <w:t>”) which are included as exhibits to our most recent Annual Report on Form 10-K and to the applicable provisions of the Delaware General Corporation Law.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and Non-Voting Common Stock</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Holders of our common stock have no conversion rights, while holders of our non-voting common stock have the right to convert each share of our non-voting common stock into one share of common stock at such holder’s election, provided that as a result of such conversion, such holder, together with its affiliates and any members of a Schedule 13(d) group with such holder, would not beneficially own in excess of 9.99% of our common stock immediately prior to and following such conversion, unless otherwise as expressly provided for in our restated certificate of incorporation. However, this ownership limitation may be increased (not to exceed 19.99%) or decreased to any other percentage designated by such holder of non-voting common stock upon 61 days’ notice to us.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and our non-voting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Except as otherwise expressly provided in our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We have not provided for cumulative voting for the election of directors in our restated certificate of incorporation, which means that holders of a majority of the shares of our common stock are able to elect all of our directors. Our restated certificate of incorporation established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2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Neither our common stock nor our non-voting common stock is entitled to preemptive rights, and neither is subject to conversion, redemption or sinking fund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2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our non-voting common stock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9" w:name="page120"/>
    <w:bookmarkEnd w:id="119"/>
    <w:p>
      <w:pPr>
        <w:ind w:right="60"/>
        <w:spacing w:after="0" w:line="281" w:lineRule="auto"/>
        <w:rPr>
          <w:sz w:val="20"/>
          <w:szCs w:val="20"/>
          <w:color w:val="auto"/>
        </w:rPr>
      </w:pPr>
      <w:r>
        <w:rPr>
          <w:rFonts w:ascii="Times New Roman" w:cs="Times New Roman" w:eastAsia="Times New Roman" w:hAnsi="Times New Roman"/>
          <w:sz w:val="18"/>
          <w:szCs w:val="18"/>
          <w:color w:val="auto"/>
        </w:rPr>
        <w:t>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holders of shares of our common stock and non-voting common stock are entitled to rights with respect to the registration of these shares (or, in the case of the non-voting common stock, the shares of common stock into which such shares are convertible) under the Securities Act as described below. We refer to these shares collectively as registrable securities. These rights are provided under the terms of the IRA between us and the holders of these shares, which was entered into in connection with our redeemable convertible preferred stock financings prior to our IPO and under the terms of the Post-IPO RRA between us and the RRA Investors.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Beginning from March 23, 2021, if the holders of not less than 50% of the then-outstanding registrable securities may request the registration under the Securities Act of any registrable securities, if the anticipated aggregate offering price, net of selling expenses, would exceed $10.0 million, we are obligated to provide notice of such request to all holders of registration rights and, as soon as practicable and in any event within 60 days, file a Form S-1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provided that we may not register any securities for our own account or that of any other stockholder during such 90-day period other than under certain circumstances.</w:t>
      </w:r>
    </w:p>
    <w:p>
      <w:pPr>
        <w:spacing w:after="0" w:line="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holders of at least 25% of the then-outstanding registrable securities can request that we register all or part of their shares on Form S-3 if we are eligible to file a registration statement on Form S-3 and if the aggregate price to the public of the shares offered, net of selling expenses, is at least $5.0 million. The stockholders may only require us to effect two registration statements on Form S-3 in a 12-month period. We may postpone taking action with respect to such filing not more than once during any 12-month period for a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provided that we may not register any securities for our own account or that of any other stockholder during such 90-day period other than under certain circumstances.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register any of our securities for public sale in cash, holders of then-outstanding registrable securities or their permitted transferees will have the right to include their registrable securities in the registration statement. However, this right does not apply to a registration relating to any of our employee benefit plans, a corporate reorganization or transaction under Rule 145 of the Securities Act, a registration that requires information that is not substantially the same as the information required to be included in a registration statement covering the sale of the registrable securities, or a registration in which the only common stock being registered is common stock issuable upon conversion of debt securities that are also being registered or issuable upon the exercise of warrants. In an underwritten offering, if the total number of securities requested by stockholders to be included in the offering exceeds the number of securities to be sold (other than by us) that the underwriters determine in their reasonable discretion is compatible with the success of the offering, then we will be required to include only that number of securities that the underwriters and us, in our sole discretion, determine will not jeopardize the success of the offering. If the underwriters determine that less than all the registrable securities requested to be registered can be included in the offering, the number of registrable shares to be registered will be allocated (i) first, among holders of our preferred stock, in proportion to the amount of common stock issued or issuable upon conversion of the preferred stock owned by each such holder to be included in such offering, and (ii) second, among all other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120" w:name="page121"/>
    <w:bookmarkEnd w:id="120"/>
    <w:p>
      <w:pPr>
        <w:ind w:right="40"/>
        <w:spacing w:after="0" w:line="274" w:lineRule="auto"/>
        <w:rPr>
          <w:sz w:val="20"/>
          <w:szCs w:val="20"/>
          <w:color w:val="auto"/>
        </w:rPr>
      </w:pPr>
      <w:r>
        <w:rPr>
          <w:rFonts w:ascii="Times New Roman" w:cs="Times New Roman" w:eastAsia="Times New Roman" w:hAnsi="Times New Roman"/>
          <w:sz w:val="17"/>
          <w:szCs w:val="17"/>
          <w:color w:val="auto"/>
        </w:rPr>
        <w:t>of our registrable securities, in proportion to the amount of other registrable securities owned by each such holder. However, (i) the number of shares issued or issuable upon conversion of the preferred stock, to be registered by the holders of our preferred stock, cannot be reduced unless all other securities (other than as offered by us) are first excluded entirely, and (ii) the number of shares to be registered by holders of all other registrable securities cannot be reduced unless all other securities (other than as offered by us and the shares of common stock issued or issuable on conversion of our preferred stock) are first entirely excluded. The number of registrable securities included in the offering may not be reduced below 25% of the total number of securities included in such offering, except for in connection with an initial public offering, in which case the underwriters may exclude these holders entirely.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 Rights</w:t>
      </w:r>
    </w:p>
    <w:p>
      <w:pPr>
        <w:spacing w:after="0" w:line="121"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18"/>
          <w:szCs w:val="18"/>
          <w:color w:val="auto"/>
        </w:rPr>
        <w:t>We generally will pay all expenses, other than underwriting discounts and selling commissions incurred in connection with each of the registrations described above, including the reasonable fees and disbursements, not to exceed $15,000, of one counsel for the selling 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registration rights described above will expire, with respect to any particular holder of these rights, on the earliest to occur of (a) at such time that all of the holder’s registrable securities can be sold without limitation in any three-month period without registration in compliance with Rule 144 or a similar exemption under the Securities Act and (b) at such time that our common stock is trading on a national securities exchange and all of the holder’s registrable securities can be sold during a three-month period without registration.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Post-IPO RRA between us and each of Baker Brothers and its affiliates, OrbiMed and its affiliates and Kris Vaddi, the RRA Investors are entitled to rights with respect to the registration of their shares under the Securities Act that supplement such rights as described above held by the RRA Investors under the IRA. These registration rights include the right to demand that we file with the SEC a Form S-3 registration statement (except if we are not then eligible to register for resale the registrable securities on Form S-3, in which case, such registration shall be on another appropriate form in accordance with the Securities Act) covering the registration of their registrable securities for resale, subject to certain conditions, as well as rights to be permitted an aggregate of five underwritten public offerings between the RRA Investors during the term of the Post-IPO RRA, subject to a limitation of an aggregate of two underwritten public offerings per calendar year, to effect the sale of their common stock for sale. The RRA Investors also have piggy-back rights to participate in registrations demanded by any of the other RRA Investors. The Post-IPO RRA requires us to pay expenses relating to such registrations and indemnify these holders against certain liabilities. Our registration obligations under this registration rights agreement would continue in effect until the earliest of (i) December 20, 2030, (ii) when the applicable registrable securities have been resold by the holders pursuant to an effective registration statement, (iii) when the applicable registrable securities have been resold pursuant to Rule 144 or (iv) when the applicable registrable securities may be resold pursuant to Rule 144 without limitations as to volume or manner of sale.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provisions of Delaware General Corporation Law, or DGCL, our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1" w:name="page122"/>
    <w:bookmarkEnd w:id="121"/>
    <w:p>
      <w:pPr>
        <w:ind w:right="120"/>
        <w:spacing w:after="0" w:line="26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177" w:lineRule="exact"/>
        <w:rPr>
          <w:sz w:val="20"/>
          <w:szCs w:val="20"/>
          <w:color w:val="auto"/>
        </w:rPr>
      </w:pPr>
    </w:p>
    <w:p>
      <w:pPr>
        <w:ind w:left="1020" w:right="500" w:hanging="558"/>
        <w:spacing w:after="0" w:line="281"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62" w:lineRule="exact"/>
        <w:rPr>
          <w:rFonts w:ascii="Times New Roman" w:cs="Times New Roman" w:eastAsia="Times New Roman" w:hAnsi="Times New Roman"/>
          <w:sz w:val="18"/>
          <w:szCs w:val="18"/>
          <w:color w:val="auto"/>
        </w:rPr>
      </w:pPr>
    </w:p>
    <w:p>
      <w:pPr>
        <w:ind w:left="1020" w:right="280" w:hanging="558"/>
        <w:spacing w:after="0" w:line="258"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181" w:lineRule="exact"/>
        <w:rPr>
          <w:rFonts w:ascii="Times New Roman" w:cs="Times New Roman" w:eastAsia="Times New Roman" w:hAnsi="Times New Roman"/>
          <w:sz w:val="18"/>
          <w:szCs w:val="18"/>
          <w:color w:val="auto"/>
        </w:rPr>
      </w:pPr>
    </w:p>
    <w:p>
      <w:pPr>
        <w:ind w:left="1020" w:right="500" w:hanging="558"/>
        <w:spacing w:after="0" w:line="265"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Certain Provisions of Our Restated Certificate of Incorporation and Amended and Restated Bylaws</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include a number of provisions that could deter hostile takeovers or delay or prevent changes in control of our company, including the following:</w:t>
      </w:r>
    </w:p>
    <w:p>
      <w:pPr>
        <w:spacing w:after="0" w:line="161" w:lineRule="exact"/>
        <w:rPr>
          <w:sz w:val="20"/>
          <w:szCs w:val="20"/>
          <w:color w:val="auto"/>
        </w:rPr>
      </w:pPr>
    </w:p>
    <w:p>
      <w:pPr>
        <w:ind w:left="1020" w:right="140" w:hanging="558"/>
        <w:spacing w:after="0" w:line="25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of Directors Vacancies</w:t>
      </w:r>
      <w:r>
        <w:rPr>
          <w:rFonts w:ascii="Times New Roman" w:cs="Times New Roman" w:eastAsia="Times New Roman" w:hAnsi="Times New Roman"/>
          <w:sz w:val="18"/>
          <w:szCs w:val="18"/>
          <w:color w:val="auto"/>
        </w:rPr>
        <w:t>. Our restated certificate of incorporation and amended and restated bylaws authorizes only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85" w:lineRule="exact"/>
        <w:rPr>
          <w:rFonts w:ascii="Times New Roman" w:cs="Times New Roman" w:eastAsia="Times New Roman" w:hAnsi="Times New Roman"/>
          <w:sz w:val="18"/>
          <w:szCs w:val="18"/>
          <w:color w:val="auto"/>
        </w:rPr>
      </w:pPr>
    </w:p>
    <w:p>
      <w:pPr>
        <w:ind w:left="1020" w:right="160" w:hanging="558"/>
        <w:spacing w:after="0" w:line="261"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Classified Board</w:t>
      </w:r>
      <w:r>
        <w:rPr>
          <w:rFonts w:ascii="Times New Roman" w:cs="Times New Roman" w:eastAsia="Times New Roman" w:hAnsi="Times New Roman"/>
          <w:sz w:val="18"/>
          <w:szCs w:val="18"/>
          <w:color w:val="auto"/>
        </w:rPr>
        <w:t>. Our restated certificate of incorporation and amended and restated bylaws provide that our board of directors is 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78" w:lineRule="exact"/>
        <w:rPr>
          <w:rFonts w:ascii="Times New Roman" w:cs="Times New Roman" w:eastAsia="Times New Roman" w:hAnsi="Times New Roman"/>
          <w:sz w:val="18"/>
          <w:szCs w:val="18"/>
          <w:color w:val="auto"/>
        </w:rPr>
      </w:pPr>
    </w:p>
    <w:p>
      <w:pPr>
        <w:ind w:left="1020" w:right="220" w:hanging="558"/>
        <w:spacing w:after="0" w:line="25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Action; Special Meetings of Stockholders</w:t>
      </w:r>
      <w:r>
        <w:rPr>
          <w:rFonts w:ascii="Times New Roman" w:cs="Times New Roman" w:eastAsia="Times New Roman" w:hAnsi="Times New Roman"/>
          <w:sz w:val="18"/>
          <w:szCs w:val="18"/>
          <w:color w:val="auto"/>
        </w:rPr>
        <w:t>. Our restated certificate of incorporation provide that our stockholders may not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Further, our amended and restated bylaws provide that special meetings of our stockholders may be called only by a majority of our board of directors, the chairman of our board of directors, our Chief Executive Officer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2" w:name="page123"/>
    <w:bookmarkEnd w:id="122"/>
    <w:p>
      <w:pPr>
        <w:jc w:val="both"/>
        <w:ind w:left="558" w:right="80"/>
        <w:spacing w:after="0" w:line="265" w:lineRule="auto"/>
        <w:rPr>
          <w:sz w:val="20"/>
          <w:szCs w:val="20"/>
          <w:color w:val="auto"/>
        </w:rPr>
      </w:pPr>
      <w:r>
        <w:rPr>
          <w:rFonts w:ascii="Times New Roman" w:cs="Times New Roman" w:eastAsia="Times New Roman" w:hAnsi="Times New Roman"/>
          <w:sz w:val="18"/>
          <w:szCs w:val="18"/>
          <w:color w:val="auto"/>
        </w:rPr>
        <w:t>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75" w:lineRule="exact"/>
        <w:rPr>
          <w:sz w:val="20"/>
          <w:szCs w:val="20"/>
          <w:color w:val="auto"/>
        </w:rPr>
      </w:pPr>
    </w:p>
    <w:p>
      <w:pPr>
        <w:ind w:left="558" w:right="180" w:hanging="558"/>
        <w:spacing w:after="0" w:line="255" w:lineRule="auto"/>
        <w:tabs>
          <w:tab w:leader="none" w:pos="5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amended and restated bylaws provide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86" w:lineRule="exact"/>
        <w:rPr>
          <w:rFonts w:ascii="Times New Roman" w:cs="Times New Roman" w:eastAsia="Times New Roman" w:hAnsi="Times New Roman"/>
          <w:sz w:val="18"/>
          <w:szCs w:val="18"/>
          <w:color w:val="auto"/>
        </w:rPr>
      </w:pPr>
    </w:p>
    <w:p>
      <w:pPr>
        <w:ind w:left="558" w:right="300" w:hanging="558"/>
        <w:spacing w:after="0" w:line="267" w:lineRule="auto"/>
        <w:tabs>
          <w:tab w:leader="none" w:pos="5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the right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 corporation’s certificate of incorporation provides otherwise. Our restated certificate of incorporation and amended and restated bylaws do not provide for cumulative voting.</w:t>
      </w:r>
    </w:p>
    <w:p>
      <w:pPr>
        <w:spacing w:after="0" w:line="172" w:lineRule="exact"/>
        <w:rPr>
          <w:rFonts w:ascii="Times New Roman" w:cs="Times New Roman" w:eastAsia="Times New Roman" w:hAnsi="Times New Roman"/>
          <w:sz w:val="18"/>
          <w:szCs w:val="18"/>
          <w:color w:val="auto"/>
        </w:rPr>
      </w:pPr>
    </w:p>
    <w:p>
      <w:pPr>
        <w:ind w:left="558" w:right="20" w:hanging="558"/>
        <w:spacing w:after="0" w:line="283" w:lineRule="auto"/>
        <w:tabs>
          <w:tab w:leader="none" w:pos="5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Directors Removed Only for Cause</w:t>
      </w:r>
      <w:r>
        <w:rPr>
          <w:rFonts w:ascii="Times New Roman" w:cs="Times New Roman" w:eastAsia="Times New Roman" w:hAnsi="Times New Roman"/>
          <w:sz w:val="18"/>
          <w:szCs w:val="18"/>
          <w:color w:val="auto"/>
        </w:rPr>
        <w:t>. Our restated certificate of incorporation provides that stockholders may remove directors only for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only by the affirmative vote of the holders of at least two-thirds of our outstanding common stock.</w:t>
      </w:r>
    </w:p>
    <w:p>
      <w:pPr>
        <w:spacing w:after="0" w:line="159" w:lineRule="exact"/>
        <w:rPr>
          <w:rFonts w:ascii="Times New Roman" w:cs="Times New Roman" w:eastAsia="Times New Roman" w:hAnsi="Times New Roman"/>
          <w:sz w:val="18"/>
          <w:szCs w:val="18"/>
          <w:color w:val="auto"/>
        </w:rPr>
      </w:pPr>
    </w:p>
    <w:p>
      <w:pPr>
        <w:ind w:left="558" w:right="540" w:hanging="558"/>
        <w:spacing w:after="0" w:line="283" w:lineRule="auto"/>
        <w:tabs>
          <w:tab w:leader="none" w:pos="5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of Charter Provisions</w:t>
      </w:r>
      <w:r>
        <w:rPr>
          <w:rFonts w:ascii="Times New Roman" w:cs="Times New Roman" w:eastAsia="Times New Roman" w:hAnsi="Times New Roman"/>
          <w:sz w:val="18"/>
          <w:szCs w:val="18"/>
          <w:color w:val="auto"/>
        </w:rPr>
        <w:t>. Any amendment of the above provisions in our restated certificate of incorporation would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by holders of at least two-thirds of our outstanding common stock.</w:t>
      </w:r>
    </w:p>
    <w:p>
      <w:pPr>
        <w:spacing w:after="0" w:line="159" w:lineRule="exact"/>
        <w:rPr>
          <w:rFonts w:ascii="Times New Roman" w:cs="Times New Roman" w:eastAsia="Times New Roman" w:hAnsi="Times New Roman"/>
          <w:sz w:val="18"/>
          <w:szCs w:val="18"/>
          <w:color w:val="auto"/>
        </w:rPr>
      </w:pPr>
    </w:p>
    <w:p>
      <w:pPr>
        <w:ind w:left="558" w:hanging="558"/>
        <w:spacing w:after="0" w:line="261" w:lineRule="auto"/>
        <w:tabs>
          <w:tab w:leader="none" w:pos="5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Undesignated Preferred Stock</w:t>
      </w:r>
      <w:r>
        <w:rPr>
          <w:rFonts w:ascii="Times New Roman" w:cs="Times New Roman" w:eastAsia="Times New Roman" w:hAnsi="Times New Roman"/>
          <w:sz w:val="18"/>
          <w:szCs w:val="18"/>
          <w:color w:val="auto"/>
        </w:rPr>
        <w:t>. Our board of directors has the authority, without further action by the stockholders, to issue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178" w:lineRule="exact"/>
        <w:rPr>
          <w:rFonts w:ascii="Times New Roman" w:cs="Times New Roman" w:eastAsia="Times New Roman" w:hAnsi="Times New Roman"/>
          <w:sz w:val="18"/>
          <w:szCs w:val="18"/>
          <w:color w:val="auto"/>
        </w:rPr>
      </w:pPr>
    </w:p>
    <w:p>
      <w:pPr>
        <w:ind w:left="558" w:hanging="558"/>
        <w:spacing w:after="0" w:line="252" w:lineRule="auto"/>
        <w:tabs>
          <w:tab w:leader="none" w:pos="55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restated certificate of incorporation provides that, to the fullest extent permitted by law, the Court of Chancery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Our amended and restated bylaws also provide that the federal district courts of the United States of America will, to the fullest extent permitted by law, be the exclusive forum for resolving any complaint asserting a cause of action arising under the Securities Act, or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204470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58"/>
          </w:cols>
          <w:pgMar w:left="782" w:top="364" w:right="459" w:bottom="1440" w:gutter="0" w:footer="0" w:header="0"/>
        </w:sectPr>
      </w:pPr>
    </w:p>
    <w:bookmarkStart w:id="123" w:name="page124"/>
    <w:bookmarkEnd w:id="123"/>
    <w:p>
      <w:pPr>
        <w:ind w:left="1020" w:right="240"/>
        <w:spacing w:after="0" w:line="265" w:lineRule="auto"/>
        <w:rPr>
          <w:sz w:val="20"/>
          <w:szCs w:val="20"/>
          <w:color w:val="auto"/>
        </w:rPr>
      </w:pPr>
      <w:r>
        <w:rPr>
          <w:rFonts w:ascii="Times New Roman" w:cs="Times New Roman" w:eastAsia="Times New Roman" w:hAnsi="Times New Roman"/>
          <w:sz w:val="18"/>
          <w:szCs w:val="18"/>
          <w:color w:val="auto"/>
        </w:rPr>
        <w:t>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and non-voting common stock is Computershare Trust Company, N.A.</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Nasdaq Global Select Market Listing</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“PRLD.” The non-voting common stock is not listed for trading on any securities exchange and we do not plan to list the non-voting common stock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333333"/>
        </w:rPr>
        <w:t>Consent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consent to the incorporation by reference in the following Registration Statements:</w:t>
      </w:r>
    </w:p>
    <w:p>
      <w:pPr>
        <w:spacing w:after="0" w:line="251" w:lineRule="exact"/>
        <w:rPr>
          <w:sz w:val="20"/>
          <w:szCs w:val="20"/>
          <w:color w:val="auto"/>
        </w:rPr>
      </w:pPr>
    </w:p>
    <w:p>
      <w:pPr>
        <w:ind w:left="760" w:right="40" w:hanging="378"/>
        <w:spacing w:after="0" w:line="281" w:lineRule="auto"/>
        <w:tabs>
          <w:tab w:leader="none" w:pos="760" w:val="left"/>
        </w:tabs>
        <w:numPr>
          <w:ilvl w:val="0"/>
          <w:numId w:val="5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333-249032) pertaining to the 2016 Stock Incentive Plan, 2020 Equity Incentive Plan, and 2020 Employee Stock Purchase Plan of Prelude Therapeutics Incorporated,</w:t>
      </w:r>
    </w:p>
    <w:p>
      <w:pPr>
        <w:spacing w:after="0" w:line="189" w:lineRule="exact"/>
        <w:rPr>
          <w:rFonts w:ascii="Times New Roman" w:cs="Times New Roman" w:eastAsia="Times New Roman" w:hAnsi="Times New Roman"/>
          <w:sz w:val="18"/>
          <w:szCs w:val="18"/>
          <w:color w:val="333333"/>
        </w:rPr>
      </w:pPr>
    </w:p>
    <w:p>
      <w:pPr>
        <w:ind w:left="760" w:right="320" w:hanging="378"/>
        <w:spacing w:after="0" w:line="281" w:lineRule="auto"/>
        <w:tabs>
          <w:tab w:leader="none" w:pos="760" w:val="left"/>
        </w:tabs>
        <w:numPr>
          <w:ilvl w:val="0"/>
          <w:numId w:val="5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Nos. 333-254349 and 333-263642) pertaining to the 2020 Equity Incentive Plan and 2020 Employee Stock Purchase Plan of Prelude Therapeutics Incorporated, and</w:t>
      </w:r>
    </w:p>
    <w:p>
      <w:pPr>
        <w:spacing w:after="0" w:line="18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59"/>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333-261019) of Prelude Therapeutics Incorporated;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of our report dated March 15, 2023, with respect to the financial statements of Prelude Therapeutics Incorporated included in this Annual Report (Form 10-</w:t>
      </w:r>
    </w:p>
    <w:p>
      <w:pPr>
        <w:spacing w:after="0" w:line="27" w:lineRule="exact"/>
        <w:rPr>
          <w:sz w:val="20"/>
          <w:szCs w:val="20"/>
          <w:color w:val="auto"/>
        </w:rPr>
      </w:pPr>
    </w:p>
    <w:p>
      <w:pPr>
        <w:ind w:right="5460" w:firstLine="8"/>
        <w:spacing w:after="0" w:line="520" w:lineRule="auto"/>
        <w:tabs>
          <w:tab w:leader="none" w:pos="235" w:val="left"/>
        </w:tabs>
        <w:numPr>
          <w:ilvl w:val="0"/>
          <w:numId w:val="60"/>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 xml:space="preserve">of Prelude Therapeutics Incorporated for the year ended December 31, 2022. </w:t>
      </w:r>
      <w:r>
        <w:rPr>
          <w:rFonts w:ascii="Times New Roman" w:cs="Times New Roman" w:eastAsia="Times New Roman" w:hAnsi="Times New Roman"/>
          <w:sz w:val="18"/>
          <w:szCs w:val="18"/>
          <w:color w:val="000000"/>
        </w:rPr>
        <w:t>/s/ Ernst &amp; Young LLP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117" w:lineRule="exact"/>
        <w:rPr>
          <w:sz w:val="20"/>
          <w:szCs w:val="20"/>
          <w:color w:val="auto"/>
        </w:rPr>
      </w:pPr>
    </w:p>
    <w:p>
      <w:pPr>
        <w:ind w:left="360" w:hanging="352"/>
        <w:spacing w:after="0"/>
        <w:tabs>
          <w:tab w:leader="none" w:pos="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Prelude Therapeutics Incorporated;</w:t>
      </w:r>
    </w:p>
    <w:p>
      <w:pPr>
        <w:spacing w:after="0" w:line="224" w:lineRule="exact"/>
        <w:rPr>
          <w:rFonts w:ascii="Times New Roman" w:cs="Times New Roman" w:eastAsia="Times New Roman" w:hAnsi="Times New Roman"/>
          <w:sz w:val="18"/>
          <w:szCs w:val="18"/>
          <w:color w:val="auto"/>
        </w:rPr>
      </w:pPr>
    </w:p>
    <w:p>
      <w:pPr>
        <w:jc w:val="both"/>
        <w:ind w:left="380" w:right="420" w:hanging="372"/>
        <w:spacing w:after="0" w:line="265" w:lineRule="auto"/>
        <w:tabs>
          <w:tab w:leader="none" w:pos="3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80" w:hanging="372"/>
        <w:spacing w:after="0" w:line="281" w:lineRule="auto"/>
        <w:tabs>
          <w:tab w:leader="none" w:pos="3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380" w:right="140" w:firstLine="2"/>
        <w:spacing w:after="0" w:line="265" w:lineRule="auto"/>
        <w:tabs>
          <w:tab w:leader="none" w:pos="62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380" w:right="360" w:firstLine="2"/>
        <w:spacing w:after="0" w:line="265" w:lineRule="auto"/>
        <w:tabs>
          <w:tab w:leader="none" w:pos="63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380" w:right="920" w:firstLine="2"/>
        <w:spacing w:after="0" w:line="312" w:lineRule="auto"/>
        <w:tabs>
          <w:tab w:leader="none" w:pos="624"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380" w:right="380" w:firstLine="2"/>
        <w:spacing w:after="0" w:line="265" w:lineRule="auto"/>
        <w:tabs>
          <w:tab w:leader="none" w:pos="63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380" w:right="300" w:hanging="372"/>
        <w:spacing w:after="0" w:line="281" w:lineRule="auto"/>
        <w:tabs>
          <w:tab w:leader="none" w:pos="3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380" w:right="320" w:firstLine="2"/>
        <w:spacing w:after="0" w:line="281" w:lineRule="auto"/>
        <w:tabs>
          <w:tab w:leader="none" w:pos="62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380" w:right="260" w:firstLine="2"/>
        <w:spacing w:after="0" w:line="281" w:lineRule="auto"/>
        <w:tabs>
          <w:tab w:leader="none" w:pos="635"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15, 2023</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5715</wp:posOffset>
            </wp:positionV>
            <wp:extent cx="35617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Krishna Vaddi, Ph.D.</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Laurent Chardonnet, certify that:</w:t>
      </w:r>
    </w:p>
    <w:p>
      <w:pPr>
        <w:spacing w:after="0" w:line="117" w:lineRule="exact"/>
        <w:rPr>
          <w:sz w:val="20"/>
          <w:szCs w:val="20"/>
          <w:color w:val="auto"/>
        </w:rPr>
      </w:pPr>
    </w:p>
    <w:p>
      <w:pPr>
        <w:ind w:left="360" w:hanging="352"/>
        <w:spacing w:after="0"/>
        <w:tabs>
          <w:tab w:leader="none" w:pos="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Prelude Therapeutics Incorporated;</w:t>
      </w:r>
    </w:p>
    <w:p>
      <w:pPr>
        <w:spacing w:after="0" w:line="224" w:lineRule="exact"/>
        <w:rPr>
          <w:rFonts w:ascii="Times New Roman" w:cs="Times New Roman" w:eastAsia="Times New Roman" w:hAnsi="Times New Roman"/>
          <w:sz w:val="18"/>
          <w:szCs w:val="18"/>
          <w:color w:val="auto"/>
        </w:rPr>
      </w:pPr>
    </w:p>
    <w:p>
      <w:pPr>
        <w:jc w:val="both"/>
        <w:ind w:left="380" w:right="420" w:hanging="372"/>
        <w:spacing w:after="0" w:line="265" w:lineRule="auto"/>
        <w:tabs>
          <w:tab w:leader="none" w:pos="3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80" w:hanging="372"/>
        <w:spacing w:after="0" w:line="281" w:lineRule="auto"/>
        <w:tabs>
          <w:tab w:leader="none" w:pos="3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380" w:right="140" w:firstLine="2"/>
        <w:spacing w:after="0" w:line="265" w:lineRule="auto"/>
        <w:tabs>
          <w:tab w:leader="none" w:pos="62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380" w:right="360" w:firstLine="2"/>
        <w:spacing w:after="0" w:line="265" w:lineRule="auto"/>
        <w:tabs>
          <w:tab w:leader="none" w:pos="63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380" w:right="920" w:firstLine="2"/>
        <w:spacing w:after="0" w:line="312" w:lineRule="auto"/>
        <w:tabs>
          <w:tab w:leader="none" w:pos="62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380" w:right="380" w:firstLine="2"/>
        <w:spacing w:after="0" w:line="265" w:lineRule="auto"/>
        <w:tabs>
          <w:tab w:leader="none" w:pos="63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380" w:right="300" w:hanging="372"/>
        <w:spacing w:after="0" w:line="281" w:lineRule="auto"/>
        <w:tabs>
          <w:tab w:leader="none" w:pos="3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380" w:right="320" w:firstLine="2"/>
        <w:spacing w:after="0" w:line="281" w:lineRule="auto"/>
        <w:tabs>
          <w:tab w:leader="none" w:pos="62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380" w:right="260" w:firstLine="2"/>
        <w:spacing w:after="0" w:line="281" w:lineRule="auto"/>
        <w:tabs>
          <w:tab w:leader="none" w:pos="63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15, 2023</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Laurent Chardonnet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5715</wp:posOffset>
            </wp:positionV>
            <wp:extent cx="35617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Laurent Chardonnet</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76" w:lineRule="exact"/>
        <w:rPr>
          <w:sz w:val="20"/>
          <w:szCs w:val="20"/>
          <w:color w:val="auto"/>
        </w:rPr>
      </w:pPr>
    </w:p>
    <w:p>
      <w:pPr>
        <w:ind w:left="900" w:right="720" w:hanging="447"/>
        <w:spacing w:after="0" w:line="281"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2022 (the “Report”) fully complies with the requirements of Section 13(a) or 15(d) of the Securities Exchange Act of 1934, as amended; and</w:t>
      </w:r>
    </w:p>
    <w:p>
      <w:pPr>
        <w:spacing w:after="0" w:line="189" w:lineRule="exact"/>
        <w:rPr>
          <w:rFonts w:ascii="Times New Roman" w:cs="Times New Roman" w:eastAsia="Times New Roman" w:hAnsi="Times New Roman"/>
          <w:sz w:val="18"/>
          <w:szCs w:val="18"/>
          <w:color w:val="auto"/>
        </w:rPr>
      </w:pPr>
    </w:p>
    <w:p>
      <w:pPr>
        <w:ind w:left="900" w:right="760" w:hanging="447"/>
        <w:spacing w:after="0" w:line="281"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15, 2023</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 Vaddi</w:t>
            </w:r>
          </w:p>
        </w:tc>
      </w:tr>
      <w:tr>
        <w:trPr>
          <w:trHeight w:val="191"/>
        </w:trPr>
        <w:tc>
          <w:tcPr>
            <w:tcW w:w="564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Krishna Vaddi, Ph.D.</w:t>
            </w:r>
          </w:p>
        </w:tc>
      </w:tr>
      <w:tr>
        <w:trPr>
          <w:trHeight w:val="216"/>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70"/>
        </w:trPr>
        <w:tc>
          <w:tcPr>
            <w:tcW w:w="564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I, Laurent Chardonnet, Chief Financial Officer of Prelude Therapeutics Incorporated (the “Company”), do hereby certify, pursuant to 18 U.S.C. Section 1350, as adopted pursuant to Section 906 of the Sarbanes-Oxley Act of 2002, that to the best of my knowledge:</w:t>
      </w:r>
    </w:p>
    <w:p>
      <w:pPr>
        <w:spacing w:after="0" w:line="163" w:lineRule="exact"/>
        <w:rPr>
          <w:sz w:val="20"/>
          <w:szCs w:val="20"/>
          <w:color w:val="auto"/>
        </w:rPr>
      </w:pPr>
    </w:p>
    <w:p>
      <w:pPr>
        <w:ind w:left="760" w:right="860" w:hanging="378"/>
        <w:spacing w:after="0" w:line="281"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December 31, 2022 (the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March 15, 2023</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Laurent Chardonnet</w:t>
            </w:r>
          </w:p>
        </w:tc>
      </w:tr>
      <w:tr>
        <w:trPr>
          <w:trHeight w:val="191"/>
        </w:trPr>
        <w:tc>
          <w:tcPr>
            <w:tcW w:w="564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Laurent Chardonnet</w:t>
            </w:r>
          </w:p>
        </w:tc>
      </w:tr>
      <w:tr>
        <w:trPr>
          <w:trHeight w:val="216"/>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870"/>
        </w:trPr>
        <w:tc>
          <w:tcPr>
            <w:tcW w:w="564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lvl w:ilvl="1">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1)"/>
      <w:numFmt w:val="upperLetter"/>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upperLetter"/>
      <w:start w:val="1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1)"/>
      <w:numFmt w:val="lowerRoman"/>
      <w:start w:val="3"/>
    </w:lvl>
  </w:abstractNum>
  <w:abstractNum w:abstractNumId="45">
    <w:nsid w:val="23F9C13C"/>
    <w:multiLevelType w:val="hybridMultilevel"/>
    <w:lvl w:ilvl="0">
      <w:lvlJc w:val="left"/>
      <w:lvlText w:val="(%1)"/>
      <w:numFmt w:val="lowerRoman"/>
      <w:start w:val="1"/>
    </w:lvl>
  </w:abstractNum>
  <w:abstractNum w:abstractNumId="46">
    <w:nsid w:val="649BB77C"/>
    <w:multiLevelType w:val="hybridMultilevel"/>
    <w:lvl w:ilvl="0">
      <w:lvlJc w:val="left"/>
      <w:lvlText w:val="%1."/>
      <w:numFmt w:val="decimal"/>
      <w:start w:val="3"/>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2"/>
    </w:lvl>
  </w:abstractNum>
  <w:abstractNum w:abstractNumId="50">
    <w:nsid w:val="180115BE"/>
    <w:multiLevelType w:val="hybridMultilevel"/>
    <w:lvl w:ilvl="0">
      <w:lvlJc w:val="left"/>
      <w:lvlText w:val="(%1)"/>
      <w:numFmt w:val="decimal"/>
      <w:start w:val="3"/>
    </w:lvl>
  </w:abstractNum>
  <w:abstractNum w:abstractNumId="51">
    <w:nsid w:val="235BA861"/>
    <w:multiLevelType w:val="hybridMultilevel"/>
    <w:lvl w:ilvl="0">
      <w:lvlJc w:val="left"/>
      <w:lvlText w:val="%1"/>
      <w:numFmt w:val="decimal"/>
      <w:start w:val="104"/>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upperLetter"/>
      <w:start w:val="1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64"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52" Type="http://schemas.openxmlformats.org/officeDocument/2006/relationships/hyperlink" Target="https://www.sec.gov/Archives/edgar/data/0001678660/000156459020052747/prld-ex31_234.htm" TargetMode="External"/><Relationship Id="rId253" Type="http://schemas.openxmlformats.org/officeDocument/2006/relationships/hyperlink" Target="https://www.sec.gov/Archives/edgar/data/1678660/000095017023001023/prld-ex3_1.htm" TargetMode="External"/><Relationship Id="rId254" Type="http://schemas.openxmlformats.org/officeDocument/2006/relationships/hyperlink" Target="https://www.sec.gov/Archives/edgar/data/0001678660/000119312520246920/d935180dex41.htm" TargetMode="External"/><Relationship Id="rId255" Type="http://schemas.openxmlformats.org/officeDocument/2006/relationships/hyperlink" Target="https://www.sec.gov/Archives/edgar/data/1678660/000119312520240138/d935180dex42.htm" TargetMode="External"/><Relationship Id="rId256" Type="http://schemas.openxmlformats.org/officeDocument/2006/relationships/hyperlink" Target="https://www.sec.gov/Archives/edgar/data/0001678660/000119312521000946/d85697dex43.htm" TargetMode="External"/><Relationship Id="rId257" Type="http://schemas.openxmlformats.org/officeDocument/2006/relationships/hyperlink" Target="https://www.sec.gov/Archives/edgar/data/0001678660/000119312520240138/d935180dex101.htm" TargetMode="External"/><Relationship Id="rId258" Type="http://schemas.openxmlformats.org/officeDocument/2006/relationships/hyperlink" Target="https://www.sec.gov/Archives/edgar/data/0001678660/000119312520240138/d935180dex102.htm" TargetMode="External"/><Relationship Id="rId259" Type="http://schemas.openxmlformats.org/officeDocument/2006/relationships/hyperlink" Target="https://www.sec.gov/Archives/edgar/data/0001678660/000119312520249549/d935180dex103.htm" TargetMode="External"/><Relationship Id="rId260" Type="http://schemas.openxmlformats.org/officeDocument/2006/relationships/hyperlink" Target="https://www.sec.gov/Archives/edgar/data/0001678660/000119312520249549/d935180dex104.htm" TargetMode="External"/><Relationship Id="rId261" Type="http://schemas.openxmlformats.org/officeDocument/2006/relationships/hyperlink" Target="https://www.sec.gov/Archives/edgar/data/0001678660/000119312520285568/d88737dex101.htm" TargetMode="External"/><Relationship Id="rId262" Type="http://schemas.openxmlformats.org/officeDocument/2006/relationships/hyperlink" Target="https://www.sec.gov/Archives/edgar/data/1678660/000119312521000946/d85697dex106.htm" TargetMode="External"/><Relationship Id="rId263" Type="http://schemas.openxmlformats.org/officeDocument/2006/relationships/hyperlink" Target="https://www.sec.gov/Archives/edgar/data/1678660/000156459022010723/prld-ex107_338.htm" TargetMode="External"/><Relationship Id="rId265" Type="http://schemas.openxmlformats.org/officeDocument/2006/relationships/hyperlink" Target="https://www.sec.gov/Archives/edgar/data/1678660/000156459022019085/prld-ex101_194.htm" TargetMode="External"/><Relationship Id="rId266" Type="http://schemas.openxmlformats.org/officeDocument/2006/relationships/hyperlink" Target="https://www.sec.gov/Archives/edgar/data/1678660/000156459022028596/prld-ex101_183.htm" TargetMode="External"/><Relationship Id="rId267" Type="http://schemas.openxmlformats.org/officeDocument/2006/relationships/hyperlink" Target="https://www.sec.gov/Archives/edgar/data/1678660/000156459022010723/prld-ex1011_220.htm" TargetMode="External"/><Relationship Id="rId268" Type="http://schemas.openxmlformats.org/officeDocument/2006/relationships/hyperlink" Target="https://www.sec.gov/Archives/edgar/data/1678660/000156459022010723/prld-ex1012_710.htm" TargetMode="External"/><Relationship Id="rId269" Type="http://schemas.openxmlformats.org/officeDocument/2006/relationships/hyperlink" Target="https://www.sec.gov/Archives/edgar/data/1678660/000095017022024732/prld-ex10_1.htm" TargetMode="External"/><Relationship Id="rId270" Type="http://schemas.openxmlformats.org/officeDocument/2006/relationships/hyperlink" Target="https://www.sec.gov/Archives/edgar/data/0001678660/000119312520240138/d935180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2023-03-15T08:01:46Z</dcterms:created>
  <dcterms:modified xsi:type="dcterms:W3CDTF">2023-03-15T08:01:46Z</dcterms:modified>
</cp:coreProperties>
</file>