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3880" w:right="1580" w:hanging="3859"/>
        <w:spacing w:after="0" w:line="226"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7"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60" w:type="dxa"/>
        <w:tblCellMar>
          <w:top w:w="0" w:type="dxa"/>
          <w:left w:w="0" w:type="dxa"/>
          <w:bottom w:w="0" w:type="dxa"/>
          <w:right w:w="0" w:type="dxa"/>
        </w:tblCellMar>
      </w:tblPr>
      <w:tr>
        <w:trPr>
          <w:trHeight w:val="230"/>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32"/>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72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66"/>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August 11, 2025, the registrant had 56,600,345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60" w:type="dxa"/>
            <w:vAlign w:val="bottom"/>
            <w:gridSpan w:val="17"/>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Loss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Interim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4"/>
                <w:szCs w:val="14"/>
                <w:color w:val="auto"/>
              </w:rPr>
              <w:t>(unaudited)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135,895</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114,918</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100" w:type="dxa"/>
            <w:vAlign w:val="bottom"/>
            <w:shd w:val="clear" w:color="auto" w:fill="CFF0FC"/>
          </w:tcPr>
          <w:p>
            <w:pPr>
              <w:spacing w:after="0"/>
              <w:rPr>
                <w:sz w:val="21"/>
                <w:szCs w:val="21"/>
                <w:color w:val="auto"/>
              </w:rPr>
            </w:pPr>
          </w:p>
        </w:tc>
      </w:tr>
      <w:tr>
        <w:trPr>
          <w:trHeight w:val="197"/>
        </w:trPr>
        <w:tc>
          <w:tcPr>
            <w:tcW w:w="7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liability</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r>
      <w:tr>
        <w:trPr>
          <w:trHeight w:val="210"/>
        </w:trPr>
        <w:tc>
          <w:tcPr>
            <w:tcW w:w="76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25,641</w:t>
            </w:r>
          </w:p>
        </w:tc>
        <w:tc>
          <w:tcPr>
            <w:tcW w:w="10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18"/>
                <w:szCs w:val="18"/>
                <w:color w:val="auto"/>
              </w:rPr>
            </w:pPr>
          </w:p>
        </w:tc>
      </w:tr>
      <w:tr>
        <w:trPr>
          <w:trHeight w:val="209"/>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43,744,066 and</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42,298,859 shares issued and outstanding at June 30, 2025 and December 31, 2024, respectively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112,850,259 and 12,850,259 shares authorized at</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June 30, 2025 and December 31, 2024, respectively; 12,850,259 shares issued and outstanding at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both June 30, 2025 and December 31, 2024</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714,982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(646,879)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(583,563)</w:t>
            </w:r>
          </w:p>
        </w:tc>
      </w:tr>
      <w:tr>
        <w:trPr>
          <w:trHeight w:val="210"/>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114,918</w:t>
            </w:r>
          </w:p>
        </w:tc>
        <w:tc>
          <w:tcPr>
            <w:tcW w:w="1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175,515</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-3950970</wp:posOffset>
            </wp:positionV>
            <wp:extent cx="76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-3110865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-3093720</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-2262505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-1696720</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40" w:type="dxa"/>
            <w:vAlign w:val="bottom"/>
          </w:tcPr>
          <w:p>
            <w:pPr>
              <w:spacing w:after="0"/>
              <w:rPr>
                <w:sz w:val="15"/>
                <w:szCs w:val="15"/>
                <w:color w:val="auto"/>
              </w:rPr>
            </w:pPr>
          </w:p>
        </w:tc>
        <w:tc>
          <w:tcPr>
            <w:tcW w:w="27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(32,194)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(37,164)</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(66,800)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(71,507)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(31,231)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(34,740)</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(63,316)</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(66,171)</w:t>
            </w:r>
          </w:p>
        </w:tc>
        <w:tc>
          <w:tcPr>
            <w:tcW w:w="0" w:type="dxa"/>
            <w:vAlign w:val="bottom"/>
          </w:tcPr>
          <w:p>
            <w:pPr>
              <w:spacing w:after="0"/>
              <w:rPr>
                <w:sz w:val="1"/>
                <w:szCs w:val="1"/>
                <w:color w:val="auto"/>
              </w:rPr>
            </w:pPr>
          </w:p>
        </w:tc>
      </w:tr>
      <w:tr>
        <w:trPr>
          <w:trHeight w:val="197"/>
        </w:trPr>
        <w:tc>
          <w:tcPr>
            <w:tcW w:w="5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178"/>
        </w:trPr>
        <w:tc>
          <w:tcPr>
            <w:tcW w:w="54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75,993,941</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75,762,152</w:t>
            </w: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75,990,132</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75,748,989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(34,740)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(63,316)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(66,171)</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(31,244)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(34,795)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(63,352)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(66,684)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-1756410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-1756410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-1756410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-1182370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-1165225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-1182370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-1165225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-1182370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-1165225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-882015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-864870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-882015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-864870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-882015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-864870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-170815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0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(583,56</w:t>
            </w:r>
          </w:p>
        </w:tc>
        <w:tc>
          <w:tcPr>
            <w:tcW w:w="20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42,298,859</w:t>
            </w:r>
          </w:p>
        </w:tc>
        <w:tc>
          <w:tcPr>
            <w:tcW w:w="6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$ 714,982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 RSUs, net of 3,859 shares withheld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1,299,827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(32,085)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191"/>
        </w:trPr>
        <w:tc>
          <w:tcPr>
            <w:tcW w:w="30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(615,64</w:t>
            </w:r>
          </w:p>
        </w:tc>
        <w:tc>
          <w:tcPr>
            <w:tcW w:w="20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43,604,202</w:t>
            </w:r>
          </w:p>
        </w:tc>
        <w:tc>
          <w:tcPr>
            <w:tcW w:w="6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$ 718,809</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4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RSU's, net of 3,355 shares withheld for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133,844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(31,231)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(31,231)</w:t>
            </w:r>
          </w:p>
        </w:tc>
        <w:tc>
          <w:tcPr>
            <w:tcW w:w="0" w:type="dxa"/>
            <w:vAlign w:val="bottom"/>
          </w:tcPr>
          <w:p>
            <w:pPr>
              <w:spacing w:after="0"/>
              <w:rPr>
                <w:sz w:val="1"/>
                <w:szCs w:val="1"/>
                <w:color w:val="auto"/>
              </w:rPr>
            </w:pPr>
          </w:p>
        </w:tc>
      </w:tr>
      <w:tr>
        <w:trPr>
          <w:trHeight w:val="191"/>
        </w:trPr>
        <w:tc>
          <w:tcPr>
            <w:tcW w:w="30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0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(646,87</w:t>
            </w:r>
          </w:p>
        </w:tc>
        <w:tc>
          <w:tcPr>
            <w:tcW w:w="200" w:type="dxa"/>
            <w:vAlign w:val="bottom"/>
            <w:tcBorders>
              <w:right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43,744,066</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$ 722,713</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-1533525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-1533525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-1533525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-1533525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-1533525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-1533525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-1533525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tcBorders>
              <w:top w:val="single" w:sz="8" w:color="auto"/>
            </w:tcBorders>
            <w:gridSpan w:val="3"/>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8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20" w:type="dxa"/>
            <w:vAlign w:val="bottom"/>
          </w:tcPr>
          <w:p>
            <w:pPr>
              <w:spacing w:after="0"/>
              <w:rPr>
                <w:sz w:val="12"/>
                <w:szCs w:val="12"/>
                <w:color w:val="auto"/>
              </w:rPr>
            </w:pPr>
          </w:p>
        </w:tc>
        <w:tc>
          <w:tcPr>
            <w:tcW w:w="1920" w:type="dxa"/>
            <w:vAlign w:val="bottom"/>
            <w:gridSpan w:val="4"/>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3"/>
                <w:szCs w:val="13"/>
                <w:color w:val="auto"/>
              </w:rPr>
            </w:pPr>
          </w:p>
        </w:tc>
        <w:tc>
          <w:tcPr>
            <w:tcW w:w="184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92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42,063,99</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 (456,390)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RSUs, net of 4,285 shares withheld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(31,431)</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(31,431)</w:t>
            </w:r>
          </w:p>
        </w:tc>
        <w:tc>
          <w:tcPr>
            <w:tcW w:w="0" w:type="dxa"/>
            <w:vAlign w:val="bottom"/>
          </w:tcPr>
          <w:p>
            <w:pPr>
              <w:spacing w:after="0"/>
              <w:rPr>
                <w:sz w:val="1"/>
                <w:szCs w:val="1"/>
                <w:color w:val="auto"/>
              </w:rPr>
            </w:pPr>
          </w:p>
        </w:tc>
      </w:tr>
      <w:tr>
        <w:trPr>
          <w:trHeight w:val="191"/>
        </w:trPr>
        <w:tc>
          <w:tcPr>
            <w:tcW w:w="28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42,071,50</w:t>
            </w: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698,785</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(487,821)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net of 3,722 shares withheld</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employee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(34,740)</w:t>
            </w: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(34,740)</w:t>
            </w:r>
          </w:p>
        </w:tc>
        <w:tc>
          <w:tcPr>
            <w:tcW w:w="0" w:type="dxa"/>
            <w:vAlign w:val="bottom"/>
          </w:tcPr>
          <w:p>
            <w:pPr>
              <w:spacing w:after="0"/>
              <w:rPr>
                <w:sz w:val="1"/>
                <w:szCs w:val="1"/>
                <w:color w:val="auto"/>
              </w:rPr>
            </w:pPr>
          </w:p>
        </w:tc>
      </w:tr>
      <w:tr>
        <w:trPr>
          <w:trHeight w:val="191"/>
        </w:trPr>
        <w:tc>
          <w:tcPr>
            <w:tcW w:w="28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42,158,22</w:t>
            </w: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705,122</w:t>
            </w: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(522,561)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-1953895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-1953895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-1953895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-1953895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-1953895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-1953895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-1953895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-1953895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-290830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-290830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-290830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-290830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-290830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-290830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-290830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(63,316)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(66,171)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(54,848)</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73,707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-2716530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-2716530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-1868170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-1036320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-462280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-445135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The Company follows the provisions of Financial Accounting Standards Board (“FASB”) Accounting Standards Codification (“ASC”) 205-40, Presentation of Financial Statements—Going Concern, which requires management to assess the Company’s ability to continue as a going concern within one year after the date the financial statements are issued. Since its inception, the Company has incurred operating losses and had an accumulated deficit of $646.9 million as of June 30, 2025. The Company has no product revenue to date and devotes its efforts to research and development. The Company anticipates incurring additional losses until such time, if ever, that it can generate significant sales of its product candidates currently in development.</w:t>
      </w:r>
    </w:p>
    <w:p>
      <w:pPr>
        <w:spacing w:after="0" w:line="183"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At June 30, 2025, the Company had cash, cash equivalents, restricted cash and marketable securities totaling $77.3 million. Absent additional funding, the Company believes that its cash, cash equivalents, restricted cash and marketable securities will not be sufficient to fund its operating expenses and capital expenditure requirements for at least the next twelve months from the filing date of this Quarterly Report on Form 10-Q. As a result, substantial doubt exists about our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related to the recoverability and classification of recorded asset amounts or the amounts and classification of liabilities that might result from the outcome of the uncertainties described above.</w:t>
      </w:r>
    </w:p>
    <w:p>
      <w:pPr>
        <w:spacing w:after="0" w:line="18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complete summary of significant accounting policies included in the Company’s financial statements for the year ended December 31, 2024 can be found in “Note 3. Summary of significant accounting policies” of the Company’s Annual Report on Form 10-K filed with the Securities and Exchange Commission (the “SEC”) on March 10, 2025.</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six months ended June 30, 2025 are not necessarily indicative of the results that may be expected for the year ending December 31, 2025. The accompanying unaudited interim financial statements should be read in conjunction with the annual audited financial statements and related notes as of and for the year ended December 31, 2024 found in the Company's Annual Report on Form 10-K filed with the SEC on March 10, 2025. Any reference in these notes to applicable guidance is meant to refer to GAAP as found in the Accounting Standards Codification (“ASC”) and Accounting Standards Updates (“ASU”) of the Financial Accounting Standards Board (“FASB”).</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2025 and December 31, 2024.</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 for further details.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25,752</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12,474</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4,044</w:t>
            </w:r>
          </w:p>
        </w:tc>
      </w:tr>
      <w:tr>
        <w:trPr>
          <w:trHeight w:val="20"/>
        </w:trPr>
        <w:tc>
          <w:tcPr>
            <w:tcW w:w="7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29,796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16,518</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(“U.S.”) government debt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6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Diluted net loss per share of common stock includes the effect, if any, from the potential exercise of securities, such as stock options, and the effect from unvested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spacing w:after="0" w:line="18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24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60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337,750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16,480,115</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15,180,727</w:t>
            </w:r>
          </w:p>
        </w:tc>
        <w:tc>
          <w:tcPr>
            <w:tcW w:w="100" w:type="dxa"/>
            <w:vAlign w:val="bottom"/>
            <w:tcBorders>
              <w:bottom w:val="single" w:sz="8" w:color="CFF0FC"/>
            </w:tcBorders>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16,817,865</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15,263,227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 The Company anticipates that it will no longer be an emerging growth company as of December 31, 2025 and, as a result, we will no longer be able to take advantage of reduced disclosure and other obligations that are available to emerging growth companies after that date. However, even after we no longer qualify as an emerging growth company, we may still qualify as a “smaller reporting company” which would allow us to take advantage of many of the same exemptions from disclosure requirements and other obligations.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ASU 2023-09 requires enhanced income tax disclosures related to the rate reconciliation and income taxes paid information. For public business entities, the amendments in this ASU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17,627</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1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47,464</w:t>
            </w:r>
          </w:p>
        </w:tc>
        <w:tc>
          <w:tcPr>
            <w:tcW w:w="100" w:type="dxa"/>
            <w:vAlign w:val="bottom"/>
            <w:shd w:val="clear" w:color="auto" w:fill="CFF0FC"/>
          </w:tcPr>
          <w:p>
            <w:pPr>
              <w:spacing w:after="0"/>
              <w:rPr>
                <w:sz w:val="21"/>
                <w:szCs w:val="21"/>
                <w:color w:val="auto"/>
              </w:rPr>
            </w:pPr>
          </w:p>
        </w:tc>
      </w:tr>
      <w:tr>
        <w:trPr>
          <w:trHeight w:val="197"/>
        </w:trPr>
        <w:tc>
          <w:tcPr>
            <w:tcW w:w="292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100" w:type="dxa"/>
            <w:vAlign w:val="bottom"/>
          </w:tcPr>
          <w:p>
            <w:pPr>
              <w:spacing w:after="0"/>
              <w:rPr>
                <w:sz w:val="18"/>
                <w:szCs w:val="18"/>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shd w:val="clear" w:color="auto" w:fill="CFF0FC"/>
          </w:tcPr>
          <w:p>
            <w:pPr>
              <w:spacing w:after="0"/>
              <w:rPr>
                <w:sz w:val="19"/>
                <w:szCs w:val="19"/>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-882015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-864870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-882015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-864870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-882015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-864870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7 months or less. As of June 30, 2025, the Company had 18 securities with a total fair market value of $26.4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220"/>
        <w:spacing w:after="0" w:line="282" w:lineRule="auto"/>
        <w:rPr>
          <w:sz w:val="20"/>
          <w:szCs w:val="20"/>
          <w:color w:val="auto"/>
        </w:rPr>
      </w:pPr>
      <w:r>
        <w:rPr>
          <w:rFonts w:ascii="Times New Roman" w:cs="Times New Roman" w:eastAsia="Times New Roman" w:hAnsi="Times New Roman"/>
          <w:sz w:val="18"/>
          <w:szCs w:val="18"/>
          <w:color w:val="auto"/>
        </w:rPr>
        <w:t>follows the provisions of ASC 820, Fair Value Measurement, for financial assets and liabilities measured on a recurring basis. The guidance requires fair value measurements be classified and disclosed in one of the following three categories:</w:t>
      </w:r>
    </w:p>
    <w:p>
      <w:pPr>
        <w:spacing w:after="0" w:line="52"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4"/>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5,883</w:t>
            </w:r>
          </w:p>
        </w:tc>
        <w:tc>
          <w:tcPr>
            <w:tcW w:w="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9,022</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6,491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13,235</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-4893945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-4893945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-4893945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-4045585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-4045585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-4045585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-2914015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-2914015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-2622550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-2605405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-2622550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-2605405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-2622550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-2605405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June 30, 2025,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the shelf registration statement filed in November 2021 (the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In November 2024, the 2021 Shelf Registration Statement expired with respect to the shares to be sold under the Sales Agreement. Accordingly, the Company will need to register the $75.0 million of common stock that may be issued and sold pursuant to the Sales Agreement on a subsequent registration statement before any future sales are permitted. The Company will pay Jefferies LLC a commission rate of up to 3.0% of the aggregate gross proceeds from the sale of any shares of common stock pursuant to the Sales Agreement. At June 30, 2025, there was $75.0 million remaining under the Sales Agreement.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right="460" w:firstLine="47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2023, the Company sold pre-funded warrants to purchase 12,895,256 shares of voting common stock at a price of $5.7499 per pre-funded warrant and during the fourth quarter of 2023 the Company sold pre-funded warrants to purchase 7,936,759 shares of voting common stock at a price of $3.1499 per pre-funded warrant.</w:t>
      </w:r>
    </w:p>
    <w:p>
      <w:pPr>
        <w:spacing w:after="0" w:line="68" w:lineRule="exact"/>
        <w:rPr>
          <w:sz w:val="20"/>
          <w:szCs w:val="20"/>
          <w:color w:val="auto"/>
        </w:rPr>
      </w:pPr>
    </w:p>
    <w:p>
      <w:pPr>
        <w:ind w:right="8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represented the per share offering price for the common stock, minus the $0.0001 per share exercise price of such pre-funded warrant.</w:t>
      </w:r>
    </w:p>
    <w:p>
      <w:pPr>
        <w:spacing w:after="0" w:line="54"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right="440" w:firstLine="479"/>
        <w:spacing w:after="0" w:line="282" w:lineRule="auto"/>
        <w:rPr>
          <w:sz w:val="20"/>
          <w:szCs w:val="20"/>
          <w:color w:val="auto"/>
        </w:rPr>
      </w:pPr>
      <w:r>
        <w:rPr>
          <w:rFonts w:ascii="Times New Roman" w:cs="Times New Roman" w:eastAsia="Times New Roman" w:hAnsi="Times New Roman"/>
          <w:sz w:val="18"/>
          <w:szCs w:val="18"/>
          <w:color w:val="auto"/>
        </w:rPr>
        <w:t>There were 1,300,000 pre-funded warrants exercised during the six months ended June 30, 2025. The Company did not conduct any financings during the six months ended June 30, 2025 and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 approximately 81,000 rentable square feet and has an initial term of 162 months with 3 five-year extension options and certain expansion rights. Neither the option to extend nor the expansion rights were recognized as part of the Company's measurement of the right-of-use ("ROU") asset and operating lease liability as of June 30, 2025. Under the terms of the Chestnut Run Lease, the landlord provided an allowance towards the cost of completing tenant improvements for the premises. The Company concluded that the improvements resulting from both the landlord's build-out and the tenant improvements are the landlord's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assets for accounting purposes. Costs incurred by the Company related to tenant improvements in excess of the landlord's allowance were treated as prepaid rent and increased the right-of-use asset on the commencement date.</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 The final payment under the agreement was made in April 2025.</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operating lease costs for the three and six months ended for both June 30, 2025 and 2024 were $1.0 million and $2.1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and other information related to our operating and finance leases as of June 30, 2025 and December 31,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5"/>
            <w:vMerge w:val="restart"/>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3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leased assets</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27,932</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Current liabilities, operating lease</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p>
        </w:tc>
        <w:tc>
          <w:tcPr>
            <w:tcW w:w="3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4"/>
        </w:trPr>
        <w:tc>
          <w:tcPr>
            <w:tcW w:w="3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420" w:type="dxa"/>
            <w:vAlign w:val="bottom"/>
            <w:gridSpan w:val="10"/>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six months ended June 30, 2025 and 2024 were as follows: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80" w:type="dxa"/>
            <w:vAlign w:val="bottom"/>
          </w:tcPr>
          <w:p>
            <w:pPr>
              <w:spacing w:after="0"/>
              <w:rPr>
                <w:sz w:val="18"/>
                <w:szCs w:val="18"/>
                <w:color w:val="auto"/>
              </w:rPr>
            </w:pPr>
          </w:p>
        </w:tc>
        <w:tc>
          <w:tcPr>
            <w:tcW w:w="7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4"/>
                <w:szCs w:val="24"/>
                <w:color w:val="auto"/>
              </w:rPr>
            </w:pPr>
          </w:p>
        </w:tc>
        <w:tc>
          <w:tcPr>
            <w:tcW w:w="3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-4817110</wp:posOffset>
            </wp:positionV>
            <wp:extent cx="1111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-4817110</wp:posOffset>
            </wp:positionV>
            <wp:extent cx="1117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-3539490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-3522345</wp:posOffset>
            </wp:positionV>
            <wp:extent cx="111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-3539490</wp:posOffset>
            </wp:positionV>
            <wp:extent cx="1117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-3522345</wp:posOffset>
            </wp:positionV>
            <wp:extent cx="1117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for operating lease at June 30, 2025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8"/>
                <w:szCs w:val="18"/>
                <w:color w:val="auto"/>
              </w:rPr>
            </w:pPr>
          </w:p>
        </w:tc>
      </w:tr>
      <w:tr>
        <w:trPr>
          <w:trHeight w:val="216"/>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shd w:val="clear" w:color="auto" w:fill="CFF0FC"/>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Pr>
          <w:p>
            <w:pPr>
              <w:spacing w:after="0"/>
              <w:rPr>
                <w:sz w:val="18"/>
                <w:szCs w:val="18"/>
                <w:color w:val="auto"/>
              </w:rPr>
            </w:pPr>
          </w:p>
        </w:tc>
      </w:tr>
      <w:tr>
        <w:trPr>
          <w:trHeight w:val="216"/>
        </w:trPr>
        <w:tc>
          <w:tcPr>
            <w:tcW w:w="9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40,190</w:t>
            </w:r>
          </w:p>
        </w:tc>
        <w:tc>
          <w:tcPr>
            <w:tcW w:w="100" w:type="dxa"/>
            <w:vAlign w:val="bottom"/>
          </w:tcPr>
          <w:p>
            <w:pPr>
              <w:spacing w:after="0"/>
              <w:rPr>
                <w:sz w:val="18"/>
                <w:szCs w:val="18"/>
                <w:color w:val="auto"/>
              </w:rPr>
            </w:pPr>
          </w:p>
        </w:tc>
      </w:tr>
      <w:tr>
        <w:trPr>
          <w:trHeight w:val="209"/>
        </w:trPr>
        <w:tc>
          <w:tcPr>
            <w:tcW w:w="9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(22,273)</w:t>
            </w:r>
          </w:p>
        </w:tc>
      </w:tr>
      <w:tr>
        <w:trPr>
          <w:trHeight w:val="209"/>
        </w:trPr>
        <w:tc>
          <w:tcPr>
            <w:tcW w:w="9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00" w:type="dxa"/>
            <w:vAlign w:val="bottom"/>
            <w:tcBorders>
              <w:top w:val="single" w:sz="8" w:color="CFF0FC"/>
            </w:tcBorders>
          </w:tcPr>
          <w:p>
            <w:pPr>
              <w:spacing w:after="0"/>
              <w:rPr>
                <w:sz w:val="18"/>
                <w:szCs w:val="18"/>
                <w:color w:val="auto"/>
              </w:rPr>
            </w:pPr>
          </w:p>
        </w:tc>
      </w:tr>
      <w:tr>
        <w:trPr>
          <w:trHeight w:val="20"/>
        </w:trPr>
        <w:tc>
          <w:tcPr>
            <w:tcW w:w="9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accompanying balance sheet as restricted cash as of June 30, 2025. The security deposit may be reduced to $0.5 million over time in accordance with the terms of the Chestnut Run Lease. The letter of credit was reduced to $3.2 million in July 2025.</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40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each of the three months ended June 30, 2025 and 2024, the Company made matching contributions of $0.2 million. For each of the six months ended June 30, 2025 and 2024, the Company made matching contributions of $0.4 million.</w:t>
      </w:r>
    </w:p>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 scope of ASC 808, Collaborative Arrangements, as both parties will actively participate in joint operating activities and are exposed to significant risks and rewards. Under ASC 808, certain transactions between collaborative arrangement participants should follow the accounting for revenue under ASC 606, Revenue from Contracts with Customers, when the collaborative arrangement participant is a customer for a distinct good or service. The Company determined that co-development arrangement as defined in our agreement with AbCellera does not meet the definition of a customer as defined by ASC 606. As a result, these activities will be accounted for as research and development costs. Costs related to the AbCellera collaboration were not material for the three and six months ended June 30, 2025 and 2024.</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included a near term $4.0 million payment upon the earlier of 180 days following the effective date of the license agreement or the execution of a quality agreement between the parties pursuant to which the Company transferred title to certain quantities of Active Pharmaceutical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480"/>
        <w:spacing w:after="0" w:line="282" w:lineRule="auto"/>
        <w:rPr>
          <w:sz w:val="20"/>
          <w:szCs w:val="20"/>
          <w:color w:val="auto"/>
        </w:rPr>
      </w:pPr>
      <w:r>
        <w:rPr>
          <w:rFonts w:ascii="Times New Roman" w:cs="Times New Roman" w:eastAsia="Times New Roman" w:hAnsi="Times New Roman"/>
          <w:sz w:val="18"/>
          <w:szCs w:val="18"/>
          <w:color w:val="auto"/>
        </w:rPr>
        <w:t>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60" w:lineRule="exact"/>
        <w:rPr>
          <w:sz w:val="20"/>
          <w:szCs w:val="20"/>
          <w:color w:val="auto"/>
        </w:rPr>
      </w:pPr>
    </w:p>
    <w:p>
      <w:pPr>
        <w:ind w:right="40" w:firstLine="524"/>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license agreement with Pathos in accordance with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xml:space="preserve"> and concluded that Pathos is a customer. The license agreement with Pathos including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transferred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accordingly they represent one combined performance obligation. The execution of a quality agreement pursuant to which the Company transferred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190"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satisfied both performance obligations in the second half of 2024. There was no revenue recognized in the statement of operations for the six months ended June 30, 2025 and 2024.</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5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clinical research organizations ("CROs") to assist in the performance of research and development activities. Expenditures to CROs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w:t>
      </w:r>
    </w:p>
    <w:p>
      <w:pPr>
        <w:spacing w:after="0" w:line="229" w:lineRule="exact"/>
        <w:rPr>
          <w:sz w:val="20"/>
          <w:szCs w:val="20"/>
          <w:color w:val="auto"/>
        </w:rPr>
      </w:pPr>
    </w:p>
    <w:p>
      <w:pPr>
        <w:jc w:val="both"/>
        <w:ind w:right="320" w:firstLine="479"/>
        <w:spacing w:after="0" w:line="266" w:lineRule="auto"/>
        <w:rPr>
          <w:sz w:val="20"/>
          <w:szCs w:val="20"/>
          <w:color w:val="auto"/>
        </w:rPr>
      </w:pPr>
      <w:r>
        <w:rPr>
          <w:rFonts w:ascii="Times New Roman" w:cs="Times New Roman" w:eastAsia="Times New Roman" w:hAnsi="Times New Roman"/>
          <w:sz w:val="18"/>
          <w:szCs w:val="18"/>
          <w:color w:val="auto"/>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CODM for purposes of evaluating performance, allocating resources, and planning and forecasting for future periods.</w:t>
      </w:r>
    </w:p>
    <w:p>
      <w:pPr>
        <w:spacing w:after="0" w:line="176" w:lineRule="exact"/>
        <w:rPr>
          <w:sz w:val="20"/>
          <w:szCs w:val="20"/>
          <w:color w:val="auto"/>
        </w:rPr>
      </w:pPr>
    </w:p>
    <w:p>
      <w:pPr>
        <w:ind w:right="440" w:firstLine="479"/>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statement of operations and comprehensive loss as net loss. The measure of segment assets is reported on the balance sheet as total assets.</w:t>
      </w:r>
    </w:p>
    <w:p>
      <w:pPr>
        <w:spacing w:after="0" w:line="176"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revenue from product sales, and the Company does not expect to generate any revenue in the foreseeable future. Net loss is used to monitor budget versus actual results. Monitoring budgeted versus actual results is used in assessing performance of the segment and to make decisions about the allocation of resources, along with cash forecast models.</w:t>
      </w:r>
    </w:p>
    <w:p>
      <w:pPr>
        <w:spacing w:after="0" w:line="176"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significant expense categories regularly reviewed by the CODM for the three and six months ended June 30,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340" w:type="dxa"/>
            <w:vAlign w:val="bottom"/>
            <w:tcBorders>
              <w:bottom w:val="single" w:sz="8" w:color="auto"/>
            </w:tcBorders>
            <w:vMerge w:val="continue"/>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PRT3789</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PRT7732</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Discovery programs</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gridSpan w:val="2"/>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(32,194)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(37,164)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(66,800)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(71,507)</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(31,231)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(34,740)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(63,316)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(66,171)</w:t>
            </w:r>
          </w:p>
        </w:tc>
        <w:tc>
          <w:tcPr>
            <w:tcW w:w="0" w:type="dxa"/>
            <w:vAlign w:val="bottom"/>
          </w:tcPr>
          <w:p>
            <w:pPr>
              <w:spacing w:after="0"/>
              <w:rPr>
                <w:sz w:val="1"/>
                <w:szCs w:val="1"/>
                <w:color w:val="auto"/>
              </w:rPr>
            </w:pPr>
          </w:p>
        </w:tc>
      </w:tr>
      <w:tr>
        <w:trPr>
          <w:trHeight w:val="628"/>
        </w:trPr>
        <w:tc>
          <w:tcPr>
            <w:tcW w:w="434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-1799590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-1799590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-1799590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-1508125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-1508125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-1508125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-933450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-916940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-933450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-916940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-933450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-916940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June 30, 2025, 5,610,857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2025, 2,757,455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60" w:type="dxa"/>
            <w:vAlign w:val="bottom"/>
            <w:gridSpan w:val="8"/>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7"/>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0" w:type="dxa"/>
            <w:vAlign w:val="bottom"/>
            <w:gridSpan w:val="2"/>
            <w:shd w:val="clear" w:color="auto" w:fill="CFF0FC"/>
          </w:tcPr>
          <w:p>
            <w:pPr>
              <w:jc w:val="center"/>
              <w:ind w:right="2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3,421</w:t>
            </w:r>
          </w:p>
        </w:tc>
        <w:tc>
          <w:tcPr>
            <w:tcW w:w="8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2,677</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0" w:type="dxa"/>
            <w:vAlign w:val="bottom"/>
            <w:gridSpan w:val="2"/>
            <w:shd w:val="clear" w:color="auto" w:fill="CFF0FC"/>
          </w:tcPr>
          <w:p>
            <w:pPr>
              <w:jc w:val="center"/>
              <w:ind w:right="2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6,098</w:t>
            </w:r>
          </w:p>
        </w:tc>
        <w:tc>
          <w:tcPr>
            <w:tcW w:w="8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7,646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78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vMerge w:val="restart"/>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24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14,212,538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3,594,000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(1,326,423)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4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16,480,115</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9,531,897</w:t>
            </w:r>
          </w:p>
        </w:tc>
        <w:tc>
          <w:tcPr>
            <w:tcW w:w="160" w:type="dxa"/>
            <w:vAlign w:val="bottom"/>
          </w:tcPr>
          <w:p>
            <w:pPr>
              <w:spacing w:after="0"/>
              <w:rPr>
                <w:sz w:val="17"/>
                <w:szCs w:val="17"/>
                <w:color w:val="auto"/>
              </w:rPr>
            </w:pP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-2091055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-2073910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-2091055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-2073910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-2091055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-2073910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June 30, 2025, the aggregate intrinsic value of both outstanding options and exercisable options was $6 thousand.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June 30, 2025 under the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$0.31</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$1.66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3,710,444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294,194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4,931,839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$4.67</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$10.34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3,685,145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2,430,159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$10.35 - $88.98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4,152,687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3,971,870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 w:type="dxa"/>
            <w:vAlign w:val="bottom"/>
            <w:tcBorders>
              <w:bottom w:val="single" w:sz="8" w:color="CFF0FC"/>
            </w:tcBorders>
            <w:shd w:val="clear" w:color="auto" w:fill="CFF0FC"/>
          </w:tcPr>
          <w:p>
            <w:pPr>
              <w:spacing w:after="0"/>
              <w:rPr>
                <w:sz w:val="21"/>
                <w:szCs w:val="21"/>
                <w:color w:val="auto"/>
              </w:rPr>
            </w:pPr>
          </w:p>
        </w:tc>
        <w:tc>
          <w:tcPr>
            <w:tcW w:w="45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16,480,115</w:t>
            </w:r>
          </w:p>
        </w:tc>
        <w:tc>
          <w:tcPr>
            <w:tcW w:w="2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9,531,897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$0.83 and $3.29 per option for the six months ended June 30, 2025 and 2024, respectively. The Company recorded stock-based compensation expense of $3.7 million and $6.0 million for the three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20"/>
        <w:spacing w:after="0" w:line="261" w:lineRule="auto"/>
        <w:rPr>
          <w:sz w:val="20"/>
          <w:szCs w:val="20"/>
          <w:color w:val="auto"/>
        </w:rPr>
      </w:pPr>
      <w:r>
        <w:rPr>
          <w:rFonts w:ascii="Times New Roman" w:cs="Times New Roman" w:eastAsia="Times New Roman" w:hAnsi="Times New Roman"/>
          <w:sz w:val="18"/>
          <w:szCs w:val="18"/>
          <w:color w:val="auto"/>
        </w:rPr>
        <w:t>months ended June 30, 2025 and 2024, respectively, related to stock options. The Company recorded stock-based compensation expense of $7.4 million and $11.3 million for the six months ended June 30, 2025 and 2024, respectively, related to stock options. As of June 30, 2025, the total unrecognized compensation expense related to unvested stock option awards was $16.0 million, which the Company expects to recognize over a weighted-average period of 2.07 years.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6"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09"/>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86.49%</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84.99%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shd w:val="clear" w:color="auto" w:fill="CFF0FC"/>
          </w:tcPr>
          <w:p>
            <w:pPr>
              <w:spacing w:after="0"/>
              <w:rPr>
                <w:sz w:val="18"/>
                <w:szCs w:val="18"/>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6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January 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349,500</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(18,750)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(49,250)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June 30, 2025</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337,750</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0" w:firstLine="47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$65 thousand and $68 thousand for the three months ended June 30, 2025 and 2024, respectively, related to RSUs. The Company recorded stock-based compensation expense of $125 thousand and $137 thousand for the six months ended June 30, 2025 and 2024, respectively, related to RSUs. At June 30, 2025, the total unrecognized expense related to the RSUs was $0.4 million, which the Company expects to recognize over 2.70 years.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June 30, 2025, had 2,393,217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2025, 551,491 shares were added to the ESPP.</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$35 thousand and $60 thousand, respectively, for the three months ended June 30, 2025 and 2024 related to the ESPP. The Company recognized share-based compensation expense of $75 thousand and $120 thousand, respectively, for the six months ended June 30, 2025 and 2024 related to the ESPP.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229"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 Company reduced its current workforce by approximately eleven percent of full-time employees to align its resources with its ongoing clinical and preclinical programs. The one-time costs related to the workforce reduction were $0.5 million.</w:t>
      </w:r>
    </w:p>
    <w:p>
      <w:pPr>
        <w:spacing w:after="0" w:line="162" w:lineRule="exact"/>
        <w:rPr>
          <w:sz w:val="20"/>
          <w:szCs w:val="20"/>
          <w:color w:val="auto"/>
        </w:rPr>
      </w:pPr>
    </w:p>
    <w:p>
      <w:pPr>
        <w:ind w:right="4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liabilities activity recorded in connection with the reduction in workforce for the six months ended June 30,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Amount accrued 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accrued at June</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auto"/>
            </w:tcBorders>
            <w:vMerge w:val="continue"/>
          </w:tcPr>
          <w:p>
            <w:pPr>
              <w:spacing w:after="0"/>
              <w:rPr>
                <w:sz w:val="15"/>
                <w:szCs w:val="15"/>
                <w:color w:val="auto"/>
              </w:rPr>
            </w:pPr>
          </w:p>
        </w:tc>
        <w:tc>
          <w:tcPr>
            <w:tcW w:w="2300" w:type="dxa"/>
            <w:vAlign w:val="bottom"/>
            <w:tcBorders>
              <w:bottom w:val="single" w:sz="8" w:color="auto"/>
            </w:tcBorders>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2300" w:type="dxa"/>
            <w:vAlign w:val="bottom"/>
            <w:shd w:val="clear" w:color="auto" w:fill="CFF0FC"/>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March 10, 2025, or our 2024 Annual Report on Form 10-K. These forward-looking statements may include, but are not limited to, statements regarding our future results of operations and financial position, our ability to develop our clinical candidates, inflation and interest rate risk, a potential recession, a potential temporary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85" w:lineRule="exact"/>
        <w:rPr>
          <w:sz w:val="20"/>
          <w:szCs w:val="20"/>
          <w:color w:val="auto"/>
        </w:rPr>
      </w:pPr>
    </w:p>
    <w:p>
      <w:pPr>
        <w:ind w:right="30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creating a wholly-owned, internally developed pipeline. We also are working with our partner AbCellera Biologics Incorporated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760" w:firstLine="479"/>
        <w:spacing w:after="0" w:line="282"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w:t>
      </w:r>
    </w:p>
    <w:p>
      <w:pPr>
        <w:spacing w:after="0" w:line="54"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Patients with SMARCA4 mutated cancer have a poor clinical prognosis. We believe this represents an area of high unmet medical need. Cancer cells with SMARCA4 mutations are dependent on SMARCA2 for their growth and survival and selectively degrading SMARCA2 induces cell death in cancer cells while sparing normal cells in preclinical models. We believe a selective SMARCA2 degrader has the potential to be of benefit in up to 10% of non-small cell lung cancer, or NSCLC, patients in the United States including many other tumor types with the SMARCA4 mutation.</w:t>
      </w:r>
    </w:p>
    <w:p>
      <w:pPr>
        <w:spacing w:after="0" w:line="75"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PRT3789 has completed Phase 1 clinical development in patients with biomarker selected SMARCA4-mutated cancers. The Company anticipates providing updated data from the Phase 1 study by year-end 2025.</w:t>
      </w:r>
    </w:p>
    <w:p>
      <w:pPr>
        <w:spacing w:after="0" w:line="54" w:lineRule="exact"/>
        <w:rPr>
          <w:sz w:val="20"/>
          <w:szCs w:val="20"/>
          <w:color w:val="auto"/>
        </w:rPr>
      </w:pPr>
    </w:p>
    <w:p>
      <w:pPr>
        <w:ind w:right="600" w:firstLine="479"/>
        <w:spacing w:after="0" w:line="282" w:lineRule="auto"/>
        <w:rPr>
          <w:sz w:val="20"/>
          <w:szCs w:val="20"/>
          <w:color w:val="auto"/>
        </w:rPr>
      </w:pPr>
      <w:r>
        <w:rPr>
          <w:rFonts w:ascii="Times New Roman" w:cs="Times New Roman" w:eastAsia="Times New Roman" w:hAnsi="Times New Roman"/>
          <w:sz w:val="18"/>
          <w:szCs w:val="18"/>
          <w:color w:val="auto"/>
        </w:rPr>
        <w:t>We are enrolling patients in a Phase 2 clinical trial evaluating PRT3789 in combination with KEYTRUDA (pembrolizumab) in patients with SMARCA4-mutated cancers, per the previously announced collaboration with Merck (known as MSD outside of the US and Canada).</w:t>
      </w:r>
    </w:p>
    <w:p>
      <w:pPr>
        <w:spacing w:after="0" w:line="54" w:lineRule="exact"/>
        <w:rPr>
          <w:sz w:val="20"/>
          <w:szCs w:val="20"/>
          <w:color w:val="auto"/>
        </w:rPr>
      </w:pPr>
    </w:p>
    <w:p>
      <w:pPr>
        <w:ind w:right="660" w:firstLine="479"/>
        <w:spacing w:after="0" w:line="282" w:lineRule="auto"/>
        <w:rPr>
          <w:sz w:val="20"/>
          <w:szCs w:val="20"/>
          <w:color w:val="auto"/>
        </w:rPr>
      </w:pPr>
      <w:r>
        <w:rPr>
          <w:rFonts w:ascii="Times New Roman" w:cs="Times New Roman" w:eastAsia="Times New Roman" w:hAnsi="Times New Roman"/>
          <w:sz w:val="18"/>
          <w:szCs w:val="18"/>
          <w:color w:val="auto"/>
        </w:rPr>
        <w:t>Our discovery team has identified a series of potent, selective and orally bioavailable SMARCA2 degraders. In July 2024, we received IND clearance for the lead oral molecule, PRT7732. PRT7732 is &gt;1000-fold selective for SMARCA2 vs. SMARCA4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demonstrates robust activity in SMARCA4 deficient cancer models both as monotherapy and in combination with docetaxel at well-tolerated doses. PRT7732 demonstrates good oral bioavailability and half-life suitable for once daily oral dosing. In the fourth quarter of 2024, the we initiated and enrolled the first patients in a phase 1 multi-dose escalation trial of PRT7732 (NCT06560645) in biomarker selected SMARCA4 mutated cancers. Enrollment continues to advance rapidly, and we are currently enrolling patients in the seventh dose escalation cohort (125 mg once daily). We expect to provide an initial first-in-human data update including PK/PD, safety and initial clinical activity at biologically relevant doses by year-end 2025.</w:t>
      </w:r>
    </w:p>
    <w:p>
      <w:pPr>
        <w:spacing w:after="0" w:line="75"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81"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Outside of the AbCellera collaboration, we have discovered and optimized a number of pre-clinical precision payloads. We disclosed first data at the 36th EORTC-NCI-AACR Symposium describing preclinical proof-of-concept using a novel, potent SMARCA2/4 dual degrader as a “Precision Payload” conjugated to multiple antibodies. Prelude’s SMARCA2/4 dual degraders have shown picomolar potency with potential for increased efficacy, selectivity and improved therapeutic index. Precision ADCs have potential to expand the reach of SMARCA degrader technology to cancers without SMARCA4 mutations.</w:t>
      </w:r>
    </w:p>
    <w:p>
      <w:pPr>
        <w:spacing w:after="0" w:line="75"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Myeloproliferative neoplasms (MPN) are hematopoietic disorders arising from clonal expansion of hematopoietic stem cells (HSC) in the bone marrow. Current treatment options for MPN patients offer symptomatic benefit but fail to eliminate disease-initiating clones leading to treatment resistance and progression to secondary AML. Therapeutic approaches that can selectively eliminate disease-initiating HSCs and induce molecular remission are an unmet medical need.</w:t>
      </w:r>
    </w:p>
    <w:p>
      <w:pPr>
        <w:spacing w:after="0" w:line="72"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Mutations in JAK2, CALR and MPL are phenotypic drivers of disease in over 90% of MPN cases. CALR mutations are the second most common driver alteration in MPN, accounting for 20-30% of all cases. Selective expression of mutant CALR on diseased cells but not on normal cells makes CALR a high value target for antibody-directed therapies in MPN.</w:t>
      </w:r>
    </w:p>
    <w:p>
      <w:pPr>
        <w:spacing w:after="0" w:line="68"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In June, at the European Hematology Association, we delivered an oral presentation about our mutant CALR discovery efforts, including the first-in-class CALR-targeted pADCs that selectively target mutant CALR expressing cells, with the potential to achieve responses by eliminating MPN clones. These data demonstrate that a CALRxSMARCA2/4 degrader antibody conjugate can selectively degrade SMARCA2/4 in CALR mutant cells and robustly inhibit CALR-mutant cell growth in vitro and in vivo.</w:t>
      </w:r>
    </w:p>
    <w:p>
      <w:pPr>
        <w:spacing w:after="0" w:line="72"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We have discovered and are developing a series of selective and orally bioavailable KAT6A selective degraders. We are now advancing a development candidate and remain on track to file an IND in the first half of 2026. KAT6 is a clinically validated target with promising activity in breast cancer and other solid tumors. We recently presented preclinical data from this program at the American Association for Cancer Research (AACR) 2025 Annual Meeting.</w:t>
      </w:r>
    </w:p>
    <w:p>
      <w:pPr>
        <w:spacing w:after="0" w:line="72"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Our CDK9 candidate, PRT2527, is a potent and highly selective CDK9 inhibitor that has the potential to avoid off-target toxicities observed with other less selective CDK9 inhibitors. We presented interim phase 1 results of the dose-escalation study as part of a poster session at the 66th American Society of Hematology Annual Meeting (ASH) in the fourth quarter of 2024. PRT2527 demonstrated activity across a range of relapsed/refractory lymphoid malignancies, including patients who received prior CAR-T therapy. As previously announced, we intend to seek a partner for any future continued advancement of PRT2527.</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 Notice</w:t>
      </w:r>
    </w:p>
    <w:p>
      <w:pPr>
        <w:spacing w:after="0" w:line="121" w:lineRule="exact"/>
        <w:rPr>
          <w:sz w:val="20"/>
          <w:szCs w:val="20"/>
          <w:color w:val="auto"/>
        </w:rPr>
      </w:pPr>
    </w:p>
    <w:p>
      <w:pPr>
        <w:jc w:val="both"/>
        <w:ind w:right="140" w:firstLine="479"/>
        <w:spacing w:after="0" w:line="261" w:lineRule="auto"/>
        <w:rPr>
          <w:sz w:val="20"/>
          <w:szCs w:val="20"/>
          <w:color w:val="auto"/>
        </w:rPr>
      </w:pPr>
      <w:r>
        <w:rPr>
          <w:rFonts w:ascii="Times New Roman" w:cs="Times New Roman" w:eastAsia="Times New Roman" w:hAnsi="Times New Roman"/>
          <w:sz w:val="18"/>
          <w:szCs w:val="18"/>
          <w:color w:val="auto"/>
        </w:rPr>
        <w:t>On March 27, 2025, the Company received a letter (the “Bid Price Notice”) from the Listing Qualifications staff (the “Staff”) of The Nasdaq Stock Market LLC (“Nasdaq”) indicating that, based upon the closing bid price of the Company’s common stock for the prior 30 consecutive business days, the Company was not in compliance with the requirement to maintain a minimum bid price of $1.00 per share for continued listing on Nasdaq, as set forth in Nasdaq Listing Rule 5550(a)(2) (the “Minimum Bid Price Requirement”).</w:t>
      </w:r>
    </w:p>
    <w:p>
      <w:pPr>
        <w:spacing w:after="0" w:line="72" w:lineRule="exact"/>
        <w:rPr>
          <w:sz w:val="20"/>
          <w:szCs w:val="20"/>
          <w:color w:val="auto"/>
        </w:rPr>
      </w:pPr>
    </w:p>
    <w:p>
      <w:pPr>
        <w:ind w:right="600" w:firstLine="479"/>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the Company’s common stock on Nasdaq, and, therefore, the Company’s listing remains fully effective.</w:t>
      </w:r>
    </w:p>
    <w:p>
      <w:pPr>
        <w:spacing w:after="0" w:line="54"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an initial compliance period of 180 calendar days, or until September 23, 2025, in which to regain compliance with the deficiency. In order to regain compliance with the Minimum Bid Price Requirement, the closing bid price of the common stock must be at least $1.00 per share for a minimum of ten consecutive business days during this 180-day period. If the Company does not regain compliance with this requirement by September 23, 2025, the Company may be eligible for an additional 180 calendar day compliance period provided that (i) the Company meets all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360"/>
        <w:spacing w:after="0" w:line="282" w:lineRule="auto"/>
        <w:rPr>
          <w:sz w:val="20"/>
          <w:szCs w:val="20"/>
          <w:color w:val="auto"/>
        </w:rPr>
      </w:pPr>
      <w:r>
        <w:rPr>
          <w:rFonts w:ascii="Times New Roman" w:cs="Times New Roman" w:eastAsia="Times New Roman" w:hAnsi="Times New Roman"/>
          <w:sz w:val="18"/>
          <w:szCs w:val="18"/>
          <w:color w:val="auto"/>
        </w:rPr>
        <w:t>other continued listing standards and (ii) the Company provides written notice to Nasdaq of its intention to cure the deficiency during the second grace period, generally by effecting a reverse stock split, if necessary.</w:t>
      </w:r>
    </w:p>
    <w:p>
      <w:pPr>
        <w:spacing w:after="0" w:line="54" w:lineRule="exact"/>
        <w:rPr>
          <w:sz w:val="20"/>
          <w:szCs w:val="20"/>
          <w:color w:val="auto"/>
        </w:rPr>
      </w:pPr>
    </w:p>
    <w:p>
      <w:pPr>
        <w:ind w:right="460" w:firstLine="479"/>
        <w:spacing w:after="0" w:line="266"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period(s), including any extensions that may be granted by Nasdaq, Nasdaq will provide notice that the Common Stock will be subject to delisting. At that time, the Company may appeal the Staff’s determination to a Nasdaq Hearings Panel.</w:t>
      </w:r>
    </w:p>
    <w:p>
      <w:pPr>
        <w:spacing w:after="0" w:line="68" w:lineRule="exact"/>
        <w:rPr>
          <w:sz w:val="20"/>
          <w:szCs w:val="20"/>
          <w:color w:val="auto"/>
        </w:rPr>
      </w:pPr>
    </w:p>
    <w:p>
      <w:pPr>
        <w:ind w:right="40" w:firstLine="479"/>
        <w:spacing w:after="0" w:line="282" w:lineRule="auto"/>
        <w:rPr>
          <w:sz w:val="20"/>
          <w:szCs w:val="20"/>
          <w:color w:val="auto"/>
        </w:rPr>
      </w:pPr>
      <w:r>
        <w:rPr>
          <w:rFonts w:ascii="Times New Roman" w:cs="Times New Roman" w:eastAsia="Times New Roman" w:hAnsi="Times New Roman"/>
          <w:sz w:val="18"/>
          <w:szCs w:val="18"/>
          <w:color w:val="auto"/>
        </w:rPr>
        <w:t>The Company intends to monitor the closing bid price of the common stock and consider its available options to resolve the noncompliance with the Minimum Bid Price Requirement.</w:t>
      </w:r>
    </w:p>
    <w:p>
      <w:pPr>
        <w:spacing w:after="0" w:line="54"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Price Requirement or will otherwise be in compliance with other Nasdaq listing criteria.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$63.3 million and $66.2 million for the six months ended June 30, 2025 and 2024, respectively. As of June 30, 2025, we had an accumulated deficit of $646.9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4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clinical trials, including later-stage clinical trials, for current and future product candidates and preparing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280" w:firstLine="478"/>
        <w:spacing w:after="0" w:line="256"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 in the future to support our continued research and development activities and potential commercialization efforts. These expenses will likely include costs related to the hiring of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tbl>
      <w:tblPr>
        <w:tblLayout w:type="fixed"/>
        <w:tblInd w:w="0" w:type="dxa"/>
        <w:tblCellMar>
          <w:top w:w="0" w:type="dxa"/>
          <w:left w:w="0" w:type="dxa"/>
          <w:bottom w:w="0" w:type="dxa"/>
          <w:right w:w="0" w:type="dxa"/>
        </w:tblCellMar>
      </w:tblPr>
      <w:tr>
        <w:trPr>
          <w:trHeight w:val="151"/>
        </w:trPr>
        <w:tc>
          <w:tcPr>
            <w:tcW w:w="3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28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16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28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(32,194)</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(31,231)</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(34,740)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380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-1508125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-1508125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-933450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-916305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from $29.5 million for the three months ended June 30, 2024 to $25.8 million for the three months ended June 30, 2025. Included in research and development expenses for the three months ended June 30, 2025, was $2.2 million of non-cash expense related to stock-based compensation expense, including employee stock options, compared to $3.4 million for the three months ended June 30, 2024. Along with the decrease in stock-based compensation expense, research and development expenses decreased due to a decrease in expense related to our SMARCA2 clinical trials. Research and development expenses may fluctuate from period to period depending upon the stage of certain projects and the level of preclinical and clinical trial-related activities.</w:t>
      </w:r>
    </w:p>
    <w:p>
      <w:pPr>
        <w:spacing w:after="0" w:line="187" w:lineRule="exact"/>
        <w:rPr>
          <w:sz w:val="20"/>
          <w:szCs w:val="20"/>
          <w:color w:val="auto"/>
        </w:rPr>
      </w:pPr>
    </w:p>
    <w:p>
      <w:pPr>
        <w:ind w:right="660" w:firstLine="479"/>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tbl>
      <w:tblPr>
        <w:tblLayout w:type="fixed"/>
        <w:tblInd w:w="0" w:type="dxa"/>
        <w:tblCellMar>
          <w:top w:w="0" w:type="dxa"/>
          <w:left w:w="0" w:type="dxa"/>
          <w:bottom w:w="0" w:type="dxa"/>
          <w:right w:w="0" w:type="dxa"/>
        </w:tblCellMar>
      </w:tblPr>
      <w:tr>
        <w:trPr>
          <w:trHeight w:val="131"/>
        </w:trPr>
        <w:tc>
          <w:tcPr>
            <w:tcW w:w="7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gridSpan w:val="3"/>
          </w:tcPr>
          <w:p>
            <w:pPr>
              <w:jc w:val="right"/>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from $7.7 million for the three months ended June 30, 2024 to $6.4 million for the three months ended June 30, 2025. The decrease was primarily driven by a decrease in non-cash expense related to stock-based compensation expense. Included in general and administrative expenses for the three months ended June 30, 2025, was $1.6 million of non-cash expense related to stock-based compensation expense compared to $2.7 million for the three months ended June 30, 2024, due to the tapering off of the vesting period of prior granted options and lower valuation on more recent grants due to the decrease in our stock price.</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80" w:firstLine="478"/>
        <w:spacing w:after="0" w:line="282" w:lineRule="auto"/>
        <w:rPr>
          <w:sz w:val="20"/>
          <w:szCs w:val="20"/>
          <w:color w:val="auto"/>
        </w:rPr>
      </w:pPr>
      <w:r>
        <w:rPr>
          <w:rFonts w:ascii="Times New Roman" w:cs="Times New Roman" w:eastAsia="Times New Roman" w:hAnsi="Times New Roman"/>
          <w:sz w:val="18"/>
          <w:szCs w:val="18"/>
          <w:color w:val="auto"/>
        </w:rPr>
        <w:t>Other income, net decreased from $2.4 million for the three months ended June 30, 2024, to $1.0 million for the three months ended June 30, 2025 primarily due to lower income earned our investments due to lower balances.</w:t>
      </w:r>
    </w:p>
    <w:p>
      <w:pPr>
        <w:spacing w:after="0" w:line="3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1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(66,800)</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(71,507)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(63,316)</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(66,171)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-599440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from $56.9 million for the six months ended June 30, 2024 to $54.6 million for the six months ended June 30, 2025. Included in research and development expenses for the six months ended June 30, 2025, was $4.5 million of non-cash expense related to stock-based compensation expense, including employee stock options, compared to $6.4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4" w:name="page25"/>
    <w:bookmarkEnd w:id="24"/>
    <w:p>
      <w:pPr>
        <w:ind w:right="40"/>
        <w:spacing w:after="0" w:line="261" w:lineRule="auto"/>
        <w:rPr>
          <w:sz w:val="20"/>
          <w:szCs w:val="20"/>
          <w:color w:val="auto"/>
        </w:rPr>
      </w:pPr>
      <w:r>
        <w:rPr>
          <w:rFonts w:ascii="Times New Roman" w:cs="Times New Roman" w:eastAsia="Times New Roman" w:hAnsi="Times New Roman"/>
          <w:sz w:val="18"/>
          <w:szCs w:val="18"/>
          <w:color w:val="auto"/>
        </w:rPr>
        <w:t>million for the six months ended June 30, 2024. Research and development expenses decreased primarily due to lower valuation on more recent grants due to the decrease in our stock price along with a decrease in expense related to our SMARCA2 clinical trials, primarily drug product expense. Research and development expenses may fluctuate from period to period depending upon the stage of certain projects and the level of preclinical and clinical trial-related activities.</w:t>
      </w:r>
    </w:p>
    <w:p>
      <w:pPr>
        <w:spacing w:after="0" w:line="180" w:lineRule="exact"/>
        <w:rPr>
          <w:sz w:val="20"/>
          <w:szCs w:val="20"/>
          <w:color w:val="auto"/>
        </w:rPr>
      </w:pPr>
    </w:p>
    <w:p>
      <w:pPr>
        <w:ind w:right="660" w:firstLine="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PRT7732</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32,139</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from $14.6 million for the six months ended June 30, 2024 to $12.2 million for the six months ended June 30, 2025. The decrease was primarily driven by a decrease in non-cash expense related to stock-based compensation expense. Included in general and administrative expenses for the three months ended June 30, 2025, was $3.2 million of non-cash expense related to stock-based compensation expense compared to $5.2 million for the three months ended June 30, 2024, due to the tapering off of the vesting period of prior granted options and lower valuation on more recent grants due to the decrease in our stock price.</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Other income, net decreased from $5.3 million for the six months ended June 30, 2024, to $3.5 million for the six months ended June 30, 2025 primarily due to lower income earned our investments due to lower balances partially offset by the receipt and recognition of research and development tax credits.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our inception, we have not recognized any product revenue and have incurred operating losses and negative cash flows from our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yet commercialized any product and we do not expect to generate revenue from sales of any products for several years, if at all.</w:t>
      </w:r>
    </w:p>
    <w:p>
      <w:pPr>
        <w:spacing w:after="0" w:line="207"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At June 30, 2025 the Company had cash, cash equivalents, restricted cash and marketable securities totaling $77.3 million. Absent additional funding, the Company believes that its cash, cash equivalents, restricted cash and marketable securities will not be sufficient to fund its operating expenses and capital expenditure requirements for at least the next twelve months from the filing date of this Quarterly Report on Form 10-Q. As a result, substantial doubt exists about our ability to continue as a going concern.</w:t>
      </w:r>
    </w:p>
    <w:p>
      <w:pPr>
        <w:spacing w:after="0" w:line="180"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the sale of convertible preferred stock, common stock, and pre-funded warrants. 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June 30, 2025 there was $400 million remaining under the 2024 Shelf Registration Statement.</w:t>
      </w:r>
    </w:p>
    <w:p>
      <w:pPr>
        <w:spacing w:after="0" w:line="72"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our shelf registration statement previously filed in November 2021 (the “2021 Shelf Registration Statement"), we entered into an Open Market Sales Agreement (the "Sales Agreement") with Jefferies LLC, as the sales agent, pursuant to which we may offer and sell shares of our common stock having an aggregate offering amount of up to $75.0 million. We will pay Jefferies LLC a commission rate of up to 3.0% of the aggregate gross proceeds from the sale of any shares of common stock pursuant to the Sales Agreement. In November 2024, the 2021 Shelf Registration Statement expired with respect to the shares to be sold under the Sales Agreement. Accordingly, we expect to file a prospectus supplement to the 2024 Shelf Registration Statement in order to continue to allow us to access the Sales Agreement. We have $75.0 million remaining under the Sales Agreement as of June 30, 2025.</w:t>
      </w:r>
    </w:p>
    <w:p>
      <w:pPr>
        <w:spacing w:after="0" w:line="189"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ind w:right="200"/>
        <w:spacing w:after="0" w:line="266" w:lineRule="auto"/>
        <w:rPr>
          <w:sz w:val="20"/>
          <w:szCs w:val="20"/>
          <w:color w:val="auto"/>
        </w:rPr>
      </w:pPr>
      <w:r>
        <w:rPr>
          <w:rFonts w:ascii="Times New Roman" w:cs="Times New Roman" w:eastAsia="Times New Roman" w:hAnsi="Times New Roman"/>
          <w:sz w:val="18"/>
          <w:szCs w:val="18"/>
          <w:color w:val="auto"/>
        </w:rPr>
        <w:t>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(60,306)</w:t>
            </w: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(54,848)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57,340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8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used $60.3 million of cash in operating activities. Cash used in operating activities reflected our net loss of $63.3 million and a $6.1 million net increase in our operating assets and liabilities offset by noncash charges of $9.1 million, which primarily consisted of stock-based compensation. The primary use of cash was to fund our operations related to the development of our product candidates.</w:t>
      </w:r>
    </w:p>
    <w:p>
      <w:pPr>
        <w:spacing w:after="0" w:line="176" w:lineRule="exact"/>
        <w:rPr>
          <w:sz w:val="20"/>
          <w:szCs w:val="20"/>
          <w:color w:val="auto"/>
        </w:rPr>
      </w:pPr>
    </w:p>
    <w:p>
      <w:pPr>
        <w:jc w:val="both"/>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used $54.8 million of cash in operating activities. Cash used in operating activities reflected our net loss of $66.2 million offset by noncash charges of $10.5 million, which primarily consisted of stock-based compensation, and $0.9 million net decrease in our operating assets and liabilities. The primary use of cash was to fund our operations related to the development of our product candidates.</w:t>
      </w:r>
    </w:p>
    <w:p>
      <w:pPr>
        <w:spacing w:after="0" w:line="3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47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investing activities of $73.7 million consisted primarily of $107.9 million in proceeds from maturities of marketable securities, partially offset by $34.1 million in purchases of marketable securities. During the six months ended June 30, 2024, net cash used in investing activities of $57.3 million consisted primarily of $71.4 million in proceeds from maturities of marketable securities, partially offset by $13.4 million in purchases of marketable securities.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net cash used in financing activities was primarily for principal payments on our finance lease. For the six months ended June 30, 2024 net cash provided by financing activities was primarily from proceeds received from the issuance of common stock under the employee stock purchase plan, offset by principal payments on our finance lease and the payment of offering costs related to the shelf registration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there were no other material changes to our critical accounting policies and estimates from those described under the heading “Management’s Discussion and Analysis of Financial Condition and Results of Operations-Critical Accounting Estimates” in our 2024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260"/>
        <w:spacing w:after="0" w:line="282" w:lineRule="auto"/>
        <w:rPr>
          <w:sz w:val="20"/>
          <w:szCs w:val="20"/>
          <w:color w:val="auto"/>
        </w:rPr>
      </w:pPr>
      <w:r>
        <w:rPr>
          <w:rFonts w:ascii="Times New Roman" w:cs="Times New Roman" w:eastAsia="Times New Roman" w:hAnsi="Times New Roman"/>
          <w:sz w:val="18"/>
          <w:szCs w:val="18"/>
          <w:color w:val="auto"/>
        </w:rPr>
        <w:t>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62"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anticipate that we will no longer be an emerging growth company as of December 31, 2025 and, as a result, we will no longer be able to take advantage of reduced disclosure and other obligations that are available to emerging growth companies after that date.</w:t>
      </w:r>
    </w:p>
    <w:p>
      <w:pPr>
        <w:spacing w:after="0" w:line="183"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remain a smaller reporting company once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June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As of June 30, 2025,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2025,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2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June 30, 2025,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2024 Annual Report on Form 10-K filed with the Securities and Exchange Commission on March 10, 2025 in addition to the risk factors below.</w:t>
      </w:r>
    </w:p>
    <w:p>
      <w:pPr>
        <w:spacing w:after="0" w:line="64" w:lineRule="exact"/>
        <w:rPr>
          <w:sz w:val="20"/>
          <w:szCs w:val="20"/>
          <w:color w:val="auto"/>
        </w:rPr>
      </w:pPr>
    </w:p>
    <w:p>
      <w:pPr>
        <w:ind w:right="28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the continued listing requirements of the Nasdaq Capital Market, our common stock could be delisted, which could affect our common stock's market price and liquidity and reduce our ability to raise capital.</w:t>
      </w:r>
    </w:p>
    <w:p>
      <w:pPr>
        <w:spacing w:after="0" w:line="51" w:lineRule="exact"/>
        <w:rPr>
          <w:sz w:val="20"/>
          <w:szCs w:val="20"/>
          <w:color w:val="auto"/>
        </w:rPr>
      </w:pPr>
    </w:p>
    <w:p>
      <w:pPr>
        <w:jc w:val="both"/>
        <w:ind w:right="100" w:firstLine="479"/>
        <w:spacing w:after="0" w:line="266" w:lineRule="auto"/>
        <w:rPr>
          <w:sz w:val="20"/>
          <w:szCs w:val="20"/>
          <w:color w:val="auto"/>
        </w:rPr>
      </w:pPr>
      <w:r>
        <w:rPr>
          <w:rFonts w:ascii="Times New Roman" w:cs="Times New Roman" w:eastAsia="Times New Roman" w:hAnsi="Times New Roman"/>
          <w:sz w:val="18"/>
          <w:szCs w:val="18"/>
          <w:color w:val="auto"/>
        </w:rPr>
        <w:t>Our common stock is listed on Nasdaq, which imposes continued listing requirements with respect to issuers whose securities are listed on Nasdaq. If we fail to satisfy the continued listing standards, such as, for example, Nasdaq’s Minimum Bid Price Requirement, Nasdaq may issue a non-compliance letter or initiate delisting proceedings.</w:t>
      </w:r>
    </w:p>
    <w:p>
      <w:pPr>
        <w:spacing w:after="0" w:line="68" w:lineRule="exact"/>
        <w:rPr>
          <w:sz w:val="20"/>
          <w:szCs w:val="20"/>
          <w:color w:val="auto"/>
        </w:rPr>
      </w:pPr>
    </w:p>
    <w:p>
      <w:pPr>
        <w:ind w:right="180" w:firstLine="479"/>
        <w:spacing w:after="0" w:line="266" w:lineRule="auto"/>
        <w:rPr>
          <w:sz w:val="20"/>
          <w:szCs w:val="20"/>
          <w:color w:val="auto"/>
        </w:rPr>
      </w:pPr>
      <w:r>
        <w:rPr>
          <w:rFonts w:ascii="Times New Roman" w:cs="Times New Roman" w:eastAsia="Times New Roman" w:hAnsi="Times New Roman"/>
          <w:sz w:val="18"/>
          <w:szCs w:val="18"/>
          <w:color w:val="auto"/>
        </w:rPr>
        <w:t>As previously disclosed, on March 27, 2025, we received such a letter from the Staff notifying us that based upon the closing bid price of the Company’s common stock, for the prior 30 consecutive business days, the Company was not in compliance with the requirement to maintain a minimum bid price of $1.00 per share for continued listing on Nasdaq, as set forth in Nasdaq Listing Rule 5550(a)(2).</w:t>
      </w:r>
    </w:p>
    <w:p>
      <w:pPr>
        <w:spacing w:after="0" w:line="176"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been provided an initial compliance period of 180 calendar days, or until September 23, 2025, in which to regain compliance with the deficiency. In order to regain compliance with the Minimum Bid Price Requirement, the closing bid price of the Common Stock must be at least $1.00 per share for a minimum of ten consecutive business days during this 180-day period. If the Company does not regain compliance with this requirement by September 23, 2025, the Company may be eligible for an additional 180 calendar day compliance period provided that (i) the Company meets all other continued listing standards and (ii) the Company provides written notice to Nasdaq of its intention to cure the deficiency during the second grace period, by effecting a reverse stock split, if necessary.</w:t>
      </w:r>
    </w:p>
    <w:p>
      <w:pPr>
        <w:spacing w:after="0" w:line="187"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period(s), including any extensions that may be granted by Nasdaq, Nasdaq will provide notice that the common stock will be subject to delisting. At that time, the Company may appeal the Staff’s determination to a Nasdaq Hearings Panel.</w:t>
      </w:r>
    </w:p>
    <w:p>
      <w:pPr>
        <w:spacing w:after="0" w:line="176" w:lineRule="exact"/>
        <w:rPr>
          <w:sz w:val="20"/>
          <w:szCs w:val="20"/>
          <w:color w:val="auto"/>
        </w:rPr>
      </w:pPr>
    </w:p>
    <w:p>
      <w:pPr>
        <w:jc w:val="both"/>
        <w:ind w:right="220" w:firstLine="479"/>
        <w:spacing w:after="0" w:line="266" w:lineRule="auto"/>
        <w:rPr>
          <w:sz w:val="20"/>
          <w:szCs w:val="20"/>
          <w:color w:val="auto"/>
        </w:rPr>
      </w:pPr>
      <w:r>
        <w:rPr>
          <w:rFonts w:ascii="Times New Roman" w:cs="Times New Roman" w:eastAsia="Times New Roman" w:hAnsi="Times New Roman"/>
          <w:sz w:val="18"/>
          <w:szCs w:val="18"/>
          <w:color w:val="auto"/>
        </w:rPr>
        <w:t>If we are unable to maintain compliance with the continued listing requirements of Nasdaq, our common stock could be delisted, making it more difficult to buy or sell our securities and to obtain accurate quotations, and the price of our securities could suffer a material decline. Delisting could also impair our ability to raise capital.</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contain a statement regarding a substantial doubt about the Company’s ability to continue as a going concern.</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We had no revenue during the six months ended June 30, 2025. Our primary uses of cash are to fund our planned clinical trials, research and development expenditures and for operating expenses. Cash used to fund operating expenses is based on the assumption that we will continue as a going concern, which contemplates the realization of assets and liquidation of liabilities in the normal course of business. We face certain risks and uncertainties that are present in many emerging pharmaceutical companies regarding product development, limited working capital, recurring losses and negative cash flow from operations, future profitability, ability to obtain future capital, protection of patents, technologies and property rights, competition, navigating the domestic and major foreign markets’ regulatory and clinical environment, recruiting and retaining key personnel, dependence on third party manufacturing organizations, third party collaboration and licensing agreements, lack of sales and marketing activities. We currently have no customers or pharmaceutical products to sell or distribute. Absent additional funding, we believe that our cash, cash equivalents, and marketable securities will not be sufficient to fund our operating expenses and capital expenditure requirements for at least the next twelve months from the filing date of this Quarterly Report on Form 10-Q. These risks and other factors raise substantial doubt about our ability to continue as a going concern.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ind w:firstLine="524"/>
        <w:spacing w:after="0" w:line="261" w:lineRule="auto"/>
        <w:rPr>
          <w:sz w:val="20"/>
          <w:szCs w:val="20"/>
          <w:color w:val="auto"/>
        </w:rPr>
      </w:pPr>
      <w:r>
        <w:rPr>
          <w:rFonts w:ascii="Times New Roman" w:cs="Times New Roman" w:eastAsia="Times New Roman" w:hAnsi="Times New Roman"/>
          <w:sz w:val="18"/>
          <w:szCs w:val="18"/>
          <w:color w:val="auto"/>
        </w:rPr>
        <w:t>Our ability to continue as a going concern is dependent on our ability to obtain the necessary financing to meet our obligations and repay our liabilities arising from the ordinary course of business operations when they become due. The substantial doubt about our ability to continue as a going concern may affect the price of our common stock, may impact our relationship with third parties with whom we do business and may impact our ability to raise additional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gridSpan w:val="6"/>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gridSpan w:val="6"/>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5"/>
                <w:szCs w:val="15"/>
                <w:color w:val="auto"/>
              </w:rPr>
            </w:pPr>
          </w:p>
        </w:tc>
        <w:tc>
          <w:tcPr>
            <w:tcW w:w="544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Amended and Restated Certificate of Incorporation</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Documents</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7"/>
        </w:trPr>
        <w:tc>
          <w:tcPr>
            <w:tcW w:w="3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20"/>
        </w:trPr>
        <w:tc>
          <w:tcPr>
            <w:tcW w:w="3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7"/>
        </w:trPr>
        <w:tc>
          <w:tcPr>
            <w:tcW w:w="34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Bryant Lim</w:t>
            </w:r>
          </w:p>
        </w:tc>
      </w:tr>
      <w:tr>
        <w:trPr>
          <w:trHeight w:val="238"/>
        </w:trPr>
        <w:tc>
          <w:tcPr>
            <w:tcW w:w="3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CERTIFICATE OF AMENDMENT TO AMENDED AND RESTATED</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CERTIFICATE OF INCORPORATION OF PRELUDE THERAPEUTICS INCORPORATED</w:t>
      </w:r>
    </w:p>
    <w:p>
      <w:pPr>
        <w:spacing w:after="0" w:line="20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Prelude Therapeutics Incorporated, a corporation organized and existing under and by the virtue of the Delaware General Corporation Law (the “Corporation”), hereby certifies as follows:</w:t>
      </w:r>
    </w:p>
    <w:p>
      <w:pPr>
        <w:spacing w:after="0" w:line="173" w:lineRule="exact"/>
        <w:rPr>
          <w:sz w:val="20"/>
          <w:szCs w:val="20"/>
          <w:color w:val="auto"/>
        </w:rPr>
      </w:pPr>
    </w:p>
    <w:p>
      <w:pPr>
        <w:ind w:left="760" w:right="20" w:hanging="378"/>
        <w:spacing w:after="0" w:line="26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Prelude Therapeutics Incorporated. The date of the filing of its Amended and Restated Certificate of Incorporation with the Secretary of State of the State of Delaware was June 21, 2023.</w:t>
      </w:r>
    </w:p>
    <w:p>
      <w:pPr>
        <w:spacing w:after="0" w:line="172" w:lineRule="exact"/>
        <w:rPr>
          <w:rFonts w:ascii="Times New Roman" w:cs="Times New Roman" w:eastAsia="Times New Roman" w:hAnsi="Times New Roman"/>
          <w:sz w:val="20"/>
          <w:szCs w:val="20"/>
          <w:color w:val="auto"/>
        </w:rPr>
      </w:pPr>
    </w:p>
    <w:p>
      <w:pPr>
        <w:ind w:left="760" w:right="360" w:hanging="378"/>
        <w:spacing w:after="0" w:line="254"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Corporation, acting in accordance with the provisions of Sections 141 and 242 of the Delaware General Corporation Law (the “DGCL”), adopted resolutions amending the Corporation’s Amended and Restated Certificate of Incorporation as follows:</w:t>
      </w:r>
    </w:p>
    <w:p>
      <w:pPr>
        <w:spacing w:after="0" w:line="187" w:lineRule="exact"/>
        <w:rPr>
          <w:rFonts w:ascii="Times New Roman" w:cs="Times New Roman" w:eastAsia="Times New Roman" w:hAnsi="Times New Roman"/>
          <w:sz w:val="20"/>
          <w:szCs w:val="20"/>
          <w:color w:val="auto"/>
        </w:rPr>
      </w:pPr>
    </w:p>
    <w:p>
      <w:pPr>
        <w:ind w:left="760" w:right="30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paragraph of Article IV of the Corporation’s Amended and Restated Certificate of Incorporation is hereby deleted in its entirety and replaced with the following:</w:t>
      </w:r>
    </w:p>
    <w:p>
      <w:pPr>
        <w:spacing w:after="0" w:line="172" w:lineRule="exact"/>
        <w:rPr>
          <w:rFonts w:ascii="Times New Roman" w:cs="Times New Roman" w:eastAsia="Times New Roman" w:hAnsi="Times New Roman"/>
          <w:sz w:val="20"/>
          <w:szCs w:val="20"/>
          <w:color w:val="auto"/>
        </w:rPr>
      </w:pPr>
    </w:p>
    <w:p>
      <w:pPr>
        <w:ind w:left="760" w:right="28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number of shares of all classes of stock that the Corporation has authority to issue is 610,000,000 shares, consisting of two classes: 600,000,000 shares of Common Stock, $0.0001 par value per share (“Common Stock”), and 10,000,000 shares of Preferred Stock, $0.0001 par value per share (“Preferred Stock”).</w:t>
      </w:r>
    </w:p>
    <w:p>
      <w:pPr>
        <w:spacing w:after="0" w:line="187" w:lineRule="exact"/>
        <w:rPr>
          <w:rFonts w:ascii="Times New Roman" w:cs="Times New Roman" w:eastAsia="Times New Roman" w:hAnsi="Times New Roman"/>
          <w:sz w:val="20"/>
          <w:szCs w:val="20"/>
          <w:color w:val="auto"/>
        </w:rPr>
      </w:pPr>
    </w:p>
    <w:p>
      <w:pPr>
        <w:ind w:left="7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487,149,741 shares of the Common Stock are voting and are hereby designated as “Voting Common Stock” and 112,850,259 shares of the Common Stock are non-voting and are hereby designated as “Non-Voting Common Stock,” each with the following rights, preferences, powers, privileges and restrictions, qualifications and limitations. For the avoidance of doubt, each reference to “Common Stock” in this Amended and Restated Certificate of Incorporation (as the same may be amended and/or restated from time to time, including pursuant to the terms of any Certificate of Designation designating a series of Preferred Stock, this “Certificate of Incorporation”), shall be deemed to include both Voting Common Stock and Non-Voting Common Stock.”</w:t>
      </w:r>
    </w:p>
    <w:p>
      <w:pPr>
        <w:spacing w:after="0" w:line="197" w:lineRule="exact"/>
        <w:rPr>
          <w:rFonts w:ascii="Times New Roman" w:cs="Times New Roman" w:eastAsia="Times New Roman" w:hAnsi="Times New Roman"/>
          <w:sz w:val="20"/>
          <w:szCs w:val="20"/>
          <w:color w:val="auto"/>
        </w:rPr>
      </w:pPr>
    </w:p>
    <w:p>
      <w:pPr>
        <w:ind w:left="760" w:right="100" w:hanging="378"/>
        <w:spacing w:after="0" w:line="295" w:lineRule="auto"/>
        <w:tabs>
          <w:tab w:leader="none" w:pos="7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Certificate of Amendment was submitted to the stockholders of the Corporation and was duly adopted and approved in accordance with the provisions of Sections 228 and 242 of the DGCL at the annual meeting of the stockholders of the Corporation.</w:t>
      </w:r>
    </w:p>
    <w:p>
      <w:pPr>
        <w:spacing w:after="0" w:line="15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IN WITNESS WHEREOF, said Corporation has caused this Certificate of Amendment to be signed by its duly authorized officer under the seal of the Corporation this 12 day of June, 2025.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PRELUDE THERAPEUTICS INCORPORATED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560" w:type="dxa"/>
            <w:vAlign w:val="bottom"/>
          </w:tcPr>
          <w:p>
            <w:pPr>
              <w:ind w:left="4680"/>
              <w:spacing w:after="0"/>
              <w:rPr>
                <w:sz w:val="20"/>
                <w:szCs w:val="20"/>
                <w:color w:val="auto"/>
              </w:rPr>
            </w:pPr>
            <w:r>
              <w:rPr>
                <w:rFonts w:ascii="Times New Roman" w:cs="Times New Roman" w:eastAsia="Times New Roman" w:hAnsi="Times New Roman"/>
                <w:sz w:val="20"/>
                <w:szCs w:val="20"/>
                <w:color w:val="auto"/>
              </w:rPr>
              <w:t>By:</w:t>
            </w: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20"/>
                <w:szCs w:val="20"/>
                <w:i w:val="1"/>
                <w:iCs w:val="1"/>
                <w:color w:val="auto"/>
              </w:rPr>
              <w:t>/s/ Krishna Vaddi</w:t>
            </w:r>
          </w:p>
        </w:tc>
      </w:tr>
      <w:tr>
        <w:trPr>
          <w:trHeight w:val="200"/>
        </w:trPr>
        <w:tc>
          <w:tcPr>
            <w:tcW w:w="5560" w:type="dxa"/>
            <w:vAlign w:val="bottom"/>
          </w:tcPr>
          <w:p>
            <w:pPr>
              <w:ind w:left="468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960" w:type="dxa"/>
            <w:vAlign w:val="bottom"/>
            <w:tcBorders>
              <w:top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Krishna Vaddi</w:t>
            </w:r>
          </w:p>
        </w:tc>
        <w:tc>
          <w:tcPr>
            <w:tcW w:w="720" w:type="dxa"/>
            <w:vAlign w:val="bottom"/>
          </w:tcPr>
          <w:p>
            <w:pPr>
              <w:spacing w:after="0"/>
              <w:rPr>
                <w:sz w:val="17"/>
                <w:szCs w:val="17"/>
                <w:color w:val="auto"/>
              </w:rPr>
            </w:pPr>
          </w:p>
        </w:tc>
      </w:tr>
      <w:tr>
        <w:trPr>
          <w:trHeight w:val="258"/>
        </w:trPr>
        <w:tc>
          <w:tcPr>
            <w:tcW w:w="5560" w:type="dxa"/>
            <w:vAlign w:val="bottom"/>
          </w:tcPr>
          <w:p>
            <w:pPr>
              <w:ind w:left="4680"/>
              <w:spacing w:after="0"/>
              <w:rPr>
                <w:sz w:val="20"/>
                <w:szCs w:val="20"/>
                <w:color w:val="auto"/>
              </w:rPr>
            </w:pPr>
            <w:r>
              <w:rPr>
                <w:rFonts w:ascii="Times New Roman" w:cs="Times New Roman" w:eastAsia="Times New Roman" w:hAnsi="Times New Roman"/>
                <w:sz w:val="20"/>
                <w:szCs w:val="20"/>
                <w:color w:val="auto"/>
              </w:rPr>
              <w:t>Title:</w:t>
            </w: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99"/>
        </w:trPr>
        <w:tc>
          <w:tcPr>
            <w:tcW w:w="55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3" w:name="page34"/>
    <w:bookmarkEnd w:id="33"/>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200" w:lineRule="exact"/>
        <w:rPr>
          <w:sz w:val="20"/>
          <w:szCs w:val="20"/>
          <w:color w:val="auto"/>
        </w:rPr>
      </w:pPr>
    </w:p>
    <w:p>
      <w:pPr>
        <w:spacing w:after="0" w:line="3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Prelude Therapeutics Incorporated (the “</w:t>
      </w:r>
      <w:r>
        <w:rPr>
          <w:rFonts w:ascii="Times New Roman" w:cs="Times New Roman" w:eastAsia="Times New Roman" w:hAnsi="Times New Roman"/>
          <w:sz w:val="21"/>
          <w:szCs w:val="21"/>
          <w:b w:val="1"/>
          <w:bCs w:val="1"/>
          <w:i w:val="1"/>
          <w:iCs w:val="1"/>
          <w:color w:val="auto"/>
        </w:rPr>
        <w:t>Corporation</w:t>
      </w:r>
      <w:r>
        <w:rPr>
          <w:rFonts w:ascii="Times New Roman" w:cs="Times New Roman" w:eastAsia="Times New Roman" w:hAnsi="Times New Roman"/>
          <w:sz w:val="21"/>
          <w:szCs w:val="21"/>
          <w:color w:val="auto"/>
        </w:rPr>
        <w:t>”), a corporation organized and existing under and by virtue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General Corporation Law, hereby certifies as follows:</w:t>
      </w:r>
    </w:p>
    <w:p>
      <w:pPr>
        <w:spacing w:after="0" w:line="182" w:lineRule="exact"/>
        <w:rPr>
          <w:sz w:val="20"/>
          <w:szCs w:val="20"/>
          <w:color w:val="auto"/>
        </w:rPr>
      </w:pPr>
    </w:p>
    <w:p>
      <w:pPr>
        <w:ind w:left="100" w:right="20" w:firstLine="656"/>
        <w:spacing w:after="0" w:line="258" w:lineRule="auto"/>
        <w:tabs>
          <w:tab w:leader="none" w:pos="10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“Prelude Therapeutics Incorporated.” The date of the filing of its original Certificate of Incorporation with the Secretary of State of the State of Delaware was February 5, 2016.</w:t>
      </w:r>
    </w:p>
    <w:p>
      <w:pPr>
        <w:spacing w:after="0" w:line="158" w:lineRule="exact"/>
        <w:rPr>
          <w:rFonts w:ascii="Times New Roman" w:cs="Times New Roman" w:eastAsia="Times New Roman" w:hAnsi="Times New Roman"/>
          <w:sz w:val="22"/>
          <w:szCs w:val="22"/>
          <w:color w:val="auto"/>
        </w:rPr>
      </w:pPr>
    </w:p>
    <w:p>
      <w:pPr>
        <w:jc w:val="both"/>
        <w:ind w:right="20" w:firstLine="757"/>
        <w:spacing w:after="0" w:line="238" w:lineRule="auto"/>
        <w:tabs>
          <w:tab w:leader="none" w:pos="118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Amended and Restated Certificate of Incorporation of the Corporation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is incorporated herein by this reference, and which restates, integrates and further amends the provisions of the Restated Certificate of Incorporation of this Corporation, as previously amended and/or restated, has been duly adopted by this Corporation’s Board of Directors and by the stockholders in accordance with Sections 242 and 245 of the General Corporation Law of the State of Delaware.</w:t>
      </w:r>
    </w:p>
    <w:p>
      <w:pPr>
        <w:spacing w:after="0" w:line="177" w:lineRule="exact"/>
        <w:rPr>
          <w:sz w:val="20"/>
          <w:szCs w:val="20"/>
          <w:color w:val="auto"/>
        </w:rPr>
      </w:pPr>
    </w:p>
    <w:p>
      <w:pPr>
        <w:ind w:firstLine="749"/>
        <w:spacing w:after="0" w:line="290" w:lineRule="auto"/>
        <w:rPr>
          <w:sz w:val="20"/>
          <w:szCs w:val="20"/>
          <w:color w:val="auto"/>
        </w:rPr>
      </w:pPr>
      <w:r>
        <w:rPr>
          <w:rFonts w:ascii="Times New Roman" w:cs="Times New Roman" w:eastAsia="Times New Roman" w:hAnsi="Times New Roman"/>
          <w:sz w:val="22"/>
          <w:szCs w:val="22"/>
          <w:color w:val="auto"/>
        </w:rPr>
        <w:t>IN WITNESS WHEREOF, said Corporation has caused this Amended and Restated Certificate of Incorporation to be signed by its duly authorized officer under the seal of the Corporation this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June, 2023.</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PRELUDE THERAPEUTICS INCORPORATED</w:t>
      </w:r>
    </w:p>
    <w:p>
      <w:pPr>
        <w:spacing w:after="0" w:line="20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Krishna Vaddi</w:t>
      </w:r>
    </w:p>
    <w:p>
      <w:pPr>
        <w:spacing w:after="0" w:line="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 Krishna Vaddi</w:t>
      </w:r>
    </w:p>
    <w:p>
      <w:pPr>
        <w:ind w:left="46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I: NAME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name of the corporation is Prelude Therapeutics Incorporated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ARTICLE II: AGENT FOR SERVICE OF PROCESS</w:t>
      </w:r>
    </w:p>
    <w:p>
      <w:pPr>
        <w:spacing w:after="0" w:line="224" w:lineRule="exact"/>
        <w:rPr>
          <w:sz w:val="20"/>
          <w:szCs w:val="20"/>
          <w:color w:val="auto"/>
        </w:rPr>
      </w:pPr>
    </w:p>
    <w:p>
      <w:pPr>
        <w:jc w:val="both"/>
        <w:ind w:right="200" w:firstLine="749"/>
        <w:spacing w:after="0" w:line="222" w:lineRule="auto"/>
        <w:rPr>
          <w:sz w:val="20"/>
          <w:szCs w:val="20"/>
          <w:color w:val="auto"/>
        </w:rPr>
      </w:pPr>
      <w:r>
        <w:rPr>
          <w:rFonts w:ascii="Times New Roman" w:cs="Times New Roman" w:eastAsia="Times New Roman" w:hAnsi="Times New Roman"/>
          <w:sz w:val="22"/>
          <w:szCs w:val="22"/>
          <w:color w:val="auto"/>
        </w:rPr>
        <w:t>The address of the registered office of this Company in the State of Delaware is 1201 North Market Street,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Post Office Box 1347, in the City of Wilmington, County of New Castle, Delaware 19801, and the name of the registered agent of this Corporation in the State of Delaware at such address is Delaware Corporation Organizers, Inc.</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III: PURPOSE</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22"/>
          <w:szCs w:val="22"/>
          <w:b w:val="1"/>
          <w:bCs w:val="1"/>
          <w:i w:val="1"/>
          <w:iCs w:val="1"/>
          <w:color w:val="auto"/>
        </w:rPr>
        <w:t>General Corporation Law</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IV: AUTHORIZED STOCK</w:t>
      </w:r>
    </w:p>
    <w:p>
      <w:pPr>
        <w:spacing w:after="0" w:line="206" w:lineRule="exact"/>
        <w:rPr>
          <w:sz w:val="20"/>
          <w:szCs w:val="20"/>
          <w:color w:val="auto"/>
        </w:rPr>
      </w:pPr>
    </w:p>
    <w:p>
      <w:pPr>
        <w:ind w:left="1180" w:hanging="423"/>
        <w:spacing w:after="0"/>
        <w:tabs>
          <w:tab w:leader="none" w:pos="118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Total Authorized</w:t>
      </w:r>
      <w:r>
        <w:rPr>
          <w:rFonts w:ascii="Times New Roman" w:cs="Times New Roman" w:eastAsia="Times New Roman" w:hAnsi="Times New Roman"/>
          <w:sz w:val="22"/>
          <w:szCs w:val="22"/>
          <w:color w:val="auto"/>
        </w:rPr>
        <w:t>. The total number of shares of all classes of stock that the Corporation has authority to issue is</w:t>
      </w:r>
    </w:p>
    <w:p>
      <w:pPr>
        <w:spacing w:after="0" w:line="18" w:lineRule="exact"/>
        <w:rPr>
          <w:rFonts w:ascii="Times New Roman" w:cs="Times New Roman" w:eastAsia="Times New Roman" w:hAnsi="Times New Roman"/>
          <w:sz w:val="22"/>
          <w:szCs w:val="22"/>
          <w:b w:val="1"/>
          <w:bCs w:val="1"/>
          <w:color w:val="auto"/>
        </w:rPr>
      </w:pPr>
    </w:p>
    <w:p>
      <w:pPr>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510,000,000 shares, consisting of two classes: 500,000,000 shares of Common Stock, $0.0001 par value per share (“</w:t>
      </w:r>
      <w:r>
        <w:rPr>
          <w:rFonts w:ascii="Times New Roman" w:cs="Times New Roman" w:eastAsia="Times New Roman" w:hAnsi="Times New Roman"/>
          <w:sz w:val="22"/>
          <w:szCs w:val="22"/>
          <w:b w:val="1"/>
          <w:bCs w:val="1"/>
          <w:i w:val="1"/>
          <w:iCs w:val="1"/>
          <w:color w:val="auto"/>
        </w:rPr>
        <w:t>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and 10,000,000 shares of Preferred Stock, $0.0001 par value per share (“</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487,149,741 shares of the Common Stock are voting and are hereby designated as “</w:t>
      </w:r>
      <w:r>
        <w:rPr>
          <w:rFonts w:ascii="Times New Roman" w:cs="Times New Roman" w:eastAsia="Times New Roman" w:hAnsi="Times New Roman"/>
          <w:sz w:val="22"/>
          <w:szCs w:val="22"/>
          <w:b w:val="1"/>
          <w:bCs w:val="1"/>
          <w:i w:val="1"/>
          <w:iCs w:val="1"/>
          <w:color w:val="auto"/>
        </w:rPr>
        <w:t>Voting Common Stock</w:t>
      </w:r>
      <w:r>
        <w:rPr>
          <w:rFonts w:ascii="Times New Roman" w:cs="Times New Roman" w:eastAsia="Times New Roman" w:hAnsi="Times New Roman"/>
          <w:sz w:val="22"/>
          <w:szCs w:val="22"/>
          <w:color w:val="auto"/>
        </w:rPr>
        <w:t>” and 12,850,259 shares of the Common Stock are non-voting and are hereby designated as “</w:t>
      </w:r>
      <w:r>
        <w:rPr>
          <w:rFonts w:ascii="Times New Roman" w:cs="Times New Roman" w:eastAsia="Times New Roman" w:hAnsi="Times New Roman"/>
          <w:sz w:val="22"/>
          <w:szCs w:val="22"/>
          <w:b w:val="1"/>
          <w:bCs w:val="1"/>
          <w:i w:val="1"/>
          <w:iCs w:val="1"/>
          <w:color w:val="auto"/>
        </w:rPr>
        <w:t>Non-Voting Common Stock</w:t>
      </w:r>
      <w:r>
        <w:rPr>
          <w:rFonts w:ascii="Times New Roman" w:cs="Times New Roman" w:eastAsia="Times New Roman" w:hAnsi="Times New Roman"/>
          <w:sz w:val="22"/>
          <w:szCs w:val="22"/>
          <w:color w:val="auto"/>
        </w:rPr>
        <w:t>,” each with the following rights, preferences, powers, privileges and restrictions, qualifications and limitations. For the avoidance of doubt, each reference to “Common Stock” in this Amended and Restated Certificate of Incorporation (as the same may be amended and/or restated from time to time, including pursuant to the terms of any Certificate of Designation designating a series of Preferred Stock, this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shall be deemed to include both Voting Common Stock and Non-Voting Common Stock.</w:t>
      </w:r>
    </w:p>
    <w:p>
      <w:pPr>
        <w:spacing w:after="0" w:line="178" w:lineRule="exact"/>
        <w:rPr>
          <w:sz w:val="20"/>
          <w:szCs w:val="20"/>
          <w:color w:val="auto"/>
        </w:rPr>
      </w:pPr>
    </w:p>
    <w:p>
      <w:pPr>
        <w:ind w:left="1180" w:hanging="423"/>
        <w:spacing w:after="0"/>
        <w:tabs>
          <w:tab w:leader="none" w:pos="11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Designation of Additional Series.</w:t>
      </w:r>
    </w:p>
    <w:p>
      <w:pPr>
        <w:spacing w:after="0" w:line="20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2.1. The Board of Directors of the Corporation (the “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Times New Roman" w:cs="Times New Roman" w:eastAsia="Times New Roman" w:hAnsi="Times New Roman"/>
          <w:sz w:val="22"/>
          <w:szCs w:val="22"/>
          <w:b w:val="1"/>
          <w:bCs w:val="1"/>
          <w:i w:val="1"/>
          <w:iCs w:val="1"/>
          <w:color w:val="auto"/>
        </w:rPr>
        <w:t>Certificate of Designation</w:t>
      </w:r>
      <w:r>
        <w:rPr>
          <w:rFonts w:ascii="Times New Roman" w:cs="Times New Roman" w:eastAsia="Times New Roman" w:hAnsi="Times New Roman"/>
          <w:sz w:val="22"/>
          <w:szCs w:val="22"/>
          <w:color w:val="auto"/>
        </w:rPr>
        <w:t>”), to establish from time to time the number of shares to be included in each such series, to fix the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932180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35" w:name="page36"/>
    <w:bookmarkEnd w:id="35"/>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Certificate of Incorporation, the term “</w:t>
      </w:r>
      <w:r>
        <w:rPr>
          <w:rFonts w:ascii="Times New Roman" w:cs="Times New Roman" w:eastAsia="Times New Roman" w:hAnsi="Times New Roman"/>
          <w:sz w:val="21"/>
          <w:szCs w:val="21"/>
          <w:b w:val="1"/>
          <w:bCs w:val="1"/>
          <w:i w:val="1"/>
          <w:iCs w:val="1"/>
          <w:color w:val="auto"/>
        </w:rPr>
        <w:t>Whole Board</w:t>
      </w:r>
      <w:r>
        <w:rPr>
          <w:rFonts w:ascii="Times New Roman" w:cs="Times New Roman" w:eastAsia="Times New Roman" w:hAnsi="Times New Roman"/>
          <w:sz w:val="21"/>
          <w:szCs w:val="21"/>
          <w:color w:val="auto"/>
        </w:rPr>
        <w:t>” shall mean the total number of authorized directors whether or not there exist any vacancies in previously authorized directorships.</w:t>
      </w:r>
    </w:p>
    <w:p>
      <w:pPr>
        <w:spacing w:after="0" w:line="17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Voting Common Stock or the holders of Pre 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2.3 Each outstanding share of Voting Common Stock shall entitle the holder thereof to one vote on each matter properly submitted to the stockholders of the Corporation for their vote;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that</w:t>
      </w:r>
      <w:r>
        <w:rPr>
          <w:rFonts w:ascii="Times New Roman" w:cs="Times New Roman" w:eastAsia="Times New Roman" w:hAnsi="Times New Roman"/>
          <w:sz w:val="22"/>
          <w:szCs w:val="22"/>
          <w:color w:val="auto"/>
        </w:rPr>
        <w:t>, except as otherwise required by law, holders of Voting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8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2.4 Any holder of Non-Voting Common Stock may elect to convert each share of Non-Voting Common Stock into one fully paid and non-assessable share of Voting Common Stock at any time by providing written notice to the Corporation; provided, however, that such shares of Non-Voting Common Stock may only be converted by a holder of Non-Voting Common Stock into shares of Voting Common Stock during such time or times as immediately prior to or as a result of such conversion would not result in such holder (when aggregated with affiliates with whom such holder is required to aggregate beneficial ownership for purposes of Section 13(d) of the Securities Exchange Act of 1934, as amended, and the rules and regulations promulgated thereunder (collectively,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being a beneficial owner (for purposes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6" w:name="page37"/>
    <w:bookmarkEnd w:id="36"/>
    <w:p>
      <w:pPr>
        <w:jc w:val="both"/>
        <w:spacing w:after="0" w:line="247" w:lineRule="auto"/>
        <w:rPr>
          <w:sz w:val="20"/>
          <w:szCs w:val="20"/>
          <w:color w:val="auto"/>
        </w:rPr>
      </w:pPr>
      <w:r>
        <w:rPr>
          <w:rFonts w:ascii="Times New Roman" w:cs="Times New Roman" w:eastAsia="Times New Roman" w:hAnsi="Times New Roman"/>
          <w:sz w:val="22"/>
          <w:szCs w:val="22"/>
          <w:color w:val="auto"/>
        </w:rPr>
        <w:t>13(d) of the Exchange Act) (a “</w:t>
      </w:r>
      <w:r>
        <w:rPr>
          <w:rFonts w:ascii="Times New Roman" w:cs="Times New Roman" w:eastAsia="Times New Roman" w:hAnsi="Times New Roman"/>
          <w:sz w:val="22"/>
          <w:szCs w:val="22"/>
          <w:b w:val="1"/>
          <w:bCs w:val="1"/>
          <w:i w:val="1"/>
          <w:iCs w:val="1"/>
          <w:color w:val="auto"/>
        </w:rPr>
        <w:t>Beneficial Owner</w:t>
      </w:r>
      <w:r>
        <w:rPr>
          <w:rFonts w:ascii="Times New Roman" w:cs="Times New Roman" w:eastAsia="Times New Roman" w:hAnsi="Times New Roman"/>
          <w:sz w:val="22"/>
          <w:szCs w:val="22"/>
          <w:color w:val="auto"/>
        </w:rPr>
        <w:t>”) in excess of the Beneficial Ownership Limitation (as defined in Section 6(b) below). Except for the fact that the Non-Voting Common Stock has no voting rights, the Non-Voting Common Stock is identical in all respects to the Voting Common Stock.</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Beneficial Ownership Limitation</w:t>
      </w:r>
      <w:r>
        <w:rPr>
          <w:rFonts w:ascii="Times New Roman" w:cs="Times New Roman" w:eastAsia="Times New Roman" w:hAnsi="Times New Roman"/>
          <w:sz w:val="22"/>
          <w:szCs w:val="22"/>
          <w:color w:val="auto"/>
        </w:rPr>
        <w:t>” means initially 9.99% of any class of securities of the Corporation registered under the Exchange Act, which percentage may be increased (not to exceed 19.99%) or decreased to such other percentage as any holder may designate (solely with respect to such holder and not with respect to any other holder) in writing upon 61 days’ notice to the Corporation, provided, however, that no holder may make such an election to change the percentage unless all holders managed by the same investment advisor as such electing holder make the same election.</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V: AMENDMENT OF BYLAWS</w:t>
      </w:r>
    </w:p>
    <w:p>
      <w:pPr>
        <w:spacing w:after="0" w:line="21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xml:space="preserve">”). Any adoption, amendment or repeal of the Bylaws by the Board shall require the approval of a majority of the Whole Board. The stockholders shall also have power to adopt, amend or repeal the Bylaws;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that</w:t>
      </w:r>
      <w:r>
        <w:rPr>
          <w:rFonts w:ascii="Times New Roman" w:cs="Times New Roman" w:eastAsia="Times New Roman" w:hAnsi="Times New Roman"/>
          <w:sz w:val="22"/>
          <w:szCs w:val="22"/>
          <w:color w:val="auto"/>
        </w:rPr>
        <w:t>, notwithstanding any other provision of this Certificate of Incorporation or any provision of law that might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VI: MATTERS RELATING TO THE BOARD OF DIRECTORS</w:t>
      </w:r>
    </w:p>
    <w:p>
      <w:pPr>
        <w:spacing w:after="0" w:line="206" w:lineRule="exact"/>
        <w:rPr>
          <w:sz w:val="20"/>
          <w:szCs w:val="20"/>
          <w:color w:val="auto"/>
        </w:rPr>
      </w:pPr>
    </w:p>
    <w:p>
      <w:pPr>
        <w:jc w:val="both"/>
        <w:ind w:firstLine="757"/>
        <w:spacing w:after="0" w:line="246" w:lineRule="auto"/>
        <w:tabs>
          <w:tab w:leader="none" w:pos="118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Director Powers</w:t>
      </w:r>
      <w:r>
        <w:rPr>
          <w:rFonts w:ascii="Times New Roman" w:cs="Times New Roman" w:eastAsia="Times New Roman" w:hAnsi="Times New Roman"/>
          <w:sz w:val="22"/>
          <w:szCs w:val="22"/>
          <w:color w:val="auto"/>
        </w:rPr>
        <w:t>. Except as otherwise provided by the General Corporation Law, the Bylaws of the 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Certificate of Incorporation, the business and affairs of the Corporation shall be managed by or under the direction of the Board.</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221"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Number of Directors</w:t>
      </w:r>
      <w:r>
        <w:rPr>
          <w:rFonts w:ascii="Times New Roman" w:cs="Times New Roman" w:eastAsia="Times New Roman" w:hAnsi="Times New Roman"/>
          <w:sz w:val="22"/>
          <w:szCs w:val="22"/>
          <w:color w:val="auto"/>
        </w:rPr>
        <w:t>. Subject to the special rights of the holders of any series of Preferred Stock to elect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directors under specified circumstances, the total number of directors constituting the Whole Board shall be fixed from time to time exclusively by resolution adopted by a majority of the Whole Board.</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46" w:lineRule="auto"/>
        <w:tabs>
          <w:tab w:leader="none" w:pos="1194"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Classified Board</w:t>
      </w:r>
      <w:r>
        <w:rPr>
          <w:rFonts w:ascii="Times New Roman" w:cs="Times New Roman" w:eastAsia="Times New Roman" w:hAnsi="Times New Roman"/>
          <w:sz w:val="22"/>
          <w:szCs w:val="22"/>
          <w:color w:val="auto"/>
        </w:rPr>
        <w:t>. Subject to the special rights of the holders of one or more series of Preferred Stock to elect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directors under specified circumstances, the directors shall be divided, with respect to the time for which they severally hold office, into three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7" w:name="page38"/>
    <w:bookmarkEnd w:id="37"/>
    <w:p>
      <w:pPr>
        <w:jc w:val="both"/>
        <w:spacing w:after="0" w:line="234" w:lineRule="auto"/>
        <w:rPr>
          <w:sz w:val="20"/>
          <w:szCs w:val="20"/>
          <w:color w:val="auto"/>
        </w:rPr>
      </w:pPr>
      <w:r>
        <w:rPr>
          <w:rFonts w:ascii="Times New Roman" w:cs="Times New Roman" w:eastAsia="Times New Roman" w:hAnsi="Times New Roman"/>
          <w:sz w:val="22"/>
          <w:szCs w:val="22"/>
          <w:color w:val="auto"/>
        </w:rPr>
        <w:t>designated as Class I, Class II and Class III, respectively (the “</w:t>
      </w:r>
      <w:r>
        <w:rPr>
          <w:rFonts w:ascii="Times New Roman" w:cs="Times New Roman" w:eastAsia="Times New Roman" w:hAnsi="Times New Roman"/>
          <w:sz w:val="22"/>
          <w:szCs w:val="22"/>
          <w:b w:val="1"/>
          <w:bCs w:val="1"/>
          <w:i w:val="1"/>
          <w:iCs w:val="1"/>
          <w:color w:val="auto"/>
        </w:rPr>
        <w:t>Classified Board</w:t>
      </w:r>
      <w:r>
        <w:rPr>
          <w:rFonts w:ascii="Times New Roman" w:cs="Times New Roman" w:eastAsia="Times New Roman" w:hAnsi="Times New Roman"/>
          <w:sz w:val="22"/>
          <w:szCs w:val="22"/>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Voting Common Stock to the public (the “</w:t>
      </w:r>
      <w:r>
        <w:rPr>
          <w:rFonts w:ascii="Times New Roman" w:cs="Times New Roman" w:eastAsia="Times New Roman" w:hAnsi="Times New Roman"/>
          <w:sz w:val="22"/>
          <w:szCs w:val="22"/>
          <w:b w:val="1"/>
          <w:bCs w:val="1"/>
          <w:i w:val="1"/>
          <w:iCs w:val="1"/>
          <w:color w:val="auto"/>
        </w:rPr>
        <w:t>Initial Public Offering</w:t>
      </w:r>
      <w:r>
        <w:rPr>
          <w:rFonts w:ascii="Times New Roman" w:cs="Times New Roman" w:eastAsia="Times New Roman" w:hAnsi="Times New Roman"/>
          <w:sz w:val="22"/>
          <w:szCs w:val="22"/>
          <w:color w:val="auto"/>
        </w:rPr>
        <w:t>”), the initial term of office of the Class II directors shall expire at the Corporation’s second annual meeting of stockholders following the closing of the Initial Pub 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74" w:lineRule="exact"/>
        <w:rPr>
          <w:sz w:val="20"/>
          <w:szCs w:val="20"/>
          <w:color w:val="auto"/>
        </w:rPr>
      </w:pPr>
    </w:p>
    <w:p>
      <w:pPr>
        <w:jc w:val="both"/>
        <w:ind w:firstLine="757"/>
        <w:spacing w:after="0" w:line="233" w:lineRule="auto"/>
        <w:tabs>
          <w:tab w:leader="none" w:pos="1181"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and Removal</w:t>
      </w:r>
      <w:r>
        <w:rPr>
          <w:rFonts w:ascii="Times New Roman" w:cs="Times New Roman" w:eastAsia="Times New Roman" w:hAnsi="Times New Roman"/>
          <w:sz w:val="22"/>
          <w:szCs w:val="22"/>
          <w:color w:val="auto"/>
        </w:rPr>
        <w:t>. Each director shall hold office until the annual meeting at which such director’s term expires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until such director’s succes 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84"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181"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Board Vacancies and Newly Created Directorships</w:t>
      </w:r>
      <w:r>
        <w:rPr>
          <w:rFonts w:ascii="Times New Roman" w:cs="Times New Roman" w:eastAsia="Times New Roman" w:hAnsi="Times New Roman"/>
          <w:sz w:val="22"/>
          <w:szCs w:val="22"/>
          <w:color w:val="auto"/>
        </w:rPr>
        <w:t>. Subject to the special rights of the holders of any series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Preferred Stock,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73" w:lineRule="exact"/>
        <w:rPr>
          <w:rFonts w:ascii="Times New Roman" w:cs="Times New Roman" w:eastAsia="Times New Roman" w:hAnsi="Times New Roman"/>
          <w:sz w:val="22"/>
          <w:szCs w:val="22"/>
          <w:b w:val="1"/>
          <w:bCs w:val="1"/>
          <w:color w:val="auto"/>
        </w:rPr>
      </w:pPr>
    </w:p>
    <w:p>
      <w:pPr>
        <w:ind w:left="1180" w:hanging="423"/>
        <w:spacing w:after="0"/>
        <w:tabs>
          <w:tab w:leader="none" w:pos="11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Vote by Ballot</w:t>
      </w:r>
      <w:r>
        <w:rPr>
          <w:rFonts w:ascii="Times New Roman" w:cs="Times New Roman" w:eastAsia="Times New Roman" w:hAnsi="Times New Roman"/>
          <w:sz w:val="22"/>
          <w:szCs w:val="22"/>
          <w:color w:val="auto"/>
        </w:rPr>
        <w:t>. Election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VII: LIMITATION OF LIABILITY</w:t>
      </w:r>
    </w:p>
    <w:p>
      <w:pPr>
        <w:spacing w:after="0" w:line="206" w:lineRule="exact"/>
        <w:rPr>
          <w:sz w:val="20"/>
          <w:szCs w:val="20"/>
          <w:color w:val="auto"/>
        </w:rPr>
      </w:pPr>
    </w:p>
    <w:p>
      <w:pPr>
        <w:jc w:val="both"/>
        <w:ind w:firstLine="757"/>
        <w:spacing w:after="0" w:line="237" w:lineRule="auto"/>
        <w:tabs>
          <w:tab w:leader="none" w:pos="1181"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of Liability</w:t>
      </w:r>
      <w:r>
        <w:rPr>
          <w:rFonts w:ascii="Times New Roman" w:cs="Times New Roman" w:eastAsia="Times New Roman" w:hAnsi="Times New Roman"/>
          <w:sz w:val="22"/>
          <w:szCs w:val="22"/>
          <w:color w:val="auto"/>
        </w:rPr>
        <w:t>. To the fullest extent permitted by law, neither a director of the Corporation nor an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Corporation shall be personally liable to the Corporation or its stockholders for monetary damages for breach of fiduciary duty as a director or officer, as applicable. Without limiting the effect of the preceding sentence, if the General Corpo 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75"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181"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 in Rights</w:t>
      </w:r>
      <w:r>
        <w:rPr>
          <w:rFonts w:ascii="Times New Roman" w:cs="Times New Roman" w:eastAsia="Times New Roman" w:hAnsi="Times New Roman"/>
          <w:sz w:val="22"/>
          <w:szCs w:val="22"/>
          <w:color w:val="auto"/>
        </w:rPr>
        <w:t>. Neither any amendment nor repeal of this Article VII, nor the adoption of any provision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VIII: MATTERS RELATING TO STOCKHOLDERS</w:t>
      </w:r>
    </w:p>
    <w:p>
      <w:pPr>
        <w:spacing w:after="0" w:line="206" w:lineRule="exact"/>
        <w:rPr>
          <w:sz w:val="20"/>
          <w:szCs w:val="20"/>
          <w:color w:val="auto"/>
        </w:rPr>
      </w:pPr>
    </w:p>
    <w:p>
      <w:pPr>
        <w:jc w:val="both"/>
        <w:ind w:firstLine="757"/>
        <w:spacing w:after="0" w:line="246" w:lineRule="auto"/>
        <w:tabs>
          <w:tab w:leader="none" w:pos="1208"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Action by Written Consent of Stockholders</w:t>
      </w:r>
      <w:r>
        <w:rPr>
          <w:rFonts w:ascii="Times New Roman" w:cs="Times New Roman" w:eastAsia="Times New Roman" w:hAnsi="Times New Roman"/>
          <w:sz w:val="22"/>
          <w:szCs w:val="22"/>
          <w:color w:val="auto"/>
        </w:rPr>
        <w:t>. Subject to the rights of any series of Preferred Stock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no action shall be taken by the stockholders of the Corporation except at a duly called annual or special meeting of stockholders and no action shall be taken by the stockholders of the Corporation by written consent in lieu of a meeting.</w:t>
      </w:r>
    </w:p>
    <w:p>
      <w:pPr>
        <w:spacing w:after="0" w:line="167"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181"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Special Meeting of Stockholders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meetings of the stockholders of the Corporation may be called only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Chairperson of the 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 </w:t>
      </w:r>
      <w:r>
        <w:rPr>
          <w:rFonts w:ascii="Times New Roman" w:cs="Times New Roman" w:eastAsia="Times New Roman" w:hAnsi="Times New Roman"/>
          <w:sz w:val="22"/>
          <w:szCs w:val="22"/>
          <w:b w:val="1"/>
          <w:bCs w:val="1"/>
          <w:u w:val="single" w:color="auto"/>
          <w:color w:val="auto"/>
        </w:rPr>
        <w:t>Advance Notice of Stockholder Nominations and Business Transacted at Spe cial Meetings</w:t>
      </w:r>
      <w:r>
        <w:rPr>
          <w:rFonts w:ascii="Times New Roman" w:cs="Times New Roman" w:eastAsia="Times New Roman" w:hAnsi="Times New Roman"/>
          <w:sz w:val="22"/>
          <w:szCs w:val="22"/>
          <w:color w:val="auto"/>
        </w:rPr>
        <w:t>. Advance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7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ARTICLE IX: CHOICE OF FORUM</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w:t>
      </w:r>
    </w:p>
    <w:p>
      <w:pPr>
        <w:spacing w:after="0" w:line="2" w:lineRule="exact"/>
        <w:rPr>
          <w:sz w:val="20"/>
          <w:szCs w:val="20"/>
          <w:color w:val="auto"/>
        </w:rPr>
      </w:pPr>
    </w:p>
    <w:p>
      <w:pPr>
        <w:jc w:val="both"/>
        <w:ind w:firstLine="8"/>
        <w:spacing w:after="0" w:line="232" w:lineRule="auto"/>
        <w:tabs>
          <w:tab w:leader="none" w:pos="35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22"/>
          <w:szCs w:val="22"/>
          <w:color w:val="auto"/>
        </w:rPr>
        <w:t>any interest in shares of capital stock of the Corporation shall be deemed to have notice of and to have consented to the provisions of this Article IX.</w:t>
      </w:r>
    </w:p>
    <w:p>
      <w:pPr>
        <w:spacing w:after="0" w:line="154"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color w:val="auto"/>
        </w:rPr>
        <w:t>ARTICLE X: AMENDMENT OF CERTIFICATE OF INCORPORATION</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of by this Certificate of Incorporation or any Certificate of Designation), shall be required to amend or repeal such provisions of this Certificate of Incorporation.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1226820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3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9"/>
        </w:trPr>
        <w:tc>
          <w:tcPr>
            <w:tcW w:w="3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3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5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June 30, 2025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2025</w:t>
            </w:r>
          </w:p>
        </w:tc>
        <w:tc>
          <w:tcPr>
            <w:tcW w:w="22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189"/>
        </w:trPr>
        <w:tc>
          <w:tcPr>
            <w:tcW w:w="35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5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2025-08-14T06:27:17Z</dcterms:created>
  <dcterms:modified xsi:type="dcterms:W3CDTF">2025-08-14T06:27:17Z</dcterms:modified>
</cp:coreProperties>
</file>