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3820" w:right="1620" w:hanging="3812"/>
        <w:spacing w:after="0" w:line="226" w:lineRule="auto"/>
        <w:tabs>
          <w:tab w:leader="none" w:pos="475"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30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PRELUDE THERAPEUTICS INCORPORATED</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81-1384762</w:t>
            </w:r>
          </w:p>
        </w:tc>
      </w:tr>
      <w:tr>
        <w:trPr>
          <w:trHeight w:val="135"/>
        </w:trPr>
        <w:tc>
          <w:tcPr>
            <w:tcW w:w="4120" w:type="dxa"/>
            <w:vAlign w:val="bottom"/>
          </w:tcPr>
          <w:p>
            <w:pPr>
              <w:jc w:val="center"/>
              <w:ind w:right="198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8"/>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91"/>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200 Powder Mill Road</w:t>
            </w:r>
          </w:p>
        </w:tc>
        <w:tc>
          <w:tcPr>
            <w:tcW w:w="3020" w:type="dxa"/>
            <w:vAlign w:val="bottom"/>
          </w:tcPr>
          <w:p>
            <w:pPr>
              <w:spacing w:after="0"/>
              <w:rPr>
                <w:sz w:val="24"/>
                <w:szCs w:val="24"/>
                <w:color w:val="auto"/>
              </w:rPr>
            </w:pPr>
          </w:p>
        </w:tc>
      </w:tr>
      <w:tr>
        <w:trPr>
          <w:trHeight w:val="218"/>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302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19803</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20" w:type="dxa"/>
            <w:vAlign w:val="bottom"/>
            <w:gridSpan w:val="2"/>
            <w:vMerge w:val="continue"/>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PRLD</w:t>
            </w:r>
          </w:p>
        </w:tc>
        <w:tc>
          <w:tcPr>
            <w:tcW w:w="100" w:type="dxa"/>
            <w:vAlign w:val="bottom"/>
          </w:tcPr>
          <w:p>
            <w:pPr>
              <w:spacing w:after="0"/>
              <w:rPr>
                <w:sz w:val="17"/>
                <w:szCs w:val="17"/>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ind w:firstLine="47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20" w:firstLine="47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300" w:firstLine="47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jc w:val="both"/>
        <w:ind w:right="100" w:firstLine="47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480"/>
        <w:spacing w:after="0" w:line="184" w:lineRule="exact"/>
        <w:tabs>
          <w:tab w:leader="none" w:pos="802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ind w:right="180" w:firstLine="47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May 4, 2022, the registrant had 47,695,639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300" w:type="dxa"/>
            <w:vAlign w:val="bottom"/>
            <w:gridSpan w:val="9"/>
            <w:vMerge w:val="restart"/>
          </w:tcPr>
          <w:p>
            <w:pPr>
              <w:spacing w:after="0"/>
              <w:rPr>
                <w:sz w:val="15"/>
                <w:szCs w:val="15"/>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102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8"/>
            <w:vMerge w:val="continue"/>
          </w:tcPr>
          <w:p>
            <w:pPr>
              <w:spacing w:after="0"/>
              <w:rPr>
                <w:sz w:val="15"/>
                <w:szCs w:val="15"/>
                <w:color w:val="auto"/>
              </w:rPr>
            </w:pPr>
          </w:p>
        </w:tc>
        <w:tc>
          <w:tcPr>
            <w:tcW w:w="7300" w:type="dxa"/>
            <w:vAlign w:val="bottom"/>
            <w:gridSpan w:val="9"/>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Balance Sheets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Statements of Operations and Comprehensive Loss (Unaudited)</w:t>
            </w:r>
          </w:p>
        </w:tc>
        <w:tc>
          <w:tcPr>
            <w:tcW w:w="496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Statements of Changes in Stockholders’ Equity (Deficit)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Statements of Cash Flows (Unaudited)</w:t>
            </w:r>
          </w:p>
        </w:tc>
        <w:tc>
          <w:tcPr>
            <w:tcW w:w="45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Notes to Unaudited Interim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0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20" w:type="dxa"/>
            <w:vAlign w:val="bottom"/>
            <w:gridSpan w:val="2"/>
            <w:vMerge w:val="continue"/>
          </w:tcPr>
          <w:p>
            <w:pPr>
              <w:spacing w:after="0"/>
              <w:rPr>
                <w:sz w:val="21"/>
                <w:szCs w:val="21"/>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220" w:type="dxa"/>
            <w:vAlign w:val="bottom"/>
            <w:gridSpan w:val="13"/>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2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240" w:type="dxa"/>
            <w:vAlign w:val="bottom"/>
            <w:gridSpan w:val="8"/>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8"/>
                <w:szCs w:val="18"/>
                <w:color w:val="auto"/>
              </w:rPr>
            </w:pPr>
          </w:p>
        </w:tc>
        <w:tc>
          <w:tcPr>
            <w:tcW w:w="7800" w:type="dxa"/>
            <w:vAlign w:val="bottom"/>
            <w:gridSpan w:val="11"/>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80" w:type="dxa"/>
            <w:vAlign w:val="bottom"/>
          </w:tcPr>
          <w:p>
            <w:pPr>
              <w:spacing w:after="0"/>
              <w:rPr>
                <w:sz w:val="13"/>
                <w:szCs w:val="13"/>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620" w:type="dxa"/>
            <w:vAlign w:val="bottom"/>
            <w:tcBorders>
              <w:bottom w:val="single" w:sz="8" w:color="CFF0FC"/>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214,555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269,972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280,671</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30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(Note 8)</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Voting common stock, $0.0001 par value: 487,149,741 shares authorized; 36,293,331 and</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36,200,299 shares issued and outstanding at March 31, 2022 and December 31, 2021, respectively</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Non-voting common stock, $0.0001 par value; 12,850,259 shares authorized; 11,402,037 and</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11,402,037 shares issued and outstanding at March 31, 2022 and December 31, 2021, respectively</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512,705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(2,313)</w:t>
            </w:r>
          </w:p>
        </w:tc>
        <w:tc>
          <w:tcPr>
            <w:tcW w:w="2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(248,585)</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(219,120)</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261,812</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280,671</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400" w:type="dxa"/>
            <w:vAlign w:val="bottom"/>
          </w:tcPr>
          <w:p>
            <w:pPr>
              <w:spacing w:after="0"/>
              <w:rPr>
                <w:sz w:val="15"/>
                <w:szCs w:val="15"/>
                <w:color w:val="auto"/>
              </w:rPr>
            </w:pPr>
          </w:p>
        </w:tc>
        <w:tc>
          <w:tcPr>
            <w:tcW w:w="348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360" w:type="dxa"/>
            <w:vAlign w:val="bottom"/>
            <w:tcBorders>
              <w:bottom w:val="single" w:sz="8" w:color="CFF0FC"/>
            </w:tcBorders>
            <w:vMerge w:val="continue"/>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320" w:type="dxa"/>
            <w:vAlign w:val="bottom"/>
          </w:tcPr>
          <w:p>
            <w:pPr>
              <w:spacing w:after="0"/>
              <w:rPr>
                <w:sz w:val="19"/>
                <w:szCs w:val="19"/>
                <w:color w:val="auto"/>
              </w:rPr>
            </w:pPr>
          </w:p>
        </w:tc>
        <w:tc>
          <w:tcPr>
            <w:tcW w:w="400" w:type="dxa"/>
            <w:vAlign w:val="bottom"/>
            <w:gridSpan w:val="2"/>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30,288</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(30,288)</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 share information:</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(0.63)</w:t>
            </w:r>
          </w:p>
        </w:tc>
        <w:tc>
          <w:tcPr>
            <w:tcW w:w="400" w:type="dxa"/>
            <w:vAlign w:val="bottom"/>
            <w:gridSpan w:val="2"/>
            <w:shd w:val="clear" w:color="auto" w:fill="CFF0FC"/>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73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and diluted</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47,066,427</w:t>
            </w:r>
          </w:p>
        </w:tc>
        <w:tc>
          <w:tcPr>
            <w:tcW w:w="32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45,121,955</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(29,465)</w:t>
            </w:r>
          </w:p>
        </w:tc>
        <w:tc>
          <w:tcPr>
            <w:tcW w:w="400" w:type="dxa"/>
            <w:vAlign w:val="bottom"/>
            <w:gridSpan w:val="2"/>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(21,300)</w:t>
            </w:r>
          </w:p>
        </w:tc>
        <w:tc>
          <w:tcPr>
            <w:tcW w:w="0" w:type="dxa"/>
            <w:vAlign w:val="bottom"/>
          </w:tcPr>
          <w:p>
            <w:pPr>
              <w:spacing w:after="0"/>
              <w:rPr>
                <w:sz w:val="1"/>
                <w:szCs w:val="1"/>
                <w:color w:val="auto"/>
              </w:rPr>
            </w:pPr>
          </w:p>
        </w:tc>
      </w:tr>
      <w:tr>
        <w:trPr>
          <w:trHeight w:val="229"/>
        </w:trPr>
        <w:tc>
          <w:tcPr>
            <w:tcW w:w="7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4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(1,602)</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222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220" w:type="dxa"/>
            <w:vAlign w:val="bottom"/>
            <w:gridSpan w:val="5"/>
          </w:tcPr>
          <w:p>
            <w:pPr>
              <w:ind w:left="380"/>
              <w:spacing w:after="0" w:line="131" w:lineRule="exact"/>
              <w:rPr>
                <w:sz w:val="20"/>
                <w:szCs w:val="20"/>
                <w:color w:val="auto"/>
              </w:rPr>
            </w:pPr>
            <w:r>
              <w:rPr>
                <w:rFonts w:ascii="Times New Roman" w:cs="Times New Roman" w:eastAsia="Times New Roman" w:hAnsi="Times New Roman"/>
                <w:sz w:val="14"/>
                <w:szCs w:val="14"/>
                <w:b w:val="1"/>
                <w:bCs w:val="1"/>
                <w:color w:val="auto"/>
              </w:rPr>
              <w:t>Non-voting common</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2220" w:type="dxa"/>
            <w:vAlign w:val="bottom"/>
            <w:gridSpan w:val="5"/>
            <w:vMerge w:val="continue"/>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20" w:type="dxa"/>
            <w:vAlign w:val="bottom"/>
            <w:vMerge w:val="continue"/>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1"/>
                <w:szCs w:val="11"/>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9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36,200,299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11,402,037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505,723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(219,120)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$ 285,897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marketable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(29,465)</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(29,465)</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36,293,331</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11,402,037</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512,705</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(248,585)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$ 261,812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2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Non-voting common stock</w:t>
            </w:r>
          </w:p>
        </w:tc>
        <w:tc>
          <w:tcPr>
            <w:tcW w:w="140" w:type="dxa"/>
            <w:vAlign w:val="bottom"/>
          </w:tcPr>
          <w:p>
            <w:pPr>
              <w:spacing w:after="0"/>
              <w:rPr>
                <w:sz w:val="11"/>
                <w:szCs w:val="11"/>
                <w:color w:val="auto"/>
              </w:rPr>
            </w:pPr>
          </w:p>
        </w:tc>
        <w:tc>
          <w:tcPr>
            <w:tcW w:w="84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1"/>
                <w:szCs w:val="11"/>
                <w:color w:val="auto"/>
              </w:rPr>
            </w:pPr>
          </w:p>
        </w:tc>
        <w:tc>
          <w:tcPr>
            <w:tcW w:w="12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260" w:type="dxa"/>
            <w:vAlign w:val="bottom"/>
            <w:tcBorders>
              <w:top w:val="single" w:sz="8" w:color="auto"/>
            </w:tcBorders>
            <w:gridSpan w:val="2"/>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Borders>
              <w:top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3"/>
                <w:szCs w:val="13"/>
                <w:color w:val="auto"/>
              </w:rPr>
            </w:pPr>
          </w:p>
        </w:tc>
        <w:tc>
          <w:tcPr>
            <w:tcW w:w="82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32,595,301</w:t>
            </w: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11,110,371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319,605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(107,426)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212,183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210,274</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of offering costs of $739</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2,583,334</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291,666</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161,411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161,412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(21,300)</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(21,300)</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35,388,909</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11,402,037</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485,288</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(128,726)</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31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(29,465)</w:t>
            </w: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(21,300)</w:t>
            </w: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the sale of common stock, net of offering costs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55,678</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362,990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00" w:type="dxa"/>
            <w:vAlign w:val="bottom"/>
          </w:tcPr>
          <w:p>
            <w:pPr>
              <w:spacing w:after="0"/>
              <w:rPr>
                <w:sz w:val="23"/>
                <w:szCs w:val="23"/>
                <w:color w:val="auto"/>
              </w:rPr>
            </w:pP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121"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Prelude Therapeutics Incorporated (the “Company”) was incorporated in Delaware on February 5, 2016 and is a clinical-stage fully integrated oncology company built on a foundation of drug discovery excellence to deliver novel precision cancer medicines to underserved patients. Since beginning operations, the Company has devoted substantially all its efforts to research and development, conducting preclinical and clinical studies, recruiting management and technical staff, administration, and raising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12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94"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has an accumulated deficit of $248.6 million at March 31, 2022.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76" w:lineRule="exact"/>
        <w:rPr>
          <w:sz w:val="20"/>
          <w:szCs w:val="20"/>
          <w:color w:val="auto"/>
        </w:rPr>
      </w:pPr>
    </w:p>
    <w:p>
      <w:pPr>
        <w:ind w:right="600" w:firstLine="478"/>
        <w:spacing w:after="0" w:line="282" w:lineRule="auto"/>
        <w:rPr>
          <w:sz w:val="20"/>
          <w:szCs w:val="20"/>
          <w:color w:val="auto"/>
        </w:rPr>
      </w:pPr>
      <w:r>
        <w:rPr>
          <w:rFonts w:ascii="Times New Roman" w:cs="Times New Roman" w:eastAsia="Times New Roman" w:hAnsi="Times New Roman"/>
          <w:sz w:val="18"/>
          <w:szCs w:val="18"/>
          <w:color w:val="auto"/>
        </w:rPr>
        <w:t>The Company believes that its cash, cash equivalents, and marketable securities as of March 31, 2022 will be sufficient to fund its operating expenses and capital expenditure requirements into the second half of 2024.</w:t>
      </w:r>
    </w:p>
    <w:p>
      <w:pPr>
        <w:spacing w:after="0" w:line="162"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295" w:lineRule="exact"/>
        <w:rPr>
          <w:sz w:val="20"/>
          <w:szCs w:val="20"/>
          <w:color w:val="auto"/>
        </w:rPr>
      </w:pPr>
    </w:p>
    <w:p>
      <w:pPr>
        <w:ind w:right="20" w:firstLine="479"/>
        <w:spacing w:after="0" w:line="255" w:lineRule="auto"/>
        <w:rPr>
          <w:sz w:val="20"/>
          <w:szCs w:val="20"/>
          <w:color w:val="auto"/>
        </w:rPr>
      </w:pPr>
      <w:r>
        <w:rPr>
          <w:rFonts w:ascii="Times New Roman" w:cs="Times New Roman" w:eastAsia="Times New Roman" w:hAnsi="Times New Roman"/>
          <w:sz w:val="18"/>
          <w:szCs w:val="18"/>
          <w:color w:val="auto"/>
        </w:rPr>
        <w:t>On March 10, 2020, the World Health Organization characterized the novel COVID-19 virus as a global pandemic. There is significant uncertainty as to the likely effects of this disease and emerging variants which may, among other things, materially impact the Company’s planned clinical trials. This pandemic or outbreak could result in difficulty securing clinical trial site locations,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COVID-19,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financial statements.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21" w:lineRule="exact"/>
        <w:rPr>
          <w:sz w:val="20"/>
          <w:szCs w:val="20"/>
          <w:color w:val="auto"/>
        </w:rPr>
      </w:pPr>
    </w:p>
    <w:p>
      <w:pPr>
        <w:jc w:val="both"/>
        <w:ind w:right="80" w:firstLine="478"/>
        <w:spacing w:after="0" w:line="266" w:lineRule="auto"/>
        <w:rPr>
          <w:sz w:val="20"/>
          <w:szCs w:val="20"/>
          <w:color w:val="auto"/>
        </w:rPr>
      </w:pPr>
      <w:r>
        <w:rPr>
          <w:rFonts w:ascii="Times New Roman" w:cs="Times New Roman" w:eastAsia="Times New Roman" w:hAnsi="Times New Roman"/>
          <w:sz w:val="18"/>
          <w:szCs w:val="18"/>
          <w:color w:val="auto"/>
        </w:rPr>
        <w:t>The summary of significant accounting policies included in the Company’s financial statements for the year ended December 31, 2021 can be found in “Note 3. Summary of significant accounting policies” of the Company’s Form 10-K filed with the Securities and Exchange Commission (the “SEC”) on March 17, 2022. Those policies have not materially changed, except as set forth below.</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478"/>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months ended March 31, 2022 are not necessarily indicative of the results that may be expected for the year ending December 31, 2022. The accompanying unaudited interim financial statements should be read in conjunction with the annual audited financial statements and related notes as of and for the year ended December 31, 2021 found in the Form 10-K filed with the SEC on March 17, 2022. Any reference in these notes to applicable guidance is meant to refer to GAAP as found in the Accounting Standards Codification (“ASC”) and Accounting Standards Updates (“ASU”) of the Financial Accounting Standards Board (“FASB”).</w:t>
      </w:r>
    </w:p>
    <w:p>
      <w:pPr>
        <w:spacing w:after="0" w:line="2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right="260" w:firstLine="47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76" w:lineRule="exact"/>
        <w:rPr>
          <w:sz w:val="20"/>
          <w:szCs w:val="20"/>
          <w:color w:val="auto"/>
        </w:rPr>
      </w:pPr>
    </w:p>
    <w:p>
      <w:pPr>
        <w:ind w:right="220" w:firstLine="478"/>
        <w:spacing w:after="0" w:line="282"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March 31, 2022 and December 31, 2021.</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20" w:firstLine="479"/>
        <w:spacing w:after="0" w:line="282"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54" w:lineRule="exact"/>
        <w:rPr>
          <w:sz w:val="20"/>
          <w:szCs w:val="20"/>
          <w:color w:val="auto"/>
        </w:rPr>
      </w:pPr>
    </w:p>
    <w:p>
      <w:pPr>
        <w:ind w:right="380" w:firstLine="479"/>
        <w:spacing w:after="0" w:line="282" w:lineRule="auto"/>
        <w:rPr>
          <w:sz w:val="20"/>
          <w:szCs w:val="20"/>
          <w:color w:val="auto"/>
        </w:rPr>
      </w:pPr>
      <w:r>
        <w:rPr>
          <w:rFonts w:ascii="Times New Roman" w:cs="Times New Roman" w:eastAsia="Times New Roman" w:hAnsi="Times New Roman"/>
          <w:sz w:val="18"/>
          <w:szCs w:val="18"/>
          <w:color w:val="auto"/>
        </w:rPr>
        <w:t>Restricted cash comprises a letter of credit for the benefit of the landlord in connection with the Company’s Chestnut Run Lease. See Note 8 for further details.</w:t>
      </w:r>
    </w:p>
    <w:p>
      <w:pPr>
        <w:spacing w:after="0" w:line="54" w:lineRule="exact"/>
        <w:rPr>
          <w:sz w:val="20"/>
          <w:szCs w:val="20"/>
          <w:color w:val="auto"/>
        </w:rPr>
      </w:pPr>
    </w:p>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55,678</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160" w:firstLine="464"/>
        <w:spacing w:after="0" w:line="266"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and commercial paper that are classified as available-for-sale. The securities are carried at fair value with the unrealized gains and losses, net of tax, included in accumulated other comprehensive income (loss), a component of stockholders’ equity (deficit). Realized gains and losses as well as credit losses, if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ind w:right="200"/>
        <w:spacing w:after="0" w:line="282" w:lineRule="auto"/>
        <w:rPr>
          <w:sz w:val="20"/>
          <w:szCs w:val="20"/>
          <w:color w:val="auto"/>
        </w:rPr>
      </w:pPr>
      <w:r>
        <w:rPr>
          <w:rFonts w:ascii="Times New Roman" w:cs="Times New Roman" w:eastAsia="Times New Roman" w:hAnsi="Times New Roman"/>
          <w:sz w:val="18"/>
          <w:szCs w:val="18"/>
          <w:color w:val="auto"/>
        </w:rPr>
        <w:t>any, on marketable securities are included in the Company's statements of operations. The Company classifies marketable securities that are available for use in current operations as current assets on the balance sheets.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120" w:firstLine="479"/>
        <w:spacing w:after="0" w:line="271" w:lineRule="auto"/>
        <w:rPr>
          <w:sz w:val="20"/>
          <w:szCs w:val="20"/>
          <w:color w:val="auto"/>
        </w:rPr>
      </w:pPr>
      <w:r>
        <w:rPr>
          <w:rFonts w:ascii="Times New Roman" w:cs="Times New Roman" w:eastAsia="Times New Roman" w:hAnsi="Times New Roman"/>
          <w:sz w:val="17"/>
          <w:szCs w:val="17"/>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of securities, such as stock options, and the effect from unvested restricted stock awards and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awards entitle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unvested restricted stock awards have no obligation to fund losses.</w:t>
      </w:r>
    </w:p>
    <w:p>
      <w:pPr>
        <w:spacing w:after="0" w:line="173" w:lineRule="exact"/>
        <w:rPr>
          <w:sz w:val="20"/>
          <w:szCs w:val="20"/>
          <w:color w:val="auto"/>
        </w:rPr>
      </w:pPr>
    </w:p>
    <w:p>
      <w:pPr>
        <w:ind w:right="680" w:firstLine="47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24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514,641</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1,009,462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8,541,017</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6,732,969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40,127</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top w:val="single" w:sz="8" w:color="CFF0FC"/>
              <w:bottom w:val="single" w:sz="8" w:color="CFF0FC"/>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9,115,785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7,742,431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3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119" w:lineRule="exact"/>
        <w:rPr>
          <w:sz w:val="20"/>
          <w:szCs w:val="20"/>
          <w:color w:val="auto"/>
        </w:rPr>
      </w:pPr>
    </w:p>
    <w:p>
      <w:pPr>
        <w:ind w:right="180" w:firstLine="479"/>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right="60" w:firstLine="478"/>
        <w:spacing w:after="0" w:line="257" w:lineRule="auto"/>
        <w:rPr>
          <w:sz w:val="20"/>
          <w:szCs w:val="20"/>
          <w:color w:val="auto"/>
        </w:rPr>
      </w:pPr>
      <w:r>
        <w:rPr>
          <w:rFonts w:ascii="Times New Roman" w:cs="Times New Roman" w:eastAsia="Times New Roman" w:hAnsi="Times New Roman"/>
          <w:sz w:val="18"/>
          <w:szCs w:val="18"/>
          <w:color w:val="auto"/>
        </w:rPr>
        <w:t>In June 2016, the FASB issued ASU No.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 which has subsequently been amended by ASU No. 2019-04, ASU No. 2019-05, ASU No. 2019-10, ASU No. 2019-11, and ASU No. 2020-03 (“ASU 2016-03”). This guidance replaces the incurred loss impairment methodology under current U.S. GAAP with a methodology that reflects expected credit losses and requires consideration of a broader range of reasonable and supportable information to inform credit loss estimates. The Company early adopted this standard as of January 1, 2022 using a modified retrospective approach. It did not have a material impact on the Company’s financial statements and related disclosures.</w:t>
      </w:r>
    </w:p>
    <w:p>
      <w:pPr>
        <w:spacing w:after="0" w:line="398" w:lineRule="exact"/>
        <w:rPr>
          <w:sz w:val="20"/>
          <w:szCs w:val="20"/>
          <w:color w:val="auto"/>
        </w:rPr>
      </w:pPr>
    </w:p>
    <w:p>
      <w:pPr>
        <w:ind w:right="100" w:firstLine="47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2021, the FASB issued ASU No. 2021-10, </w:t>
      </w:r>
      <w:r>
        <w:rPr>
          <w:rFonts w:ascii="Times New Roman" w:cs="Times New Roman" w:eastAsia="Times New Roman" w:hAnsi="Times New Roman"/>
          <w:sz w:val="18"/>
          <w:szCs w:val="18"/>
          <w:i w:val="1"/>
          <w:iCs w:val="1"/>
          <w:color w:val="auto"/>
        </w:rPr>
        <w:t>“Government Assistance: Disclosures by Business Entities about Government Assistance”</w:t>
      </w:r>
      <w:r>
        <w:rPr>
          <w:rFonts w:ascii="Times New Roman" w:cs="Times New Roman" w:eastAsia="Times New Roman" w:hAnsi="Times New Roman"/>
          <w:sz w:val="18"/>
          <w:szCs w:val="18"/>
          <w:color w:val="auto"/>
        </w:rPr>
        <w:t>. The amendments in this Update improve financial reporting by requiring disclosures that increase the transparency of transactions with a government. The amendments require the following annual disclosures about transactions with a government that are accounted for by applying a grant or contribution accounting model by analogy (i) the type of transaction (ii) the accounting for the transaction, and (iii) the effect of the transaction on the entity’s financial statements. The Company adopted this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ind w:right="560"/>
        <w:spacing w:after="0" w:line="282" w:lineRule="auto"/>
        <w:rPr>
          <w:sz w:val="20"/>
          <w:szCs w:val="20"/>
          <w:color w:val="auto"/>
        </w:rPr>
      </w:pPr>
      <w:r>
        <w:rPr>
          <w:rFonts w:ascii="Times New Roman" w:cs="Times New Roman" w:eastAsia="Times New Roman" w:hAnsi="Times New Roman"/>
          <w:sz w:val="18"/>
          <w:szCs w:val="18"/>
          <w:color w:val="auto"/>
        </w:rPr>
        <w:t>standard as of January 1, 2022 using a prospective approach and it did not have a material impact on the Company’s financial statements and related disclosures.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the Company’s marketable securities.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180,532</w:t>
            </w:r>
          </w:p>
        </w:tc>
        <w:tc>
          <w:tcPr>
            <w:tcW w:w="1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178,295</w:t>
            </w:r>
          </w:p>
        </w:tc>
        <w:tc>
          <w:tcPr>
            <w:tcW w:w="120" w:type="dxa"/>
            <w:vAlign w:val="bottom"/>
          </w:tcPr>
          <w:p>
            <w:pPr>
              <w:spacing w:after="0"/>
              <w:rPr>
                <w:sz w:val="19"/>
                <w:szCs w:val="19"/>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120" w:type="dxa"/>
            <w:vAlign w:val="bottom"/>
            <w:shd w:val="clear" w:color="auto" w:fill="CFF0FC"/>
          </w:tcPr>
          <w:p>
            <w:pPr>
              <w:spacing w:after="0"/>
              <w:rPr>
                <w:sz w:val="19"/>
                <w:szCs w:val="19"/>
                <w:color w:val="auto"/>
              </w:rPr>
            </w:pPr>
          </w:p>
        </w:tc>
      </w:tr>
      <w:tr>
        <w:trPr>
          <w:trHeight w:val="263"/>
        </w:trPr>
        <w:tc>
          <w:tcPr>
            <w:tcW w:w="3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216,868</w:t>
            </w:r>
          </w:p>
        </w:tc>
        <w:tc>
          <w:tcPr>
            <w:tcW w:w="1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214,555</w:t>
            </w:r>
          </w:p>
        </w:tc>
        <w:tc>
          <w:tcPr>
            <w:tcW w:w="120" w:type="dxa"/>
            <w:vAlign w:val="bottom"/>
            <w:tcBorders>
              <w:bottom w:val="single" w:sz="8" w:color="CFF0FC"/>
            </w:tcBorders>
          </w:tcPr>
          <w:p>
            <w:pPr>
              <w:spacing w:after="0"/>
              <w:rPr>
                <w:sz w:val="22"/>
                <w:szCs w:val="22"/>
                <w:color w:val="auto"/>
              </w:rPr>
            </w:pPr>
          </w:p>
        </w:tc>
      </w:tr>
      <w:tr>
        <w:trPr>
          <w:trHeight w:val="210"/>
        </w:trPr>
        <w:tc>
          <w:tcPr>
            <w:tcW w:w="3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193,798</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(696)</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193,103</w:t>
            </w:r>
          </w:p>
        </w:tc>
        <w:tc>
          <w:tcPr>
            <w:tcW w:w="120" w:type="dxa"/>
            <w:vAlign w:val="bottom"/>
            <w:shd w:val="clear" w:color="auto" w:fill="CFF0FC"/>
          </w:tcPr>
          <w:p>
            <w:pPr>
              <w:spacing w:after="0"/>
              <w:rPr>
                <w:sz w:val="19"/>
                <w:szCs w:val="19"/>
                <w:color w:val="auto"/>
              </w:rPr>
            </w:pPr>
          </w:p>
        </w:tc>
      </w:tr>
      <w:tr>
        <w:trPr>
          <w:trHeight w:val="229"/>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66,302</w:t>
            </w:r>
          </w:p>
        </w:tc>
        <w:tc>
          <w:tcPr>
            <w:tcW w:w="120" w:type="dxa"/>
            <w:vAlign w:val="bottom"/>
          </w:tcPr>
          <w:p>
            <w:pPr>
              <w:spacing w:after="0"/>
              <w:rPr>
                <w:sz w:val="19"/>
                <w:szCs w:val="19"/>
                <w:color w:val="auto"/>
              </w:rPr>
            </w:pPr>
          </w:p>
        </w:tc>
      </w:tr>
      <w:tr>
        <w:trPr>
          <w:trHeight w:val="223"/>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468"/>
        <w:spacing w:after="0" w:line="261"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15 months or less. The Company believes that any unrealized losses associated with the decline in value of its securities is temporary, is primarily related to market factors and believes that it is more likely than not that it will be able to hold its debt securities to maturity. Therefore, the Company anticipates a full recovery of the amortized cost basis of its debt securities at maturity and an allowance for credit losses was not recognized.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21"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for financial assets and liabilities measured on a recurring basis. The guidance requires fair value measurements be classified and disclosed in one of the following three categories:</w:t>
      </w:r>
    </w:p>
    <w:p>
      <w:pPr>
        <w:spacing w:after="0" w:line="77" w:lineRule="exact"/>
        <w:rPr>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ind w:left="960" w:right="20" w:hanging="480"/>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0" w:lineRule="exact"/>
        <w:rPr>
          <w:rFonts w:ascii="Times New Roman" w:cs="Times New Roman" w:eastAsia="Times New Roman" w:hAnsi="Times New Roman"/>
          <w:sz w:val="18"/>
          <w:szCs w:val="18"/>
          <w:color w:val="auto"/>
        </w:rPr>
      </w:pPr>
    </w:p>
    <w:p>
      <w:pPr>
        <w:ind w:left="960" w:right="900" w:hanging="480"/>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(i.e., supported by little or no market activity).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60" w:type="dxa"/>
            <w:vAlign w:val="bottom"/>
            <w:gridSpan w:val="1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31"/>
        </w:trPr>
        <w:tc>
          <w:tcPr>
            <w:tcW w:w="6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 active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6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47,920</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178,295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214,555</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193,103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259,405</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6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vMerge w:val="restart"/>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20" w:type="dxa"/>
            <w:vAlign w:val="bottom"/>
            <w:tcBorders>
              <w:bottom w:val="single" w:sz="8" w:color="CFF0FC"/>
            </w:tcBorders>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9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Common Stock Offering</w:t>
      </w:r>
    </w:p>
    <w:p>
      <w:pPr>
        <w:spacing w:after="0" w:line="121" w:lineRule="exact"/>
        <w:rPr>
          <w:sz w:val="20"/>
          <w:szCs w:val="20"/>
          <w:color w:val="auto"/>
        </w:rPr>
      </w:pPr>
    </w:p>
    <w:p>
      <w:pPr>
        <w:jc w:val="both"/>
        <w:ind w:right="140" w:firstLine="478"/>
        <w:spacing w:after="0" w:line="282" w:lineRule="auto"/>
        <w:rPr>
          <w:sz w:val="20"/>
          <w:szCs w:val="20"/>
          <w:color w:val="auto"/>
        </w:rPr>
      </w:pPr>
      <w:r>
        <w:rPr>
          <w:rFonts w:ascii="Times New Roman" w:cs="Times New Roman" w:eastAsia="Times New Roman" w:hAnsi="Times New Roman"/>
          <w:sz w:val="18"/>
          <w:szCs w:val="18"/>
          <w:color w:val="auto"/>
        </w:rPr>
        <w:t>In January 2021, the Company sold 2,875,000 shares of its common stock at a public offering price of $60.00 per share. The Company received net proceeds of $161.4 million after deducting underwriting discounts, commissions, and other offering expenses paid by the Company.</w:t>
      </w:r>
    </w:p>
    <w:p>
      <w:pPr>
        <w:spacing w:after="0" w:line="54" w:lineRule="exact"/>
        <w:rPr>
          <w:sz w:val="20"/>
          <w:szCs w:val="20"/>
          <w:color w:val="auto"/>
        </w:rPr>
      </w:pPr>
    </w:p>
    <w:p>
      <w:pPr>
        <w:ind w:right="20" w:firstLine="478"/>
        <w:spacing w:after="0" w:line="253"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b w:val="1"/>
          <w:bCs w:val="1"/>
          <w:color w:val="231F20"/>
        </w:rPr>
        <w:t>. Commitments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22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The Company leases office and laboratory space in Wilmington, Delaware under a noncancelable lease (the “Lease”). During the first quarter of 2022, the Lease was amended to allow the Company the option to renew the Lease for two 6-month periods and the Company exercised its option to renew the lease for an additional 6 months until June 30, 2023. </w:t>
      </w:r>
      <w:r>
        <w:rPr>
          <w:rFonts w:ascii="Times New Roman" w:cs="Times New Roman" w:eastAsia="Times New Roman" w:hAnsi="Times New Roman"/>
          <w:sz w:val="18"/>
          <w:szCs w:val="18"/>
          <w:color w:val="231F20"/>
        </w:rPr>
        <w:t>The second option to extend the Lease for an additional 6 months was not recognized as part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Company’s measurement of the right-of-use asset and operating lease liability as of March 31,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The discount rate used to account for the Company’s operating lease under ASC 842 is the Company’s estimated incremental borrowing rate of 6.0</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 xml:space="preserve">Rent expense for the three months ended March 31, 2022 and 2021 </w:t>
      </w:r>
      <w:r>
        <w:rPr>
          <w:rFonts w:ascii="Times New Roman" w:cs="Times New Roman" w:eastAsia="Times New Roman" w:hAnsi="Times New Roman"/>
          <w:sz w:val="18"/>
          <w:szCs w:val="18"/>
          <w:color w:val="000000"/>
        </w:rPr>
        <w:t>was $0.5 million and $0.3 million, respectively.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Future minimum annual lease payments under the Lease at March 31, 2022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(remaining)</w:t>
            </w:r>
          </w:p>
        </w:tc>
        <w:tc>
          <w:tcPr>
            <w:tcW w:w="4040" w:type="dxa"/>
            <w:vAlign w:val="bottom"/>
            <w:gridSpan w:val="2"/>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FF0FC"/>
          </w:tcPr>
          <w:p>
            <w:pPr>
              <w:spacing w:after="0"/>
              <w:rPr>
                <w:sz w:val="19"/>
                <w:szCs w:val="19"/>
                <w:color w:val="auto"/>
              </w:rPr>
            </w:pPr>
          </w:p>
        </w:tc>
      </w:tr>
      <w:tr>
        <w:trPr>
          <w:trHeight w:val="230"/>
        </w:trPr>
        <w:tc>
          <w:tcPr>
            <w:tcW w:w="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5100" w:type="dxa"/>
            <w:vAlign w:val="bottom"/>
            <w:tcBorders>
              <w:bottom w:val="single" w:sz="8" w:color="CFF0FC"/>
            </w:tcBorders>
          </w:tcPr>
          <w:p>
            <w:pPr>
              <w:spacing w:after="0"/>
              <w:rPr>
                <w:sz w:val="19"/>
                <w:szCs w:val="19"/>
                <w:color w:val="auto"/>
              </w:rPr>
            </w:pPr>
          </w:p>
        </w:tc>
        <w:tc>
          <w:tcPr>
            <w:tcW w:w="32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Borders>
              <w:bottom w:val="single" w:sz="8" w:color="CFF0FC"/>
            </w:tcBorders>
          </w:tcPr>
          <w:p>
            <w:pPr>
              <w:spacing w:after="0"/>
              <w:rPr>
                <w:sz w:val="19"/>
                <w:szCs w:val="19"/>
                <w:color w:val="auto"/>
              </w:rPr>
            </w:pPr>
          </w:p>
        </w:tc>
      </w:tr>
      <w:tr>
        <w:trPr>
          <w:trHeight w:val="223"/>
        </w:trPr>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2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FF0FC"/>
          </w:tcPr>
          <w:p>
            <w:pPr>
              <w:spacing w:after="0"/>
              <w:rPr>
                <w:sz w:val="19"/>
                <w:szCs w:val="19"/>
                <w:color w:val="auto"/>
              </w:rPr>
            </w:pPr>
          </w:p>
        </w:tc>
      </w:tr>
      <w:tr>
        <w:trPr>
          <w:trHeight w:val="223"/>
        </w:trPr>
        <w:tc>
          <w:tcPr>
            <w:tcW w:w="59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2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FF0FC"/>
            </w:tcBorders>
          </w:tcPr>
          <w:p>
            <w:pPr>
              <w:spacing w:after="0"/>
              <w:rPr>
                <w:sz w:val="19"/>
                <w:szCs w:val="19"/>
                <w:color w:val="auto"/>
              </w:rPr>
            </w:pPr>
          </w:p>
        </w:tc>
      </w:tr>
      <w:tr>
        <w:trPr>
          <w:trHeight w:val="223"/>
        </w:trPr>
        <w:tc>
          <w:tcPr>
            <w:tcW w:w="5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and noncurrent lease liability</w:t>
            </w:r>
          </w:p>
        </w:tc>
        <w:tc>
          <w:tcPr>
            <w:tcW w:w="3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During the fourth quarter of 2021, the Company entered into a lease agreement (the “Chestnut Run Lease”) with a commencement date of the earlier of (i) the Landlord Work Substantial Completion Date (as such term is defined in the Chestnut Run Lease), or (ii) the date the Company takes possession of the premises for the conduct of the Company’s business (the “Commencement Date”). The Chestnut Run Lease premises includes approximately 81,000 square feet, located at Chestnut Run Plaza in Wilmington, Delaware (the Premises). The Premises contains both office and lab space the Company intends to use for administrative, research and development and other activities. Upon the Commencement Date, the Company will recognize a right-of-use asset and operating lease liability in accordance with ASC 842. The Chestnut Run Lease has an initial term of 162 months with 3 five-year extension options and certain expansion rights. The aggregate estimated rent payments due over the initial term of the Chestnut Run Lease is approximately $33.8 million. The estimated rent payments due for the remainder of 2022 along with each of the next five years and thereafter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3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(remaining 9 months)</w:t>
            </w:r>
          </w:p>
        </w:tc>
        <w:tc>
          <w:tcPr>
            <w:tcW w:w="436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7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740" w:type="dxa"/>
            <w:vAlign w:val="bottom"/>
            <w:shd w:val="clear" w:color="auto" w:fill="CFF0FC"/>
          </w:tcPr>
          <w:p>
            <w:pPr>
              <w:spacing w:after="0"/>
              <w:rPr>
                <w:sz w:val="19"/>
                <w:szCs w:val="19"/>
                <w:color w:val="auto"/>
              </w:rPr>
            </w:pPr>
          </w:p>
        </w:tc>
        <w:tc>
          <w:tcPr>
            <w:tcW w:w="4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1,873</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7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2,326</w:t>
            </w:r>
          </w:p>
        </w:tc>
      </w:tr>
      <w:tr>
        <w:trPr>
          <w:trHeight w:val="230"/>
        </w:trPr>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740" w:type="dxa"/>
            <w:vAlign w:val="bottom"/>
            <w:shd w:val="clear" w:color="auto" w:fill="CFF0FC"/>
          </w:tcPr>
          <w:p>
            <w:pPr>
              <w:spacing w:after="0"/>
              <w:rPr>
                <w:sz w:val="19"/>
                <w:szCs w:val="19"/>
                <w:color w:val="auto"/>
              </w:rPr>
            </w:pPr>
          </w:p>
        </w:tc>
        <w:tc>
          <w:tcPr>
            <w:tcW w:w="4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2,384</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7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2,444</w:t>
            </w:r>
          </w:p>
        </w:tc>
      </w:tr>
      <w:tr>
        <w:trPr>
          <w:trHeight w:val="230"/>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24,670</w:t>
            </w:r>
          </w:p>
        </w:tc>
      </w:tr>
    </w:tbl>
    <w:p>
      <w:pPr>
        <w:spacing w:after="0" w:line="200" w:lineRule="exact"/>
        <w:rPr>
          <w:sz w:val="20"/>
          <w:szCs w:val="20"/>
          <w:color w:val="auto"/>
        </w:rPr>
      </w:pPr>
    </w:p>
    <w:p>
      <w:pPr>
        <w:spacing w:after="0" w:line="214" w:lineRule="exact"/>
        <w:rPr>
          <w:sz w:val="20"/>
          <w:szCs w:val="20"/>
          <w:color w:val="auto"/>
        </w:rPr>
      </w:pPr>
    </w:p>
    <w:p>
      <w:pPr>
        <w:ind w:right="180" w:firstLine="479"/>
        <w:spacing w:after="0" w:line="266" w:lineRule="auto"/>
        <w:rPr>
          <w:sz w:val="20"/>
          <w:szCs w:val="20"/>
          <w:color w:val="auto"/>
        </w:rPr>
      </w:pPr>
      <w:r>
        <w:rPr>
          <w:rFonts w:ascii="Times New Roman" w:cs="Times New Roman" w:eastAsia="Times New Roman" w:hAnsi="Times New Roman"/>
          <w:sz w:val="18"/>
          <w:szCs w:val="18"/>
          <w:color w:val="auto"/>
        </w:rPr>
        <w:t>The Company paid a security deposit for the Chestnut Run Lease in the form of a letter of credit of $4.0 million, which is included in the balance sheet as restricted cash as of March 31, 2022. The security deposit may be reduced to $0.5 million over time in accordance with the terms of the Chestnut Run Lease.</w:t>
      </w:r>
    </w:p>
    <w:p>
      <w:pPr>
        <w:spacing w:after="0" w:line="68"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connection with the Company’s expansion of operations in the State of Delaware, the Company was approved for a grant from the State of Delaware in 2021 that will provide up to $5.5 million in reimbursements over three years for the development of lab space in addition to increasing jobs in Delaware to meet specific targeted levels through 2023. During the first quarter of 2022, the Company received cash of $2.4 million from the grant for the development of lab space. The Company has deferred the recognition of these grant funds as they relate to capitalized costs and has classified them as long-term liabilities on the balance sheet. The Company will recognize the grant funds in other income as grant income over the useful life of the related assets. If, after two years from the disbursement date, the incurred costs for lab space are less than the $2.4 million received, the Company is required to pay back the difference between total funds received and allowable costs incurred. Additionally, if the Company leaves the State of Delaware within five years of the disbursement, the Company is required to return an amount equal to the amount of grant funds disbursed on a pro-rated basis. During the first quarter of 2022, the Company also received cash of $0.3 million for satisfying the first performance benchmark measurement. The Company recognized this in other income, net on the statement of operations and comprehensive loss.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ind w:right="180"/>
        <w:spacing w:after="0" w:line="282" w:lineRule="auto"/>
        <w:rPr>
          <w:sz w:val="20"/>
          <w:szCs w:val="20"/>
          <w:color w:val="auto"/>
        </w:rPr>
      </w:pPr>
      <w:r>
        <w:rPr>
          <w:rFonts w:ascii="Times New Roman" w:cs="Times New Roman" w:eastAsia="Times New Roman" w:hAnsi="Times New Roman"/>
          <w:sz w:val="18"/>
          <w:szCs w:val="18"/>
          <w:color w:val="auto"/>
        </w:rPr>
        <w:t>To the extent the Company’s employee headcount is fewer than the performance benchmark, the Company is required to repay the amount of grant funds received for the number of employees below the benchmark.</w:t>
      </w:r>
    </w:p>
    <w:p>
      <w:pPr>
        <w:spacing w:after="0" w:line="3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right="460" w:firstLine="479"/>
        <w:spacing w:after="0" w:line="282"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for compensation and severance in certain circumstances, as defined in the respective employment agreements.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92" w:lineRule="exact"/>
        <w:rPr>
          <w:sz w:val="20"/>
          <w:szCs w:val="20"/>
          <w:color w:val="auto"/>
        </w:rPr>
      </w:pPr>
    </w:p>
    <w:p>
      <w:pPr>
        <w:ind w:right="200" w:firstLine="479"/>
        <w:spacing w:after="0" w:line="228" w:lineRule="exact"/>
        <w:rPr>
          <w:sz w:val="20"/>
          <w:szCs w:val="20"/>
          <w:color w:val="auto"/>
        </w:rPr>
      </w:pPr>
      <w:r>
        <w:rPr>
          <w:rFonts w:ascii="Times New Roman" w:cs="Times New Roman" w:eastAsia="Times New Roman" w:hAnsi="Times New Roman"/>
          <w:sz w:val="18"/>
          <w:szCs w:val="18"/>
          <w:color w:val="auto"/>
        </w:rPr>
        <w:t>The Company sponsors a 401(k)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safe harbor match with a maximum amount of 3% of the participant’s compensation. For both the three months ended March 31, 2022 and 2021, the Company made matching contributions of $0.2 million.</w:t>
      </w:r>
    </w:p>
    <w:p>
      <w:pPr>
        <w:spacing w:after="0" w:line="3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w:t>
      </w:r>
    </w:p>
    <w:p>
      <w:pPr>
        <w:spacing w:after="0" w:line="12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In September 2021, the Company entered into a research collaboration agreement estimated to last for approximately one year (the “Darwin Health Agreement”) with Darwin Health, Inc. (“DarwinHealth”). Under the terms of the Darwin Health Agreement, DarwinHealth will utilize their drug discovery technologies and certified methodologies in precision oncology to advance and accelerate clinical development for certain of the Company’s programs across a broad range of tumor subtypes. The Company will pay DarwinHealth a total of $3.0 million in three equal installments over the one-year term (the “Research Term”) to fund the research and, if the Company adopts any of DarwinHealth’s development ideas, the Company will be responsible for the development, manufacturing, and commercialization of any such products. In addition to research funding, DarwinHealth is eligible to receive future research, development and regulatory milestones of up to $3.0 million for each product candidate and is also eligible to receive tiered royalties in the low single digits on net sales of each product developed using DarwinHealth’s development technologies or methods. However, within eighteen-months following the Research Term, the Company, in its sole discretion, may notify DarwinHealth that it will not utilize its development ideas and will be entitled to receive a refund of $0.5 million.</w:t>
      </w:r>
    </w:p>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121" w:lineRule="exact"/>
        <w:rPr>
          <w:sz w:val="20"/>
          <w:szCs w:val="20"/>
          <w:color w:val="auto"/>
        </w:rPr>
      </w:pPr>
    </w:p>
    <w:p>
      <w:pPr>
        <w:ind w:right="500" w:firstLine="479"/>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with contract research organizations (“CROs”) to assist in the performance of research and development activities. Expenditures to CROs will represent a significant cost in clinical development for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and as of March 31, 2022, 6,240,398 shares were available for future grants. The number of shares of the Company’s common stock that may be issued pursuant to rights granted under the Plan shall automatically increase on January 1st of each year, commencing on January 1, 2021, and continuing for ten years,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1 year and then monthly thereafter, and have a term of ten years.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 w:name="page14"/>
    <w:bookmarkEnd w:id="13"/>
    <w:p>
      <w:pPr>
        <w:ind w:right="100" w:firstLine="478"/>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4"/>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640" w:type="dxa"/>
            <w:vAlign w:val="bottom"/>
            <w:tcBorders>
              <w:bottom w:val="single" w:sz="8" w:color="CFF0FC"/>
            </w:tcBorders>
            <w:vMerge w:val="continue"/>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8"/>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6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periods indicated:</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50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3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7,179,482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1,646,416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(93,032)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(191,849)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3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8,541,017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2,285,520</w:t>
            </w:r>
          </w:p>
        </w:tc>
        <w:tc>
          <w:tcPr>
            <w:tcW w:w="16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March 31, 2022, the aggregate intrinsic value of outstanding options and exercisable options was $11.3 million and $6.7 million, respectively.</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March 31, 2022 under the Plan: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5100" w:type="dxa"/>
            <w:vAlign w:val="bottom"/>
            <w:vMerge w:val="continue"/>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$0.31 - $5.99</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2,213,458</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1,300,092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$6.00 - $11.72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$11.73 - $13.04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2,392,956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893,074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$13.05 - $31.13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607,804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$31.14 - $88.98</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1,700,999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78,635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8,541,017</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2,285,520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478"/>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$7.62 and $68.39 per share for the three months ended March 31, 2022 and 2021, respectively. The aggregate intrinsic value of options exercised was $0.6 million for the three months ended March 31, 2022. The Company recorded stock-based compensation expense of $6.5 million and $3.7 million for the three months ended March 31, 2022 and 2021, respectively, related to stock options. As of March 31, 2022, the total unrecognized compensation expense related to unvested stock option awards was $72.2 million, which the Company expects to recognize over a weighted-average period of 3.01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59"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60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r>
      <w:tr>
        <w:trPr>
          <w:trHeight w:val="22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84.57%</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117.13%</w:t>
            </w:r>
          </w:p>
        </w:tc>
      </w:tr>
      <w:tr>
        <w:trPr>
          <w:trHeight w:val="23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0.76%</w:t>
            </w:r>
          </w:p>
        </w:tc>
      </w:tr>
      <w:tr>
        <w:trPr>
          <w:trHeight w:val="229"/>
        </w:trPr>
        <w:tc>
          <w:tcPr>
            <w:tcW w:w="8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shd w:val="clear" w:color="auto" w:fill="CFF0FC"/>
          </w:tcPr>
          <w:p>
            <w:pPr>
              <w:spacing w:after="0"/>
              <w:rPr>
                <w:sz w:val="19"/>
                <w:szCs w:val="19"/>
                <w:color w:val="auto"/>
              </w:rPr>
            </w:pPr>
          </w:p>
        </w:tc>
      </w:t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and Units</w:t>
      </w:r>
    </w:p>
    <w:p>
      <w:pPr>
        <w:spacing w:after="0" w:line="121"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RSA stock-based payment awards: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84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84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January 1, 2022</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611,608</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(96,967)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March 31, 2022</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514,641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20" w:firstLine="47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of $0.2 million for both the three months ended March 31, 2022 and 2021 related to RSAs. As of March 31, 2022, the total unrecognized expense related to all RSAs was $1.1 million, which the Company expects to recognize over a weighted-average period of 1.63 years.</w:t>
      </w:r>
    </w:p>
    <w:p>
      <w:pPr>
        <w:spacing w:after="0" w:line="203"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In 2021, the Company granted restricted stock units (“RSU”) to employees that generally vest over a four-year period with 25% of awards vesting after one year and then quarterly thereafter. Any unvested units will be forfeited upon termination of services. At March 31, 2022 there were 20,000 RSUs outstanding which had a weighted-average grant date fair value of $18.32. There were no RSUs granted or forfeited during the three months ended March 31, 2022. The Company recorded stock-based compensation expense of $24 thousand for the three months ended March 31, 2022 related to RSUs. At March 31, 2022 the total unrecognized expense related to the RSUs was $0.3 million, which the Company expects to recognize over 3.51 years.</w:t>
      </w:r>
    </w:p>
    <w:p>
      <w:pPr>
        <w:spacing w:after="0" w:line="3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“ESPP”), which, as of March 31, 2022, had 1,407,365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board of directors or compensation committee to determine a lesser number of shares shall be added for such year. On January 1, 2022, 476,023 shares were added to the ESPP.</w:t>
      </w:r>
    </w:p>
    <w:p>
      <w:pPr>
        <w:spacing w:after="0" w:line="183" w:lineRule="exact"/>
        <w:rPr>
          <w:sz w:val="20"/>
          <w:szCs w:val="20"/>
          <w:color w:val="auto"/>
        </w:rPr>
      </w:pPr>
    </w:p>
    <w:p>
      <w:pPr>
        <w:ind w:right="100" w:firstLine="479"/>
        <w:spacing w:after="0" w:line="235" w:lineRule="auto"/>
        <w:rPr>
          <w:sz w:val="20"/>
          <w:szCs w:val="20"/>
          <w:color w:val="auto"/>
        </w:rPr>
      </w:pPr>
      <w:r>
        <w:rPr>
          <w:rFonts w:ascii="Calibri" w:cs="Calibri" w:eastAsia="Calibri" w:hAnsi="Calibri"/>
          <w:sz w:val="18"/>
          <w:szCs w:val="18"/>
          <w:color w:val="auto"/>
        </w:rPr>
        <w:t>Under the ESPP, eligible employees can purchase the Company’s common stock through accumulated payroll deductons at such tmes as are established by the compensaton commitee. Eligible employees may purchase the Company’s common stock at 85% of the lower of the fair market value of the Company’s common stock on the frst day of the ofering period or on the last day of the ofering period. Eligible employees may contribute up to 15% of their eligible compensaton. Under the ESPP, a partcipant may not accrue rights to purchase more than $25,000 worth of the Company’s common stock for each calendar year in which such right is outstanding.</w:t>
      </w:r>
    </w:p>
    <w:p>
      <w:pPr>
        <w:spacing w:after="0" w:line="220" w:lineRule="exact"/>
        <w:rPr>
          <w:sz w:val="20"/>
          <w:szCs w:val="20"/>
          <w:color w:val="auto"/>
        </w:rPr>
      </w:pPr>
    </w:p>
    <w:p>
      <w:pPr>
        <w:ind w:firstLine="479"/>
        <w:spacing w:after="0" w:line="235" w:lineRule="auto"/>
        <w:rPr>
          <w:sz w:val="20"/>
          <w:szCs w:val="20"/>
          <w:color w:val="auto"/>
        </w:rPr>
      </w:pPr>
      <w:r>
        <w:rPr>
          <w:rFonts w:ascii="Calibri" w:cs="Calibri" w:eastAsia="Calibri" w:hAnsi="Calibri"/>
          <w:sz w:val="18"/>
          <w:szCs w:val="18"/>
          <w:color w:val="auto"/>
        </w:rPr>
        <w:t>The ESPP is considered compensatory under the FASB stock compensaton rules. Accordingly, share-based compensaton expense is determined based on the opton’s grant-date fair value as estmated by applying the Black Scholes opton-pricing model and is recognized over the withholding period. The Company recognized share-based compensaton expense of $0.1 million and nil for the three months ended March 31, 2022 and 2021, respectvely, related to the ESPP.</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78"/>
        <w:spacing w:after="0" w:line="269"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II, Item 1A below. These forward-looking statements may include, but are not limited to, statements regarding our future results of operations and financial position, the impact of the COVID-19 pandemic,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79" w:lineRule="exact"/>
        <w:rPr>
          <w:sz w:val="20"/>
          <w:szCs w:val="20"/>
          <w:color w:val="auto"/>
        </w:rPr>
      </w:pPr>
    </w:p>
    <w:p>
      <w:pPr>
        <w:ind w:right="36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We are a clinical-stage fully integrated oncology company built on a foundation of drug discovery excellence to deliver novel precision cancer medicines to underserved patients.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trials.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six investigational new drug applications, or INDs, and successfully advanced these programs into clinical trials. In addition, we have two unique programs in various stages of preclinical development that we plan to advance into clinical development in 2022.</w:t>
      </w:r>
    </w:p>
    <w:p>
      <w:pPr>
        <w:spacing w:after="0" w:line="192"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believe we can best address these diseases by developing therapies that target primary and secondary resistance mechanisms.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have advanced four candidates in clinical trials and intend to file two INDs in the second half of 2022.</w:t>
      </w:r>
    </w:p>
    <w:p>
      <w:pPr>
        <w:spacing w:after="0" w:line="225"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We have two clinical candidates that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Our PRMT5 candidates are currently being studied in Phase 1 clinical trials in solid tumors and myeloid malignancies.</w:t>
      </w:r>
    </w:p>
    <w:p>
      <w:pPr>
        <w:spacing w:after="0" w:line="180"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Based on data from the ongoing Phase 1 dose expansion studies of our PRMT5 candidates, we are concentrating our further development efforts on our PRT811 candidate in biomarker-selected patients in specific cancer types. PRT811 was selected based on its superior safety profile, higher level of target engagement, and unique brain penetrant properties.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Specifically, for the PRMT5 program, we intend to:</w:t>
      </w:r>
    </w:p>
    <w:p>
      <w:pPr>
        <w:spacing w:after="0" w:line="27" w:lineRule="exact"/>
        <w:rPr>
          <w:sz w:val="20"/>
          <w:szCs w:val="20"/>
          <w:color w:val="auto"/>
        </w:rPr>
      </w:pPr>
    </w:p>
    <w:p>
      <w:pPr>
        <w:ind w:left="840" w:hanging="360"/>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clinical development in select patient populations where clinical activity has been observed.</w:t>
      </w:r>
    </w:p>
    <w:p>
      <w:pPr>
        <w:spacing w:after="0" w:line="9" w:lineRule="exact"/>
        <w:rPr>
          <w:rFonts w:ascii="Times New Roman" w:cs="Times New Roman" w:eastAsia="Times New Roman" w:hAnsi="Times New Roman"/>
          <w:sz w:val="18"/>
          <w:szCs w:val="18"/>
          <w:color w:val="auto"/>
        </w:rPr>
      </w:pPr>
    </w:p>
    <w:p>
      <w:pPr>
        <w:ind w:left="840" w:hanging="360"/>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data analysis of the ongoing expansion cohorts by mid-year to determine further development.</w:t>
      </w:r>
    </w:p>
    <w:p>
      <w:pPr>
        <w:spacing w:after="0" w:line="9" w:lineRule="exact"/>
        <w:rPr>
          <w:rFonts w:ascii="Times New Roman" w:cs="Times New Roman" w:eastAsia="Times New Roman" w:hAnsi="Times New Roman"/>
          <w:sz w:val="18"/>
          <w:szCs w:val="18"/>
          <w:color w:val="auto"/>
        </w:rPr>
      </w:pPr>
    </w:p>
    <w:p>
      <w:pPr>
        <w:ind w:left="840" w:hanging="360"/>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next steps for the ongoing dose expansion cohorts in the second half of 2022.</w:t>
      </w:r>
    </w:p>
    <w:p>
      <w:pPr>
        <w:spacing w:after="0" w:line="9" w:lineRule="exact"/>
        <w:rPr>
          <w:rFonts w:ascii="Times New Roman" w:cs="Times New Roman" w:eastAsia="Times New Roman" w:hAnsi="Times New Roman"/>
          <w:sz w:val="18"/>
          <w:szCs w:val="18"/>
          <w:color w:val="auto"/>
        </w:rPr>
      </w:pPr>
    </w:p>
    <w:p>
      <w:pPr>
        <w:ind w:left="840" w:hanging="360"/>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appropriate development options for PRT811 based on emerging data from ongoing expansion cohorts.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ind w:firstLine="479"/>
        <w:spacing w:after="0" w:line="256" w:lineRule="auto"/>
        <w:rPr>
          <w:sz w:val="20"/>
          <w:szCs w:val="20"/>
          <w:color w:val="auto"/>
        </w:rPr>
      </w:pPr>
      <w:r>
        <w:rPr>
          <w:rFonts w:ascii="Times New Roman" w:cs="Times New Roman" w:eastAsia="Times New Roman" w:hAnsi="Times New Roman"/>
          <w:sz w:val="18"/>
          <w:szCs w:val="18"/>
          <w:color w:val="auto"/>
        </w:rPr>
        <w:t>PRT1419, our next clinical candidate,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have begun enrolling patients with hematologic malignancies, including patients with myelodysplastic syndrome, or MDS, acute myeloid leukemia, or AML, non-Hodgkin’s lymphoma, or NHL, and multiple myeloma, or MM, into the Phase 1 clinical trial for the oral formulation of PRT1419. The dose escalation portion of the Phase 1 trial of both oral formulation and the IV formulation, which leverages the optimized physicochemical properties of PRT1419, are underway in patients with solid tumors and hematologic tumors.</w:t>
      </w:r>
    </w:p>
    <w:p>
      <w:pPr>
        <w:spacing w:after="0" w:line="187"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Based on the data to date, we have prioritized development of the IV formulation of PRT1419 which demonstrated a desirable pharmacokinetic, pharmacodynamic and safety profile with potential for differentiation from competitor compounds. We intend to evaluate combinations with PRT1419 by mid-year, with the goal of establishing safety, clinical activity and a recommended Phase 2 dose in the second half of 2022.</w:t>
      </w:r>
    </w:p>
    <w:p>
      <w:pPr>
        <w:spacing w:after="0" w:line="176" w:lineRule="exact"/>
        <w:rPr>
          <w:sz w:val="20"/>
          <w:szCs w:val="20"/>
          <w:color w:val="auto"/>
        </w:rPr>
      </w:pPr>
    </w:p>
    <w:p>
      <w:pPr>
        <w:ind w:right="180" w:firstLine="479"/>
        <w:spacing w:after="0" w:line="254" w:lineRule="auto"/>
        <w:rPr>
          <w:sz w:val="20"/>
          <w:szCs w:val="20"/>
          <w:color w:val="auto"/>
        </w:rPr>
      </w:pPr>
      <w:r>
        <w:rPr>
          <w:rFonts w:ascii="Times New Roman" w:cs="Times New Roman" w:eastAsia="Times New Roman" w:hAnsi="Times New Roman"/>
          <w:sz w:val="18"/>
          <w:szCs w:val="18"/>
          <w:color w:val="auto"/>
        </w:rPr>
        <w:t>PRT2527 is designed to be a potent and selective Cyclin-dependent kinase 9, or CDK9, inhibitor. In preclinical studies, PRT2527 was shown to reduce MCL1 and MYC protein levels and was highly active in preclinical models at well-tolerated doses. PRT2527 has demonstrated high potency and kinase selectivity which may offer improved efficacy and safety compared to less selective CDK9 inhibitors. 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A phase one trial is underway evaluating escalating IV doses of PRT2527 as a monotherapy in patients with selected solid tumors, including sarcoma, prostate cancer, lung cancer, and other cancers with genomic alterations that lead to MYC dependence. We anticipate completing enrollment in the Phase 1 dose escalation study of PRT2527 with the goal of identifying a recommended Phase 2 dose in the second half of 2022.</w:t>
      </w:r>
    </w:p>
    <w:p>
      <w:pPr>
        <w:spacing w:after="0" w:line="192"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In addition to our four clinical stage candidates, we are advancing two new preclinical programs. Our most advanced preclinical program has led to the identification of PRT3645, a brain penetrant molecule that potently and selectively targets CDK4/6. IND-enabling studies for PRT3645 are ongoing and we intend to complete IND-enabling studies, file an IND and initiate a Phase 1 clinical trial in the second half of 2022. Our second pre-clinical program targets Brahma homologue, or BRM, otherwise known as SMARCA2. We have identified SMARCA2 protein degraders that appear to be potent based on preclinical data demonstrating degradation of SMARCA2 at sub-nanomolar concentrations. Optimization of the lead compound, PRT-SCA2, is progressing, and we intend to complete IND-enabling studies and submit an IND application by year-end 2022.</w:t>
      </w:r>
    </w:p>
    <w:p>
      <w:pPr>
        <w:spacing w:after="0" w:line="187" w:lineRule="exact"/>
        <w:rPr>
          <w:sz w:val="20"/>
          <w:szCs w:val="20"/>
          <w:color w:val="auto"/>
        </w:rPr>
      </w:pPr>
    </w:p>
    <w:p>
      <w:pPr>
        <w:ind w:right="60" w:firstLine="478"/>
        <w:spacing w:after="0" w:line="252" w:lineRule="auto"/>
        <w:rPr>
          <w:sz w:val="20"/>
          <w:szCs w:val="20"/>
          <w:color w:val="auto"/>
        </w:rPr>
      </w:pPr>
      <w:r>
        <w:rPr>
          <w:rFonts w:ascii="Times New Roman" w:cs="Times New Roman" w:eastAsia="Times New Roman" w:hAnsi="Times New Roman"/>
          <w:sz w:val="18"/>
          <w:szCs w:val="18"/>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Our net loss was $29.5 million and $21.3 million for the three months ended March 31, 2022 and 2021, respectively. As of March 31, 2022, we had an accumulated deficit of $248.6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97" w:lineRule="exact"/>
        <w:rPr>
          <w:sz w:val="20"/>
          <w:szCs w:val="20"/>
          <w:color w:val="auto"/>
        </w:rPr>
      </w:pPr>
    </w:p>
    <w:p>
      <w:pPr>
        <w:ind w:right="40" w:firstLine="478"/>
        <w:spacing w:after="0" w:line="255"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ind w:right="40" w:firstLine="478"/>
        <w:spacing w:after="0" w:line="282" w:lineRule="auto"/>
        <w:rPr>
          <w:sz w:val="20"/>
          <w:szCs w:val="20"/>
          <w:color w:val="auto"/>
        </w:rPr>
      </w:pPr>
      <w:r>
        <w:rPr>
          <w:rFonts w:ascii="Times New Roman" w:cs="Times New Roman" w:eastAsia="Times New Roman" w:hAnsi="Times New Roman"/>
          <w:sz w:val="18"/>
          <w:szCs w:val="18"/>
          <w:color w:val="auto"/>
        </w:rPr>
        <w:t>As of March 31, 2022, we had $266.2 million in cash, cash equivalents, and marketable securities. We expect our existing cash, cash equivalents and marketable securities will enable us to fund our operating expense and capital expenditures into the second half of 2024.</w:t>
      </w:r>
    </w:p>
    <w:p>
      <w:pPr>
        <w:spacing w:after="0" w:line="3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243" w:lineRule="exact"/>
        <w:rPr>
          <w:sz w:val="20"/>
          <w:szCs w:val="20"/>
          <w:color w:val="auto"/>
        </w:rPr>
      </w:pPr>
    </w:p>
    <w:p>
      <w:pPr>
        <w:ind w:right="40" w:firstLine="478"/>
        <w:spacing w:after="0" w:line="258" w:lineRule="auto"/>
        <w:rPr>
          <w:sz w:val="20"/>
          <w:szCs w:val="20"/>
          <w:color w:val="auto"/>
        </w:rPr>
      </w:pPr>
      <w:r>
        <w:rPr>
          <w:rFonts w:ascii="Times New Roman" w:cs="Times New Roman" w:eastAsia="Times New Roman" w:hAnsi="Times New Roman"/>
          <w:sz w:val="18"/>
          <w:szCs w:val="18"/>
          <w:color w:val="auto"/>
        </w:rPr>
        <w:t>We are continuing to proactively monitor and assess the COVID-19 pandemic. Since early March 2020 we have been monitoring the potential impact on our business that may result from this rapidly evolving crisis and to avoid any unnecessary potential delays to our programs. At this time, our lead programs and research activities remain on track. The safety and well-being of employees, patients and partners is our highest priority. See the Risk Factor “</w:t>
      </w:r>
      <w:r>
        <w:rPr>
          <w:rFonts w:ascii="Times New Roman" w:cs="Times New Roman" w:eastAsia="Times New Roman" w:hAnsi="Times New Roman"/>
          <w:sz w:val="18"/>
          <w:szCs w:val="18"/>
          <w:i w:val="1"/>
          <w:iCs w:val="1"/>
          <w:color w:val="auto"/>
        </w:rPr>
        <w:t>The COVID-19 pandemic could adversely impact our business, including our clinical trials and clinical trial operations</w:t>
      </w:r>
      <w:r>
        <w:rPr>
          <w:rFonts w:ascii="Times New Roman" w:cs="Times New Roman" w:eastAsia="Times New Roman" w:hAnsi="Times New Roman"/>
          <w:sz w:val="18"/>
          <w:szCs w:val="18"/>
          <w:color w:val="auto"/>
        </w:rPr>
        <w:t>” in Part II, Item 1A. “Risk Factors”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firstLine="478"/>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99" w:lineRule="exact"/>
        <w:rPr>
          <w:sz w:val="20"/>
          <w:szCs w:val="20"/>
          <w:color w:val="auto"/>
        </w:rPr>
      </w:pPr>
    </w:p>
    <w:p>
      <w:pPr>
        <w:ind w:left="960" w:right="20" w:hanging="480"/>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3" w:lineRule="exact"/>
        <w:rPr>
          <w:rFonts w:ascii="Times New Roman" w:cs="Times New Roman" w:eastAsia="Times New Roman" w:hAnsi="Times New Roman"/>
          <w:sz w:val="18"/>
          <w:szCs w:val="18"/>
          <w:color w:val="auto"/>
        </w:rPr>
      </w:pPr>
    </w:p>
    <w:p>
      <w:pPr>
        <w:ind w:left="960" w:right="880" w:hanging="480"/>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60" w:right="400" w:hanging="480"/>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53" w:lineRule="exact"/>
        <w:rPr>
          <w:rFonts w:ascii="Times New Roman" w:cs="Times New Roman" w:eastAsia="Times New Roman" w:hAnsi="Times New Roman"/>
          <w:sz w:val="18"/>
          <w:szCs w:val="18"/>
          <w:color w:val="auto"/>
        </w:rPr>
      </w:pPr>
    </w:p>
    <w:p>
      <w:pPr>
        <w:ind w:left="960" w:right="40" w:hanging="480"/>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0" w:lineRule="exact"/>
        <w:rPr>
          <w:sz w:val="20"/>
          <w:szCs w:val="20"/>
          <w:color w:val="auto"/>
        </w:rPr>
      </w:pPr>
    </w:p>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47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4" w:lineRule="exact"/>
        <w:rPr>
          <w:sz w:val="20"/>
          <w:szCs w:val="20"/>
          <w:color w:val="auto"/>
        </w:rPr>
      </w:pPr>
    </w:p>
    <w:p>
      <w:pPr>
        <w:ind w:right="200" w:firstLine="478"/>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increase in the future to support our continued research and development activities and potential commercialization efforts. These increases will likely include increased costs related to the hiring of additional personnel and fees to outside consultants, legal support and accountants, among other expenses. If any of our current or future product candidates obtains U.S. regulatory approval, we expect that we would incur significantly increased expenses associated with building a sales and marketing team.</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20" w:firstLine="478"/>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and grant income received from the State of Delaware. We anticipate re-applying for the grant from the State of Delaware from time to time as long as we maintain qualifying headcount levels in the State of Delaware.</w:t>
      </w: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2020</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March 31, 2022 and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78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620" w:type="dxa"/>
            <w:vAlign w:val="bottom"/>
            <w:tcBorders>
              <w:bottom w:val="single" w:sz="8" w:color="CFF0FC"/>
            </w:tcBorders>
            <w:vMerge w:val="continue"/>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160" w:type="dxa"/>
            <w:vAlign w:val="bottom"/>
          </w:tcPr>
          <w:p>
            <w:pPr>
              <w:spacing w:after="0"/>
              <w:rPr>
                <w:sz w:val="19"/>
                <w:szCs w:val="19"/>
                <w:color w:val="auto"/>
              </w:rPr>
            </w:pP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16,470</w:t>
            </w:r>
          </w:p>
        </w:tc>
        <w:tc>
          <w:tcPr>
            <w:tcW w:w="180" w:type="dxa"/>
            <w:vAlign w:val="bottom"/>
          </w:tcPr>
          <w:p>
            <w:pPr>
              <w:spacing w:after="0"/>
              <w:rPr>
                <w:sz w:val="19"/>
                <w:szCs w:val="19"/>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00" w:firstLine="47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increased by $6.4 million to $22.8 million for the three months ended March 31, 2022 from $16.5 million for the three months ended March 31, 2021. Included in research and development expenses for the quarter ended March 31, 2022, was $3.2 million of non-cash expense related to stock-based compensation expense, including employee stock options, compared to $1.8 million for the three months ended March 31, 2021. The increase in research and development expense was primarily due to an increase in discovery-stage program expenses and from the growth and advancement of our clinical pipeline. Our chemistry, manufacturing and other costs for the trials also increased. 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9" w:name="page20"/>
    <w:bookmarkEnd w:id="19"/>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PRT543</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PRT811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PRT1419 (Oral and IV)</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PRT2527</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programs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120" w:firstLine="478"/>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increased by $2.0 million to $7.5 million for the three months ended March 31, 2022 from $5.5 million for the three months ended March 31, 2021. Included in the general and administrative expenses for the quarter ended March 31, 2022, was $3.6 million of non-cash expense related to stock-based compensation expense, including employee stock options, as compared to $2.0 million for the same period in 2021.</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increase in general and administrative expense was primarily due to an increase in non-cash stock-based compensation expense along with professional fees as we expanded our operations to support our research and development efforts.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20" w:firstLine="478"/>
        <w:spacing w:after="0" w:line="266" w:lineRule="auto"/>
        <w:rPr>
          <w:sz w:val="20"/>
          <w:szCs w:val="20"/>
          <w:color w:val="auto"/>
        </w:rPr>
      </w:pPr>
      <w:r>
        <w:rPr>
          <w:rFonts w:ascii="Times New Roman" w:cs="Times New Roman" w:eastAsia="Times New Roman" w:hAnsi="Times New Roman"/>
          <w:sz w:val="18"/>
          <w:szCs w:val="18"/>
          <w:color w:val="auto"/>
        </w:rPr>
        <w:t>Other income, net increased by $0.2 million to $0.8 million for the three months ended March 31, 2022 from $0.7 million for the three months ended March 31, 2021, primarily due to the receipt and recognition of research and development tax credits from the State of Delaware during 2022, as well as interest earned on the investment of our cash proceeds.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40" w:firstLine="478"/>
        <w:spacing w:after="0" w:line="256"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through the sale of convertible preferred stock and common stock. As of March 31, 2022, we had $266.2 million in cash, cash equivalents and marketable securities and had an accumulated deficit of $248.6 million. We expect our existing cash, cash equivalents and marketable securities to enable us to fund our operating expenses and capital expenditure requirements into the second half of 2024. We have based these estimates on assumptions that may prove to be imprecise, and we could utilize our available capital resources sooner than we expect.</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60" w:firstLine="47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6" w:lineRule="exact"/>
        <w:rPr>
          <w:sz w:val="20"/>
          <w:szCs w:val="20"/>
          <w:color w:val="auto"/>
        </w:rPr>
      </w:pPr>
    </w:p>
    <w:p>
      <w:pPr>
        <w:ind w:right="40" w:firstLine="47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960" w:hanging="48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7" w:lineRule="exact"/>
        <w:rPr>
          <w:rFonts w:ascii="Times New Roman" w:cs="Times New Roman" w:eastAsia="Times New Roman" w:hAnsi="Times New Roman"/>
          <w:sz w:val="18"/>
          <w:szCs w:val="18"/>
          <w:color w:val="auto"/>
        </w:rPr>
      </w:pPr>
    </w:p>
    <w:p>
      <w:pPr>
        <w:ind w:left="960" w:right="380" w:hanging="480"/>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ind w:left="960" w:right="360" w:hanging="480"/>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7" w:lineRule="exact"/>
        <w:rPr>
          <w:rFonts w:ascii="Times New Roman" w:cs="Times New Roman" w:eastAsia="Times New Roman" w:hAnsi="Times New Roman"/>
          <w:sz w:val="18"/>
          <w:szCs w:val="18"/>
          <w:color w:val="auto"/>
        </w:rPr>
      </w:pPr>
    </w:p>
    <w:p>
      <w:pPr>
        <w:ind w:left="960" w:right="60" w:hanging="480"/>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ind w:right="140" w:firstLine="479"/>
        <w:spacing w:after="0" w:line="261"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0"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540" w:type="dxa"/>
            <w:vAlign w:val="bottom"/>
            <w:tcBorders>
              <w:bottom w:val="single" w:sz="8" w:color="CFF0FC"/>
            </w:tcBorders>
            <w:vMerge w:val="continue"/>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180" w:type="dxa"/>
            <w:vAlign w:val="bottom"/>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47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we used $21.9 million of cash in operating activities. Cash used in operating activities reflected our net loss of $29.5 million and a $0.7 million net increase in our operating assets and liabilities, offset by noncash charges of $8.3 million, which consisted of $6.8 million in stock-based compensation, $0.7 million in amortization of premiums and discounts on marketable securities, $0.4 million noncash lease expense, and $0.3 million in depreciation. The primary use of cash was to fund our operations related to the development of our product candidates.</w:t>
      </w:r>
    </w:p>
    <w:p>
      <w:pPr>
        <w:spacing w:after="0" w:line="180" w:lineRule="exact"/>
        <w:rPr>
          <w:sz w:val="20"/>
          <w:szCs w:val="20"/>
          <w:color w:val="auto"/>
        </w:rPr>
      </w:pPr>
    </w:p>
    <w:p>
      <w:pPr>
        <w:ind w:right="20" w:firstLine="47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2021, we used $16.1 million of cash in operating activities. Cash used in operating activities reflected our net loss of $21.3 million, offset by a $0.8 million net decrease in our operating assets and liabilities and noncash charges of $4.3 million, which consisted of $0.2 million in depreciation and $3.9 million in stock-based compensation. The primary use of cash was to fund our operations related to the development of our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40" w:firstLine="47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net cash provided by investing activities consisted primarily of $42.5 million in proceeds from maturities of marketable securities. During the three months ended March 31, 2021 we used $1.0 million of cash for the purchase of property and equipment.</w:t>
      </w: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480" w:firstLine="47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financing activities provided $0.2 million from the exercise of stock options. During the three months ended March 31, 2021, financing activities provided $161.8 million, which reflected the receipt of net cash of $161.4 million from the sale of common stock as well as the receipt of $0.4 million from the exercise of stock options.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220" w:firstLine="47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there were no material changes to our critical accounting policies and estimates from those described under the heading “Management’s Discussion and Analysis of Financial Condition and Results of Operations-Critical Accounting Policies and Estimates” in our Annual Report on Form 10-K filed with the Securities and Exchange Commission on March 17,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firstLine="47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76" w:lineRule="exact"/>
        <w:rPr>
          <w:sz w:val="20"/>
          <w:szCs w:val="20"/>
          <w:color w:val="auto"/>
        </w:rPr>
      </w:pPr>
    </w:p>
    <w:p>
      <w:pPr>
        <w:ind w:right="80" w:firstLine="478"/>
        <w:spacing w:after="0" w:line="261" w:lineRule="auto"/>
        <w:rPr>
          <w:sz w:val="20"/>
          <w:szCs w:val="20"/>
          <w:color w:val="auto"/>
        </w:rPr>
      </w:pPr>
      <w:r>
        <w:rPr>
          <w:rFonts w:ascii="Times New Roman" w:cs="Times New Roman" w:eastAsia="Times New Roman" w:hAnsi="Times New Roman"/>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0" w:lineRule="exact"/>
        <w:rPr>
          <w:sz w:val="20"/>
          <w:szCs w:val="20"/>
          <w:color w:val="auto"/>
        </w:rPr>
      </w:pPr>
    </w:p>
    <w:p>
      <w:pPr>
        <w:ind w:right="80" w:firstLine="478"/>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our first fiscal year (a) in which we have total annual gross revenues of at least $1.07 billion, or (b) in which we are deemed to be a large accelerated filer, which means the market value of our common stock that is held by non-affiliates exceeds $700.0 million as of the prior June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(2) the date on which we have issued more than $1.0 billion in non-convertible debt securities during the prior three-year period and (3)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60" w:firstLine="478"/>
        <w:spacing w:after="0" w:line="282" w:lineRule="auto"/>
        <w:rPr>
          <w:sz w:val="20"/>
          <w:szCs w:val="20"/>
          <w:color w:val="auto"/>
        </w:rPr>
      </w:pPr>
      <w:r>
        <w:rPr>
          <w:rFonts w:ascii="Times New Roman" w:cs="Times New Roman" w:eastAsia="Times New Roman" w:hAnsi="Times New Roman"/>
          <w:sz w:val="18"/>
          <w:szCs w:val="18"/>
          <w:color w:val="auto"/>
        </w:rPr>
        <w:t>See Note 3 to our interim financial statements included elsewhere in this Quarterly Report on Form 10-Q for a description of recent accounting pronouncements applicable to our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478"/>
        <w:spacing w:after="0" w:line="255"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89" w:lineRule="exact"/>
        <w:rPr>
          <w:sz w:val="20"/>
          <w:szCs w:val="20"/>
          <w:color w:val="auto"/>
        </w:rPr>
      </w:pPr>
    </w:p>
    <w:p>
      <w:pPr>
        <w:ind w:right="40" w:firstLine="478"/>
        <w:spacing w:after="0" w:line="256" w:lineRule="auto"/>
        <w:rPr>
          <w:sz w:val="20"/>
          <w:szCs w:val="20"/>
          <w:color w:val="auto"/>
        </w:rPr>
      </w:pPr>
      <w:r>
        <w:rPr>
          <w:rFonts w:ascii="Times New Roman" w:cs="Times New Roman" w:eastAsia="Times New Roman" w:hAnsi="Times New Roman"/>
          <w:sz w:val="18"/>
          <w:szCs w:val="18"/>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$1.07 billion or (iii) in which we are deemed to be a “large accelerated filer” under the rules of the SEC, which means the market value of our common stock that is held by non-affiliates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2" w:name="page23"/>
    <w:bookmarkEnd w:id="22"/>
    <w:p>
      <w:pPr>
        <w:ind w:right="240"/>
        <w:spacing w:after="0" w:line="282" w:lineRule="auto"/>
        <w:rPr>
          <w:sz w:val="20"/>
          <w:szCs w:val="20"/>
          <w:color w:val="auto"/>
        </w:rPr>
      </w:pPr>
      <w:r>
        <w:rPr>
          <w:rFonts w:ascii="Times New Roman" w:cs="Times New Roman" w:eastAsia="Times New Roman" w:hAnsi="Times New Roman"/>
          <w:sz w:val="18"/>
          <w:szCs w:val="18"/>
          <w:color w:val="auto"/>
        </w:rPr>
        <w:t>exceeds $700.0 million as of the prior June 30th, or (b) the date on which we have issued more than $1.0 billion in non-convertible debt during the prior three-year period.</w:t>
      </w:r>
    </w:p>
    <w:p>
      <w:pPr>
        <w:spacing w:after="0" w:line="162" w:lineRule="exact"/>
        <w:rPr>
          <w:sz w:val="20"/>
          <w:szCs w:val="20"/>
          <w:color w:val="auto"/>
        </w:rPr>
      </w:pPr>
    </w:p>
    <w:p>
      <w:pPr>
        <w:ind w:right="200" w:firstLine="478"/>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121"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color w:val="auto"/>
        </w:rPr>
        <w:t>As of March 31, 2022,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March 31, 2022, the design and operation of our disclosure controls and procedures were effective at a reasonable assurance level.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60" w:firstLine="478"/>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March 31, 2022,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20" w:firstLine="541"/>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5" w:lineRule="exact"/>
        <w:rPr>
          <w:sz w:val="20"/>
          <w:szCs w:val="20"/>
          <w:color w:val="auto"/>
        </w:rPr>
      </w:pPr>
    </w:p>
    <w:p>
      <w:pPr>
        <w:ind w:right="100" w:firstLine="47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on Form 10-Q,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840" w:right="180" w:hanging="414"/>
        <w:spacing w:after="0" w:line="261" w:lineRule="auto"/>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 Our ability to use our net operating loss carryforwards and certain other tax attributes may be limited.</w:t>
      </w:r>
    </w:p>
    <w:p>
      <w:pPr>
        <w:spacing w:after="0" w:line="179" w:lineRule="exact"/>
        <w:rPr>
          <w:rFonts w:ascii="Times New Roman" w:cs="Times New Roman" w:eastAsia="Times New Roman" w:hAnsi="Times New Roman"/>
          <w:sz w:val="18"/>
          <w:szCs w:val="18"/>
          <w:color w:val="auto"/>
        </w:rPr>
      </w:pPr>
    </w:p>
    <w:p>
      <w:pPr>
        <w:ind w:left="840" w:right="240" w:hanging="414"/>
        <w:spacing w:after="0" w:line="266" w:lineRule="auto"/>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175" w:lineRule="exact"/>
        <w:rPr>
          <w:rFonts w:ascii="Times New Roman" w:cs="Times New Roman" w:eastAsia="Times New Roman" w:hAnsi="Times New Roman"/>
          <w:sz w:val="18"/>
          <w:szCs w:val="18"/>
          <w:color w:val="auto"/>
        </w:rPr>
      </w:pPr>
    </w:p>
    <w:p>
      <w:pPr>
        <w:ind w:left="840" w:right="80" w:hanging="414"/>
        <w:spacing w:after="0" w:line="266" w:lineRule="auto"/>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success of our product candidates, PRT543, PRT811, PRT1419 and PRT2527,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175" w:lineRule="exact"/>
        <w:rPr>
          <w:rFonts w:ascii="Times New Roman" w:cs="Times New Roman" w:eastAsia="Times New Roman" w:hAnsi="Times New Roman"/>
          <w:sz w:val="18"/>
          <w:szCs w:val="18"/>
          <w:color w:val="auto"/>
        </w:rPr>
      </w:pPr>
    </w:p>
    <w:p>
      <w:pPr>
        <w:ind w:left="840" w:right="1240" w:hanging="414"/>
        <w:spacing w:after="0" w:line="282" w:lineRule="auto"/>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and/or commercialization of PRT543, PRT811, PRT1419, PRT2527 or our other product candidates.</w:t>
      </w:r>
    </w:p>
    <w:p>
      <w:pPr>
        <w:spacing w:after="0" w:line="161" w:lineRule="exact"/>
        <w:rPr>
          <w:rFonts w:ascii="Times New Roman" w:cs="Times New Roman" w:eastAsia="Times New Roman" w:hAnsi="Times New Roman"/>
          <w:sz w:val="18"/>
          <w:szCs w:val="18"/>
          <w:color w:val="auto"/>
        </w:rPr>
      </w:pPr>
    </w:p>
    <w:p>
      <w:pPr>
        <w:ind w:left="840" w:hanging="414"/>
        <w:spacing w:after="0" w:line="282" w:lineRule="auto"/>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enrolling patients in our ongoing or planned clinical trials, our receipt of necessary regulatory approval could be delayed or prevented.</w:t>
      </w:r>
    </w:p>
    <w:p>
      <w:pPr>
        <w:spacing w:after="0" w:line="161"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adversely impact our business, including our clinical trials and clinical trial operations.</w:t>
      </w:r>
    </w:p>
    <w:p>
      <w:pPr>
        <w:spacing w:after="0" w:line="279" w:lineRule="exact"/>
        <w:rPr>
          <w:rFonts w:ascii="Times New Roman" w:cs="Times New Roman" w:eastAsia="Times New Roman" w:hAnsi="Times New Roman"/>
          <w:sz w:val="18"/>
          <w:szCs w:val="18"/>
          <w:color w:val="auto"/>
        </w:rPr>
      </w:pPr>
    </w:p>
    <w:p>
      <w:pPr>
        <w:ind w:left="840" w:right="60" w:hanging="414"/>
        <w:spacing w:after="0" w:line="266" w:lineRule="auto"/>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or other safety risks associated with PRT543, PRT811, PRT1419, PRT2527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175" w:lineRule="exact"/>
        <w:rPr>
          <w:rFonts w:ascii="Times New Roman" w:cs="Times New Roman" w:eastAsia="Times New Roman" w:hAnsi="Times New Roman"/>
          <w:sz w:val="18"/>
          <w:szCs w:val="18"/>
          <w:color w:val="auto"/>
        </w:rPr>
      </w:pPr>
    </w:p>
    <w:p>
      <w:pPr>
        <w:ind w:left="840" w:right="460" w:hanging="414"/>
        <w:spacing w:after="0" w:line="282" w:lineRule="auto"/>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6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policy changes, including U.S. health care reform legislation, may have a material adverse effect on our business.</w:t>
      </w:r>
    </w:p>
    <w:p>
      <w:pPr>
        <w:spacing w:after="0" w:line="279" w:lineRule="exact"/>
        <w:rPr>
          <w:rFonts w:ascii="Times New Roman" w:cs="Times New Roman" w:eastAsia="Times New Roman" w:hAnsi="Times New Roman"/>
          <w:sz w:val="18"/>
          <w:szCs w:val="18"/>
          <w:color w:val="auto"/>
        </w:rPr>
      </w:pPr>
    </w:p>
    <w:p>
      <w:pPr>
        <w:ind w:left="820" w:right="20" w:hanging="407"/>
        <w:spacing w:after="0" w:line="261"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179" w:lineRule="exact"/>
        <w:rPr>
          <w:rFonts w:ascii="Times New Roman" w:cs="Times New Roman" w:eastAsia="Times New Roman" w:hAnsi="Times New Roman"/>
          <w:sz w:val="18"/>
          <w:szCs w:val="18"/>
          <w:color w:val="auto"/>
        </w:rPr>
      </w:pPr>
    </w:p>
    <w:p>
      <w:pPr>
        <w:ind w:left="820" w:right="20" w:hanging="407"/>
        <w:spacing w:after="0" w:line="258"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4" w:name="page25"/>
    <w:bookmarkEnd w:id="24"/>
    <w:p>
      <w:pPr>
        <w:ind w:left="82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161" w:lineRule="exact"/>
        <w:rPr>
          <w:rFonts w:ascii="Times New Roman" w:cs="Times New Roman" w:eastAsia="Times New Roman" w:hAnsi="Times New Roman"/>
          <w:sz w:val="18"/>
          <w:szCs w:val="18"/>
          <w:color w:val="auto"/>
        </w:rPr>
      </w:pPr>
    </w:p>
    <w:p>
      <w:pPr>
        <w:ind w:left="820" w:right="180" w:hanging="407"/>
        <w:spacing w:after="0" w:line="266"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175" w:lineRule="exact"/>
        <w:rPr>
          <w:rFonts w:ascii="Times New Roman" w:cs="Times New Roman" w:eastAsia="Times New Roman" w:hAnsi="Times New Roman"/>
          <w:sz w:val="18"/>
          <w:szCs w:val="18"/>
          <w:color w:val="auto"/>
        </w:rPr>
      </w:pPr>
    </w:p>
    <w:p>
      <w:pPr>
        <w:ind w:left="820" w:right="20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61" w:lineRule="exact"/>
        <w:rPr>
          <w:rFonts w:ascii="Times New Roman" w:cs="Times New Roman" w:eastAsia="Times New Roman" w:hAnsi="Times New Roman"/>
          <w:sz w:val="18"/>
          <w:szCs w:val="18"/>
          <w:color w:val="auto"/>
        </w:rPr>
      </w:pPr>
    </w:p>
    <w:p>
      <w:pPr>
        <w:ind w:left="820" w:right="30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to limit commercialization of any products that we may develop.</w:t>
      </w:r>
    </w:p>
    <w:p>
      <w:pPr>
        <w:spacing w:after="0" w:line="161" w:lineRule="exact"/>
        <w:rPr>
          <w:rFonts w:ascii="Times New Roman" w:cs="Times New Roman" w:eastAsia="Times New Roman" w:hAnsi="Times New Roman"/>
          <w:sz w:val="18"/>
          <w:szCs w:val="18"/>
          <w:color w:val="auto"/>
        </w:rPr>
      </w:pPr>
    </w:p>
    <w:p>
      <w:pPr>
        <w:ind w:left="820" w:right="6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employees and to attract, retain and motivate qualified personnel and manage our human capital.</w:t>
      </w:r>
    </w:p>
    <w:p>
      <w:pPr>
        <w:spacing w:after="0" w:line="161" w:lineRule="exact"/>
        <w:rPr>
          <w:rFonts w:ascii="Times New Roman" w:cs="Times New Roman" w:eastAsia="Times New Roman" w:hAnsi="Times New Roman"/>
          <w:sz w:val="18"/>
          <w:szCs w:val="18"/>
          <w:color w:val="auto"/>
        </w:rPr>
      </w:pPr>
    </w:p>
    <w:p>
      <w:pPr>
        <w:ind w:left="820" w:right="16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61" w:lineRule="exact"/>
        <w:rPr>
          <w:rFonts w:ascii="Times New Roman" w:cs="Times New Roman" w:eastAsia="Times New Roman" w:hAnsi="Times New Roman"/>
          <w:sz w:val="18"/>
          <w:szCs w:val="18"/>
          <w:color w:val="auto"/>
        </w:rPr>
      </w:pPr>
    </w:p>
    <w:p>
      <w:pPr>
        <w:ind w:left="820" w:right="4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1" w:lineRule="exact"/>
        <w:rPr>
          <w:rFonts w:ascii="Times New Roman" w:cs="Times New Roman" w:eastAsia="Times New Roman" w:hAnsi="Times New Roman"/>
          <w:sz w:val="18"/>
          <w:szCs w:val="18"/>
          <w:color w:val="auto"/>
        </w:rPr>
      </w:pPr>
    </w:p>
    <w:p>
      <w:pPr>
        <w:ind w:left="820" w:right="64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strategic transactions that could impact our liquidity, increase our expenses and present significant distractions to our management.</w:t>
      </w:r>
    </w:p>
    <w:p>
      <w:pPr>
        <w:spacing w:after="0" w:line="161" w:lineRule="exact"/>
        <w:rPr>
          <w:rFonts w:ascii="Times New Roman" w:cs="Times New Roman" w:eastAsia="Times New Roman" w:hAnsi="Times New Roman"/>
          <w:sz w:val="18"/>
          <w:szCs w:val="18"/>
          <w:color w:val="auto"/>
        </w:rPr>
      </w:pPr>
    </w:p>
    <w:p>
      <w:pPr>
        <w:ind w:left="820" w:right="400" w:hanging="407"/>
        <w:spacing w:after="0" w:line="266"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175" w:lineRule="exact"/>
        <w:rPr>
          <w:rFonts w:ascii="Times New Roman" w:cs="Times New Roman" w:eastAsia="Times New Roman" w:hAnsi="Times New Roman"/>
          <w:sz w:val="18"/>
          <w:szCs w:val="18"/>
          <w:color w:val="auto"/>
        </w:rPr>
      </w:pPr>
    </w:p>
    <w:p>
      <w:pPr>
        <w:ind w:left="820" w:right="20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or administrative disputes to protect or enforce our patents or other intellectual property, which could be expensive, time consuming and unsuccessful.</w:t>
      </w:r>
    </w:p>
    <w:p>
      <w:pPr>
        <w:spacing w:after="0" w:line="16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effectively protect or enforce our intellectual property and proprietary rights throughout the world.</w:t>
      </w:r>
    </w:p>
    <w:p>
      <w:pPr>
        <w:spacing w:after="0" w:line="279" w:lineRule="exact"/>
        <w:rPr>
          <w:rFonts w:ascii="Times New Roman" w:cs="Times New Roman" w:eastAsia="Times New Roman" w:hAnsi="Times New Roman"/>
          <w:sz w:val="18"/>
          <w:szCs w:val="18"/>
          <w:color w:val="auto"/>
        </w:rPr>
      </w:pPr>
    </w:p>
    <w:p>
      <w:pPr>
        <w:ind w:left="820" w:right="4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16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improvements to our product candidates may be held by third parties.</w:t>
      </w:r>
    </w:p>
    <w:p>
      <w:pPr>
        <w:spacing w:after="0" w:line="279" w:lineRule="exact"/>
        <w:rPr>
          <w:rFonts w:ascii="Times New Roman" w:cs="Times New Roman" w:eastAsia="Times New Roman" w:hAnsi="Times New Roman"/>
          <w:sz w:val="18"/>
          <w:szCs w:val="18"/>
          <w:color w:val="auto"/>
        </w:rPr>
      </w:pPr>
    </w:p>
    <w:p>
      <w:pPr>
        <w:ind w:left="820" w:right="40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and liquid trading market for our common stock may never be sustained. As a result, you may not be able to resell your shares of common stock at or above the purchase price.</w:t>
      </w:r>
    </w:p>
    <w:p>
      <w:pPr>
        <w:spacing w:after="0" w:line="161" w:lineRule="exact"/>
        <w:rPr>
          <w:rFonts w:ascii="Times New Roman" w:cs="Times New Roman" w:eastAsia="Times New Roman" w:hAnsi="Times New Roman"/>
          <w:sz w:val="18"/>
          <w:szCs w:val="18"/>
          <w:color w:val="auto"/>
        </w:rPr>
      </w:pPr>
    </w:p>
    <w:p>
      <w:pPr>
        <w:ind w:left="820" w:right="38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likely to be highly volatile, which could result in substantial losses for purchasers of our common stock.</w:t>
      </w:r>
    </w:p>
    <w:p>
      <w:pPr>
        <w:spacing w:after="0" w:line="161" w:lineRule="exact"/>
        <w:rPr>
          <w:rFonts w:ascii="Times New Roman" w:cs="Times New Roman" w:eastAsia="Times New Roman" w:hAnsi="Times New Roman"/>
          <w:sz w:val="18"/>
          <w:szCs w:val="18"/>
          <w:color w:val="auto"/>
        </w:rPr>
      </w:pPr>
    </w:p>
    <w:p>
      <w:pPr>
        <w:ind w:left="820" w:right="42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w:t>
      </w:r>
    </w:p>
    <w:p>
      <w:pPr>
        <w:spacing w:after="0" w:line="161" w:lineRule="exact"/>
        <w:rPr>
          <w:rFonts w:ascii="Times New Roman" w:cs="Times New Roman" w:eastAsia="Times New Roman" w:hAnsi="Times New Roman"/>
          <w:sz w:val="18"/>
          <w:szCs w:val="18"/>
          <w:color w:val="auto"/>
        </w:rPr>
      </w:pPr>
    </w:p>
    <w:p>
      <w:pPr>
        <w:ind w:left="820" w:right="440" w:hanging="407"/>
        <w:spacing w:after="0" w:line="312" w:lineRule="auto"/>
        <w:tabs>
          <w:tab w:leader="none" w:pos="8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39" w:lineRule="exact"/>
        <w:rPr>
          <w:rFonts w:ascii="Times New Roman" w:cs="Times New Roman" w:eastAsia="Times New Roman" w:hAnsi="Times New Roman"/>
          <w:sz w:val="17"/>
          <w:szCs w:val="17"/>
          <w:color w:val="auto"/>
        </w:rPr>
      </w:pPr>
    </w:p>
    <w:p>
      <w:pPr>
        <w:ind w:left="820" w:right="78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increased costs as a result of operating as a public company, and our management will be required to devote substantial time to new compliance initiatives and corporate governance practices.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44" w:lineRule="exact"/>
        <w:rPr>
          <w:sz w:val="20"/>
          <w:szCs w:val="20"/>
          <w:color w:val="auto"/>
        </w:rPr>
      </w:pPr>
    </w:p>
    <w:p>
      <w:pPr>
        <w:ind w:left="4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94" w:lineRule="exact"/>
        <w:rPr>
          <w:sz w:val="20"/>
          <w:szCs w:val="20"/>
          <w:color w:val="auto"/>
        </w:rPr>
      </w:pPr>
    </w:p>
    <w:p>
      <w:pPr>
        <w:ind w:right="40" w:firstLine="416"/>
        <w:spacing w:after="0" w:line="282" w:lineRule="auto"/>
        <w:rPr>
          <w:sz w:val="20"/>
          <w:szCs w:val="20"/>
          <w:color w:val="auto"/>
        </w:rPr>
      </w:pPr>
      <w:r>
        <w:rPr>
          <w:rFonts w:ascii="Times New Roman" w:cs="Times New Roman" w:eastAsia="Times New Roman" w:hAnsi="Times New Roman"/>
          <w:sz w:val="18"/>
          <w:szCs w:val="18"/>
          <w:color w:val="auto"/>
        </w:rPr>
        <w:t>Investment in drug development is a highly speculative undertaking and involves a substantial degree of risk. We commenced operations in 2016 and are a clinical-stage biopharmaceutical company with a limited operating history. We have not yet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commercialized any product and we do not expect to generate revenue from sales of any products for several years, if at all. Consequently, there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operations upon which we or you can evaluate our business. Predictions about our future success or viability may not be as accurate as they could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if we had a longer operating history or a history of successfully developing and commercializing cancer therapies.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 we reported a net loss of $29.5 million and $21.3 million, respectively. As of March 31, 2022, we had an accumulated deficit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$248.6 million. We expect to continue to incur significant research and development and other expenses related to our ongoing operations.</w:t>
      </w:r>
    </w:p>
    <w:p>
      <w:pPr>
        <w:spacing w:after="0" w:line="261" w:lineRule="exact"/>
        <w:rPr>
          <w:sz w:val="20"/>
          <w:szCs w:val="20"/>
          <w:color w:val="auto"/>
        </w:rPr>
      </w:pPr>
    </w:p>
    <w:p>
      <w:pPr>
        <w:ind w:right="200" w:firstLine="416"/>
        <w:spacing w:after="0" w:line="261"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efforts and financial resources on the research, preclinical and clinical development of our product candidates, PRT543, PRT811, PRT1419 and PRT2527, and our research efforts on other potential product candidates targeting PRMT5, MCL1, CDK9, and BRM, otherwise known as SMARCA2. As of March 31, 2022, our cash, cash equivalents, and marketable securities were $266.2 million.</w:t>
      </w:r>
    </w:p>
    <w:p>
      <w:pPr>
        <w:spacing w:after="0" w:line="193" w:lineRule="exact"/>
        <w:rPr>
          <w:sz w:val="20"/>
          <w:szCs w:val="20"/>
          <w:color w:val="auto"/>
        </w:rPr>
      </w:pPr>
    </w:p>
    <w:p>
      <w:pPr>
        <w:ind w:right="40" w:firstLine="416"/>
        <w:spacing w:after="0" w:line="252" w:lineRule="auto"/>
        <w:rPr>
          <w:sz w:val="20"/>
          <w:szCs w:val="20"/>
          <w:color w:val="auto"/>
        </w:rPr>
      </w:pPr>
      <w:r>
        <w:rPr>
          <w:rFonts w:ascii="Times New Roman" w:cs="Times New Roman" w:eastAsia="Times New Roman" w:hAnsi="Times New Roman"/>
          <w:sz w:val="18"/>
          <w:szCs w:val="18"/>
          <w:color w:val="auto"/>
        </w:rPr>
        <w:t>We expect to incur increasing levels of operating losses for the foreseeable future, particularly as we advance PRT543, PRT811, PRT1419 and PRT2527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candidates, including the ongoing Phase 1 clinical trials and the expansion cohorts of PRT543 and PRT811, the ongoing Phase 1 clinical trials for both the oral formulation and IV formulation of PRT1419, the ongoing Phase 1 clinical trial for PRT2527, and development and subsequent INDs of other future product candidates we may choose to pursue, including PRT3645, a CDK 4/6 inhibitor, and a SMARCA2 protein degrader. In addition, if we obtain marketing approval for any of our product candidates, we will incur significant sales, marketing and outsourced manufacturing expenses in connection with the commercialization. We will also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224"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and we do not know when, or if, we will generate any revenue. We do not expect to generate significant revenue unless and until we obtain marketing approval for, and begin to sell, PRT543, PRT811, PRT1419, PRT2527, or another product candidate. Our ability to generate revenue depends on a number of factors, including, but not limited to, our ability to:</w:t>
      </w:r>
    </w:p>
    <w:p>
      <w:pPr>
        <w:spacing w:after="0" w:line="85" w:lineRule="exact"/>
        <w:rPr>
          <w:sz w:val="20"/>
          <w:szCs w:val="20"/>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successful Phase 1 portions of PRT543, PRT811, PRT1419 and PRT2527 clinical trials;</w:t>
      </w:r>
    </w:p>
    <w:p>
      <w:pPr>
        <w:spacing w:after="0" w:line="130" w:lineRule="exact"/>
        <w:rPr>
          <w:rFonts w:ascii="Times New Roman" w:cs="Times New Roman" w:eastAsia="Times New Roman" w:hAnsi="Times New Roman"/>
          <w:sz w:val="18"/>
          <w:szCs w:val="18"/>
          <w:color w:val="auto"/>
        </w:rPr>
      </w:pPr>
    </w:p>
    <w:p>
      <w:pPr>
        <w:ind w:left="840" w:right="220" w:hanging="414"/>
        <w:spacing w:after="0" w:line="266" w:lineRule="auto"/>
        <w:tabs>
          <w:tab w:leader="none" w:pos="8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and other studies required to obtain U.S. and foreign marketing approval for PRT543 as a treatment for patients with hematological malignancies and advanced solid tumors, PRT811 as a treatment for patients with glioblastoma and advanced solid tumors, and PRT1419 as a treatment for patients with certain solid tumors and hematological malignancies;</w:t>
      </w:r>
    </w:p>
    <w:p>
      <w:pPr>
        <w:spacing w:after="0" w:line="8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successful later-stage clinical trials that meet their clinical endpoints;</w:t>
      </w:r>
    </w:p>
    <w:p>
      <w:pPr>
        <w:spacing w:after="0" w:line="144"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obtain favorable results from our clinical trials and apply for and obtain marketing approval for PRT543, PRT811, PRT1419, and PRT2527;</w:t>
      </w:r>
    </w:p>
    <w:p>
      <w:pPr>
        <w:spacing w:after="0" w:line="144" w:lineRule="exact"/>
        <w:rPr>
          <w:sz w:val="20"/>
          <w:szCs w:val="20"/>
          <w:color w:val="auto"/>
        </w:rPr>
      </w:pPr>
    </w:p>
    <w:p>
      <w:pPr>
        <w:ind w:left="820" w:hanging="407"/>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licenses, collaborations, or strategic partnerships that may increase the value of our programs;</w:t>
      </w:r>
    </w:p>
    <w:p>
      <w:pPr>
        <w:spacing w:after="0" w:line="14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or contract with others to manufacture PRT543, PRT811, PRT1419, PRT2527, and our other product candidates;</w:t>
      </w:r>
    </w:p>
    <w:p>
      <w:pPr>
        <w:spacing w:after="0" w:line="130" w:lineRule="exact"/>
        <w:rPr>
          <w:rFonts w:ascii="Times New Roman" w:cs="Times New Roman" w:eastAsia="Times New Roman" w:hAnsi="Times New Roman"/>
          <w:sz w:val="18"/>
          <w:szCs w:val="18"/>
          <w:color w:val="auto"/>
        </w:rPr>
      </w:pPr>
    </w:p>
    <w:p>
      <w:pPr>
        <w:ind w:left="820" w:right="240" w:hanging="407"/>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PRT543, PRT811, PRT1419, PRT2527 if approved, respectively, by building a sales force or entering into collaborations with third parties;</w:t>
      </w:r>
    </w:p>
    <w:p>
      <w:pPr>
        <w:spacing w:after="0" w:line="67" w:lineRule="exact"/>
        <w:rPr>
          <w:rFonts w:ascii="Times New Roman" w:cs="Times New Roman" w:eastAsia="Times New Roman" w:hAnsi="Times New Roman"/>
          <w:sz w:val="18"/>
          <w:szCs w:val="18"/>
          <w:color w:val="auto"/>
        </w:rPr>
      </w:pPr>
    </w:p>
    <w:p>
      <w:pPr>
        <w:ind w:left="820" w:right="200" w:hanging="407"/>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INDs for a kinase inhibitor and SMARCA2 protein degrader that are made effective by the U.S. Food and Drug Administration, or the FDA;</w:t>
      </w:r>
    </w:p>
    <w:p>
      <w:pPr>
        <w:spacing w:after="0" w:line="8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defend our intellectual property portfolio; and</w:t>
      </w:r>
    </w:p>
    <w:p>
      <w:pPr>
        <w:spacing w:after="0" w:line="144" w:lineRule="exact"/>
        <w:rPr>
          <w:rFonts w:ascii="Times New Roman" w:cs="Times New Roman" w:eastAsia="Times New Roman" w:hAnsi="Times New Roman"/>
          <w:sz w:val="18"/>
          <w:szCs w:val="18"/>
          <w:color w:val="auto"/>
        </w:rPr>
      </w:pPr>
    </w:p>
    <w:p>
      <w:pPr>
        <w:ind w:left="820" w:right="100" w:hanging="407"/>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PRT543, PRT811, PRT1419, PRT2527 and our other successful product candidates with the medical community and with third-party payors.</w:t>
      </w:r>
    </w:p>
    <w:p>
      <w:pPr>
        <w:spacing w:after="0" w:line="189" w:lineRule="exact"/>
        <w:rPr>
          <w:sz w:val="20"/>
          <w:szCs w:val="20"/>
          <w:color w:val="auto"/>
        </w:rPr>
      </w:pPr>
    </w:p>
    <w:p>
      <w:pPr>
        <w:ind w:right="380" w:firstLine="416"/>
        <w:spacing w:after="0" w:line="282" w:lineRule="auto"/>
        <w:rPr>
          <w:sz w:val="20"/>
          <w:szCs w:val="20"/>
          <w:color w:val="auto"/>
        </w:rPr>
      </w:pPr>
      <w:r>
        <w:rPr>
          <w:rFonts w:ascii="Times New Roman" w:cs="Times New Roman" w:eastAsia="Times New Roman" w:hAnsi="Times New Roman"/>
          <w:sz w:val="18"/>
          <w:szCs w:val="18"/>
          <w:color w:val="auto"/>
        </w:rPr>
        <w:t>To become and remain profitable, we must succeed in designing, developing, and eventually commercializing products that generate significant revenue. This will require us to be successful in a range of challenging activities, including completing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right="20"/>
        <w:spacing w:after="0" w:line="261" w:lineRule="auto"/>
        <w:rPr>
          <w:sz w:val="20"/>
          <w:szCs w:val="20"/>
          <w:color w:val="auto"/>
        </w:rPr>
      </w:pPr>
      <w:r>
        <w:rPr>
          <w:rFonts w:ascii="Times New Roman" w:cs="Times New Roman" w:eastAsia="Times New Roman" w:hAnsi="Times New Roman"/>
          <w:sz w:val="18"/>
          <w:szCs w:val="18"/>
          <w:color w:val="auto"/>
        </w:rPr>
        <w:t>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180"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83"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183" w:lineRule="exact"/>
        <w:rPr>
          <w:sz w:val="20"/>
          <w:szCs w:val="20"/>
          <w:color w:val="auto"/>
        </w:rPr>
      </w:pPr>
    </w:p>
    <w:p>
      <w:pPr>
        <w:ind w:right="160" w:firstLine="416"/>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4" w:lineRule="exact"/>
        <w:rPr>
          <w:sz w:val="20"/>
          <w:szCs w:val="20"/>
          <w:color w:val="auto"/>
        </w:rPr>
      </w:pPr>
    </w:p>
    <w:p>
      <w:pPr>
        <w:ind w:left="4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67"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product candidates, PRT543, PRT811, PRT1419 and PRT2527, and other pipeline product candidates through clinical development, and seek to design additional product candidates from our discovery programs. We expect increased expenses as we continue our research and development, expand operations and build our new facility,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194"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into the second half of 2024.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89"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progress, timing and results of preclinical studies and clinical trials for our current or any future product candidates;</w:t>
      </w:r>
    </w:p>
    <w:p>
      <w:pPr>
        <w:spacing w:after="0" w:line="117" w:lineRule="exact"/>
        <w:rPr>
          <w:sz w:val="20"/>
          <w:szCs w:val="20"/>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pipeline product candidates or technologies;</w:t>
      </w:r>
    </w:p>
    <w:p>
      <w:pPr>
        <w:spacing w:after="0" w:line="117" w:lineRule="exact"/>
        <w:rPr>
          <w:rFonts w:ascii="Times New Roman" w:cs="Times New Roman" w:eastAsia="Times New Roman" w:hAnsi="Times New Roman"/>
          <w:sz w:val="18"/>
          <w:szCs w:val="18"/>
          <w:color w:val="auto"/>
        </w:rPr>
      </w:pPr>
    </w:p>
    <w:p>
      <w:pPr>
        <w:ind w:left="820" w:right="380" w:hanging="407"/>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other indications for our current product candidates that we may pursue;</w:t>
      </w:r>
    </w:p>
    <w:p>
      <w:pPr>
        <w:spacing w:after="0" w:line="53" w:lineRule="exact"/>
        <w:rPr>
          <w:rFonts w:ascii="Times New Roman" w:cs="Times New Roman" w:eastAsia="Times New Roman" w:hAnsi="Times New Roman"/>
          <w:sz w:val="18"/>
          <w:szCs w:val="18"/>
          <w:color w:val="auto"/>
        </w:rPr>
      </w:pPr>
    </w:p>
    <w:p>
      <w:pPr>
        <w:ind w:left="820" w:right="640" w:hanging="407"/>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obtaining regulatory approvals of our current or future product candidates and any companion diagnostics we may pursue;</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7" w:name="page28"/>
    <w:bookmarkEnd w:id="27"/>
    <w:p>
      <w:pPr>
        <w:ind w:left="820" w:right="260" w:hanging="407"/>
        <w:spacing w:after="0" w:line="281"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1" w:lineRule="exact"/>
        <w:rPr>
          <w:rFonts w:ascii="Times New Roman" w:cs="Times New Roman" w:eastAsia="Times New Roman" w:hAnsi="Times New Roman"/>
          <w:sz w:val="18"/>
          <w:szCs w:val="18"/>
          <w:color w:val="auto"/>
        </w:rPr>
      </w:pPr>
    </w:p>
    <w:p>
      <w:pPr>
        <w:ind w:left="820" w:hanging="407"/>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53" w:lineRule="exact"/>
        <w:rPr>
          <w:rFonts w:ascii="Times New Roman" w:cs="Times New Roman" w:eastAsia="Times New Roman" w:hAnsi="Times New Roman"/>
          <w:sz w:val="18"/>
          <w:szCs w:val="18"/>
          <w:color w:val="auto"/>
        </w:rPr>
      </w:pPr>
    </w:p>
    <w:p>
      <w:pPr>
        <w:ind w:left="820" w:right="520" w:hanging="407"/>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any approved product candidates, including establishing sales, marketing and distribution capabilities;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completing any post-marketing studies or trials required by the FDA or other regulatory authorities;</w:t>
      </w:r>
    </w:p>
    <w:p>
      <w:pPr>
        <w:spacing w:after="0" w:line="117" w:lineRule="exact"/>
        <w:rPr>
          <w:rFonts w:ascii="Times New Roman" w:cs="Times New Roman" w:eastAsia="Times New Roman" w:hAnsi="Times New Roman"/>
          <w:sz w:val="18"/>
          <w:szCs w:val="18"/>
          <w:color w:val="auto"/>
        </w:rPr>
      </w:pPr>
    </w:p>
    <w:p>
      <w:pPr>
        <w:ind w:left="820" w:right="380" w:hanging="407"/>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PRT543, PRT811, PRT1419, or PRT2527 if any are approved, or our other pipeline product candidates that receive marketing approval;</w:t>
      </w:r>
    </w:p>
    <w:p>
      <w:pPr>
        <w:spacing w:after="0" w:line="53" w:lineRule="exact"/>
        <w:rPr>
          <w:rFonts w:ascii="Times New Roman" w:cs="Times New Roman" w:eastAsia="Times New Roman" w:hAnsi="Times New Roman"/>
          <w:sz w:val="18"/>
          <w:szCs w:val="18"/>
          <w:color w:val="auto"/>
        </w:rPr>
      </w:pPr>
    </w:p>
    <w:p>
      <w:pPr>
        <w:ind w:left="820" w:right="420" w:hanging="407"/>
        <w:spacing w:after="0" w:line="312" w:lineRule="auto"/>
        <w:tabs>
          <w:tab w:leader="none" w:pos="8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31" w:lineRule="exact"/>
        <w:rPr>
          <w:rFonts w:ascii="Times New Roman" w:cs="Times New Roman" w:eastAsia="Times New Roman" w:hAnsi="Times New Roman"/>
          <w:sz w:val="17"/>
          <w:szCs w:val="17"/>
          <w:color w:val="auto"/>
        </w:rPr>
      </w:pPr>
    </w:p>
    <w:p>
      <w:pPr>
        <w:ind w:left="820" w:right="20" w:hanging="407"/>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 and</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pursue strategic collaborations, including collaborations to commercialize PRT543, PRT811, PRT1419, PRT2527 or any of our other pipeline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76"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291"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89"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Risks Related to Design and Development of our Product Candidates</w:t>
      </w:r>
    </w:p>
    <w:p>
      <w:pPr>
        <w:spacing w:after="0" w:line="117" w:lineRule="exact"/>
        <w:rPr>
          <w:sz w:val="20"/>
          <w:szCs w:val="20"/>
          <w:color w:val="auto"/>
        </w:rPr>
      </w:pPr>
    </w:p>
    <w:p>
      <w:pPr>
        <w:ind w:left="4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our product candidates, PRT543, PRT811, PRT1419 and PRT2527,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53"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Our future success is highly dependent on our ability to obtain regulatory approval for, and then successfully commercialize, our product candidates, PRT543, PRT811, PRT1419 and PRT2527. We are early in our development efforts and our lead product candidates, PRT543, PRT811, PRT1419 and PRT2527, are each currently in a Phase 1 clinical trial. Our other product candidates are in earlier stages of development. We currently have no products that are approved for sale in any jurisdiction. There can be no assurance that PRT543, PRT811, PRT1419, PRT2527 or our other product candidates in development will achieve success in their clinical trials or obtain regulatory approval.</w:t>
      </w:r>
    </w:p>
    <w:p>
      <w:pPr>
        <w:spacing w:after="0" w:line="156" w:lineRule="exact"/>
        <w:rPr>
          <w:sz w:val="20"/>
          <w:szCs w:val="20"/>
          <w:color w:val="auto"/>
        </w:rPr>
      </w:pPr>
    </w:p>
    <w:p>
      <w:pPr>
        <w:ind w:right="240" w:firstLine="416"/>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for many years, if ever, will depend heavily on the successful development and eventual commercialization of PRT543, PRT811, PRT1419, PRT2527 or other product candidates in development. The success of our product candidates, including PRT543, PRT811, PRT1419 and PRT2527, will depend on several factors, including the following:</w:t>
      </w:r>
    </w:p>
    <w:p>
      <w:pPr>
        <w:spacing w:after="0" w:line="54" w:lineRule="exact"/>
        <w:rPr>
          <w:sz w:val="20"/>
          <w:szCs w:val="20"/>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17"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by the FDA or other similar clinical trial applications from foreign regulatory authorities for our future clinical trials for our pipeline product candidates;</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enrollment of patients in, and completion of, clinical trials with favorable results;</w:t>
      </w:r>
    </w:p>
    <w:p>
      <w:pPr>
        <w:spacing w:after="0" w:line="117" w:lineRule="exact"/>
        <w:rPr>
          <w:rFonts w:ascii="Times New Roman" w:cs="Times New Roman" w:eastAsia="Times New Roman" w:hAnsi="Times New Roman"/>
          <w:sz w:val="18"/>
          <w:szCs w:val="18"/>
          <w:color w:val="auto"/>
        </w:rPr>
      </w:pPr>
    </w:p>
    <w:p>
      <w:pPr>
        <w:ind w:left="820" w:right="300" w:hanging="407"/>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efficacy and acceptable risk-benefit profiles of our product candidates to the satisfaction of the FDA and foreign regulatory agencies;</w:t>
      </w:r>
    </w:p>
    <w:p>
      <w:pPr>
        <w:spacing w:after="0" w:line="27"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ability, or that of our collaborators, to develop and obtain clearance or approval of companion diagnostics, on a timely basis, or at all;</w:t>
      </w:r>
    </w:p>
    <w:p>
      <w:pPr>
        <w:spacing w:after="0" w:line="104" w:lineRule="exact"/>
        <w:rPr>
          <w:sz w:val="20"/>
          <w:szCs w:val="20"/>
          <w:color w:val="auto"/>
        </w:rPr>
      </w:pPr>
    </w:p>
    <w:p>
      <w:pPr>
        <w:ind w:left="820" w:right="480" w:hanging="407"/>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 including the completion of any required post-marketing studies or trials;</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and commercialize our product candidates;</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w:t>
      </w:r>
    </w:p>
    <w:p>
      <w:pPr>
        <w:spacing w:after="0" w:line="103" w:lineRule="exact"/>
        <w:rPr>
          <w:rFonts w:ascii="Times New Roman" w:cs="Times New Roman" w:eastAsia="Times New Roman" w:hAnsi="Times New Roman"/>
          <w:sz w:val="18"/>
          <w:szCs w:val="18"/>
          <w:color w:val="auto"/>
        </w:rPr>
      </w:pPr>
    </w:p>
    <w:p>
      <w:pPr>
        <w:ind w:left="820" w:right="100" w:hanging="407"/>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marketing and reimbursement strategies;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26"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225" w:lineRule="exact"/>
        <w:rPr>
          <w:sz w:val="20"/>
          <w:szCs w:val="20"/>
          <w:color w:val="auto"/>
        </w:rPr>
      </w:pPr>
    </w:p>
    <w:p>
      <w:pPr>
        <w:ind w:right="180" w:firstLine="416"/>
        <w:spacing w:after="0" w:line="258"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of PRT543, PRT811, PRT1419 or PRT2527, vary adversely from our expectations.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29" w:name="page30"/>
    <w:bookmarkEnd w:id="29"/>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involves a lengthy and expensive process, and clinical testing is uncertain as to the outcome.</w:t>
      </w:r>
    </w:p>
    <w:p>
      <w:pPr>
        <w:spacing w:after="0" w:line="121"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We currently have three product candidates in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210" w:lineRule="exact"/>
        <w:rPr>
          <w:sz w:val="20"/>
          <w:szCs w:val="20"/>
          <w:color w:val="auto"/>
        </w:rPr>
      </w:pPr>
    </w:p>
    <w:p>
      <w:pPr>
        <w:ind w:right="80" w:firstLine="419"/>
        <w:spacing w:after="0" w:line="253" w:lineRule="auto"/>
        <w:rPr>
          <w:sz w:val="20"/>
          <w:szCs w:val="20"/>
          <w:color w:val="auto"/>
        </w:rPr>
      </w:pPr>
      <w:r>
        <w:rPr>
          <w:rFonts w:ascii="Times New Roman" w:cs="Times New Roman" w:eastAsia="Times New Roman" w:hAnsi="Times New Roman"/>
          <w:sz w:val="18"/>
          <w:szCs w:val="18"/>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 In addition, although we have observed encouraging clinical activity in the dose escalation portion of the Phase 1 portion of our ongoing PRT543 and PRT811 clinical trials, the primary objectives were to determine the safety, tolerability and maximum tolerated dose of PRT543 and PRT811, respectively, and to determine a recommended Phase 2 dose for the expansion portion of our Phase 1 clinical trials, and not to demonstrate efficacy. The assessments of clinical activity from this portion of the clinical trials, some of which were not pre-specified, may not be predictive of the results in dose expansion cohorts, specific tumor types or further clinical trials of PRT543 and PRT811. In addition, while we may believe certain results in patients, such as stable disease, suggest encouraging clinical activity, stable disease is not considered a response for regulatory purposes. Stable disease, or SD, is defined as failure to meet the definition of objective clinical response or progressive disease. Furthermore, safety events may be observed in later trials that alter the anticipated risk-benefit profiles of PRT543 and PRT811.</w:t>
      </w:r>
    </w:p>
    <w:p>
      <w:pPr>
        <w:spacing w:after="0" w:line="291" w:lineRule="exact"/>
        <w:rPr>
          <w:sz w:val="20"/>
          <w:szCs w:val="20"/>
          <w:color w:val="auto"/>
        </w:rPr>
      </w:pPr>
    </w:p>
    <w:p>
      <w:pPr>
        <w:ind w:left="4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and/or commercialization of PRT543, PRT811, PRT1419, PRT2527 or our other product candidates.</w:t>
      </w:r>
    </w:p>
    <w:p>
      <w:pPr>
        <w:spacing w:after="0" w:line="51"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76" w:lineRule="exact"/>
        <w:rPr>
          <w:sz w:val="20"/>
          <w:szCs w:val="20"/>
          <w:color w:val="auto"/>
        </w:rPr>
      </w:pPr>
    </w:p>
    <w:p>
      <w:pPr>
        <w:ind w:right="240" w:firstLine="416"/>
        <w:spacing w:after="0" w:line="282" w:lineRule="auto"/>
        <w:rPr>
          <w:sz w:val="20"/>
          <w:szCs w:val="20"/>
          <w:color w:val="auto"/>
        </w:rPr>
      </w:pPr>
      <w:r>
        <w:rPr>
          <w:rFonts w:ascii="Times New Roman" w:cs="Times New Roman" w:eastAsia="Times New Roman" w:hAnsi="Times New Roman"/>
          <w:sz w:val="18"/>
          <w:szCs w:val="18"/>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62" w:lineRule="exact"/>
        <w:rPr>
          <w:sz w:val="20"/>
          <w:szCs w:val="20"/>
          <w:color w:val="auto"/>
        </w:rPr>
      </w:pPr>
    </w:p>
    <w:p>
      <w:pPr>
        <w:jc w:val="both"/>
        <w:ind w:right="80" w:firstLine="416"/>
        <w:spacing w:after="0" w:line="266" w:lineRule="auto"/>
        <w:rPr>
          <w:sz w:val="20"/>
          <w:szCs w:val="20"/>
          <w:color w:val="auto"/>
        </w:rPr>
      </w:pPr>
      <w:r>
        <w:rPr>
          <w:rFonts w:ascii="Times New Roman" w:cs="Times New Roman" w:eastAsia="Times New Roman" w:hAnsi="Times New Roman"/>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68" w:lineRule="exact"/>
        <w:rPr>
          <w:sz w:val="20"/>
          <w:szCs w:val="20"/>
          <w:color w:val="auto"/>
        </w:rPr>
      </w:pPr>
    </w:p>
    <w:p>
      <w:pPr>
        <w:ind w:left="820" w:right="540" w:hanging="407"/>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ethics committees, or ECs,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820" w:right="180" w:hanging="407"/>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as to the design or implementation of our clinical trials or with our recommended Phase 2 doses for any of our pipeline programs;</w:t>
      </w:r>
    </w:p>
    <w:p>
      <w:pPr>
        <w:spacing w:after="0" w:line="53" w:lineRule="exact"/>
        <w:rPr>
          <w:rFonts w:ascii="Times New Roman" w:cs="Times New Roman" w:eastAsia="Times New Roman" w:hAnsi="Times New Roman"/>
          <w:sz w:val="18"/>
          <w:szCs w:val="18"/>
          <w:color w:val="auto"/>
        </w:rPr>
      </w:pPr>
    </w:p>
    <w:p>
      <w:pPr>
        <w:ind w:left="820" w:right="640" w:hanging="407"/>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clinical research organizations, or CROs, and prospective trial sites;</w:t>
      </w:r>
    </w:p>
    <w:p>
      <w:pPr>
        <w:spacing w:after="0" w:line="53" w:lineRule="exact"/>
        <w:rPr>
          <w:rFonts w:ascii="Times New Roman" w:cs="Times New Roman" w:eastAsia="Times New Roman" w:hAnsi="Times New Roman"/>
          <w:sz w:val="18"/>
          <w:szCs w:val="18"/>
          <w:color w:val="auto"/>
        </w:rPr>
      </w:pPr>
    </w:p>
    <w:p>
      <w:pPr>
        <w:ind w:left="820" w:right="40" w:hanging="407"/>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our product candidates may produce negative or inconclusive results, and we may decide, or regulators may require us, to conduct additional clinical trials, delay or halt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7" w:lineRule="exact"/>
        <w:rPr>
          <w:rFonts w:ascii="Times New Roman" w:cs="Times New Roman" w:eastAsia="Times New Roman" w:hAnsi="Times New Roman"/>
          <w:sz w:val="18"/>
          <w:szCs w:val="18"/>
          <w:color w:val="auto"/>
        </w:rPr>
      </w:pPr>
    </w:p>
    <w:p>
      <w:pPr>
        <w:ind w:left="820" w:right="100" w:hanging="407"/>
        <w:spacing w:after="0" w:line="261"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0" w:name="page31"/>
    <w:bookmarkEnd w:id="30"/>
    <w:p>
      <w:pPr>
        <w:ind w:left="820" w:right="140" w:hanging="407"/>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clinical trial participants from investigational and approved therapies may make it more difficult to enroll patients in our clinical trials;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maintaining contact with patients after treatment, resulting in incomplete data;</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third-party collaborators may fail to obtain regulatory approval of companion diagnostic tests, if required, on a timely basis, or at all;</w:t>
      </w:r>
    </w:p>
    <w:p>
      <w:pPr>
        <w:spacing w:after="0" w:line="117" w:lineRule="exact"/>
        <w:rPr>
          <w:rFonts w:ascii="Times New Roman" w:cs="Times New Roman" w:eastAsia="Times New Roman" w:hAnsi="Times New Roman"/>
          <w:sz w:val="18"/>
          <w:szCs w:val="18"/>
          <w:color w:val="auto"/>
        </w:rPr>
      </w:pPr>
    </w:p>
    <w:p>
      <w:pPr>
        <w:ind w:left="820" w:right="680" w:hanging="407"/>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meet their contractual obligations to us in a timely manner, or at all, or may fail to comply with regulatory requirements;</w:t>
      </w:r>
    </w:p>
    <w:p>
      <w:pPr>
        <w:spacing w:after="0" w:line="53" w:lineRule="exact"/>
        <w:rPr>
          <w:rFonts w:ascii="Times New Roman" w:cs="Times New Roman" w:eastAsia="Times New Roman" w:hAnsi="Times New Roman"/>
          <w:sz w:val="18"/>
          <w:szCs w:val="18"/>
          <w:color w:val="auto"/>
        </w:rPr>
      </w:pPr>
    </w:p>
    <w:p>
      <w:pPr>
        <w:ind w:left="820" w:right="120" w:hanging="407"/>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for our product candidates for various reasons, including a finding by us or by a Data Monitoring Committee for a trial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or unexpected side effects or other unexpected characteristics, causing us or our investigators,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regulators or IRBs/ECs to suspend or terminate the trials;</w:t>
      </w:r>
    </w:p>
    <w:p>
      <w:pPr>
        <w:spacing w:after="0" w:line="99" w:lineRule="exact"/>
        <w:rPr>
          <w:sz w:val="20"/>
          <w:szCs w:val="20"/>
          <w:color w:val="auto"/>
        </w:rPr>
      </w:pPr>
    </w:p>
    <w:p>
      <w:pPr>
        <w:ind w:left="820" w:hanging="407"/>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for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117" w:lineRule="exact"/>
        <w:rPr>
          <w:rFonts w:ascii="Times New Roman" w:cs="Times New Roman" w:eastAsia="Times New Roman" w:hAnsi="Times New Roman"/>
          <w:sz w:val="18"/>
          <w:szCs w:val="18"/>
          <w:color w:val="auto"/>
        </w:rPr>
      </w:pPr>
    </w:p>
    <w:p>
      <w:pPr>
        <w:ind w:left="820" w:right="640" w:hanging="407"/>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53"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which may slow potential enrollment, reduce the number of eligible patients for clinical trials, or reduce the number of patients that remain in our trials.</w:t>
      </w:r>
    </w:p>
    <w:p>
      <w:pPr>
        <w:spacing w:after="0" w:line="162"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143"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26"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37"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This is acutely relevant for our development of PRT543 for the treatment of patients with myeloid malignancies and other solid tumors, including adenoid cystic carcinoma, or ACC, indications for which investigational drugs by our competitors are competing for clinical trial participants. Patient enrollment is also affected by other factors, including:</w:t>
      </w:r>
    </w:p>
    <w:p>
      <w:pPr>
        <w:spacing w:after="0" w:line="67" w:lineRule="exact"/>
        <w:rPr>
          <w:sz w:val="20"/>
          <w:szCs w:val="20"/>
          <w:color w:val="auto"/>
        </w:rPr>
      </w:pPr>
    </w:p>
    <w:p>
      <w:pPr>
        <w:ind w:left="840" w:hanging="427"/>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90"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10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of our target indications;</w:t>
      </w:r>
    </w:p>
    <w:p>
      <w:pPr>
        <w:spacing w:after="0" w:line="103" w:lineRule="exact"/>
        <w:rPr>
          <w:rFonts w:ascii="Times New Roman" w:cs="Times New Roman" w:eastAsia="Times New Roman" w:hAnsi="Times New Roman"/>
          <w:sz w:val="18"/>
          <w:szCs w:val="18"/>
          <w:color w:val="auto"/>
        </w:rPr>
      </w:pPr>
    </w:p>
    <w:p>
      <w:pPr>
        <w:ind w:left="840" w:right="100" w:hanging="427"/>
        <w:spacing w:after="0" w:line="282"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26"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10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invasive procedures required to enroll patients and to obtain evidence of the product candidate’s performance during the clinical trial;</w:t>
      </w:r>
    </w:p>
    <w:p>
      <w:pPr>
        <w:spacing w:after="0" w:line="104" w:lineRule="exact"/>
        <w:rPr>
          <w:sz w:val="20"/>
          <w:szCs w:val="20"/>
          <w:color w:val="auto"/>
        </w:rPr>
      </w:pPr>
    </w:p>
    <w:p>
      <w:pPr>
        <w:ind w:left="5540" w:right="4240" w:hanging="5127"/>
        <w:spacing w:after="0" w:line="532" w:lineRule="auto"/>
        <w:tabs>
          <w:tab w:leader="none" w:pos="83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1" w:name="page32"/>
    <w:bookmarkEnd w:id="31"/>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defined in the protocol for the trial in question;</w:t>
      </w:r>
    </w:p>
    <w:p>
      <w:pPr>
        <w:spacing w:after="0" w:line="90"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0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90"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physicians to encourage patient participation in clinical trials;</w:t>
      </w:r>
    </w:p>
    <w:p>
      <w:pPr>
        <w:spacing w:after="0" w:line="10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0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90"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98" w:lineRule="exact"/>
        <w:rPr>
          <w:sz w:val="20"/>
          <w:szCs w:val="20"/>
          <w:color w:val="auto"/>
        </w:rPr>
      </w:pPr>
    </w:p>
    <w:p>
      <w:pPr>
        <w:jc w:val="both"/>
        <w:ind w:right="460" w:firstLine="416"/>
        <w:spacing w:after="0" w:line="266"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including due to the COVID-19 pandemic, may result in increased development costs, which would cause the value of our company to decline and limit our ability to obtain additional financing.</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impact our business, including our clinical trials and clinical trial operations.</w:t>
      </w:r>
    </w:p>
    <w:p>
      <w:pPr>
        <w:spacing w:after="0" w:line="121"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The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54" w:lineRule="exact"/>
        <w:rPr>
          <w:sz w:val="20"/>
          <w:szCs w:val="20"/>
          <w:color w:val="auto"/>
        </w:rPr>
      </w:pPr>
    </w:p>
    <w:p>
      <w:pPr>
        <w:ind w:left="840" w:hanging="427"/>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screening, enrolling and maintaining patients in our clinical trials;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840" w:right="200" w:hanging="427"/>
        <w:spacing w:after="0" w:line="282"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subjects to travel to the clinical trial sites;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difficulties, or incompleteness in data collection and analysis and other related activities;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implementation of protocol required clinical trial activities and quality of source data verification at clinical trial sites;</w:t>
      </w:r>
    </w:p>
    <w:p>
      <w:pPr>
        <w:spacing w:after="0" w:line="117" w:lineRule="exact"/>
        <w:rPr>
          <w:rFonts w:ascii="Times New Roman" w:cs="Times New Roman" w:eastAsia="Times New Roman" w:hAnsi="Times New Roman"/>
          <w:sz w:val="18"/>
          <w:szCs w:val="18"/>
          <w:color w:val="auto"/>
        </w:rPr>
      </w:pPr>
    </w:p>
    <w:p>
      <w:pPr>
        <w:ind w:left="840" w:right="260" w:hanging="427"/>
        <w:spacing w:after="0" w:line="282"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53" w:lineRule="exact"/>
        <w:rPr>
          <w:rFonts w:ascii="Times New Roman" w:cs="Times New Roman" w:eastAsia="Times New Roman" w:hAnsi="Times New Roman"/>
          <w:sz w:val="18"/>
          <w:szCs w:val="18"/>
          <w:color w:val="auto"/>
        </w:rPr>
      </w:pPr>
    </w:p>
    <w:p>
      <w:pPr>
        <w:ind w:left="840" w:right="340" w:hanging="427"/>
        <w:spacing w:after="0" w:line="266"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67" w:lineRule="exact"/>
        <w:rPr>
          <w:rFonts w:ascii="Times New Roman" w:cs="Times New Roman" w:eastAsia="Times New Roman" w:hAnsi="Times New Roman"/>
          <w:sz w:val="18"/>
          <w:szCs w:val="18"/>
          <w:color w:val="auto"/>
        </w:rPr>
      </w:pPr>
    </w:p>
    <w:p>
      <w:pPr>
        <w:ind w:left="840" w:right="360" w:hanging="427"/>
        <w:spacing w:after="0" w:line="282"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production shortages resulting from any events affecting raw material supply or manufacturing capabilities domestically and abroad;</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117" w:lineRule="exact"/>
        <w:rPr>
          <w:rFonts w:ascii="Times New Roman" w:cs="Times New Roman" w:eastAsia="Times New Roman" w:hAnsi="Times New Roman"/>
          <w:sz w:val="18"/>
          <w:szCs w:val="18"/>
          <w:color w:val="auto"/>
        </w:rPr>
      </w:pPr>
    </w:p>
    <w:p>
      <w:pPr>
        <w:ind w:left="840" w:right="140" w:hanging="427"/>
        <w:spacing w:after="0" w:line="282"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and domestic shipping that may affect the transport of clinical trial materials, such as investigational drug products used in our clinical trials;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our</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clinical trials are conducted, which may result in unexpected costs, delays, or to discontinue the clinical trials altogether;</w:t>
      </w:r>
    </w:p>
    <w:p>
      <w:pPr>
        <w:spacing w:after="0" w:line="99" w:lineRule="exact"/>
        <w:rPr>
          <w:sz w:val="20"/>
          <w:szCs w:val="20"/>
          <w:color w:val="auto"/>
        </w:rPr>
      </w:pPr>
    </w:p>
    <w:p>
      <w:pPr>
        <w:ind w:left="840" w:right="200" w:hanging="427"/>
        <w:spacing w:after="0" w:line="282"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32" w:name="page33"/>
    <w:bookmarkEnd w:id="32"/>
    <w:p>
      <w:pPr>
        <w:ind w:left="840" w:right="740" w:hanging="427"/>
        <w:spacing w:after="0" w:line="28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regulatory authorities such as FDA or European Medicines Agency, or EMA, to accept data from clinical trials in affected geographies; and</w:t>
      </w:r>
    </w:p>
    <w:p>
      <w:pPr>
        <w:spacing w:after="0" w:line="53" w:lineRule="exact"/>
        <w:rPr>
          <w:rFonts w:ascii="Times New Roman" w:cs="Times New Roman" w:eastAsia="Times New Roman" w:hAnsi="Times New Roman"/>
          <w:sz w:val="18"/>
          <w:szCs w:val="18"/>
          <w:color w:val="auto"/>
        </w:rPr>
      </w:pPr>
    </w:p>
    <w:p>
      <w:pPr>
        <w:ind w:left="840" w:hanging="427"/>
        <w:spacing w:after="0" w:line="28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global economic conditions which could have an adverse effect on our business and financial condition, including impairing our ability to raise capital when needed.</w:t>
      </w:r>
    </w:p>
    <w:p>
      <w:pPr>
        <w:spacing w:after="0" w:line="162" w:lineRule="exact"/>
        <w:rPr>
          <w:sz w:val="20"/>
          <w:szCs w:val="20"/>
          <w:color w:val="auto"/>
        </w:rPr>
      </w:pPr>
    </w:p>
    <w:p>
      <w:pPr>
        <w:ind w:right="40" w:firstLine="416"/>
        <w:spacing w:after="0" w:line="252" w:lineRule="auto"/>
        <w:rPr>
          <w:sz w:val="20"/>
          <w:szCs w:val="20"/>
          <w:color w:val="auto"/>
        </w:rPr>
      </w:pPr>
      <w:r>
        <w:rPr>
          <w:rFonts w:ascii="Times New Roman" w:cs="Times New Roman" w:eastAsia="Times New Roman" w:hAnsi="Times New Roman"/>
          <w:sz w:val="18"/>
          <w:szCs w:val="18"/>
          <w:color w:val="auto"/>
        </w:rPr>
        <w:t>Such disruptions could impede, delay, limit or prevent completion of our ongoing clinical trials and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 our CROs, CMOs and clinical sites as we seek to mitigate the impact of the COVID-19 pandemic on our studies and current timelines. Measures we have taken in response to the COVID-19 pandemic include, where feasible, conducting remote clinical trial site activations and data monitoring, and limiting on-site patient visits by adjusting patient assessments and protocol. However, despite these efforts, we have experienced limited delays in trial site initiations, patient participation and patient enrollment in some of our clinical trials and we may continue to experience some delays in our clinical trials and preclinical studies and delays in data collection and analysis. These delays so far have had a limited impact, but this may change as the COVID-19 pandemic and the response to such COVID-19 pandemic continues to evolve, and could have an adverse impact on our timelines and our business. The COVID-19 pandemic could also affect the business of the FDA, EMA or other health authorities, which could result in delays in meetings related to planned or completed clinical trials and ultimately of reviews and approvals of our product candidates. The global COVID-19 pandemic continues to rapidly evolve. The extent to which the COVID-19 pandemic may impact our business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342" w:lineRule="exact"/>
        <w:rPr>
          <w:sz w:val="20"/>
          <w:szCs w:val="20"/>
          <w:color w:val="auto"/>
        </w:rPr>
      </w:pPr>
    </w:p>
    <w:p>
      <w:pPr>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or other safety risks associated with PRT543, PRT811, PRT1419, PRT2527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80"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As is the case with pharmaceuticals generally, we have observed side effects and adverse events associated with our clinical product candidate, PRT543. These side effects included diarrhea, nausea and fatigue, but none of these side effects were considered related to PRT543. At the highest dose level of our clinical product candidate, PRT543, there were occurrences of grade 4 thrombocytopenia that were deemed related to PRT543, but the toxicity was reversible after a one to two week drug holiday and the affected patients remained on the study and were restarted at a lower dose. We have also observed side effects and adverse effects associated with PRT811. These side effects included nausea, constipation, vomiting and hyponatremia, but none of these side effects were considered related to PRT811.</w:t>
      </w:r>
    </w:p>
    <w:p>
      <w:pPr>
        <w:spacing w:after="0" w:line="214"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210"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Additionally, due to the high mortality rates of the cancers for which we are initially pursuing development and the pretreated nature of many patients in our ongoing clinical trials of PRT543, PRT811, PRT1419 and PRT2527, a material percentage of patients in these clinical trials may die during a trial, which could impact development of PRT543, PRT811, PRT1419 and PRT2527, respectively.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Any of these occurrences may harm our business, prospects, financial condition and results of operations significantly.</w:t>
      </w:r>
    </w:p>
    <w:p>
      <w:pPr>
        <w:spacing w:after="0" w:line="214"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3" w:name="page34"/>
    <w:bookmarkEnd w:id="33"/>
    <w:p>
      <w:pPr>
        <w:ind w:right="800"/>
        <w:spacing w:after="0" w:line="282" w:lineRule="auto"/>
        <w:rPr>
          <w:sz w:val="20"/>
          <w:szCs w:val="20"/>
          <w:color w:val="auto"/>
        </w:rPr>
      </w:pPr>
      <w:r>
        <w:rPr>
          <w:rFonts w:ascii="Times New Roman" w:cs="Times New Roman" w:eastAsia="Times New Roman" w:hAnsi="Times New Roman"/>
          <w:sz w:val="18"/>
          <w:szCs w:val="18"/>
          <w:color w:val="auto"/>
        </w:rPr>
        <w:t>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62"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83" w:lineRule="exact"/>
        <w:rPr>
          <w:sz w:val="20"/>
          <w:szCs w:val="20"/>
          <w:color w:val="auto"/>
        </w:rPr>
      </w:pPr>
    </w:p>
    <w:p>
      <w:pPr>
        <w:ind w:right="120" w:firstLine="416"/>
        <w:spacing w:after="0" w:line="282"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54" w:lineRule="exact"/>
        <w:rPr>
          <w:sz w:val="20"/>
          <w:szCs w:val="20"/>
          <w:color w:val="auto"/>
        </w:rPr>
      </w:pPr>
    </w:p>
    <w:p>
      <w:pPr>
        <w:ind w:left="840" w:hanging="427"/>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drug;</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117" w:lineRule="exact"/>
        <w:rPr>
          <w:rFonts w:ascii="Times New Roman" w:cs="Times New Roman" w:eastAsia="Times New Roman" w:hAnsi="Times New Roman"/>
          <w:sz w:val="18"/>
          <w:szCs w:val="18"/>
          <w:color w:val="auto"/>
        </w:rPr>
      </w:pPr>
    </w:p>
    <w:p>
      <w:pPr>
        <w:ind w:left="840" w:right="180" w:hanging="427"/>
        <w:spacing w:after="0" w:line="282"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840" w:right="80" w:hanging="427"/>
        <w:spacing w:after="0" w:line="282"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or REMS, or create a medication guide outlining the risks of such side effects for distribution to patients;</w:t>
      </w:r>
    </w:p>
    <w:p>
      <w:pPr>
        <w:spacing w:after="0" w:line="53" w:lineRule="exact"/>
        <w:rPr>
          <w:rFonts w:ascii="Times New Roman" w:cs="Times New Roman" w:eastAsia="Times New Roman" w:hAnsi="Times New Roman"/>
          <w:sz w:val="18"/>
          <w:szCs w:val="18"/>
          <w:color w:val="auto"/>
        </w:rPr>
      </w:pPr>
    </w:p>
    <w:p>
      <w:pPr>
        <w:ind w:left="840" w:right="560" w:hanging="427"/>
        <w:spacing w:after="0" w:line="282"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promotion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920" w:firstLine="41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66" w:lineRule="exact"/>
        <w:rPr>
          <w:sz w:val="20"/>
          <w:szCs w:val="20"/>
          <w:color w:val="auto"/>
        </w:rPr>
      </w:pPr>
    </w:p>
    <w:p>
      <w:pPr>
        <w:ind w:left="4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such as the preliminary data analysis for the Phase 1 dose expansion portions of our PRT543 and PRT811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Common Stock” for more disclosure related to the risk of volatility in our stock price.</w:t>
      </w:r>
    </w:p>
    <w:p>
      <w:pPr>
        <w:spacing w:after="0" w:line="184" w:lineRule="exact"/>
        <w:rPr>
          <w:sz w:val="20"/>
          <w:szCs w:val="20"/>
          <w:color w:val="auto"/>
        </w:rPr>
      </w:pPr>
    </w:p>
    <w:p>
      <w:pPr>
        <w:jc w:val="both"/>
        <w:ind w:right="40" w:firstLine="416"/>
        <w:spacing w:after="0" w:line="261"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 w:name="page35"/>
    <w:bookmarkEnd w:id="34"/>
    <w:p>
      <w:pPr>
        <w:ind w:right="60"/>
        <w:spacing w:after="0" w:line="256" w:lineRule="auto"/>
        <w:rPr>
          <w:sz w:val="20"/>
          <w:szCs w:val="20"/>
          <w:color w:val="auto"/>
        </w:rPr>
      </w:pPr>
      <w:r>
        <w:rPr>
          <w:rFonts w:ascii="Times New Roman" w:cs="Times New Roman" w:eastAsia="Times New Roman" w:hAnsi="Times New Roman"/>
          <w:sz w:val="18"/>
          <w:szCs w:val="18"/>
          <w:color w:val="auto"/>
        </w:rPr>
        <w:t>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PRT543, PRT811, PRT1419 or PRT2527, or any other product candidates may be harmed, which could harm our business, financial condition, results of operations and prospects.</w:t>
      </w:r>
    </w:p>
    <w:p>
      <w:pPr>
        <w:spacing w:after="0" w:line="197" w:lineRule="exact"/>
        <w:rPr>
          <w:sz w:val="20"/>
          <w:szCs w:val="20"/>
          <w:color w:val="auto"/>
        </w:rPr>
      </w:pPr>
    </w:p>
    <w:p>
      <w:pPr>
        <w:ind w:left="4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4"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design additional potential product candidates.</w:t>
      </w:r>
    </w:p>
    <w:p>
      <w:pPr>
        <w:spacing w:after="0" w:line="108"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35" w:lineRule="exact"/>
        <w:rPr>
          <w:sz w:val="20"/>
          <w:szCs w:val="20"/>
          <w:color w:val="auto"/>
        </w:rPr>
      </w:pPr>
    </w:p>
    <w:p>
      <w:pPr>
        <w:ind w:left="820" w:hanging="407"/>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selection methodology used may not be successful in identifying potential product candidates;</w:t>
      </w:r>
    </w:p>
    <w:p>
      <w:pPr>
        <w:spacing w:after="0" w:line="76"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are unlikely to be drugs that will obtain marketing approval or achieve market acceptance; or</w:t>
      </w:r>
    </w:p>
    <w:p>
      <w:pPr>
        <w:spacing w:after="0" w:line="58" w:lineRule="exact"/>
        <w:rPr>
          <w:sz w:val="20"/>
          <w:szCs w:val="20"/>
          <w:color w:val="auto"/>
        </w:rPr>
      </w:pPr>
    </w:p>
    <w:p>
      <w:pPr>
        <w:ind w:left="820" w:hanging="40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w:t>
      </w:r>
    </w:p>
    <w:p>
      <w:pPr>
        <w:spacing w:after="0" w:line="225"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left="4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are subject to extensive regulation, and we may not obtain regulatory approvals for PRT543, PRT811, PRT1419, PRT2527 or any other product candidates, on a timely basis or at all.</w:t>
      </w:r>
    </w:p>
    <w:p>
      <w:pPr>
        <w:spacing w:after="0" w:line="51"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PRT543, PRT811, PRT1419 and PRT2527,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92" w:lineRule="exact"/>
        <w:rPr>
          <w:sz w:val="20"/>
          <w:szCs w:val="20"/>
          <w:color w:val="auto"/>
        </w:rPr>
      </w:pPr>
    </w:p>
    <w:p>
      <w:pPr>
        <w:ind w:right="120" w:firstLine="416"/>
        <w:spacing w:after="0" w:line="282" w:lineRule="auto"/>
        <w:rPr>
          <w:sz w:val="20"/>
          <w:szCs w:val="20"/>
          <w:color w:val="auto"/>
        </w:rPr>
      </w:pPr>
      <w:r>
        <w:rPr>
          <w:rFonts w:ascii="Times New Roman" w:cs="Times New Roman" w:eastAsia="Times New Roman" w:hAnsi="Times New Roman"/>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 w:name="page36"/>
    <w:bookmarkEnd w:id="35"/>
    <w:p>
      <w:pPr>
        <w:ind w:right="60"/>
        <w:spacing w:after="0" w:line="282" w:lineRule="auto"/>
        <w:rPr>
          <w:sz w:val="20"/>
          <w:szCs w:val="20"/>
          <w:color w:val="auto"/>
        </w:rPr>
      </w:pPr>
      <w:r>
        <w:rPr>
          <w:rFonts w:ascii="Times New Roman" w:cs="Times New Roman" w:eastAsia="Times New Roman" w:hAnsi="Times New Roman"/>
          <w:sz w:val="18"/>
          <w:szCs w:val="18"/>
          <w:color w:val="auto"/>
        </w:rPr>
        <w:t>complete the FDA regulatory approval process and will be commercialized. Accordingly, there can be no assurance that any of our product candidates will receive regulatory approval in the United States, or other jurisdictions.</w:t>
      </w:r>
    </w:p>
    <w:p>
      <w:pPr>
        <w:spacing w:after="0" w:line="16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Phase 1 clinical trials of PRT543 or PRT811 may be sufficient to support FDA approval of an NDA for PRT543 or PRT811, respectively, but the FDA may disagree with the sufficiency of our data and require additional clinical trials. Additionally, depending upon the results of the expansion portions of the Phase 1 clinical trials of PRT543 or PRT811, we may choose to seek Subpart H accelerated approval for PRT543 or PRT811, respectively, which would require completion of a confirmatory trial to validate the clinical benefit of the drug. Despite the time and expense associated with preclinical studies and clinical trials, failure can occur at any stage. The results of preclinical and early clinical trials of PRT543, PRT811, PRT1419, PRT2527 or any other product candidate may not be predictive of the results of our later-stage clinical trials.</w:t>
      </w:r>
    </w:p>
    <w:p>
      <w:pPr>
        <w:spacing w:after="0" w:line="188"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FDA could delay, limit or deny approval of a product candidate for many reasons, including because the FDA:</w:t>
      </w:r>
    </w:p>
    <w:p>
      <w:pPr>
        <w:spacing w:after="0" w:line="117" w:lineRule="exact"/>
        <w:rPr>
          <w:sz w:val="20"/>
          <w:szCs w:val="20"/>
          <w:color w:val="auto"/>
        </w:rPr>
      </w:pPr>
    </w:p>
    <w:p>
      <w:pPr>
        <w:ind w:left="840" w:hanging="427"/>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our product candidate to be safe and effective;</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product candidate does not have an acceptable benefit-risk profile;</w:t>
      </w:r>
    </w:p>
    <w:p>
      <w:pPr>
        <w:spacing w:after="0" w:line="117" w:lineRule="exact"/>
        <w:rPr>
          <w:rFonts w:ascii="Times New Roman" w:cs="Times New Roman" w:eastAsia="Times New Roman" w:hAnsi="Times New Roman"/>
          <w:sz w:val="18"/>
          <w:szCs w:val="18"/>
          <w:color w:val="auto"/>
        </w:rPr>
      </w:pPr>
    </w:p>
    <w:p>
      <w:pPr>
        <w:ind w:left="840" w:right="540" w:hanging="427"/>
        <w:spacing w:after="0" w:line="282"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in the case of an NDA seeking accelerated approval that the NDA does not provide evidence that the product candidate represents a meaningful advantage over available therapies;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objective response rate, or ORR, and duration of response are not clinically meaningful;</w:t>
      </w:r>
    </w:p>
    <w:p>
      <w:pPr>
        <w:sectPr>
          <w:pgSz w:w="11900" w:h="16838" w:orient="portrait"/>
          <w:cols w:equalWidth="0" w:num="1">
            <w:col w:w="11220"/>
          </w:cols>
          <w:pgMar w:left="320" w:top="337" w:right="359" w:bottom="1440" w:gutter="0" w:footer="0" w:header="0"/>
        </w:sectPr>
      </w:pP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54" w:lineRule="exact"/>
        <w:rPr>
          <w:sz w:val="20"/>
          <w:szCs w:val="20"/>
          <w:color w:val="auto"/>
        </w:rPr>
      </w:pPr>
    </w:p>
    <w:p>
      <w:pPr>
        <w:sectPr>
          <w:pgSz w:w="11900" w:h="16838" w:orient="portrait"/>
          <w:cols w:equalWidth="0" w:num="2">
            <w:col w:w="480" w:space="360"/>
            <w:col w:w="10380"/>
          </w:cols>
          <w:pgMar w:left="320" w:top="337" w:right="359" w:bottom="1440" w:gutter="0" w:footer="0" w:header="0"/>
          <w:type w:val="continuous"/>
        </w:sectPr>
      </w:pPr>
    </w:p>
    <w:p>
      <w:pPr>
        <w:ind w:left="840" w:hanging="427"/>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adverse events experienced by participants in our clinical trials represent an unacceptable level of risk;</w:t>
      </w:r>
    </w:p>
    <w:p>
      <w:pPr>
        <w:spacing w:after="0" w:line="117" w:lineRule="exact"/>
        <w:rPr>
          <w:rFonts w:ascii="Times New Roman" w:cs="Times New Roman" w:eastAsia="Times New Roman" w:hAnsi="Times New Roman"/>
          <w:sz w:val="18"/>
          <w:szCs w:val="18"/>
          <w:color w:val="auto"/>
        </w:rPr>
      </w:pPr>
    </w:p>
    <w:p>
      <w:pPr>
        <w:ind w:left="840" w:right="140" w:hanging="427"/>
        <w:spacing w:after="0" w:line="282"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840" w:right="460" w:hanging="427"/>
        <w:spacing w:after="0" w:line="282"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accept clinical data from trials, which are conducted at clinical facilities or in countries where the standard of care is potentially different from that of the United States;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regarding the formulation, labeling and/or the specifications;</w:t>
      </w:r>
    </w:p>
    <w:p>
      <w:pPr>
        <w:spacing w:after="0" w:line="117" w:lineRule="exact"/>
        <w:rPr>
          <w:rFonts w:ascii="Times New Roman" w:cs="Times New Roman" w:eastAsia="Times New Roman" w:hAnsi="Times New Roman"/>
          <w:sz w:val="18"/>
          <w:szCs w:val="18"/>
          <w:color w:val="auto"/>
        </w:rPr>
      </w:pPr>
    </w:p>
    <w:p>
      <w:pPr>
        <w:ind w:left="840" w:right="160" w:hanging="427"/>
        <w:spacing w:after="0" w:line="282"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manufacturing processes associated with our product candidate or may determine that a manufacturing facility does not have an acceptable compliance status;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approval policies or adopt new regulations; or</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file a submission due to, among other reasons, the content or formatting of the submission.</w:t>
      </w:r>
    </w:p>
    <w:p>
      <w:pPr>
        <w:spacing w:after="0" w:line="225" w:lineRule="exact"/>
        <w:rPr>
          <w:sz w:val="20"/>
          <w:szCs w:val="20"/>
          <w:color w:val="auto"/>
        </w:rPr>
      </w:pPr>
    </w:p>
    <w:p>
      <w:pPr>
        <w:ind w:right="580" w:firstLine="416"/>
        <w:spacing w:after="0" w:line="282" w:lineRule="auto"/>
        <w:rPr>
          <w:sz w:val="20"/>
          <w:szCs w:val="20"/>
          <w:color w:val="auto"/>
        </w:rPr>
      </w:pPr>
      <w:r>
        <w:rPr>
          <w:rFonts w:ascii="Times New Roman" w:cs="Times New Roman" w:eastAsia="Times New Roman" w:hAnsi="Times New Roman"/>
          <w:sz w:val="18"/>
          <w:szCs w:val="18"/>
          <w:color w:val="auto"/>
        </w:rPr>
        <w:t>We have not obtained FDA approval for any product. This lack of experience may impede our ability to obtain FDA approval in a timely manner, if at all, for our clinical product candidates.</w:t>
      </w:r>
    </w:p>
    <w:p>
      <w:pPr>
        <w:spacing w:after="0" w:line="162" w:lineRule="exact"/>
        <w:rPr>
          <w:sz w:val="20"/>
          <w:szCs w:val="20"/>
          <w:color w:val="auto"/>
        </w:rPr>
      </w:pPr>
    </w:p>
    <w:p>
      <w:pPr>
        <w:jc w:val="both"/>
        <w:ind w:right="80" w:firstLine="416"/>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PRT543, PRT811, PRT1419 or PRT2527, our commercial prospects will be harmed and our ability to generate revenues will be materially impaired which would adversely affect our business, prospects, financial condition and results of operations.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36" w:name="page37"/>
    <w:bookmarkEnd w:id="36"/>
    <w:p>
      <w:pPr>
        <w:ind w:left="4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51" w:lineRule="exact"/>
        <w:rPr>
          <w:sz w:val="20"/>
          <w:szCs w:val="20"/>
          <w:color w:val="auto"/>
        </w:rPr>
      </w:pPr>
    </w:p>
    <w:p>
      <w:pPr>
        <w:ind w:right="160" w:firstLine="416"/>
        <w:spacing w:after="0" w:line="256" w:lineRule="auto"/>
        <w:rPr>
          <w:sz w:val="20"/>
          <w:szCs w:val="20"/>
          <w:color w:val="auto"/>
        </w:rPr>
      </w:pPr>
      <w:r>
        <w:rPr>
          <w:rFonts w:ascii="Times New Roman" w:cs="Times New Roman" w:eastAsia="Times New Roman" w:hAnsi="Times New Roman"/>
          <w:sz w:val="18"/>
          <w:szCs w:val="18"/>
          <w:color w:val="auto"/>
        </w:rPr>
        <w:t>Under the FDA’s accelerated approval program,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187"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66" w:lineRule="exact"/>
        <w:rPr>
          <w:sz w:val="20"/>
          <w:szCs w:val="20"/>
          <w:color w:val="auto"/>
        </w:rPr>
      </w:pPr>
    </w:p>
    <w:p>
      <w:pPr>
        <w:ind w:left="820" w:hanging="407"/>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our product candidate fail to verify such benefit or do not demonstrate</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sufficient clinical benefit to justify the risks associated with the drug;</w:t>
      </w:r>
    </w:p>
    <w:p>
      <w:pPr>
        <w:spacing w:after="0" w:line="72" w:lineRule="exact"/>
        <w:rPr>
          <w:sz w:val="20"/>
          <w:szCs w:val="20"/>
          <w:color w:val="auto"/>
        </w:rPr>
      </w:pPr>
    </w:p>
    <w:p>
      <w:pPr>
        <w:ind w:left="820" w:hanging="407"/>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our product candidate is not shown to be safe or effective under the conditions of use;</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275" w:lineRule="exact"/>
        <w:rPr>
          <w:sz w:val="20"/>
          <w:szCs w:val="20"/>
          <w:color w:val="auto"/>
        </w:rPr>
      </w:pPr>
    </w:p>
    <w:p>
      <w:pPr>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40" w:lineRule="exact"/>
        <w:rPr>
          <w:sz w:val="20"/>
          <w:szCs w:val="20"/>
          <w:color w:val="auto"/>
        </w:rPr>
      </w:pPr>
    </w:p>
    <w:p>
      <w:pPr>
        <w:ind w:right="140" w:firstLine="419"/>
        <w:spacing w:after="0" w:line="254" w:lineRule="auto"/>
        <w:rPr>
          <w:sz w:val="20"/>
          <w:szCs w:val="20"/>
          <w:color w:val="auto"/>
        </w:rPr>
      </w:pPr>
      <w:r>
        <w:rPr>
          <w:rFonts w:ascii="Times New Roman" w:cs="Times New Roman" w:eastAsia="Times New Roman" w:hAnsi="Times New Roman"/>
          <w:sz w:val="18"/>
          <w:szCs w:val="18"/>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08" w:lineRule="exact"/>
        <w:rPr>
          <w:sz w:val="20"/>
          <w:szCs w:val="20"/>
          <w:color w:val="auto"/>
        </w:rPr>
      </w:pPr>
    </w:p>
    <w:p>
      <w:pPr>
        <w:ind w:right="300" w:firstLine="416"/>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83" w:lineRule="exact"/>
        <w:rPr>
          <w:sz w:val="20"/>
          <w:szCs w:val="20"/>
          <w:color w:val="auto"/>
        </w:rPr>
      </w:pPr>
    </w:p>
    <w:p>
      <w:pPr>
        <w:ind w:right="20" w:firstLine="419"/>
        <w:spacing w:after="0" w:line="255" w:lineRule="auto"/>
        <w:rPr>
          <w:sz w:val="20"/>
          <w:szCs w:val="20"/>
          <w:color w:val="auto"/>
        </w:rPr>
      </w:pPr>
      <w:r>
        <w:rPr>
          <w:rFonts w:ascii="Times New Roman" w:cs="Times New Roman" w:eastAsia="Times New Roman" w:hAnsi="Times New Roman"/>
          <w:sz w:val="18"/>
          <w:szCs w:val="18"/>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ind w:right="80" w:firstLine="419"/>
        <w:spacing w:after="0" w:line="253" w:lineRule="auto"/>
        <w:rPr>
          <w:sz w:val="20"/>
          <w:szCs w:val="20"/>
          <w:color w:val="auto"/>
        </w:rPr>
      </w:pPr>
      <w:r>
        <w:rPr>
          <w:rFonts w:ascii="Times New Roman" w:cs="Times New Roman" w:eastAsia="Times New Roman" w:hAnsi="Times New Roman"/>
          <w:sz w:val="18"/>
          <w:szCs w:val="18"/>
          <w:color w:val="auto"/>
        </w:rPr>
        <w:t>We may apply for an orphan drug designation in the United States or other geographies for our product candidates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 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w:t>
      </w:r>
    </w:p>
    <w:p>
      <w:pPr>
        <w:spacing w:after="0" w:line="298" w:lineRule="exact"/>
        <w:rPr>
          <w:sz w:val="20"/>
          <w:szCs w:val="20"/>
          <w:color w:val="auto"/>
        </w:rPr>
      </w:pPr>
    </w:p>
    <w:p>
      <w:pPr>
        <w:ind w:left="4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51"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89"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291" w:lineRule="exact"/>
        <w:rPr>
          <w:sz w:val="20"/>
          <w:szCs w:val="20"/>
          <w:color w:val="auto"/>
        </w:rPr>
      </w:pPr>
    </w:p>
    <w:p>
      <w:pPr>
        <w:ind w:left="4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65" w:lineRule="exact"/>
        <w:rPr>
          <w:sz w:val="20"/>
          <w:szCs w:val="20"/>
          <w:color w:val="auto"/>
        </w:rPr>
      </w:pPr>
    </w:p>
    <w:p>
      <w:pPr>
        <w:ind w:right="160" w:firstLine="416"/>
        <w:spacing w:after="0" w:line="261" w:lineRule="auto"/>
        <w:rPr>
          <w:sz w:val="20"/>
          <w:szCs w:val="20"/>
          <w:color w:val="auto"/>
        </w:rPr>
      </w:pPr>
      <w:r>
        <w:rPr>
          <w:rFonts w:ascii="Times New Roman" w:cs="Times New Roman" w:eastAsia="Times New Roman" w:hAnsi="Times New Roman"/>
          <w:sz w:val="18"/>
          <w:szCs w:val="18"/>
          <w:color w:val="auto"/>
        </w:rPr>
        <w:t xml:space="preserve">A companion diagnostic is a medical device, often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209"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210" w:lineRule="exact"/>
        <w:rPr>
          <w:sz w:val="20"/>
          <w:szCs w:val="20"/>
          <w:color w:val="auto"/>
        </w:rPr>
      </w:pPr>
    </w:p>
    <w:p>
      <w:pPr>
        <w:ind w:right="220" w:firstLine="416"/>
        <w:spacing w:after="0" w:line="261" w:lineRule="auto"/>
        <w:rPr>
          <w:sz w:val="20"/>
          <w:szCs w:val="20"/>
          <w:color w:val="auto"/>
        </w:rPr>
      </w:pPr>
      <w:r>
        <w:rPr>
          <w:rFonts w:ascii="Times New Roman" w:cs="Times New Roman" w:eastAsia="Times New Roman" w:hAnsi="Times New Roman"/>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207" w:lineRule="exact"/>
        <w:rPr>
          <w:sz w:val="20"/>
          <w:szCs w:val="20"/>
          <w:color w:val="auto"/>
        </w:r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8" w:name="page39"/>
    <w:bookmarkEnd w:id="38"/>
    <w:p>
      <w:pPr>
        <w:spacing w:after="0" w:line="253" w:lineRule="auto"/>
        <w:rPr>
          <w:sz w:val="20"/>
          <w:szCs w:val="20"/>
          <w:color w:val="auto"/>
        </w:rPr>
      </w:pPr>
      <w:r>
        <w:rPr>
          <w:rFonts w:ascii="Times New Roman" w:cs="Times New Roman" w:eastAsia="Times New Roman" w:hAnsi="Times New Roman"/>
          <w:sz w:val="18"/>
          <w:szCs w:val="18"/>
          <w:color w:val="auto"/>
        </w:rPr>
        <w:t>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If we decide to pursue a Fast Track Designation by the FDA, it may not lead to a faster development or regulatory review or approval process.</w:t>
      </w:r>
    </w:p>
    <w:p>
      <w:pPr>
        <w:spacing w:after="0" w:line="121"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91" w:lineRule="exact"/>
        <w:rPr>
          <w:sz w:val="20"/>
          <w:szCs w:val="20"/>
          <w:color w:val="auto"/>
        </w:rPr>
      </w:pPr>
    </w:p>
    <w:p>
      <w:pPr>
        <w:ind w:left="4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67"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w:t>
      </w:r>
    </w:p>
    <w:p>
      <w:pPr>
        <w:spacing w:after="0" w:line="180"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62" w:lineRule="exact"/>
        <w:rPr>
          <w:sz w:val="20"/>
          <w:szCs w:val="20"/>
          <w:color w:val="auto"/>
        </w:rPr>
      </w:pPr>
    </w:p>
    <w:p>
      <w:pPr>
        <w:ind w:right="200" w:firstLine="416"/>
        <w:spacing w:after="0" w:line="261" w:lineRule="auto"/>
        <w:rPr>
          <w:sz w:val="20"/>
          <w:szCs w:val="20"/>
          <w:color w:val="auto"/>
        </w:rPr>
      </w:pPr>
      <w:r>
        <w:rPr>
          <w:rFonts w:ascii="Times New Roman" w:cs="Times New Roman" w:eastAsia="Times New Roman" w:hAnsi="Times New Roman"/>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53" w:lineRule="exact"/>
        <w:rPr>
          <w:sz w:val="20"/>
          <w:szCs w:val="20"/>
          <w:color w:val="auto"/>
        </w:rPr>
      </w:pPr>
    </w:p>
    <w:p>
      <w:pPr>
        <w:ind w:right="240" w:firstLine="416"/>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contract manufacturing organizations, or CMOs, could be subject to periodic unannounced inspections by the FDA to monitor and ensure compliance with cGMPs.</w:t>
      </w:r>
    </w:p>
    <w:p>
      <w:pPr>
        <w:spacing w:after="0" w:line="166"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ind w:left="4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53" w:lineRule="exact"/>
        <w:rPr>
          <w:sz w:val="20"/>
          <w:szCs w:val="20"/>
          <w:color w:val="auto"/>
        </w:rPr>
      </w:pPr>
    </w:p>
    <w:p>
      <w:pPr>
        <w:ind w:right="180" w:firstLine="416"/>
        <w:spacing w:after="0" w:line="25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8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57" w:lineRule="exact"/>
        <w:rPr>
          <w:sz w:val="20"/>
          <w:szCs w:val="20"/>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6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90"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90"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90"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30"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30"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30"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700" w:firstLine="416"/>
        <w:spacing w:after="0" w:line="282"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79" w:lineRule="exact"/>
        <w:rPr>
          <w:sz w:val="20"/>
          <w:szCs w:val="20"/>
          <w:color w:val="auto"/>
        </w:rPr>
      </w:pPr>
    </w:p>
    <w:p>
      <w:pPr>
        <w:ind w:left="4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53"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0" w:name="page41"/>
    <w:bookmarkEnd w:id="40"/>
    <w:p>
      <w:pPr>
        <w:ind w:left="820" w:right="80" w:hanging="407"/>
        <w:spacing w:after="0" w:line="261"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58" w:lineRule="exact"/>
        <w:rPr>
          <w:rFonts w:ascii="Times New Roman" w:cs="Times New Roman" w:eastAsia="Times New Roman" w:hAnsi="Times New Roman"/>
          <w:sz w:val="18"/>
          <w:szCs w:val="18"/>
          <w:color w:val="auto"/>
        </w:rPr>
      </w:pPr>
    </w:p>
    <w:p>
      <w:pPr>
        <w:ind w:left="820" w:right="20" w:hanging="407"/>
        <w:spacing w:after="0" w:line="258"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61" w:lineRule="exact"/>
        <w:rPr>
          <w:rFonts w:ascii="Times New Roman" w:cs="Times New Roman" w:eastAsia="Times New Roman" w:hAnsi="Times New Roman"/>
          <w:sz w:val="18"/>
          <w:szCs w:val="18"/>
          <w:color w:val="auto"/>
        </w:rPr>
      </w:pPr>
    </w:p>
    <w:p>
      <w:pPr>
        <w:ind w:left="820" w:hanging="407"/>
        <w:spacing w:after="0" w:line="261"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71" w:lineRule="exact"/>
        <w:rPr>
          <w:rFonts w:ascii="Times New Roman" w:cs="Times New Roman" w:eastAsia="Times New Roman" w:hAnsi="Times New Roman"/>
          <w:sz w:val="18"/>
          <w:szCs w:val="18"/>
          <w:color w:val="auto"/>
        </w:rPr>
      </w:pPr>
    </w:p>
    <w:p>
      <w:pPr>
        <w:ind w:left="820" w:right="480" w:hanging="407"/>
        <w:spacing w:after="0" w:line="261"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71" w:lineRule="exact"/>
        <w:rPr>
          <w:rFonts w:ascii="Times New Roman" w:cs="Times New Roman" w:eastAsia="Times New Roman" w:hAnsi="Times New Roman"/>
          <w:sz w:val="18"/>
          <w:szCs w:val="18"/>
          <w:color w:val="auto"/>
        </w:rPr>
      </w:pPr>
    </w:p>
    <w:p>
      <w:pPr>
        <w:ind w:left="820" w:right="100" w:hanging="407"/>
        <w:spacing w:after="0" w:line="254"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annually report to the Centers for Medicare &amp; Medicaid Services, or CMS, information related to payments and other transfers of value provided to, and ownership and investment interests held by, physicians, defined to include doctors, dentists, optometrists, podiatrists and chiropractors,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anesthesiologist assistants, certified nurse anesthetists and certified nurse-midwives; and</w:t>
      </w:r>
    </w:p>
    <w:p>
      <w:pPr>
        <w:spacing w:after="0" w:line="83" w:lineRule="exact"/>
        <w:rPr>
          <w:rFonts w:ascii="Times New Roman" w:cs="Times New Roman" w:eastAsia="Times New Roman" w:hAnsi="Times New Roman"/>
          <w:sz w:val="18"/>
          <w:szCs w:val="18"/>
          <w:color w:val="auto"/>
        </w:rPr>
      </w:pPr>
    </w:p>
    <w:p>
      <w:pPr>
        <w:ind w:left="820" w:right="60" w:hanging="407"/>
        <w:spacing w:after="0" w:line="254"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1" w:name="page42"/>
    <w:bookmarkEnd w:id="41"/>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Health care policy changes, including U.S. health care reform legislation, may have a material adverse effect on our business.</w:t>
      </w:r>
    </w:p>
    <w:p>
      <w:pPr>
        <w:spacing w:after="0" w:line="121"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In response to perceived increases in health care costs in recent years, there have been and continue to be proposals by the federal government, state governments, regulators, and third-party payors to control these costs and, more generally, to reform the U.S. health care system. Certain of these proposals could limit the prices we are able to charge for our products or the amounts of reimbursement available for our products and could limit the acceptance and availability of our products. Further, while the United States has begun shifting to pay-for-performance rather than fee-for-service models and has been embracing many shared-risk arrangements, CMS and OIG specifically excluded medical device manufacturers from utilizing the new, more flexible Stark Law exceptions and Anti-Kickback Statute safe harbors under the Final Rules, part of the U.S. Department of Health and Human Services’ Regulatory Sprint to Coordinated Care, which were published on December 2, 2020 in the Federal Register and were largely effective January 19, 2021. The exclusion of manufacturers from utilizing these exceptions and safe harbors will not allow us to avail ourselves of immunity from liability under the laws, potentially inviting greater scrutiny over our shared risk arrangements.</w:t>
      </w:r>
    </w:p>
    <w:p>
      <w:pPr>
        <w:spacing w:after="0" w:line="80"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8"/>
          <w:szCs w:val="18"/>
          <w:color w:val="auto"/>
        </w:rPr>
        <w:t>Additionally, on November 16, 2020 the OIG published a Special Fraud Alert addressing manufacturer Speaker Programs signaling both a more narrow government view of AKS compliance with respect to such programs as well as the potential for increased enforcement in this space by government oversight agencies such as the OIG and DOJ. In response to this Special Fraud Alert, PhRMA issued its Statement on Revisions to the PhRMA Code on Interactions with Health Care Professionals on August 6, 2021 asserting, among other things, that pharmaceutical companies should not pay for or provide alcohol in connection with speaker programs. The updated PhRMA Code updates also clarified that repeat attendance at a speaker program on the same or substantially the same topic where a meal is provided to the attendee is generally not appropriate. The updated PhRMA Code was made effective as of January 1, 2022. AdvaMed has not made corollary revisions to its Code of Ethics to date. We continue to assess industry response to the Special Fraud Alert and have and may continue to make modifications to certain aspects of our speaker programs, which may have a detrimental impact on our ability to educate healthcare providers about our products and to promote use of our products, which may lead to decreased product sales and negatively impact our business, financial condition and results of operations.</w:t>
      </w:r>
    </w:p>
    <w:p>
      <w:pPr>
        <w:spacing w:after="0" w:line="86" w:lineRule="exact"/>
        <w:rPr>
          <w:sz w:val="20"/>
          <w:szCs w:val="20"/>
          <w:color w:val="auto"/>
        </w:rPr>
      </w:pPr>
    </w:p>
    <w:p>
      <w:pPr>
        <w:ind w:right="180" w:firstLine="479"/>
        <w:spacing w:after="0" w:line="257" w:lineRule="auto"/>
        <w:rPr>
          <w:sz w:val="20"/>
          <w:szCs w:val="20"/>
          <w:color w:val="auto"/>
        </w:rPr>
      </w:pPr>
      <w:r>
        <w:rPr>
          <w:rFonts w:ascii="Times New Roman" w:cs="Times New Roman" w:eastAsia="Times New Roman" w:hAnsi="Times New Roman"/>
          <w:sz w:val="18"/>
          <w:szCs w:val="18"/>
          <w:color w:val="auto"/>
        </w:rPr>
        <w:t>Comprehensive healthcare legislation, signed into law in the United States in March 2010, titled the Patient Protection and Affordable Care Act, as amended by the Health Care and Education Affordability Reconciliation Act of 2010, collectively, the ACA, imposes certain stringent compliance, recordkeeping, and reporting requirements on companies in various sectors of the life sciences industry, and enhanced penalties for non-</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compliance. Despite the ACA going into effect over a decade ago, there have been numerous legal and Congressional challenges to the law’s provisions and the effect of certain provisions have made compliance costly. More recently, in June 2021, a case challenging the constitutionality of the ACA’s individual mandate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was overturned at the Supreme Court.</w:t>
      </w:r>
    </w:p>
    <w:p>
      <w:pPr>
        <w:spacing w:after="0" w:line="78" w:lineRule="exact"/>
        <w:rPr>
          <w:sz w:val="20"/>
          <w:szCs w:val="20"/>
          <w:color w:val="auto"/>
        </w:rPr>
      </w:pPr>
    </w:p>
    <w:p>
      <w:pPr>
        <w:ind w:right="280" w:firstLine="479"/>
        <w:spacing w:after="0" w:line="261" w:lineRule="auto"/>
        <w:rPr>
          <w:sz w:val="20"/>
          <w:szCs w:val="20"/>
          <w:color w:val="auto"/>
        </w:rPr>
      </w:pPr>
      <w:r>
        <w:rPr>
          <w:rFonts w:ascii="Times New Roman" w:cs="Times New Roman" w:eastAsia="Times New Roman" w:hAnsi="Times New Roman"/>
          <w:sz w:val="18"/>
          <w:szCs w:val="18"/>
          <w:color w:val="auto"/>
        </w:rPr>
        <w:t>We cannot predict what additional new legislation, agency priorities, and rulemakings may be on the horizon as the United States continues to reassess how it pays for healthcare. As a result, we cannot quantify or predict what impact any changes might have on our business and results of operations. However, any changes that lower reimbursement for our products could materially and adversely affect our business, financial condition and results of operations.</w:t>
      </w:r>
    </w:p>
    <w:p>
      <w:pPr>
        <w:spacing w:after="0" w:line="72"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Other legal, regulatory and commercial policy influences are subjecting our industry to significant changes, and we cannot predict whether new regulations or policies will emerge from U.S. federal or state governments, foreign governments, or third-party payors. Government and commercial payors may, in the future, consider healthcare policies and proposals intended to curb rising healthcare costs, including those that could significantly affect reimbursement for healthcare products such as our systems. These policies have included, and may in the future include: basing reimbursement policies and rates on clinical outcomes, the comparative effectiveness, and costs, of different treatment technologies and modalities; imposing price controls and taxes on medical device providers; and other measures. Future significant changes in the healthcare systems in the United States or elsewhere could also have a negative impact on the demand for our current and future products. These include changes that may reduce reimbursement rates for our products and changes that may be proposed or implemented by the current or future laws or regulations.</w:t>
      </w:r>
    </w:p>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35"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 from its membership in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ind w:right="200"/>
        <w:spacing w:after="0" w:line="261" w:lineRule="auto"/>
        <w:rPr>
          <w:sz w:val="20"/>
          <w:szCs w:val="20"/>
          <w:color w:val="auto"/>
        </w:rPr>
      </w:pPr>
      <w:r>
        <w:rPr>
          <w:rFonts w:ascii="Times New Roman" w:cs="Times New Roman" w:eastAsia="Times New Roman" w:hAnsi="Times New Roman"/>
          <w:sz w:val="18"/>
          <w:szCs w:val="18"/>
          <w:color w:val="auto"/>
        </w:rPr>
        <w:t>EU, often referred to as “Brexit”, could lead to legal and regulatory uncertainty in the United Kingdom and may lead to the United Kingdom and EU adopting divergent laws and regulations, including those related to the pricing of prescription pharmaceuticals, as 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230" w:lineRule="exact"/>
        <w:rPr>
          <w:sz w:val="20"/>
          <w:szCs w:val="20"/>
          <w:color w:val="auto"/>
        </w:rPr>
      </w:pPr>
    </w:p>
    <w:p>
      <w:pPr>
        <w:ind w:left="4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53"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48"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39" w:lineRule="exact"/>
        <w:rPr>
          <w:sz w:val="20"/>
          <w:szCs w:val="20"/>
          <w:color w:val="auto"/>
        </w:rPr>
      </w:pPr>
    </w:p>
    <w:p>
      <w:pPr>
        <w:ind w:right="140" w:firstLine="416"/>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56" w:lineRule="exact"/>
        <w:rPr>
          <w:sz w:val="20"/>
          <w:szCs w:val="20"/>
          <w:color w:val="auto"/>
        </w:rPr>
      </w:pPr>
    </w:p>
    <w:p>
      <w:pPr>
        <w:ind w:right="40" w:firstLine="416"/>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226" w:lineRule="exact"/>
        <w:rPr>
          <w:sz w:val="20"/>
          <w:szCs w:val="20"/>
          <w:color w:val="auto"/>
        </w:rPr>
      </w:pPr>
    </w:p>
    <w:p>
      <w:pPr>
        <w:ind w:left="4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24" w:lineRule="exact"/>
        <w:rPr>
          <w:sz w:val="20"/>
          <w:szCs w:val="20"/>
          <w:color w:val="auto"/>
        </w:rPr>
      </w:pPr>
    </w:p>
    <w:p>
      <w:pPr>
        <w:ind w:right="140" w:firstLine="416"/>
        <w:spacing w:after="0" w:line="256"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60" w:lineRule="exact"/>
        <w:rPr>
          <w:sz w:val="20"/>
          <w:szCs w:val="20"/>
          <w:color w:val="auto"/>
        </w:rPr>
      </w:pPr>
    </w:p>
    <w:p>
      <w:pPr>
        <w:ind w:right="320" w:firstLine="416"/>
        <w:spacing w:after="0" w:line="261"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80"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3" w:name="page44"/>
    <w:bookmarkEnd w:id="43"/>
    <w:p>
      <w:pPr>
        <w:jc w:val="both"/>
        <w:ind w:right="220" w:firstLine="416"/>
        <w:spacing w:after="0" w:line="266"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jc w:val="both"/>
        <w:ind w:right="300" w:firstLine="416"/>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8" w:lineRule="exact"/>
        <w:rPr>
          <w:sz w:val="20"/>
          <w:szCs w:val="20"/>
          <w:color w:val="auto"/>
        </w:rPr>
      </w:pPr>
    </w:p>
    <w:p>
      <w:pPr>
        <w:ind w:right="100" w:firstLine="416"/>
        <w:spacing w:after="0" w:line="28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4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72"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preclinical testing or clinical trials ourselves. As a result, we are dependent on third parties to conduct our ongoing and planned clinical trials of PRT543, PRT811, PRT1419 and PRT2527,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We and our CROs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on to comply with these regulations may require us to stop and/or repeat clinical trials, which would delay the marketing approval process.</w:t>
      </w:r>
    </w:p>
    <w:p>
      <w:pPr>
        <w:spacing w:after="0" w:line="197"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4" w:name="page45"/>
    <w:bookmarkEnd w:id="44"/>
    <w:p>
      <w:pPr>
        <w:ind w:right="300"/>
        <w:spacing w:after="0" w:line="266" w:lineRule="auto"/>
        <w:rPr>
          <w:sz w:val="20"/>
          <w:szCs w:val="20"/>
          <w:color w:val="auto"/>
        </w:rPr>
      </w:pPr>
      <w:r>
        <w:rPr>
          <w:rFonts w:ascii="Times New Roman" w:cs="Times New Roman" w:eastAsia="Times New Roman" w:hAnsi="Times New Roman"/>
          <w:sz w:val="18"/>
          <w:szCs w:val="18"/>
          <w:color w:val="auto"/>
        </w:rPr>
        <w:t>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76"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PRT543, PRT811, PRT1419, PRT2527 or any other product candidates and will not be able to, or may be delayed in our efforts to, successfully commercialize our products.</w:t>
      </w:r>
    </w:p>
    <w:p>
      <w:pPr>
        <w:spacing w:after="0" w:line="287" w:lineRule="exact"/>
        <w:rPr>
          <w:sz w:val="20"/>
          <w:szCs w:val="20"/>
          <w:color w:val="auto"/>
        </w:rPr>
      </w:pPr>
    </w:p>
    <w:p>
      <w:pPr>
        <w:ind w:left="4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5"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In addition, the ongoing COVID-19 pandemic may result in disruptions to the operations or an extended shutdown of certain businesses, which could include certain of our contract manufacturers.</w:t>
      </w:r>
    </w:p>
    <w:p>
      <w:pPr>
        <w:spacing w:after="0" w:line="189" w:lineRule="exact"/>
        <w:rPr>
          <w:sz w:val="20"/>
          <w:szCs w:val="20"/>
          <w:color w:val="auto"/>
        </w:rPr>
      </w:pPr>
    </w:p>
    <w:p>
      <w:pPr>
        <w:ind w:right="800" w:firstLine="416"/>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54" w:lineRule="exact"/>
        <w:rPr>
          <w:sz w:val="20"/>
          <w:szCs w:val="20"/>
          <w:color w:val="auto"/>
        </w:rPr>
      </w:pPr>
    </w:p>
    <w:p>
      <w:pPr>
        <w:ind w:left="840" w:hanging="427"/>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17" w:lineRule="exact"/>
        <w:rPr>
          <w:rFonts w:ascii="Times New Roman" w:cs="Times New Roman" w:eastAsia="Times New Roman" w:hAnsi="Times New Roman"/>
          <w:sz w:val="18"/>
          <w:szCs w:val="18"/>
          <w:color w:val="auto"/>
        </w:rPr>
      </w:pPr>
    </w:p>
    <w:p>
      <w:pPr>
        <w:ind w:left="840" w:right="40" w:hanging="427"/>
        <w:spacing w:after="0" w:line="266" w:lineRule="auto"/>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6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ind w:left="840" w:hanging="427"/>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225"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183" w:lineRule="exact"/>
        <w:rPr>
          <w:sz w:val="20"/>
          <w:szCs w:val="20"/>
          <w:color w:val="auto"/>
        </w:rPr>
      </w:pPr>
    </w:p>
    <w:p>
      <w:pPr>
        <w:ind w:right="380" w:firstLine="416"/>
        <w:spacing w:after="0" w:line="266" w:lineRule="auto"/>
        <w:rPr>
          <w:sz w:val="20"/>
          <w:szCs w:val="20"/>
          <w:color w:val="auto"/>
        </w:rPr>
      </w:pPr>
      <w:r>
        <w:rPr>
          <w:rFonts w:ascii="Times New Roman" w:cs="Times New Roman" w:eastAsia="Times New Roman" w:hAnsi="Times New Roman"/>
          <w:sz w:val="18"/>
          <w:szCs w:val="18"/>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5" w:name="page46"/>
    <w:bookmarkEnd w:id="45"/>
    <w:p>
      <w:pPr>
        <w:ind w:right="620"/>
        <w:spacing w:after="0" w:line="282" w:lineRule="auto"/>
        <w:rPr>
          <w:sz w:val="20"/>
          <w:szCs w:val="20"/>
          <w:color w:val="auto"/>
        </w:rPr>
      </w:pPr>
      <w:r>
        <w:rPr>
          <w:rFonts w:ascii="Times New Roman" w:cs="Times New Roman" w:eastAsia="Times New Roman" w:hAnsi="Times New Roman"/>
          <w:sz w:val="18"/>
          <w:szCs w:val="18"/>
          <w:color w:val="auto"/>
        </w:rPr>
        <w:t>materials, which may be more difficult to substitute. Therefore, any disruptions arising from our sole suppliers could result in delays and additional regulatory submissions.</w:t>
      </w:r>
    </w:p>
    <w:p>
      <w:pPr>
        <w:spacing w:after="0" w:line="162"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94"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83" w:lineRule="exact"/>
        <w:rPr>
          <w:sz w:val="20"/>
          <w:szCs w:val="20"/>
          <w:color w:val="auto"/>
        </w:r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76"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7"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including the ongoing conflict in Ukraine, or public health epidemics such as the COVID-19 pandemic. If our current third-party manufacturers cannot perform as agreed, we may be required to replace such manufacturers and we may be unable to replace them on a timely basis or at all.</w:t>
      </w:r>
    </w:p>
    <w:p>
      <w:pPr>
        <w:spacing w:after="0" w:line="192" w:lineRule="exact"/>
        <w:rPr>
          <w:sz w:val="20"/>
          <w:szCs w:val="20"/>
          <w:color w:val="auto"/>
        </w:rPr>
      </w:pPr>
    </w:p>
    <w:p>
      <w:pPr>
        <w:ind w:right="60" w:firstLine="416"/>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66"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51" w:lineRule="exact"/>
        <w:rPr>
          <w:sz w:val="20"/>
          <w:szCs w:val="20"/>
          <w:color w:val="auto"/>
        </w:rPr>
      </w:pPr>
    </w:p>
    <w:p>
      <w:pPr>
        <w:ind w:right="160" w:firstLine="416"/>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58" w:lineRule="exact"/>
        <w:rPr>
          <w:sz w:val="20"/>
          <w:szCs w:val="20"/>
          <w:color w:val="auto"/>
        </w:rPr>
      </w:pPr>
    </w:p>
    <w:p>
      <w:pPr>
        <w:ind w:left="820" w:right="500" w:hanging="407"/>
        <w:spacing w:after="0" w:line="282"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ectPr>
          <w:pgSz w:w="11900" w:h="16838" w:orient="portrait"/>
          <w:cols w:equalWidth="0" w:num="1">
            <w:col w:w="11220"/>
          </w:cols>
          <w:pgMar w:left="320" w:top="553" w:right="359" w:bottom="1440" w:gutter="0" w:footer="0" w:header="0"/>
        </w:sectPr>
      </w:pP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58" w:lineRule="exact"/>
        <w:rPr>
          <w:sz w:val="20"/>
          <w:szCs w:val="20"/>
          <w:color w:val="auto"/>
        </w:rPr>
      </w:pPr>
    </w:p>
    <w:p>
      <w:pPr>
        <w:sectPr>
          <w:pgSz w:w="11900" w:h="16838" w:orient="portrait"/>
          <w:cols w:equalWidth="0" w:num="2">
            <w:col w:w="480" w:space="340"/>
            <w:col w:w="10400"/>
          </w:cols>
          <w:pgMar w:left="320" w:top="553" w:right="359" w:bottom="1440" w:gutter="0" w:footer="0" w:header="0"/>
          <w:type w:val="continuous"/>
        </w:sectPr>
      </w:pPr>
    </w:p>
    <w:p>
      <w:pPr>
        <w:ind w:left="820" w:right="440" w:hanging="407"/>
        <w:spacing w:after="0" w:line="282"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0" w:lineRule="exact"/>
        <w:rPr>
          <w:rFonts w:ascii="Times New Roman" w:cs="Times New Roman" w:eastAsia="Times New Roman" w:hAnsi="Times New Roman"/>
          <w:sz w:val="18"/>
          <w:szCs w:val="18"/>
          <w:color w:val="auto"/>
        </w:rPr>
      </w:pPr>
    </w:p>
    <w:p>
      <w:pPr>
        <w:ind w:left="820" w:right="60" w:hanging="407"/>
        <w:spacing w:after="0" w:line="266"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40" w:lineRule="exact"/>
        <w:rPr>
          <w:rFonts w:ascii="Times New Roman" w:cs="Times New Roman" w:eastAsia="Times New Roman" w:hAnsi="Times New Roman"/>
          <w:sz w:val="18"/>
          <w:szCs w:val="18"/>
          <w:color w:val="auto"/>
        </w:rPr>
      </w:pPr>
    </w:p>
    <w:p>
      <w:pPr>
        <w:ind w:left="820" w:right="660" w:hanging="407"/>
        <w:spacing w:after="0" w:line="282"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40" w:lineRule="exact"/>
        <w:rPr>
          <w:rFonts w:ascii="Times New Roman" w:cs="Times New Roman" w:eastAsia="Times New Roman" w:hAnsi="Times New Roman"/>
          <w:sz w:val="18"/>
          <w:szCs w:val="18"/>
          <w:color w:val="auto"/>
        </w:rPr>
      </w:pPr>
    </w:p>
    <w:p>
      <w:pPr>
        <w:ind w:left="820" w:hanging="407"/>
        <w:spacing w:after="0" w:line="266"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54" w:lineRule="exact"/>
        <w:rPr>
          <w:rFonts w:ascii="Times New Roman" w:cs="Times New Roman" w:eastAsia="Times New Roman" w:hAnsi="Times New Roman"/>
          <w:sz w:val="18"/>
          <w:szCs w:val="18"/>
          <w:color w:val="auto"/>
        </w:rPr>
      </w:pPr>
    </w:p>
    <w:p>
      <w:pPr>
        <w:ind w:left="820" w:right="220" w:hanging="407"/>
        <w:spacing w:after="0" w:line="275"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254" w:lineRule="exact"/>
        <w:rPr>
          <w:rFonts w:ascii="Times New Roman" w:cs="Times New Roman" w:eastAsia="Times New Roman" w:hAnsi="Times New Roman"/>
          <w:sz w:val="18"/>
          <w:szCs w:val="18"/>
          <w:color w:val="auto"/>
        </w:rPr>
      </w:pPr>
    </w:p>
    <w:p>
      <w:pPr>
        <w:ind w:left="820" w:right="680" w:hanging="407"/>
        <w:spacing w:after="0" w:line="282"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103" w:lineRule="exact"/>
        <w:rPr>
          <w:rFonts w:ascii="Times New Roman" w:cs="Times New Roman" w:eastAsia="Times New Roman" w:hAnsi="Times New Roman"/>
          <w:sz w:val="18"/>
          <w:szCs w:val="18"/>
          <w:color w:val="auto"/>
        </w:rPr>
      </w:pPr>
    </w:p>
    <w:p>
      <w:pPr>
        <w:ind w:left="820" w:right="120" w:hanging="407"/>
        <w:spacing w:after="0" w:line="282"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35" w:lineRule="exact"/>
        <w:rPr>
          <w:sz w:val="20"/>
          <w:szCs w:val="20"/>
          <w:color w:val="auto"/>
        </w:rPr>
      </w:pPr>
    </w:p>
    <w:p>
      <w:pPr>
        <w:ind w:right="360" w:firstLine="416"/>
        <w:spacing w:after="0" w:line="282" w:lineRule="auto"/>
        <w:rPr>
          <w:sz w:val="20"/>
          <w:szCs w:val="20"/>
          <w:color w:val="auto"/>
        </w:rPr>
      </w:pPr>
      <w:r>
        <w:rPr>
          <w:rFonts w:ascii="Times New Roman" w:cs="Times New Roman" w:eastAsia="Times New Roman" w:hAnsi="Times New Roman"/>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left="4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40"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for PRT543, PRT811, PRT1419, PRT2527 and any other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type w:val="continuous"/>
        </w:sectPr>
      </w:pPr>
    </w:p>
    <w:bookmarkStart w:id="47" w:name="page48"/>
    <w:bookmarkEnd w:id="47"/>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37" w:lineRule="exact"/>
        <w:rPr>
          <w:sz w:val="20"/>
          <w:szCs w:val="20"/>
          <w:color w:val="auto"/>
        </w:rPr>
      </w:pPr>
    </w:p>
    <w:p>
      <w:pPr>
        <w:ind w:right="140" w:firstLine="416"/>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62" w:lineRule="exact"/>
        <w:rPr>
          <w:sz w:val="20"/>
          <w:szCs w:val="20"/>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as front-line treatment for various indications;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product candidates by the FDA;</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0"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for our product candidates and competing products and treatments;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distribution and/or use restrictions, such as through a REMS;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from patient advocacy groups; and</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16" w:lineRule="exact"/>
        <w:rPr>
          <w:sz w:val="20"/>
          <w:szCs w:val="20"/>
          <w:color w:val="auto"/>
        </w:rPr>
      </w:pPr>
    </w:p>
    <w:p>
      <w:pPr>
        <w:jc w:val="both"/>
        <w:ind w:left="4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53" w:lineRule="exact"/>
        <w:rPr>
          <w:sz w:val="20"/>
          <w:szCs w:val="20"/>
          <w:color w:val="auto"/>
        </w:r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76"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840" w:hanging="427"/>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financing necessary to build our commercialization infrastructure;</w:t>
      </w:r>
    </w:p>
    <w:p>
      <w:pPr>
        <w:spacing w:after="0" w:line="117" w:lineRule="exact"/>
        <w:rPr>
          <w:rFonts w:ascii="Times New Roman" w:cs="Times New Roman" w:eastAsia="Times New Roman" w:hAnsi="Times New Roman"/>
          <w:sz w:val="18"/>
          <w:szCs w:val="18"/>
          <w:color w:val="auto"/>
        </w:rPr>
      </w:pPr>
    </w:p>
    <w:p>
      <w:pPr>
        <w:ind w:left="840" w:right="320" w:hanging="427"/>
        <w:spacing w:after="0" w:line="282" w:lineRule="auto"/>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an adequate number of physicians as to the benefits of our products;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third-party payor coverage and reimbursement in any geography;</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25" w:right="399" w:bottom="1440" w:gutter="0" w:footer="0" w:header="0"/>
        </w:sectPr>
      </w:pPr>
    </w:p>
    <w:bookmarkStart w:id="48" w:name="page49"/>
    <w:bookmarkEnd w:id="48"/>
    <w:p>
      <w:pPr>
        <w:ind w:left="840" w:right="340" w:hanging="427"/>
        <w:spacing w:after="0" w:line="282" w:lineRule="auto"/>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291"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Arvinas Inc., Aurigene, Black Diamond Therapeutics, Inc., Boehringer Ingelheim, C4 Therapeutics, Constellation Pharmaceuticals, Inc., Eli Lilly and Company, F. Hoffman-La Roche, Foghorn Therapeutics Inc., Fochon Pharmaceuticals, G1 Therapeutics Inc., Genentech, Kronos Bio, Inc., Kura Oncology, Inc., Kymera Therapeutics Inc., Mirati Therapeutics Inc., Nuvation Bio Inc. Repare Therapeutics Inc., Revolution Medicines, Inc., Relay Therapeutics, Inc., Springworks Therapeutics, Inc., Syndax Pharmaceuticals, Inc., and Zentalis Pharmaceuticals, Inc. In addition, we may face competition from companies developing product candidates that are based on targeting pathways of adaptive resistance, including Amgen Inc., AbbVie Inc., AstraZeneca plc, GlaxoSmithKline plc, Ideaya Biosciences, Johnson &amp; Johnson Services, Inc., Pfizer Inc., Tango Therapeutics, Inc., Vincerx Pharma, Inc., Novartis AG, and Gilead Sciences, Inc.</w:t>
      </w:r>
    </w:p>
    <w:p>
      <w:pPr>
        <w:spacing w:after="0" w:line="190" w:lineRule="exact"/>
        <w:rPr>
          <w:sz w:val="20"/>
          <w:szCs w:val="20"/>
          <w:color w:val="auto"/>
        </w:rPr>
      </w:pPr>
    </w:p>
    <w:p>
      <w:pPr>
        <w:ind w:right="20" w:firstLine="416"/>
        <w:spacing w:after="0" w:line="268" w:lineRule="auto"/>
        <w:rPr>
          <w:sz w:val="20"/>
          <w:szCs w:val="20"/>
          <w:color w:val="auto"/>
        </w:rPr>
      </w:pPr>
      <w:r>
        <w:rPr>
          <w:rFonts w:ascii="Times New Roman" w:cs="Times New Roman" w:eastAsia="Times New Roman" w:hAnsi="Times New Roman"/>
          <w:sz w:val="17"/>
          <w:szCs w:val="17"/>
          <w:color w:val="auto"/>
        </w:rPr>
        <w:t>Specifically, with respect to our PRMT5 programs, PRT543 and PRT811, several companies are developing PRMT5 inhibitors with clinical trials ongoing, including Amgen (AMG193), GlaxoSmithKline (GSK3326595), Ideaya Biosciences (IDE397), Johnson &amp; Johnson (JNJ-64619178), Pfizer (PF-06939999), and Tango Therapeutics (TNG908). For our MCL1 program, PRT1419, other companies are developing MCL1 inhibitors with monotherapy and/or combination trials ongoing, including Amgen (AMG176), AstraZeneca (AZD5991), Novartis (MIK665), and Gilead (GS-9716). For our CDK9 program, PRT2527, both AstraZeneca (AZD4573), Vincerx (VIP512), and Kronos (KB-0742) have CDK9 programs in Phase 1 clinical trials. For our CDK4/6 program, PRT3645, Novartis (ribociclib), Lilly (abemaciclib), Pfizer (palbociclib), G1 Therapeutics (G1T38), and Fochon Pharmaceuticals (FCN-</w:t>
      </w:r>
    </w:p>
    <w:p>
      <w:pPr>
        <w:spacing w:after="0" w:line="5" w:lineRule="exact"/>
        <w:rPr>
          <w:sz w:val="20"/>
          <w:szCs w:val="20"/>
          <w:color w:val="auto"/>
        </w:rPr>
      </w:pPr>
    </w:p>
    <w:p>
      <w:pPr>
        <w:ind w:firstLine="8"/>
        <w:spacing w:after="0" w:line="255" w:lineRule="auto"/>
        <w:tabs>
          <w:tab w:leader="none" w:pos="3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clinical trials ongoing. For our SMARCA2 (BRM) degrader program, other companies, including Amgen, Aurigene, C4 Therapeutics, F. Hoffmann-La Roche, Foghorn Therapeutics, Inc., Kymera Therapeutics, Arvinas, Genentech, Boehringer Ingelheim, and Lilly have publicly disclosed their pre-clinical research efforts.</w:t>
      </w:r>
    </w:p>
    <w:p>
      <w:pPr>
        <w:spacing w:after="0" w:line="186"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9" w:name="page50"/>
    <w:bookmarkEnd w:id="49"/>
    <w:p>
      <w:pPr>
        <w:ind w:right="100"/>
        <w:spacing w:after="0" w:line="266" w:lineRule="auto"/>
        <w:rPr>
          <w:sz w:val="20"/>
          <w:szCs w:val="20"/>
          <w:color w:val="auto"/>
        </w:rPr>
      </w:pPr>
      <w:r>
        <w:rPr>
          <w:rFonts w:ascii="Times New Roman" w:cs="Times New Roman" w:eastAsia="Times New Roman" w:hAnsi="Times New Roman"/>
          <w:sz w:val="18"/>
          <w:szCs w:val="18"/>
          <w:color w:val="auto"/>
        </w:rPr>
        <w:t>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76"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91" w:lineRule="exact"/>
        <w:rPr>
          <w:sz w:val="20"/>
          <w:szCs w:val="20"/>
          <w:color w:val="auto"/>
        </w:rPr>
      </w:pPr>
    </w:p>
    <w:p>
      <w:pPr>
        <w:ind w:left="4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 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200" w:lineRule="exact"/>
        <w:rPr>
          <w:sz w:val="20"/>
          <w:szCs w:val="20"/>
          <w:color w:val="auto"/>
        </w:rPr>
      </w:pPr>
    </w:p>
    <w:p>
      <w:pPr>
        <w:spacing w:after="0" w:line="204" w:lineRule="exact"/>
        <w:rPr>
          <w:sz w:val="20"/>
          <w:szCs w:val="20"/>
          <w:color w:val="auto"/>
        </w:rPr>
      </w:pPr>
    </w:p>
    <w:p>
      <w:pPr>
        <w:ind w:right="120" w:firstLine="416"/>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187" w:lineRule="exact"/>
        <w:rPr>
          <w:sz w:val="20"/>
          <w:szCs w:val="20"/>
          <w:color w:val="auto"/>
        </w:rPr>
      </w:pPr>
    </w:p>
    <w:p>
      <w:pPr>
        <w:ind w:right="80" w:firstLine="416"/>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92"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 uncertainty regarding our ability to obtain coverage and adequate reimbursement for the same reasons applicable to our product candidates.</w:t>
      </w:r>
    </w:p>
    <w:p>
      <w:pPr>
        <w:spacing w:after="0" w:line="183"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spacing w:after="0" w:line="255" w:lineRule="auto"/>
        <w:rPr>
          <w:sz w:val="20"/>
          <w:szCs w:val="20"/>
          <w:color w:val="auto"/>
        </w:rPr>
      </w:pPr>
      <w:r>
        <w:rPr>
          <w:rFonts w:ascii="Times New Roman" w:cs="Times New Roman" w:eastAsia="Times New Roman" w:hAnsi="Times New Roman"/>
          <w:sz w:val="18"/>
          <w:szCs w:val="18"/>
          <w:color w:val="auto"/>
        </w:rPr>
        <w:t>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200" w:lineRule="exact"/>
        <w:rPr>
          <w:sz w:val="20"/>
          <w:szCs w:val="20"/>
          <w:color w:val="auto"/>
        </w:rPr>
      </w:pPr>
    </w:p>
    <w:p>
      <w:pPr>
        <w:spacing w:after="0" w:line="201" w:lineRule="exact"/>
        <w:rPr>
          <w:sz w:val="20"/>
          <w:szCs w:val="20"/>
          <w:color w:val="auto"/>
        </w:rPr>
      </w:pPr>
    </w:p>
    <w:p>
      <w:pPr>
        <w:ind w:left="4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51" w:lineRule="exact"/>
        <w:rPr>
          <w:sz w:val="20"/>
          <w:szCs w:val="20"/>
          <w:color w:val="auto"/>
        </w:rPr>
      </w:pPr>
    </w:p>
    <w:p>
      <w:pPr>
        <w:ind w:right="280" w:firstLine="416"/>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840" w:hanging="427"/>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Our Operations</w:t>
      </w:r>
    </w:p>
    <w:p>
      <w:pPr>
        <w:spacing w:after="0" w:line="117" w:lineRule="exact"/>
        <w:rPr>
          <w:sz w:val="20"/>
          <w:szCs w:val="20"/>
          <w:color w:val="auto"/>
        </w:rPr>
      </w:pPr>
    </w:p>
    <w:p>
      <w:pPr>
        <w:ind w:left="4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and to attract, retain and motivate qualified personnel and manage our human capital.</w:t>
      </w:r>
    </w:p>
    <w:p>
      <w:pPr>
        <w:spacing w:after="0" w:line="51"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183"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and in addition, the COVID-19 pandemic has increased companies’ willingness to hire remote workers,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1" w:name="page52"/>
    <w:bookmarkEnd w:id="51"/>
    <w:p>
      <w:pPr>
        <w:ind w:right="100"/>
        <w:spacing w:after="0" w:line="266" w:lineRule="auto"/>
        <w:rPr>
          <w:sz w:val="20"/>
          <w:szCs w:val="20"/>
          <w:color w:val="auto"/>
        </w:rPr>
      </w:pPr>
      <w:r>
        <w:rPr>
          <w:rFonts w:ascii="Times New Roman" w:cs="Times New Roman" w:eastAsia="Times New Roman" w:hAnsi="Times New Roman"/>
          <w:sz w:val="18"/>
          <w:szCs w:val="18"/>
          <w:color w:val="auto"/>
        </w:rPr>
        <w:t>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280" w:lineRule="exact"/>
        <w:rPr>
          <w:sz w:val="20"/>
          <w:szCs w:val="20"/>
          <w:color w:val="auto"/>
        </w:rPr>
      </w:pPr>
    </w:p>
    <w:p>
      <w:pPr>
        <w:ind w:left="4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37" w:lineRule="exact"/>
        <w:rPr>
          <w:sz w:val="20"/>
          <w:szCs w:val="20"/>
          <w:color w:val="auto"/>
        </w:rPr>
      </w:pPr>
    </w:p>
    <w:p>
      <w:pPr>
        <w:ind w:right="100" w:firstLine="416"/>
        <w:spacing w:after="0" w:line="255" w:lineRule="auto"/>
        <w:rPr>
          <w:sz w:val="20"/>
          <w:szCs w:val="20"/>
          <w:color w:val="auto"/>
        </w:rPr>
      </w:pPr>
      <w:r>
        <w:rPr>
          <w:rFonts w:ascii="Times New Roman" w:cs="Times New Roman" w:eastAsia="Times New Roman" w:hAnsi="Times New Roman"/>
          <w:sz w:val="18"/>
          <w:szCs w:val="18"/>
          <w:color w:val="auto"/>
        </w:rPr>
        <w:t>As of March 31, 2022, we had 118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364"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PRT543, PRT811, PRT1419 and PRT2527,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PRT543, PRT811, PRT1419, PRT2527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61" w:lineRule="exact"/>
        <w:rPr>
          <w:sz w:val="20"/>
          <w:szCs w:val="20"/>
          <w:color w:val="auto"/>
        </w:rPr>
      </w:pPr>
    </w:p>
    <w:p>
      <w:pPr>
        <w:jc w:val="both"/>
        <w:ind w:right="180" w:firstLine="416"/>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PRT543, PRT811, PRT1419 or PRT2527, our other pipeline product candidates or any future product candidates and, accordingly, may not achieve our research, development and commercialization goals.</w:t>
      </w:r>
    </w:p>
    <w:p>
      <w:pPr>
        <w:spacing w:after="0" w:line="226" w:lineRule="exact"/>
        <w:rPr>
          <w:sz w:val="20"/>
          <w:szCs w:val="20"/>
          <w:color w:val="auto"/>
        </w:rPr>
      </w:pPr>
    </w:p>
    <w:p>
      <w:pPr>
        <w:ind w:left="4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24"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65"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2" w:name="page53"/>
    <w:bookmarkEnd w:id="52"/>
    <w:p>
      <w:pPr>
        <w:ind w:left="4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72"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88" w:lineRule="exact"/>
        <w:rPr>
          <w:sz w:val="20"/>
          <w:szCs w:val="20"/>
          <w:color w:val="auto"/>
        </w:rPr>
      </w:pPr>
    </w:p>
    <w:p>
      <w:pPr>
        <w:ind w:firstLine="416"/>
        <w:spacing w:after="0" w:line="251"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third-party CROs, CMOs, vendors and other contractors and consultants are potentially vulnerable to breakdown or other damage or interruption from service interruptions, system malfunction, accidents by our employees or third party service providers, natural disasters, terrorism, war and telecommunication and electrical failures, as well as security breaches from inadvertent or intentional actions by our employees, third-party CROs, CMOs,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CMOs,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COVID-19 pandemic is generally increasing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CROs, CMOs, vendors and other contractors and consultants, or inappropriate disclosure of confidential or proprietary information, we could incur liability and reputational damage and the further development and commercialization of PRT543, PRT811, PRT1419, PRT2527 or any future product candidates could be delayed. Any breach, loss or compromise of clinical trial participant personal data may also subject us to civil fines and penalties, including under HIPAA, and other relevant state and federal privacy laws in the United States. The costs related to significant security breaches or disruptions could be material and exceed the limits of the cybersecurity insurance we maintain against such risks. If the information technology systems of our third-party CROs, CMOs,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50" w:lineRule="exact"/>
        <w:rPr>
          <w:sz w:val="20"/>
          <w:szCs w:val="20"/>
          <w:color w:val="auto"/>
        </w:rPr>
      </w:pPr>
    </w:p>
    <w:p>
      <w:pPr>
        <w:ind w:right="180" w:firstLine="416"/>
        <w:spacing w:after="0" w:line="254"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CROs, CMOs,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PRT543, PRT811, PRT1419, PRT2527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53" w:name="page54"/>
    <w:bookmarkEnd w:id="53"/>
    <w:p>
      <w:pPr>
        <w:spacing w:after="0" w:line="255" w:lineRule="auto"/>
        <w:rPr>
          <w:sz w:val="20"/>
          <w:szCs w:val="20"/>
          <w:color w:val="auto"/>
        </w:rPr>
      </w:pPr>
      <w:r>
        <w:rPr>
          <w:rFonts w:ascii="Times New Roman" w:cs="Times New Roman" w:eastAsia="Times New Roman" w:hAnsi="Times New Roman"/>
          <w:sz w:val="18"/>
          <w:szCs w:val="18"/>
          <w:color w:val="auto"/>
        </w:rPr>
        <w:t>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98" w:lineRule="exact"/>
        <w:rPr>
          <w:sz w:val="20"/>
          <w:szCs w:val="20"/>
          <w:color w:val="auto"/>
        </w:rPr>
      </w:pPr>
    </w:p>
    <w:p>
      <w:pPr>
        <w:ind w:left="4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24" w:lineRule="exact"/>
        <w:rPr>
          <w:sz w:val="20"/>
          <w:szCs w:val="20"/>
          <w:color w:val="auto"/>
        </w:rPr>
      </w:pPr>
    </w:p>
    <w:p>
      <w:pPr>
        <w:ind w:right="100" w:firstLine="416"/>
        <w:spacing w:after="0" w:line="25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38" w:lineRule="exact"/>
        <w:rPr>
          <w:sz w:val="20"/>
          <w:szCs w:val="20"/>
          <w:color w:val="auto"/>
        </w:rPr>
      </w:pPr>
    </w:p>
    <w:p>
      <w:pPr>
        <w:ind w:right="20" w:firstLine="416"/>
        <w:spacing w:after="0" w:line="251" w:lineRule="auto"/>
        <w:rPr>
          <w:sz w:val="20"/>
          <w:szCs w:val="20"/>
          <w:color w:val="auto"/>
        </w:rPr>
      </w:pPr>
      <w:r>
        <w:rPr>
          <w:rFonts w:ascii="Times New Roman" w:cs="Times New Roman" w:eastAsia="Times New Roman" w:hAnsi="Times New Roman"/>
          <w:sz w:val="18"/>
          <w:szCs w:val="18"/>
          <w:color w:val="auto"/>
        </w:rPr>
        <w:t>International data protection laws, including Regulation 2016/679, known as the General Data Protection Regulation, or GDPR, may also apply to health-related and other personal information obtained outside of the United States. The GDPR went into effect on May 25, 2018. The GDPR introduced new data protection requirements in the EU, as well as potential fines for noncompliant companies of up to the greater of €20 million or 4% of annual global revenue. The regulation imposes numerous new requirements for the collection, use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(e.g., the right to access, correct and delete their data). In addition, the GDPR includes restrictions on cross-border data transfer. The GDPR will increase our responsibility and liability in relation to personal data that we process, and we may be required to put in place additional mechanisms to ensure compliance with the new EU data protection rules. In addition,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they are subject to pending legal challenges that, if successful, could invalidate these mechanisms, restrict our ability to process personal data of Europeans outside of Europe and adversely impact our business. For example, in July 2020, the European Courts of Justice invalidated the EU-U.S. Privacy Shield, which enabled the transfer of personal data from EU to the U.S. for companies that had self-certified to the Privacy Shield. On August 10, 2020, the U.S. Department of Commerce and the European Commission announced new discussions to evaluate the potential for an enhanced EU-U.S. Privacy Shield framework to comply with the July 16 judgment of the Court of Justice. While the Court of Justice upheld the use of other data transfer mechanisms, such as the Binding Corporate Rules, the decision has led to some uncertainty regarding the use of such mechanisms for data transfers to the United States, and the court made clear that reliance on Binding Corporate Rules alone may not necessarily be sufficient in all circumstances.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Binding Corporate Rules, for cross-border data transfers. To comply with this guidance, we may need to implement additional safeguards to further enhance the security of data transferred out of the European Economic Area, which could increase our compliance costs, expose us to further regulatory scrutiny and liability, and adversely affect our business. To the extent that we were to rely on Privacy Shield, we will not be able to do so in the future, which could increase our costs and our ability to efficiently process personal data from the EU.</w:t>
      </w:r>
    </w:p>
    <w:p>
      <w:pPr>
        <w:spacing w:after="0" w:line="204"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Beginning in 2021, the United Kingdom became a “third country” under the GDPR. We may, however, incur liabilities,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ind w:right="60"/>
        <w:spacing w:after="0" w:line="282" w:lineRule="auto"/>
        <w:rPr>
          <w:sz w:val="20"/>
          <w:szCs w:val="20"/>
          <w:color w:val="auto"/>
        </w:rPr>
      </w:pPr>
      <w:r>
        <w:rPr>
          <w:rFonts w:ascii="Times New Roman" w:cs="Times New Roman" w:eastAsia="Times New Roman" w:hAnsi="Times New Roman"/>
          <w:sz w:val="18"/>
          <w:szCs w:val="18"/>
          <w:color w:val="auto"/>
        </w:rPr>
        <w:t>expenses, costs, and other operational losses under GDPR and applicable EU Member States and the United Kingdom privacy laws in connection with any measures we take to comply with them.</w:t>
      </w:r>
    </w:p>
    <w:p>
      <w:pPr>
        <w:spacing w:after="0" w:line="162" w:lineRule="exact"/>
        <w:rPr>
          <w:sz w:val="20"/>
          <w:szCs w:val="20"/>
          <w:color w:val="auto"/>
        </w:rPr>
      </w:pPr>
    </w:p>
    <w:p>
      <w:pPr>
        <w:ind w:right="40" w:firstLine="416"/>
        <w:spacing w:after="0" w:line="252" w:lineRule="auto"/>
        <w:rPr>
          <w:sz w:val="20"/>
          <w:szCs w:val="20"/>
          <w:color w:val="auto"/>
        </w:rPr>
      </w:pPr>
      <w:r>
        <w:rPr>
          <w:rFonts w:ascii="Times New Roman" w:cs="Times New Roman" w:eastAsia="Times New Roman" w:hAnsi="Times New Roman"/>
          <w:sz w:val="18"/>
          <w:szCs w:val="18"/>
          <w:color w:val="auto"/>
        </w:rPr>
        <w:t>In addition, the state of California recently enacted the California Consumer Privacy Act, or CCPA, which creates new individual privacy rights for California consumers (as defined in the CCPA)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became enforceable by the California Attorney General on July 1, 2020, along with related regulations which came into force on August 14, 2020 and may impact our business activities and exemplifies the vulnerability of our business to the evolving regulatory environment related to personal data and protected health information. Additionally, although not effective until January 1, 2023, the California Privacy Rights Act (the “CPRA”), which expands upon the CCPA, was passed in the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unlimited civil penalties for violations, as well as a private right of action for data breaches that is expected to increase data breach litigation. The CCPA and CPRA may increase our compliance costs and potential liability, particularly in the event of a data breach. Additionally, the CCPA has prompted a number of proposals in the U.S. for new federal and state-level privacy legislation that, if passed, could increase our potential liability, increase our compliance costs, and adversely affect our business. Other states are also seeking to regulate consumer privacy stringently, and both Virginia and Colorado signed comprehensive privacy legislation in 2021. These laws (the Virginia Consumer Data Protection Act and the Colorado Privacy Act) are set to come into force in 2023 and a number of other state legislatures are actively considering passing similar consumer privacy laws, including those in New York and Washington.</w:t>
      </w:r>
    </w:p>
    <w:p>
      <w:pPr>
        <w:spacing w:after="0" w:line="193"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96" w:lineRule="exact"/>
        <w:rPr>
          <w:sz w:val="20"/>
          <w:szCs w:val="20"/>
          <w:color w:val="auto"/>
        </w:rPr>
      </w:pPr>
    </w:p>
    <w:p>
      <w:pPr>
        <w:ind w:left="4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Our company is located in Delaware. Any unplanned event, such as flood, fire, explosion, earthquake, extreme weather condition, medical epidemic, including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In addition, the long-term effects of climate change on general economic conditions and the pharmaceutical industry in particular are unclear, and may heighten or intensify existing risk of natural disasters.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business interruption could have a material and adverse effect on our business, financial condition, results of operations and prospects.</w:t>
      </w:r>
    </w:p>
    <w:p>
      <w:pPr>
        <w:spacing w:after="0" w:line="275" w:lineRule="exact"/>
        <w:rPr>
          <w:sz w:val="20"/>
          <w:szCs w:val="20"/>
          <w:color w:val="auto"/>
        </w:rPr>
      </w:pPr>
    </w:p>
    <w:p>
      <w:pPr>
        <w:ind w:left="4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37"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94" w:lineRule="exact"/>
        <w:rPr>
          <w:sz w:val="20"/>
          <w:szCs w:val="20"/>
          <w:color w:val="auto"/>
        </w:rPr>
      </w:pPr>
    </w:p>
    <w:p>
      <w:pPr>
        <w:ind w:firstLine="416"/>
        <w:spacing w:after="0" w:line="267" w:lineRule="auto"/>
        <w:rPr>
          <w:sz w:val="20"/>
          <w:szCs w:val="20"/>
          <w:color w:val="auto"/>
        </w:rPr>
      </w:pPr>
      <w:r>
        <w:rPr>
          <w:rFonts w:ascii="Times New Roman" w:cs="Times New Roman" w:eastAsia="Times New Roman" w:hAnsi="Times New Roman"/>
          <w:sz w:val="17"/>
          <w:szCs w:val="17"/>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in taxable years beginning after December 31, 2020,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334" w:lineRule="exact"/>
        <w:rPr>
          <w:sz w:val="20"/>
          <w:szCs w:val="20"/>
          <w:color w:val="auto"/>
        </w:rPr>
      </w:pPr>
    </w:p>
    <w:p>
      <w:pPr>
        <w:ind w:left="4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37"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79" w:lineRule="exact"/>
        <w:rPr>
          <w:sz w:val="20"/>
          <w:szCs w:val="20"/>
          <w:color w:val="auto"/>
        </w:rPr>
      </w:pPr>
    </w:p>
    <w:p>
      <w:pPr>
        <w:ind w:left="840" w:hanging="427"/>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840" w:right="140" w:hanging="427"/>
        <w:spacing w:after="0" w:line="282" w:lineRule="auto"/>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6" w:name="page57"/>
    <w:bookmarkEnd w:id="56"/>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systems and personnel of any acquired businesses with our operations, systems and personnel;</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portfolio of investments may be subject to market, interest and credit risk that may reduce its value.</w:t>
      </w:r>
    </w:p>
    <w:p>
      <w:pPr>
        <w:spacing w:after="0" w:line="121"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In addition, the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left="4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67" w:lineRule="exact"/>
        <w:rPr>
          <w:sz w:val="20"/>
          <w:szCs w:val="20"/>
          <w:color w:val="auto"/>
        </w:rPr>
      </w:pPr>
    </w:p>
    <w:p>
      <w:pPr>
        <w:ind w:right="160" w:firstLine="416"/>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for example, PRT543, PRT811, PRT1419 and PRT2527,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189"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in foreign jurisdictions relating to PRT543, PRT811, and PRT1419.</w:t>
      </w:r>
    </w:p>
    <w:p>
      <w:pPr>
        <w:spacing w:after="0" w:line="180" w:lineRule="exact"/>
        <w:rPr>
          <w:sz w:val="20"/>
          <w:szCs w:val="20"/>
          <w:color w:val="auto"/>
        </w:rPr>
      </w:pPr>
    </w:p>
    <w:p>
      <w:pPr>
        <w:ind w:right="60" w:firstLine="419"/>
        <w:spacing w:after="0" w:line="255" w:lineRule="auto"/>
        <w:rPr>
          <w:sz w:val="20"/>
          <w:szCs w:val="20"/>
          <w:color w:val="auto"/>
        </w:rPr>
      </w:pPr>
      <w:r>
        <w:rPr>
          <w:rFonts w:ascii="Times New Roman" w:cs="Times New Roman" w:eastAsia="Times New Roman" w:hAnsi="Times New Roman"/>
          <w:sz w:val="18"/>
          <w:szCs w:val="18"/>
          <w:color w:val="auto"/>
        </w:rPr>
        <w:t>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189" w:lineRule="exact"/>
        <w:rPr>
          <w:sz w:val="20"/>
          <w:szCs w:val="20"/>
          <w:color w:val="auto"/>
        </w:rPr>
      </w:pPr>
    </w:p>
    <w:p>
      <w:pPr>
        <w:ind w:right="40" w:firstLine="419"/>
        <w:spacing w:after="0" w:line="255" w:lineRule="auto"/>
        <w:rPr>
          <w:sz w:val="20"/>
          <w:szCs w:val="20"/>
          <w:color w:val="auto"/>
        </w:rPr>
      </w:pPr>
      <w:r>
        <w:rPr>
          <w:rFonts w:ascii="Times New Roman" w:cs="Times New Roman" w:eastAsia="Times New Roman" w:hAnsi="Times New Roman"/>
          <w:sz w:val="18"/>
          <w:szCs w:val="18"/>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7" w:name="page58"/>
    <w:bookmarkEnd w:id="57"/>
    <w:p>
      <w:pPr>
        <w:ind w:right="180"/>
        <w:spacing w:after="0" w:line="258" w:lineRule="auto"/>
        <w:rPr>
          <w:sz w:val="20"/>
          <w:szCs w:val="20"/>
          <w:color w:val="auto"/>
        </w:rPr>
      </w:pPr>
      <w:r>
        <w:rPr>
          <w:rFonts w:ascii="Times New Roman" w:cs="Times New Roman" w:eastAsia="Times New Roman" w:hAnsi="Times New Roman"/>
          <w:sz w:val="18"/>
          <w:szCs w:val="18"/>
          <w:color w:val="auto"/>
        </w:rPr>
        <w:t>whether any issued patents will be found invalid and unenforceable or will be threatened by third parties or whether any issued patents will effectively prevent others from commercializing competing technologies and product candidates. While we have filed patent applications covering aspects of our current product candidates, we currently have only one issued U.S. patent covering PRT543 that is expected to expire no earlier than August 9, 2038, one issued U.S. patent covering PRT811 that is expected to expire no earlier than March 14, 2039; and one issued U.S. patent covering PRT1419 that is expected to expire no earlier than November 8, 2039. We do not yet have issued patents on all of our product candidates.</w:t>
      </w:r>
    </w:p>
    <w:p>
      <w:pPr>
        <w:spacing w:after="0" w:line="210"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217"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8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92" w:lineRule="exact"/>
        <w:rPr>
          <w:sz w:val="20"/>
          <w:szCs w:val="20"/>
          <w:color w:val="auto"/>
        </w:rPr>
      </w:pPr>
    </w:p>
    <w:p>
      <w:pPr>
        <w:ind w:right="160" w:firstLine="416"/>
        <w:spacing w:after="0" w:line="258"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183"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8" w:name="page59"/>
    <w:bookmarkEnd w:id="58"/>
    <w:p>
      <w:pPr>
        <w:spacing w:after="0" w:line="253" w:lineRule="auto"/>
        <w:rPr>
          <w:sz w:val="20"/>
          <w:szCs w:val="20"/>
          <w:color w:val="auto"/>
        </w:rPr>
      </w:pPr>
      <w:r>
        <w:rPr>
          <w:rFonts w:ascii="Times New Roman" w:cs="Times New Roman" w:eastAsia="Times New Roman" w:hAnsi="Times New Roman"/>
          <w:sz w:val="18"/>
          <w:szCs w:val="18"/>
          <w:color w:val="auto"/>
        </w:rPr>
        <w:t>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219"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231" w:lineRule="exact"/>
        <w:rPr>
          <w:sz w:val="20"/>
          <w:szCs w:val="20"/>
          <w:color w:val="auto"/>
        </w:rPr>
      </w:pPr>
    </w:p>
    <w:p>
      <w:pPr>
        <w:ind w:left="4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10" w:lineRule="exact"/>
        <w:rPr>
          <w:sz w:val="20"/>
          <w:szCs w:val="20"/>
          <w:color w:val="auto"/>
        </w:rPr>
      </w:pPr>
    </w:p>
    <w:p>
      <w:pPr>
        <w:ind w:right="40" w:firstLine="416"/>
        <w:spacing w:after="0" w:line="252"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81"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9" w:name="page60"/>
    <w:bookmarkEnd w:id="59"/>
    <w:p>
      <w:pPr>
        <w:ind w:right="320"/>
        <w:spacing w:after="0" w:line="282" w:lineRule="auto"/>
        <w:rPr>
          <w:sz w:val="20"/>
          <w:szCs w:val="20"/>
          <w:color w:val="auto"/>
        </w:rPr>
      </w:pPr>
      <w:r>
        <w:rPr>
          <w:rFonts w:ascii="Times New Roman" w:cs="Times New Roman" w:eastAsia="Times New Roman" w:hAnsi="Times New Roman"/>
          <w:sz w:val="18"/>
          <w:szCs w:val="18"/>
          <w:color w:val="auto"/>
        </w:rPr>
        <w:t>could have a material adverse effect on our existing patent portfolio and weaken our ability to obtain new patents or to enforce our existing patents and patents that we might obtain in the future.</w:t>
      </w:r>
    </w:p>
    <w:p>
      <w:pPr>
        <w:spacing w:after="0" w:line="239" w:lineRule="exact"/>
        <w:rPr>
          <w:sz w:val="20"/>
          <w:szCs w:val="20"/>
          <w:color w:val="auto"/>
        </w:rPr>
      </w:pPr>
    </w:p>
    <w:p>
      <w:pPr>
        <w:ind w:left="4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10" w:lineRule="exact"/>
        <w:rPr>
          <w:sz w:val="20"/>
          <w:szCs w:val="20"/>
          <w:color w:val="auto"/>
        </w:rPr>
      </w:pPr>
    </w:p>
    <w:p>
      <w:pPr>
        <w:ind w:right="200" w:firstLine="416"/>
        <w:spacing w:after="0" w:line="258"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183" w:lineRule="exact"/>
        <w:rPr>
          <w:sz w:val="20"/>
          <w:szCs w:val="20"/>
          <w:color w:val="auto"/>
        </w:rPr>
      </w:pPr>
    </w:p>
    <w:p>
      <w:pPr>
        <w:ind w:right="280" w:firstLine="416"/>
        <w:spacing w:after="0" w:line="258" w:lineRule="auto"/>
        <w:rPr>
          <w:sz w:val="20"/>
          <w:szCs w:val="20"/>
          <w:color w:val="auto"/>
        </w:rPr>
      </w:pPr>
      <w:r>
        <w:rPr>
          <w:rFonts w:ascii="Times New Roman" w:cs="Times New Roman" w:eastAsia="Times New Roman" w:hAnsi="Times New Roman"/>
          <w:sz w:val="18"/>
          <w:szCs w:val="18"/>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183"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0"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92"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(e.g., opposition proceedings). Such proceedings could result in revocation, cancellation or amendment to our patents in such a way that they no longer cover and protect our product candidates. The outcome following legal assertions of 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such loss of patent protection could have a material adverse impact on our business, financial condition, results of operations and prospects.</w:t>
      </w:r>
    </w:p>
    <w:p>
      <w:pPr>
        <w:spacing w:after="0" w:line="3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or enforce our intellectual property and proprietary rights throughout the world.</w:t>
      </w:r>
    </w:p>
    <w:p>
      <w:pPr>
        <w:spacing w:after="0" w:line="135"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 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215"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242" w:lineRule="exact"/>
        <w:rPr>
          <w:sz w:val="20"/>
          <w:szCs w:val="20"/>
          <w:color w:val="auto"/>
        </w:rPr>
      </w:pPr>
    </w:p>
    <w:p>
      <w:pPr>
        <w:ind w:left="4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51" w:lineRule="exact"/>
        <w:rPr>
          <w:sz w:val="20"/>
          <w:szCs w:val="20"/>
          <w:color w:val="auto"/>
        </w:rPr>
      </w:pPr>
    </w:p>
    <w:p>
      <w:pPr>
        <w:ind w:right="40" w:firstLine="416"/>
        <w:spacing w:after="0" w:line="257"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200" w:lineRule="exact"/>
        <w:rPr>
          <w:sz w:val="20"/>
          <w:szCs w:val="20"/>
          <w:color w:val="auto"/>
        </w:rPr>
      </w:pPr>
    </w:p>
    <w:p>
      <w:pPr>
        <w:spacing w:after="0" w:line="204"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1" w:name="page62"/>
    <w:bookmarkEnd w:id="61"/>
    <w:p>
      <w:pPr>
        <w:ind w:right="300"/>
        <w:spacing w:after="0" w:line="282" w:lineRule="auto"/>
        <w:rPr>
          <w:sz w:val="20"/>
          <w:szCs w:val="20"/>
          <w:color w:val="auto"/>
        </w:rPr>
      </w:pPr>
      <w:r>
        <w:rPr>
          <w:rFonts w:ascii="Times New Roman" w:cs="Times New Roman" w:eastAsia="Times New Roman" w:hAnsi="Times New Roman"/>
          <w:sz w:val="18"/>
          <w:szCs w:val="18"/>
          <w:color w:val="auto"/>
        </w:rPr>
        <w:t>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62"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196" w:lineRule="exact"/>
        <w:rPr>
          <w:sz w:val="20"/>
          <w:szCs w:val="20"/>
          <w:color w:val="auto"/>
        </w:rPr>
      </w:pPr>
    </w:p>
    <w:p>
      <w:pPr>
        <w:ind w:right="140" w:firstLine="416"/>
        <w:spacing w:after="0" w:line="253"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98" w:lineRule="exact"/>
        <w:rPr>
          <w:sz w:val="20"/>
          <w:szCs w:val="20"/>
          <w:color w:val="auto"/>
        </w:rPr>
      </w:pPr>
    </w:p>
    <w:p>
      <w:pPr>
        <w:ind w:left="4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51"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194"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right="40"/>
        <w:spacing w:after="0" w:line="255" w:lineRule="auto"/>
        <w:rPr>
          <w:sz w:val="20"/>
          <w:szCs w:val="20"/>
          <w:color w:val="auto"/>
        </w:rPr>
      </w:pPr>
      <w:r>
        <w:rPr>
          <w:rFonts w:ascii="Times New Roman" w:cs="Times New Roman" w:eastAsia="Times New Roman" w:hAnsi="Times New Roman"/>
          <w:sz w:val="18"/>
          <w:szCs w:val="18"/>
          <w:color w:val="auto"/>
        </w:rPr>
        <w:t>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Rights to improvements to our product candidates may be held by third parties.</w:t>
      </w:r>
    </w:p>
    <w:p>
      <w:pPr>
        <w:spacing w:after="0" w:line="121"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3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term of our patents may be inadequate to protect our competitive position on our products.</w:t>
      </w:r>
    </w:p>
    <w:p>
      <w:pPr>
        <w:spacing w:after="0" w:line="121" w:lineRule="exact"/>
        <w:rPr>
          <w:sz w:val="20"/>
          <w:szCs w:val="20"/>
          <w:color w:val="auto"/>
        </w:rPr>
      </w:pPr>
    </w:p>
    <w:p>
      <w:pPr>
        <w:ind w:right="80" w:firstLine="416"/>
        <w:spacing w:after="0" w:line="25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 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remaining term of a patent beyond a total of 14 years from the date of product approval, only one patent applicable to an approved drug is eligible for the extension and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3" w:name="page64"/>
    <w:bookmarkEnd w:id="63"/>
    <w:p>
      <w:pPr>
        <w:ind w:left="4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67"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200" w:lineRule="exact"/>
        <w:rPr>
          <w:sz w:val="20"/>
          <w:szCs w:val="20"/>
          <w:color w:val="auto"/>
        </w:rPr>
      </w:pPr>
    </w:p>
    <w:p>
      <w:pPr>
        <w:spacing w:after="0" w:line="314" w:lineRule="exact"/>
        <w:rPr>
          <w:sz w:val="20"/>
          <w:szCs w:val="20"/>
          <w:color w:val="auto"/>
        </w:rPr>
      </w:pPr>
    </w:p>
    <w:p>
      <w:pPr>
        <w:ind w:left="4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51"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120" w:firstLine="416"/>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820" w:right="160" w:hanging="407"/>
        <w:spacing w:after="0" w:line="282"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53" w:lineRule="exact"/>
        <w:rPr>
          <w:rFonts w:ascii="Times New Roman" w:cs="Times New Roman" w:eastAsia="Times New Roman" w:hAnsi="Times New Roman"/>
          <w:sz w:val="18"/>
          <w:szCs w:val="18"/>
          <w:color w:val="auto"/>
        </w:rPr>
      </w:pPr>
    </w:p>
    <w:p>
      <w:pPr>
        <w:ind w:left="820" w:right="320" w:hanging="407"/>
        <w:spacing w:after="0" w:line="282"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820" w:right="120" w:hanging="407"/>
        <w:spacing w:after="0" w:line="282"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820" w:right="100" w:hanging="407"/>
        <w:spacing w:after="0" w:line="28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57" w:lineRule="exact"/>
        <w:rPr>
          <w:rFonts w:ascii="Times New Roman" w:cs="Times New Roman" w:eastAsia="Times New Roman" w:hAnsi="Times New Roman"/>
          <w:sz w:val="18"/>
          <w:szCs w:val="18"/>
          <w:color w:val="auto"/>
        </w:rPr>
      </w:pPr>
    </w:p>
    <w:p>
      <w:pPr>
        <w:ind w:left="820" w:right="100" w:hanging="407"/>
        <w:spacing w:after="0" w:line="282"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4" w:name="page65"/>
    <w:bookmarkEnd w:id="64"/>
    <w:p>
      <w:pPr>
        <w:ind w:left="820" w:right="20" w:hanging="407"/>
        <w:spacing w:after="0" w:line="282"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57" w:lineRule="exact"/>
        <w:rPr>
          <w:rFonts w:ascii="Times New Roman" w:cs="Times New Roman" w:eastAsia="Times New Roman" w:hAnsi="Times New Roman"/>
          <w:sz w:val="18"/>
          <w:szCs w:val="18"/>
          <w:color w:val="auto"/>
        </w:rPr>
      </w:pPr>
    </w:p>
    <w:p>
      <w:pPr>
        <w:ind w:left="820" w:right="260" w:hanging="407"/>
        <w:spacing w:after="0" w:line="282"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 how, and a third party may subsequently file a patent covering such intellectual property.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90" w:lineRule="exact"/>
        <w:rPr>
          <w:sz w:val="20"/>
          <w:szCs w:val="20"/>
          <w:color w:val="auto"/>
        </w:rPr>
      </w:pPr>
    </w:p>
    <w:p>
      <w:pPr>
        <w:ind w:left="4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37"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43" w:lineRule="exact"/>
        <w:rPr>
          <w:sz w:val="20"/>
          <w:szCs w:val="20"/>
          <w:color w:val="auto"/>
        </w:rPr>
      </w:pPr>
    </w:p>
    <w:p>
      <w:pPr>
        <w:ind w:left="4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37" w:lineRule="exact"/>
        <w:rPr>
          <w:sz w:val="20"/>
          <w:szCs w:val="20"/>
          <w:color w:val="auto"/>
        </w:rPr>
      </w:pPr>
    </w:p>
    <w:p>
      <w:pPr>
        <w:ind w:right="120" w:firstLine="416"/>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40" w:lineRule="exact"/>
        <w:rPr>
          <w:sz w:val="20"/>
          <w:szCs w:val="20"/>
          <w:color w:val="auto"/>
        </w:rPr>
      </w:pPr>
    </w:p>
    <w:p>
      <w:pPr>
        <w:ind w:left="820" w:right="460" w:hanging="407"/>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planned and ongoing development of our product candidates or future development programs, including scale-up CMC expenses;</w:t>
      </w:r>
    </w:p>
    <w:p>
      <w:pPr>
        <w:spacing w:after="0" w:line="26" w:lineRule="exact"/>
        <w:rPr>
          <w:rFonts w:ascii="Times New Roman" w:cs="Times New Roman" w:eastAsia="Times New Roman" w:hAnsi="Times New Roman"/>
          <w:sz w:val="18"/>
          <w:szCs w:val="18"/>
          <w:color w:val="auto"/>
        </w:rPr>
      </w:pPr>
    </w:p>
    <w:p>
      <w:pPr>
        <w:ind w:left="820" w:hanging="407"/>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future preclinical or clinical trials or funding support by us, or future collaborators or licensing partners;</w:t>
      </w:r>
    </w:p>
    <w:p>
      <w:pPr>
        <w:spacing w:after="0" w:line="40"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03" w:lineRule="exact"/>
        <w:rPr>
          <w:rFonts w:ascii="Times New Roman" w:cs="Times New Roman" w:eastAsia="Times New Roman" w:hAnsi="Times New Roman"/>
          <w:sz w:val="18"/>
          <w:szCs w:val="18"/>
          <w:color w:val="auto"/>
        </w:rPr>
      </w:pPr>
    </w:p>
    <w:p>
      <w:pPr>
        <w:ind w:left="820" w:right="340" w:hanging="407"/>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40" w:lineRule="exact"/>
        <w:rPr>
          <w:rFonts w:ascii="Times New Roman" w:cs="Times New Roman" w:eastAsia="Times New Roman" w:hAnsi="Times New Roman"/>
          <w:sz w:val="18"/>
          <w:szCs w:val="18"/>
          <w:color w:val="auto"/>
        </w:rPr>
      </w:pPr>
    </w:p>
    <w:p>
      <w:pPr>
        <w:ind w:left="820" w:right="520" w:hanging="407"/>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3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such as due to the COVID-19 pandemic.</w:t>
      </w:r>
    </w:p>
    <w:p>
      <w:pPr>
        <w:spacing w:after="0" w:line="239"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65" w:name="page66"/>
    <w:bookmarkEnd w:id="65"/>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which could result in substantial losses for purchasers of our common stock.</w:t>
      </w:r>
    </w:p>
    <w:p>
      <w:pPr>
        <w:spacing w:after="0" w:line="121"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has been highly volatile since our initial public offering, or IPO. From March 31, 2021 to March 31, 2022, the closing price of common stock on the Nasdaq Global Select Market has ranged from $6.76 to $45.42 per share. The market price of our common stock is likely to continue to be highly volatile and subject to wide fluctuations in response to various factors, some of which we cannot control. As a result of this volatility, investors may not be able to sell their common stock at or above the price paid. The market price for our common stock may be influenced by many factors, including the other risks described in this section of this Quarterly Report on Form 10-Q and the following:</w:t>
      </w:r>
    </w:p>
    <w:p>
      <w:pPr>
        <w:spacing w:after="0" w:line="75" w:lineRule="exact"/>
        <w:rPr>
          <w:sz w:val="20"/>
          <w:szCs w:val="20"/>
          <w:color w:val="auto"/>
        </w:rPr>
      </w:pPr>
    </w:p>
    <w:p>
      <w:pPr>
        <w:ind w:left="820" w:right="120" w:hanging="407"/>
        <w:spacing w:after="0" w:line="282"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or results of clinical trials of our product candidates, or those of our competitors or our future collaborators,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820" w:right="200" w:hanging="407"/>
        <w:spacing w:after="0" w:line="282"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 candidates;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30" w:lineRule="exact"/>
        <w:rPr>
          <w:rFonts w:ascii="Times New Roman" w:cs="Times New Roman" w:eastAsia="Times New Roman" w:hAnsi="Times New Roman"/>
          <w:sz w:val="18"/>
          <w:szCs w:val="18"/>
          <w:color w:val="auto"/>
        </w:rPr>
      </w:pPr>
    </w:p>
    <w:p>
      <w:pPr>
        <w:ind w:left="820" w:right="260" w:hanging="407"/>
        <w:spacing w:after="0" w:line="282"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4" w:lineRule="exact"/>
        <w:rPr>
          <w:sz w:val="20"/>
          <w:szCs w:val="20"/>
          <w:color w:val="auto"/>
        </w:rPr>
      </w:pPr>
    </w:p>
    <w:p>
      <w:pPr>
        <w:ind w:left="420" w:right="160"/>
        <w:spacing w:after="0" w:line="375" w:lineRule="auto"/>
        <w:rPr>
          <w:sz w:val="20"/>
          <w:szCs w:val="20"/>
          <w:color w:val="auto"/>
        </w:rPr>
      </w:pPr>
      <w:r>
        <w:rPr>
          <w:rFonts w:ascii="Times New Roman" w:cs="Times New Roman" w:eastAsia="Times New Roman" w:hAnsi="Times New Roman"/>
          <w:sz w:val="18"/>
          <w:szCs w:val="18"/>
          <w:color w:val="auto"/>
        </w:rPr>
        <w:t>• actions taken by regulatory agencies with respect to our products, clinical studies, manufacturing process or sales and marketing terms; • actual or anticipated variations in our financial results or those of companies that are perceived to be similar to us;</w:t>
      </w:r>
    </w:p>
    <w:p>
      <w:pPr>
        <w:spacing w:after="0" w:line="1" w:lineRule="exact"/>
        <w:rPr>
          <w:sz w:val="20"/>
          <w:szCs w:val="20"/>
          <w:color w:val="auto"/>
        </w:rPr>
      </w:pPr>
    </w:p>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development and commercialization partners;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44" w:lineRule="exact"/>
        <w:rPr>
          <w:sz w:val="20"/>
          <w:szCs w:val="20"/>
          <w:color w:val="auto"/>
        </w:rPr>
      </w:pPr>
    </w:p>
    <w:p>
      <w:pPr>
        <w:jc w:val="center"/>
        <w:ind w:right="-379"/>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sz w:val="20"/>
          <w:szCs w:val="20"/>
          <w:color w:val="auto"/>
        </w:rPr>
      </w:pPr>
    </w:p>
    <w:p>
      <w:pPr>
        <w:ind w:left="820" w:right="60" w:hanging="407"/>
        <w:spacing w:after="0" w:line="282"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 candidates and products;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3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44" w:lineRule="exact"/>
        <w:rPr>
          <w:rFonts w:ascii="Times New Roman" w:cs="Times New Roman" w:eastAsia="Times New Roman" w:hAnsi="Times New Roman"/>
          <w:sz w:val="18"/>
          <w:szCs w:val="18"/>
          <w:color w:val="auto"/>
        </w:rPr>
      </w:pPr>
    </w:p>
    <w:p>
      <w:pPr>
        <w:ind w:left="820" w:right="300" w:hanging="407"/>
        <w:spacing w:after="0" w:line="282"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4"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sz w:val="20"/>
          <w:szCs w:val="20"/>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fluctuations of trading volume of our common stock;</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insiders or our stockholders;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(including the current conflict in Ukraine);</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66" w:name="page67"/>
    <w:bookmarkEnd w:id="66"/>
    <w:p>
      <w:pPr>
        <w:ind w:left="820" w:right="600" w:hanging="407"/>
        <w:spacing w:after="0" w:line="282" w:lineRule="auto"/>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or other events or factors, many of which are beyond our control, such as the COVID-19 pandemic.</w:t>
      </w:r>
    </w:p>
    <w:p>
      <w:pPr>
        <w:spacing w:after="0" w:line="162"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39" w:lineRule="exact"/>
        <w:rPr>
          <w:sz w:val="20"/>
          <w:szCs w:val="20"/>
          <w:color w:val="auto"/>
        </w:rPr>
      </w:pPr>
    </w:p>
    <w:p>
      <w:pPr>
        <w:ind w:left="4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1"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As of March 31, 2022, our executive officers, directors, beneficial owners of 5% or more of our capital stock and their respective affiliates beneficially owned a substantial portion of our common stock. The voting power of this group may increase to the extent they convert shares of non-voting common stock they hold into common stock.</w:t>
      </w:r>
    </w:p>
    <w:p>
      <w:pPr>
        <w:spacing w:after="0" w:line="176"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This group of stockholders have the ability to control us through this ownership position and are able to determine all matters requiring stockholder approval. For example, these stockholders are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16" w:lineRule="exact"/>
        <w:rPr>
          <w:sz w:val="20"/>
          <w:szCs w:val="20"/>
          <w:color w:val="auto"/>
        </w:rPr>
      </w:pPr>
    </w:p>
    <w:p>
      <w:pPr>
        <w:ind w:left="4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51" w:lineRule="exact"/>
        <w:rPr>
          <w:sz w:val="20"/>
          <w:szCs w:val="20"/>
          <w:color w:val="auto"/>
        </w:rPr>
      </w:pPr>
    </w:p>
    <w:p>
      <w:pPr>
        <w:ind w:right="60" w:firstLine="416"/>
        <w:spacing w:after="0" w:line="253" w:lineRule="auto"/>
        <w:rPr>
          <w:sz w:val="20"/>
          <w:szCs w:val="20"/>
          <w:color w:val="auto"/>
        </w:rPr>
      </w:pPr>
      <w:r>
        <w:rPr>
          <w:rFonts w:ascii="Times New Roman" w:cs="Times New Roman" w:eastAsia="Times New Roman" w:hAnsi="Times New Roman"/>
          <w:sz w:val="18"/>
          <w:szCs w:val="18"/>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restated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at March 31, 2022, the common stock will have 100% of the voting power, but if the holders of non-voting common stock were to convert all of their shares into common stock, the prior common stock would have 76.1% of the voting power, and the former non-voting common stock would represent 23.9% of the voting power. Additionally, stockholders who hold, in the aggregate, more than 10% of our common stock and non-voting common stock,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294" w:lineRule="exact"/>
        <w:rPr>
          <w:sz w:val="20"/>
          <w:szCs w:val="20"/>
          <w:color w:val="auto"/>
        </w:rPr>
      </w:pPr>
    </w:p>
    <w:p>
      <w:pPr>
        <w:ind w:left="420"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28"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our Annual Reports on Form 10-K as well as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in our Annual Reports on Form 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7" w:name="page68"/>
    <w:bookmarkEnd w:id="67"/>
    <w:p>
      <w:pPr>
        <w:ind w:firstLine="416"/>
        <w:spacing w:after="0" w:line="253" w:lineRule="auto"/>
        <w:rPr>
          <w:sz w:val="20"/>
          <w:szCs w:val="20"/>
          <w:color w:val="auto"/>
        </w:rPr>
      </w:pPr>
      <w:r>
        <w:rPr>
          <w:rFonts w:ascii="Times New Roman" w:cs="Times New Roman" w:eastAsia="Times New Roman" w:hAnsi="Times New Roman"/>
          <w:sz w:val="18"/>
          <w:szCs w:val="18"/>
          <w:color w:val="auto"/>
        </w:rPr>
        <w:t>We could be an emerging growth company until December 31, 2025, although circumstances could cause us to lose that status earlier, including if we are deemed to be a “large accelerated filer,” which occurs when the market value of our common stock that is held by non-affiliates equals or exceeds $700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our revenues remain less than $100.0 million, and reduced disclosure obligations regarding executive compensation in our Annual Reports on Form 10-K as well as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92"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200" w:lineRule="exact"/>
        <w:rPr>
          <w:sz w:val="20"/>
          <w:szCs w:val="20"/>
          <w:color w:val="auto"/>
        </w:rPr>
      </w:pPr>
    </w:p>
    <w:p>
      <w:pPr>
        <w:spacing w:after="0" w:line="203" w:lineRule="exact"/>
        <w:rPr>
          <w:sz w:val="20"/>
          <w:szCs w:val="20"/>
          <w:color w:val="auto"/>
        </w:rPr>
      </w:pPr>
    </w:p>
    <w:p>
      <w:pPr>
        <w:ind w:right="80" w:firstLine="416"/>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as of the prior June 30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ind w:left="4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51"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54" w:lineRule="exact"/>
        <w:rPr>
          <w:sz w:val="20"/>
          <w:szCs w:val="20"/>
          <w:color w:val="auto"/>
        </w:rPr>
      </w:pPr>
    </w:p>
    <w:p>
      <w:pPr>
        <w:ind w:left="820" w:hanging="407"/>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04"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04" w:lineRule="exact"/>
        <w:rPr>
          <w:sz w:val="20"/>
          <w:szCs w:val="20"/>
          <w:color w:val="auto"/>
        </w:rPr>
      </w:pPr>
    </w:p>
    <w:p>
      <w:pPr>
        <w:ind w:left="820" w:hanging="407"/>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820" w:right="480" w:hanging="407"/>
        <w:spacing w:after="0" w:line="282" w:lineRule="auto"/>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8" w:name="page69"/>
    <w:bookmarkEnd w:id="68"/>
    <w:p>
      <w:pPr>
        <w:ind w:right="20" w:firstLine="416"/>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53" w:lineRule="exact"/>
        <w:rPr>
          <w:sz w:val="20"/>
          <w:szCs w:val="20"/>
          <w:color w:val="auto"/>
        </w:rPr>
      </w:pPr>
    </w:p>
    <w:p>
      <w:pPr>
        <w:ind w:left="4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37"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170" w:lineRule="exact"/>
        <w:rPr>
          <w:sz w:val="20"/>
          <w:szCs w:val="20"/>
          <w:color w:val="auto"/>
        </w:rPr>
      </w:pPr>
    </w:p>
    <w:p>
      <w:pPr>
        <w:ind w:right="60" w:firstLine="416"/>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3" w:lineRule="exact"/>
        <w:rPr>
          <w:sz w:val="20"/>
          <w:szCs w:val="20"/>
          <w:color w:val="auto"/>
        </w:rPr>
      </w:pPr>
    </w:p>
    <w:p>
      <w:pPr>
        <w:ind w:right="120" w:firstLine="416"/>
        <w:spacing w:after="0" w:line="254"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171" w:lineRule="exact"/>
        <w:rPr>
          <w:sz w:val="20"/>
          <w:szCs w:val="20"/>
          <w:color w:val="auto"/>
        </w:rPr>
      </w:pPr>
    </w:p>
    <w:p>
      <w:pPr>
        <w:ind w:right="300" w:firstLine="416"/>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16"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10"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69" w:name="page70"/>
    <w:bookmarkEnd w:id="69"/>
    <w:p>
      <w:pPr>
        <w:spacing w:after="0" w:line="256" w:lineRule="auto"/>
        <w:rPr>
          <w:sz w:val="20"/>
          <w:szCs w:val="20"/>
          <w:color w:val="auto"/>
        </w:rPr>
      </w:pPr>
      <w:r>
        <w:rPr>
          <w:rFonts w:ascii="Times New Roman" w:cs="Times New Roman" w:eastAsia="Times New Roman" w:hAnsi="Times New Roman"/>
          <w:sz w:val="18"/>
          <w:szCs w:val="18"/>
          <w:color w:val="auto"/>
        </w:rPr>
        <w:t>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56" w:lineRule="exact"/>
        <w:rPr>
          <w:sz w:val="20"/>
          <w:szCs w:val="20"/>
          <w:color w:val="auto"/>
        </w:rPr>
      </w:pPr>
    </w:p>
    <w:p>
      <w:pPr>
        <w:ind w:left="48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right="200" w:firstLine="47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4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91" w:lineRule="exact"/>
        <w:rPr>
          <w:sz w:val="20"/>
          <w:szCs w:val="20"/>
          <w:color w:val="auto"/>
        </w:rPr>
      </w:pPr>
    </w:p>
    <w:p>
      <w:pPr>
        <w:ind w:left="48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51"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the listing requirements of the Nasdaq Global Select Market. The Sarbanes-Oxley Act requires, among other things, that we maintain effective disclosure controls and procedures and internal control over financial reporting.</w:t>
      </w:r>
    </w:p>
    <w:p>
      <w:pPr>
        <w:spacing w:after="0" w:line="176"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We perform system and process evaluation and testing of our internal control over financial reporting to allow management to report on the effectiveness of our internal control over financial reporting in our Annual Report on Form 10-K filing for that year, as required by Section 404(a) of the Sarbanes-Oxley Act. This requires that we incur substantial additional professional fees and internal costs to expand our accounting and finance functions and that we expend significant management efforts.</w:t>
      </w:r>
    </w:p>
    <w:p>
      <w:pPr>
        <w:spacing w:after="0" w:line="180" w:lineRule="exact"/>
        <w:rPr>
          <w:sz w:val="20"/>
          <w:szCs w:val="20"/>
          <w:color w:val="auto"/>
        </w:rPr>
      </w:pPr>
    </w:p>
    <w:p>
      <w:pPr>
        <w:jc w:val="both"/>
        <w:ind w:right="180" w:firstLine="479"/>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0" w:lineRule="exact"/>
        <w:rPr>
          <w:sz w:val="20"/>
          <w:szCs w:val="20"/>
          <w:color w:val="auto"/>
        </w:rPr>
      </w:pPr>
    </w:p>
    <w:p>
      <w:pPr>
        <w:ind w:right="140" w:firstLine="479"/>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SEC, or other regulatory authorities.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05" w:right="4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firstLine="478"/>
        <w:spacing w:after="0" w:line="255" w:lineRule="auto"/>
        <w:rPr>
          <w:sz w:val="20"/>
          <w:szCs w:val="20"/>
          <w:color w:val="auto"/>
        </w:rPr>
      </w:pPr>
      <w:r>
        <w:rPr>
          <w:rFonts w:ascii="Times New Roman" w:cs="Times New Roman" w:eastAsia="Times New Roman" w:hAnsi="Times New Roman"/>
          <w:sz w:val="18"/>
          <w:szCs w:val="18"/>
          <w:color w:val="auto"/>
        </w:rPr>
        <w:t>In the third quarter of 2020, we completed our IPO and sold 9,573,750 shares of common stock at an IPO price of $19.00 per share. The offer and sale of all of the shares in the IPO were registered under the Securities Act pursuant to registration statements on Form S-1 (File No. 333-248628), which was declared effective by the SEC on September 24, 2020, as supplemented by a registration statement on Form S-1 filed pursuant to Rule 462(b) (File No. 333-248628). We received net proceeds from the IPO of approximately $166.6 million, after deducting underwriting discounts and commissions of approximately $12.7 million and offering expenses of approximately $2.5 million. Morgan Stanley, Goldman Sachs &amp; Co. LLC and BofA Securities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189" w:lineRule="exact"/>
        <w:rPr>
          <w:sz w:val="20"/>
          <w:szCs w:val="20"/>
          <w:color w:val="auto"/>
        </w:rPr>
      </w:pPr>
    </w:p>
    <w:p>
      <w:pPr>
        <w:ind w:right="540" w:firstLine="478"/>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the prospectus filed with the SEC pursuant to Rule 424(b)(4) under the Securities Act on September 25, 2020.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100" w:type="dxa"/>
            <w:vAlign w:val="bottom"/>
            <w:gridSpan w:val="11"/>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  Exhibit Filing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100" w:type="dxa"/>
            <w:vAlign w:val="bottom"/>
            <w:tcBorders>
              <w:bottom w:val="single" w:sz="8" w:color="auto"/>
            </w:tcBorders>
            <w:gridSpan w:val="11"/>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EE"/>
              </w:rPr>
              <w:t>Executive Employment Agreement, dated January 21, 2022, by and</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between the Registrant and Jane Huang</w:t>
            </w:r>
          </w:p>
        </w:tc>
        <w:tc>
          <w:tcPr>
            <w:tcW w:w="2020" w:type="dxa"/>
            <w:vAlign w:val="bottom"/>
            <w:tcBorders>
              <w:top w:val="single" w:sz="8" w:color="0000EE"/>
            </w:tcBorders>
            <w:gridSpan w:val="3"/>
          </w:tcPr>
          <w:p>
            <w:pPr>
              <w:spacing w:after="0"/>
              <w:rPr>
                <w:sz w:val="17"/>
                <w:szCs w:val="17"/>
                <w:color w:val="auto"/>
              </w:rPr>
            </w:pPr>
          </w:p>
        </w:tc>
        <w:tc>
          <w:tcPr>
            <w:tcW w:w="64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8"/>
                <w:szCs w:val="18"/>
                <w:color w:val="auto"/>
              </w:rPr>
            </w:pPr>
          </w:p>
        </w:tc>
        <w:tc>
          <w:tcPr>
            <w:tcW w:w="51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w:t>
            </w:r>
          </w:p>
        </w:tc>
        <w:tc>
          <w:tcPr>
            <w:tcW w:w="320" w:type="dxa"/>
            <w:vAlign w:val="bottom"/>
            <w:gridSpan w:val="5"/>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and 15d-14(a) under the Securities Exchange Act of 1934, as Adopted</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720" w:type="dxa"/>
            <w:vAlign w:val="bottom"/>
            <w:tcBorders>
              <w:top w:val="single" w:sz="8" w:color="0000EE"/>
            </w:tcBorders>
            <w:gridSpan w:val="2"/>
          </w:tcPr>
          <w:p>
            <w:pPr>
              <w:spacing w:after="0"/>
              <w:rPr>
                <w:sz w:val="17"/>
                <w:szCs w:val="17"/>
                <w:color w:val="auto"/>
              </w:rPr>
            </w:pPr>
          </w:p>
        </w:tc>
        <w:tc>
          <w:tcPr>
            <w:tcW w:w="46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8"/>
                <w:szCs w:val="18"/>
                <w:color w:val="auto"/>
              </w:rPr>
            </w:pPr>
          </w:p>
        </w:tc>
        <w:tc>
          <w:tcPr>
            <w:tcW w:w="54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 Exchange Act of 1934, as Adopted Pursuant</w:t>
            </w:r>
          </w:p>
        </w:tc>
        <w:tc>
          <w:tcPr>
            <w:tcW w:w="8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to Section 302 of the Sarbanes-Oxley Act of 2002.</w:t>
            </w:r>
          </w:p>
        </w:tc>
        <w:tc>
          <w:tcPr>
            <w:tcW w:w="186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5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w:t>
            </w:r>
          </w:p>
        </w:tc>
        <w:tc>
          <w:tcPr>
            <w:tcW w:w="18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 906 of the Sarbanes-Oxley Act of</w:t>
            </w:r>
          </w:p>
        </w:tc>
        <w:tc>
          <w:tcPr>
            <w:tcW w:w="3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8"/>
                <w:szCs w:val="18"/>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 906 of the Sarbanes-Oxley Act of</w:t>
            </w:r>
          </w:p>
        </w:tc>
        <w:tc>
          <w:tcPr>
            <w:tcW w:w="80" w:type="dxa"/>
            <w:vAlign w:val="bottom"/>
            <w:tcBorders>
              <w:top w:val="single" w:sz="8" w:color="0000EE"/>
            </w:tcBorders>
          </w:tcPr>
          <w:p>
            <w:pPr>
              <w:spacing w:after="0"/>
              <w:rPr>
                <w:sz w:val="17"/>
                <w:szCs w:val="17"/>
                <w:color w:val="auto"/>
              </w:rPr>
            </w:pPr>
          </w:p>
        </w:tc>
        <w:tc>
          <w:tcPr>
            <w:tcW w:w="24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10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0" w:type="dxa"/>
            <w:vAlign w:val="bottom"/>
          </w:tcPr>
          <w:p>
            <w:pPr>
              <w:spacing w:after="0"/>
              <w:rPr>
                <w:sz w:val="21"/>
                <w:szCs w:val="21"/>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0" w:type="dxa"/>
            <w:vAlign w:val="bottom"/>
          </w:tcPr>
          <w:p>
            <w:pPr>
              <w:spacing w:after="0"/>
              <w:rPr>
                <w:sz w:val="19"/>
                <w:szCs w:val="19"/>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0" w:type="dxa"/>
            <w:vAlign w:val="bottom"/>
          </w:tcPr>
          <w:p>
            <w:pPr>
              <w:spacing w:after="0"/>
              <w:rPr>
                <w:sz w:val="19"/>
                <w:szCs w:val="19"/>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0" w:type="dxa"/>
            <w:vAlign w:val="bottom"/>
          </w:tcPr>
          <w:p>
            <w:pPr>
              <w:spacing w:after="0"/>
              <w:rPr>
                <w:sz w:val="19"/>
                <w:szCs w:val="19"/>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0" w:type="dxa"/>
            <w:vAlign w:val="bottom"/>
          </w:tcPr>
          <w:p>
            <w:pPr>
              <w:spacing w:after="0"/>
              <w:rPr>
                <w:sz w:val="19"/>
                <w:szCs w:val="19"/>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0" w:type="dxa"/>
            <w:vAlign w:val="bottom"/>
          </w:tcPr>
          <w:p>
            <w:pPr>
              <w:spacing w:after="0"/>
              <w:rPr>
                <w:sz w:val="19"/>
                <w:szCs w:val="19"/>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certifications furnished in Exhibits 32.1 and 32.2 hereto are deemed to accompany this Form 10-Q and are not deemed “filed” for purposes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Prelude Therapeutics Incorporated</w:t>
            </w:r>
          </w:p>
        </w:tc>
      </w:tr>
      <w:tr>
        <w:trPr>
          <w:trHeight w:val="45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30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214"/>
        </w:trPr>
        <w:tc>
          <w:tcPr>
            <w:tcW w:w="3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Krishna Vaddi, PhD</w:t>
            </w:r>
          </w:p>
        </w:tc>
      </w:tr>
      <w:tr>
        <w:trPr>
          <w:trHeight w:val="229"/>
        </w:trPr>
        <w:tc>
          <w:tcPr>
            <w:tcW w:w="3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7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3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30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 Laurent Chardonnet</w:t>
            </w:r>
          </w:p>
        </w:tc>
      </w:tr>
      <w:tr>
        <w:trPr>
          <w:trHeight w:val="214"/>
        </w:trPr>
        <w:tc>
          <w:tcPr>
            <w:tcW w:w="3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9"/>
              </w:rPr>
              <w:t>Laurent Chardonnet</w:t>
            </w:r>
          </w:p>
        </w:tc>
      </w:tr>
      <w:tr>
        <w:trPr>
          <w:trHeight w:val="230"/>
        </w:trPr>
        <w:tc>
          <w:tcPr>
            <w:tcW w:w="3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7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(Principal Accounting Officer)</w:t>
            </w:r>
          </w:p>
        </w:tc>
      </w:tr>
      <w:tr>
        <w:trPr>
          <w:trHeight w:val="675"/>
        </w:trPr>
        <w:tc>
          <w:tcPr>
            <w:tcW w:w="3400" w:type="dxa"/>
            <w:vAlign w:val="bottom"/>
          </w:tcPr>
          <w:p>
            <w:pPr>
              <w:spacing w:after="0"/>
              <w:rPr>
                <w:sz w:val="24"/>
                <w:szCs w:val="24"/>
                <w:color w:val="auto"/>
              </w:rPr>
            </w:pPr>
          </w:p>
        </w:tc>
        <w:tc>
          <w:tcPr>
            <w:tcW w:w="30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71</w:t>
            </w:r>
          </w:p>
        </w:tc>
        <w:tc>
          <w:tcPr>
            <w:tcW w:w="476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178" w:lineRule="exact"/>
        <w:rPr>
          <w:sz w:val="20"/>
          <w:szCs w:val="20"/>
          <w:color w:val="auto"/>
        </w:rPr>
      </w:pPr>
    </w:p>
    <w:p>
      <w:pPr>
        <w:jc w:val="both"/>
        <w:ind w:right="20" w:firstLine="864"/>
        <w:spacing w:after="0" w:line="246" w:lineRule="auto"/>
        <w:rPr>
          <w:sz w:val="20"/>
          <w:szCs w:val="20"/>
          <w:color w:val="auto"/>
        </w:rPr>
      </w:pPr>
      <w:r>
        <w:rPr>
          <w:rFonts w:ascii="Times New Roman" w:cs="Times New Roman" w:eastAsia="Times New Roman" w:hAnsi="Times New Roman"/>
          <w:sz w:val="22"/>
          <w:szCs w:val="22"/>
          <w:color w:val="auto"/>
        </w:rPr>
        <w:t>This Executive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made between Prelude Therapeutics Incorporated,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Jane Huang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collectively with the Company,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is entered into as of January 21, 2022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Company desires to employ Executive as the Company’s President and Chief Medical Officer.</w:t>
      </w:r>
    </w:p>
    <w:p>
      <w:pPr>
        <w:spacing w:after="0" w:line="206" w:lineRule="exact"/>
        <w:rPr>
          <w:sz w:val="20"/>
          <w:szCs w:val="20"/>
          <w:color w:val="auto"/>
        </w:rPr>
      </w:pPr>
    </w:p>
    <w:p>
      <w:pPr>
        <w:jc w:val="both"/>
        <w:ind w:right="20"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mutual promises and covenants contained herein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is hereby acknowledged, the Parties hereto agree as follows:</w:t>
      </w:r>
    </w:p>
    <w:p>
      <w:pPr>
        <w:spacing w:after="0" w:line="150" w:lineRule="exact"/>
        <w:rPr>
          <w:sz w:val="20"/>
          <w:szCs w:val="20"/>
          <w:color w:val="auto"/>
        </w:rPr>
      </w:pPr>
    </w:p>
    <w:p>
      <w:pPr>
        <w:ind w:left="1680" w:hanging="808"/>
        <w:spacing w:after="0"/>
        <w:tabs>
          <w:tab w:leader="none" w:pos="1680" w:val="left"/>
        </w:tabs>
        <w:numPr>
          <w:ilvl w:val="0"/>
          <w:numId w:val="5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Employment by the Company.</w:t>
      </w:r>
    </w:p>
    <w:p>
      <w:pPr>
        <w:spacing w:after="0" w:line="206"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1.1 </w:t>
      </w:r>
      <w:r>
        <w:rPr>
          <w:rFonts w:ascii="Times New Roman" w:cs="Times New Roman" w:eastAsia="Times New Roman" w:hAnsi="Times New Roman"/>
          <w:sz w:val="22"/>
          <w:szCs w:val="22"/>
          <w:b w:val="1"/>
          <w:bCs w:val="1"/>
          <w:color w:val="000000"/>
        </w:rPr>
        <w:t>Employment.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This Agreement shall govern the terms of Executive’s employment with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Company, effective as of the Effective Date, which shall commence on or before February 28, 2022 or on or as soon as practicable following March 28, 2022, as mutually determined by Executive and the Company (such date, the “</w:t>
      </w:r>
      <w:r>
        <w:rPr>
          <w:rFonts w:ascii="Times New Roman" w:cs="Times New Roman" w:eastAsia="Times New Roman" w:hAnsi="Times New Roman"/>
          <w:sz w:val="22"/>
          <w:szCs w:val="22"/>
          <w:b w:val="1"/>
          <w:bCs w:val="1"/>
          <w:color w:val="000000"/>
        </w:rPr>
        <w:t>Start Date</w:t>
      </w:r>
      <w:r>
        <w:rPr>
          <w:rFonts w:ascii="Times New Roman" w:cs="Times New Roman" w:eastAsia="Times New Roman" w:hAnsi="Times New Roman"/>
          <w:sz w:val="22"/>
          <w:szCs w:val="22"/>
          <w:color w:val="000000"/>
        </w:rPr>
        <w:t>”).</w:t>
      </w:r>
    </w:p>
    <w:p>
      <w:pPr>
        <w:spacing w:after="0" w:line="16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1.2 </w:t>
      </w:r>
      <w:r>
        <w:rPr>
          <w:rFonts w:ascii="Times New Roman" w:cs="Times New Roman" w:eastAsia="Times New Roman" w:hAnsi="Times New Roman"/>
          <w:sz w:val="22"/>
          <w:szCs w:val="22"/>
          <w:b w:val="1"/>
          <w:bCs w:val="1"/>
          <w:color w:val="000000"/>
        </w:rPr>
        <w:t>Position.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Executive shall serve as the Company’s President and Chief Medical Officer. During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term of Executive’s employment with the Company hereunder, Executive will devote Executive’s best efforts and substantially all of Executive’s business time and attention to the business of the Company, except as otherwise set forth in Section 11.1.</w:t>
      </w:r>
    </w:p>
    <w:p>
      <w:pPr>
        <w:spacing w:after="0" w:line="167"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b w:val="1"/>
          <w:bCs w:val="1"/>
          <w:color w:val="010000"/>
        </w:rPr>
        <w:t xml:space="preserve">1.3 </w:t>
      </w:r>
      <w:r>
        <w:rPr>
          <w:rFonts w:ascii="Times New Roman" w:cs="Times New Roman" w:eastAsia="Times New Roman" w:hAnsi="Times New Roman"/>
          <w:sz w:val="22"/>
          <w:szCs w:val="22"/>
          <w:b w:val="1"/>
          <w:bCs w:val="1"/>
          <w:color w:val="000000"/>
        </w:rPr>
        <w:t>Duties and Location.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Executive shall perform such duties as are commensurate with those of a</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President and Chief Medical Officer, which as of the Effective Date shall include those duties as are set forth in the position description previously provided to Executive by the Company. Executive will report to the Company’s Chief Executive Officer. Executive’s primary office location shall be at Executive’s current principal place of residence in Redwood City, California, although she will be required to travel on occasion to fulfill her duties as CMO, including routine travel to the Company’s headquarters. If and when the Company establishes a California office in the San Francisco Bay Area (within 30 miles of Redwood City), within 30 days thereafter, Executive will be required to report to and work from such office. The parties intend for the Company’s California office to be in Redwood City.</w:t>
      </w:r>
    </w:p>
    <w:p>
      <w:pPr>
        <w:spacing w:after="0" w:line="178"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1.4 </w:t>
      </w:r>
      <w:r>
        <w:rPr>
          <w:rFonts w:ascii="Times New Roman" w:cs="Times New Roman" w:eastAsia="Times New Roman" w:hAnsi="Times New Roman"/>
          <w:sz w:val="22"/>
          <w:szCs w:val="22"/>
          <w:b w:val="1"/>
          <w:bCs w:val="1"/>
          <w:color w:val="000000"/>
        </w:rPr>
        <w:t>Policies and Procedures.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The employment relationship between the Parties shall be governed by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the general employment policies and practices of the Company, except that when the terms of this Agreement differ from or are in conflict with the Company’s general employment policies or practices, this Agreement shall control.</w:t>
      </w:r>
    </w:p>
    <w:p>
      <w:pPr>
        <w:spacing w:after="0" w:line="167" w:lineRule="exact"/>
        <w:rPr>
          <w:sz w:val="20"/>
          <w:szCs w:val="20"/>
          <w:color w:val="auto"/>
        </w:rPr>
      </w:pPr>
    </w:p>
    <w:p>
      <w:pPr>
        <w:ind w:left="1680" w:hanging="808"/>
        <w:spacing w:after="0"/>
        <w:tabs>
          <w:tab w:leader="none" w:pos="1680" w:val="left"/>
        </w:tabs>
        <w:numPr>
          <w:ilvl w:val="0"/>
          <w:numId w:val="5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Compensation.</w:t>
      </w:r>
    </w:p>
    <w:p>
      <w:pPr>
        <w:spacing w:after="0" w:line="206"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b w:val="1"/>
          <w:bCs w:val="1"/>
          <w:color w:val="010000"/>
        </w:rPr>
        <w:t xml:space="preserve">2.1 </w:t>
      </w:r>
      <w:r>
        <w:rPr>
          <w:rFonts w:ascii="Times New Roman" w:cs="Times New Roman" w:eastAsia="Times New Roman" w:hAnsi="Times New Roman"/>
          <w:sz w:val="22"/>
          <w:szCs w:val="22"/>
          <w:b w:val="1"/>
          <w:bCs w:val="1"/>
          <w:color w:val="000000"/>
        </w:rPr>
        <w:t>Salary.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For services to be rendered hereunder, Executive shall receive a base salary at the rate of</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Five Hundred Twenty-Five Thousand U.S. Dollars ($525,000) per year (such base salary, as in effect from time to time, the “</w:t>
      </w:r>
      <w:r>
        <w:rPr>
          <w:rFonts w:ascii="Times New Roman" w:cs="Times New Roman" w:eastAsia="Times New Roman" w:hAnsi="Times New Roman"/>
          <w:sz w:val="22"/>
          <w:szCs w:val="22"/>
          <w:b w:val="1"/>
          <w:bCs w:val="1"/>
          <w:color w:val="000000"/>
        </w:rPr>
        <w:t>Base Salary</w:t>
      </w:r>
      <w:r>
        <w:rPr>
          <w:rFonts w:ascii="Times New Roman" w:cs="Times New Roman" w:eastAsia="Times New Roman" w:hAnsi="Times New Roman"/>
          <w:sz w:val="22"/>
          <w:szCs w:val="22"/>
          <w:color w:val="000000"/>
        </w:rPr>
        <w:t>”), subject to standard payroll deductions and withholdings and payable in accordance with the Company’s regular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4" w:name="page75"/>
    <w:bookmarkEnd w:id="74"/>
    <w:p>
      <w:pPr>
        <w:jc w:val="both"/>
        <w:spacing w:after="0" w:line="258" w:lineRule="auto"/>
        <w:rPr>
          <w:sz w:val="20"/>
          <w:szCs w:val="20"/>
          <w:color w:val="auto"/>
        </w:rPr>
      </w:pPr>
      <w:r>
        <w:rPr>
          <w:rFonts w:ascii="Times New Roman" w:cs="Times New Roman" w:eastAsia="Times New Roman" w:hAnsi="Times New Roman"/>
          <w:sz w:val="22"/>
          <w:szCs w:val="22"/>
          <w:color w:val="auto"/>
        </w:rPr>
        <w:t>schedule. Executive shall be entitled to a salary review on a periodic basis, but no less than annually, with the first such review commencing in calendar year 2023.</w:t>
      </w:r>
    </w:p>
    <w:p>
      <w:pPr>
        <w:spacing w:after="0" w:line="154"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b w:val="1"/>
          <w:bCs w:val="1"/>
          <w:color w:val="010000"/>
        </w:rPr>
        <w:t xml:space="preserve">2.2 </w:t>
      </w:r>
      <w:r>
        <w:rPr>
          <w:rFonts w:ascii="Times New Roman" w:cs="Times New Roman" w:eastAsia="Times New Roman" w:hAnsi="Times New Roman"/>
          <w:sz w:val="22"/>
          <w:szCs w:val="22"/>
          <w:b w:val="1"/>
          <w:bCs w:val="1"/>
          <w:color w:val="000000"/>
        </w:rPr>
        <w:t>Bonus.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Executive will be eligible for an annual discretionary bonus with a target amount equal to</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50% of Executive’s Base Salary (the “</w:t>
      </w:r>
      <w:r>
        <w:rPr>
          <w:rFonts w:ascii="Times New Roman" w:cs="Times New Roman" w:eastAsia="Times New Roman" w:hAnsi="Times New Roman"/>
          <w:sz w:val="22"/>
          <w:szCs w:val="22"/>
          <w:b w:val="1"/>
          <w:bCs w:val="1"/>
          <w:color w:val="000000"/>
        </w:rPr>
        <w:t>Annual Bonus</w:t>
      </w:r>
      <w:r>
        <w:rPr>
          <w:rFonts w:ascii="Times New Roman" w:cs="Times New Roman" w:eastAsia="Times New Roman" w:hAnsi="Times New Roman"/>
          <w:sz w:val="22"/>
          <w:szCs w:val="22"/>
          <w:color w:val="000000"/>
        </w:rPr>
        <w:t>”). Whether Executive receives an Annual Bonus for any given year, and the amount of any such Annual Bonus, will be determined by the board of directors of the Company (the “</w:t>
      </w:r>
      <w:r>
        <w:rPr>
          <w:rFonts w:ascii="Times New Roman" w:cs="Times New Roman" w:eastAsia="Times New Roman" w:hAnsi="Times New Roman"/>
          <w:sz w:val="22"/>
          <w:szCs w:val="22"/>
          <w:b w:val="1"/>
          <w:bCs w:val="1"/>
          <w:color w:val="000000"/>
        </w:rPr>
        <w:t>Board</w:t>
      </w:r>
      <w:r>
        <w:rPr>
          <w:rFonts w:ascii="Times New Roman" w:cs="Times New Roman" w:eastAsia="Times New Roman" w:hAnsi="Times New Roman"/>
          <w:sz w:val="22"/>
          <w:szCs w:val="22"/>
          <w:color w:val="000000"/>
        </w:rPr>
        <w:t>”) or the compensation committee thereof in its sole discretion based upon the Company’s and Executive’s achievement of objectives and milestones to be determined on an annual basis by the Board or the compensation committee thereof. Executive will not be eligible for, and will not earn, any Annual Bonus (including a prorated bonus) if Executive’s employment terminates for any reason before any Annual Bonus is paid, except as otherwise set forth in Section 5.</w:t>
      </w:r>
    </w:p>
    <w:p>
      <w:pPr>
        <w:spacing w:after="0" w:line="17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b w:val="1"/>
          <w:bCs w:val="1"/>
          <w:color w:val="010000"/>
        </w:rPr>
        <w:t xml:space="preserve">2.3 </w:t>
      </w:r>
      <w:r>
        <w:rPr>
          <w:rFonts w:ascii="Times New Roman" w:cs="Times New Roman" w:eastAsia="Times New Roman" w:hAnsi="Times New Roman"/>
          <w:sz w:val="22"/>
          <w:szCs w:val="22"/>
          <w:b w:val="1"/>
          <w:bCs w:val="1"/>
          <w:color w:val="000000"/>
        </w:rPr>
        <w:t>Sign-On Bonus.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Executive will also receive, with her first payroll with the Company, a sign-on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bonus in an aggregate amount equal to the excess (if any) of (i) Three Hundred Thousand Dollars ($300,000.00), </w:t>
      </w:r>
      <w:r>
        <w:rPr>
          <w:rFonts w:ascii="Times New Roman" w:cs="Times New Roman" w:eastAsia="Times New Roman" w:hAnsi="Times New Roman"/>
          <w:sz w:val="22"/>
          <w:szCs w:val="22"/>
          <w:i w:val="1"/>
          <w:iCs w:val="1"/>
          <w:u w:val="single" w:color="auto"/>
          <w:color w:val="000000"/>
        </w:rPr>
        <w:t>over</w:t>
      </w:r>
      <w:r>
        <w:rPr>
          <w:rFonts w:ascii="Times New Roman" w:cs="Times New Roman" w:eastAsia="Times New Roman" w:hAnsi="Times New Roman"/>
          <w:sz w:val="22"/>
          <w:szCs w:val="22"/>
          <w:color w:val="000000"/>
        </w:rPr>
        <w:t xml:space="preserve"> (ii) the amount of the 2021 annual bonus the Executive receives from her current employer, less standard payroll deductions and all required withholdings (the “</w:t>
      </w:r>
      <w:r>
        <w:rPr>
          <w:rFonts w:ascii="Times New Roman" w:cs="Times New Roman" w:eastAsia="Times New Roman" w:hAnsi="Times New Roman"/>
          <w:sz w:val="22"/>
          <w:szCs w:val="22"/>
          <w:b w:val="1"/>
          <w:bCs w:val="1"/>
          <w:color w:val="000000"/>
        </w:rPr>
        <w:t>Sign-On Bonus</w:t>
      </w:r>
      <w:r>
        <w:rPr>
          <w:rFonts w:ascii="Times New Roman" w:cs="Times New Roman" w:eastAsia="Times New Roman" w:hAnsi="Times New Roman"/>
          <w:sz w:val="22"/>
          <w:szCs w:val="22"/>
          <w:color w:val="000000"/>
        </w:rPr>
        <w:t>”). The Sign-On Bonus is repayable if Executive is terminated for Cause or terminates her employment without Good Reason, in each case within 12 months of the Start Date, in which event Executive shall pay back a pro-rated portion of the Sign-On Bonus based upon the number of days remaining in such 12 month period prior to the first anniversary of the Start Date.</w:t>
      </w:r>
    </w:p>
    <w:p>
      <w:pPr>
        <w:spacing w:after="0" w:line="176" w:lineRule="exact"/>
        <w:rPr>
          <w:sz w:val="20"/>
          <w:szCs w:val="20"/>
          <w:color w:val="auto"/>
        </w:rPr>
      </w:pPr>
    </w:p>
    <w:p>
      <w:pPr>
        <w:ind w:left="174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010000"/>
        </w:rPr>
        <w:t>2.4</w:t>
      </w:r>
      <w:r>
        <w:rPr>
          <w:sz w:val="20"/>
          <w:szCs w:val="20"/>
          <w:color w:val="auto"/>
        </w:rPr>
        <w:tab/>
      </w:r>
      <w:r>
        <w:rPr>
          <w:rFonts w:ascii="Times New Roman" w:cs="Times New Roman" w:eastAsia="Times New Roman" w:hAnsi="Times New Roman"/>
          <w:sz w:val="21"/>
          <w:szCs w:val="21"/>
          <w:b w:val="1"/>
          <w:bCs w:val="1"/>
          <w:color w:val="auto"/>
        </w:rPr>
        <w:t>Equity.</w:t>
      </w:r>
    </w:p>
    <w:p>
      <w:pPr>
        <w:spacing w:after="0" w:line="206" w:lineRule="exact"/>
        <w:rPr>
          <w:sz w:val="20"/>
          <w:szCs w:val="20"/>
          <w:color w:val="auto"/>
        </w:rPr>
      </w:pPr>
    </w:p>
    <w:p>
      <w:pPr>
        <w:jc w:val="both"/>
        <w:ind w:firstLine="2600"/>
        <w:spacing w:after="0" w:line="233" w:lineRule="auto"/>
        <w:tabs>
          <w:tab w:leader="none" w:pos="3444"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Options. </w:t>
      </w:r>
      <w:r>
        <w:rPr>
          <w:rFonts w:ascii="Times New Roman" w:cs="Times New Roman" w:eastAsia="Times New Roman" w:hAnsi="Times New Roman"/>
          <w:sz w:val="22"/>
          <w:szCs w:val="22"/>
          <w:color w:val="auto"/>
        </w:rPr>
        <w:t>Subject to approval by the Board or the compensation committee thereof,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grant Executive an option to purchase Four Hundred Sixty Thousand (460,000) shares of the Company’s common stock, with a per share exercise price equal to the fair market value of a share of the Company’s common stock on the date of grant, as determined by the Board or the compensation committee thereof in accordance with the Company’s customary stock option granting practices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Subject to approval by the Board, the Option will be granted on the first business day of the month following the Start Date. 1/4</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of the shares underlying the Option will vest and become exercisable on the one-year anniversary of the Start Date, and 1/48</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of the shares underlying the Option will vest and become exercisable on a monthly basis thereafter, such that 100% of the shares underlying the Option shall be vested and exercisable as of the four-year anniversary of the Start Date, in each case so long as Executive remains employed by the Company through each applicable vesting date, except as otherwise set forth in Section 5. If the applicable vesting schedule results in a fractional share, such fractional share shall not vest until the immediately following vesting date. The Option will be subject to the terms and conditions consistent with those provided in the Company’s 2020 Equity Incentive Plan and will be governed in all respects by the terms of the applicable stock option agreement to be entered into between Executive and the Company, except as specifically provided herein. Further details regarding the Option will be provided to the Executive upon approval of such grant by the Board. Executive may be considered for future grants of equity awards in the discretion of the Board or the compensation committee thereof pursuant to its regular review process.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5" w:name="page76"/>
    <w:bookmarkEnd w:id="75"/>
    <w:p>
      <w:pPr>
        <w:jc w:val="both"/>
        <w:ind w:firstLine="2600"/>
        <w:spacing w:after="0" w:line="234" w:lineRule="auto"/>
        <w:tabs>
          <w:tab w:leader="none" w:pos="3504" w:val="left"/>
        </w:tabs>
        <w:numPr>
          <w:ilvl w:val="1"/>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RSU Grant. </w:t>
      </w:r>
      <w:r>
        <w:rPr>
          <w:rFonts w:ascii="Times New Roman" w:cs="Times New Roman" w:eastAsia="Times New Roman" w:hAnsi="Times New Roman"/>
          <w:sz w:val="22"/>
          <w:szCs w:val="22"/>
          <w:color w:val="auto"/>
        </w:rPr>
        <w:t>Subject to approval by the Board, the Company will grant Executive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Hundred Fifty Thousand (150,000) restricted stock units (the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Subject to approval by the Board, the RSUs will be granted on the first business day of the month following the Start Date. 1/4</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of the RSUs will vest on the first anniversary of the Start Date, and 1/16</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of the RSUs will vest on a quarterly basis thereafter, such that 100% of the RSUs will be vested as of the four-year anniversary of the Start Date, in each case so long as Executive remains employed by the Company through each applicable vesting date, except as otherwise set forth in Section 5. If the applicable vesting schedule results in a fractional share, such fractional share shall not vest until the immediately following vesting date. The RSUs will be subject to terms and conditions consistent with those provided in the Company’s 2020 Equity Incentive Plan, and will be governed in all respects by the terms of the applicable RSU agreement to be entered into between Executive and the Company, except as specifically provided herein. Further details regarding the RSUs will be provided to Executive upon approval of such grant by the Board.</w:t>
      </w:r>
    </w:p>
    <w:p>
      <w:pPr>
        <w:spacing w:after="0" w:line="179" w:lineRule="exact"/>
        <w:rPr>
          <w:rFonts w:ascii="Times New Roman" w:cs="Times New Roman" w:eastAsia="Times New Roman" w:hAnsi="Times New Roman"/>
          <w:sz w:val="22"/>
          <w:szCs w:val="22"/>
          <w:color w:val="010000"/>
        </w:rPr>
      </w:pPr>
    </w:p>
    <w:p>
      <w:pPr>
        <w:jc w:val="both"/>
        <w:ind w:firstLine="872"/>
        <w:spacing w:after="0" w:line="246" w:lineRule="auto"/>
        <w:tabs>
          <w:tab w:leader="none" w:pos="1674" w:val="left"/>
        </w:tabs>
        <w:numPr>
          <w:ilvl w:val="0"/>
          <w:numId w:val="5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Standard Company Benefits. </w:t>
      </w:r>
      <w:r>
        <w:rPr>
          <w:rFonts w:ascii="Times New Roman" w:cs="Times New Roman" w:eastAsia="Times New Roman" w:hAnsi="Times New Roman"/>
          <w:sz w:val="22"/>
          <w:szCs w:val="22"/>
          <w:color w:val="auto"/>
        </w:rPr>
        <w:t>Executive shall be entitled to participate in all employee benefit programs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Executive is eligible under the terms and conditions of the benefit plans that may be in effect from time to time and provided by the Company to its employees.</w:t>
      </w:r>
    </w:p>
    <w:p>
      <w:pPr>
        <w:spacing w:after="0" w:line="167" w:lineRule="exact"/>
        <w:rPr>
          <w:rFonts w:ascii="Times New Roman" w:cs="Times New Roman" w:eastAsia="Times New Roman" w:hAnsi="Times New Roman"/>
          <w:sz w:val="22"/>
          <w:szCs w:val="22"/>
          <w:b w:val="1"/>
          <w:bCs w:val="1"/>
          <w:color w:val="010000"/>
        </w:rPr>
      </w:pPr>
    </w:p>
    <w:p>
      <w:pPr>
        <w:jc w:val="both"/>
        <w:ind w:firstLine="872"/>
        <w:spacing w:after="0" w:line="241" w:lineRule="auto"/>
        <w:tabs>
          <w:tab w:leader="none" w:pos="1674" w:val="left"/>
        </w:tabs>
        <w:numPr>
          <w:ilvl w:val="0"/>
          <w:numId w:val="5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Expenses. </w:t>
      </w:r>
      <w:r>
        <w:rPr>
          <w:rFonts w:ascii="Times New Roman" w:cs="Times New Roman" w:eastAsia="Times New Roman" w:hAnsi="Times New Roman"/>
          <w:sz w:val="22"/>
          <w:szCs w:val="22"/>
          <w:color w:val="auto"/>
        </w:rPr>
        <w:t>The Company will reimburse Executive for reasonable travel, entertainment or other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by Executive in furtherance or in connection with the performance of Executive’s duties hereunder, in accordance with the Company’s expense reimbursement policy as in effect from time to time. Executive will be entitled to Directors and Officers liability insurance coverage to the same extent as other senior management of the Company.</w:t>
      </w:r>
    </w:p>
    <w:p>
      <w:pPr>
        <w:spacing w:after="0" w:line="171" w:lineRule="exact"/>
        <w:rPr>
          <w:rFonts w:ascii="Times New Roman" w:cs="Times New Roman" w:eastAsia="Times New Roman" w:hAnsi="Times New Roman"/>
          <w:sz w:val="22"/>
          <w:szCs w:val="22"/>
          <w:b w:val="1"/>
          <w:bCs w:val="1"/>
          <w:color w:val="010000"/>
        </w:rPr>
      </w:pPr>
    </w:p>
    <w:p>
      <w:pPr>
        <w:ind w:left="1680" w:hanging="808"/>
        <w:spacing w:after="0"/>
        <w:tabs>
          <w:tab w:leader="none" w:pos="1680" w:val="left"/>
        </w:tabs>
        <w:numPr>
          <w:ilvl w:val="0"/>
          <w:numId w:val="5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Termination of Employment; Severance.</w:t>
      </w:r>
    </w:p>
    <w:p>
      <w:pPr>
        <w:spacing w:after="0" w:line="206" w:lineRule="exact"/>
        <w:rPr>
          <w:sz w:val="20"/>
          <w:szCs w:val="20"/>
          <w:color w:val="auto"/>
        </w:rPr>
      </w:pPr>
    </w:p>
    <w:p>
      <w:pPr>
        <w:jc w:val="both"/>
        <w:ind w:firstLine="1727"/>
        <w:spacing w:after="0" w:line="245" w:lineRule="auto"/>
        <w:rPr>
          <w:sz w:val="20"/>
          <w:szCs w:val="20"/>
          <w:color w:val="auto"/>
        </w:rPr>
      </w:pPr>
      <w:r>
        <w:rPr>
          <w:rFonts w:ascii="Times New Roman" w:cs="Times New Roman" w:eastAsia="Times New Roman" w:hAnsi="Times New Roman"/>
          <w:sz w:val="21"/>
          <w:szCs w:val="21"/>
          <w:b w:val="1"/>
          <w:bCs w:val="1"/>
          <w:color w:val="010000"/>
        </w:rPr>
        <w:t xml:space="preserve">5.1 </w:t>
      </w:r>
      <w:r>
        <w:rPr>
          <w:rFonts w:ascii="Times New Roman" w:cs="Times New Roman" w:eastAsia="Times New Roman" w:hAnsi="Times New Roman"/>
          <w:sz w:val="21"/>
          <w:szCs w:val="21"/>
          <w:b w:val="1"/>
          <w:bCs w:val="1"/>
          <w:color w:val="000000"/>
        </w:rPr>
        <w:t>At-Will Employment.</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color w:val="000000"/>
        </w:rPr>
        <w:t>Executive’s employment relationship is at-will. Either Executive or the</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color w:val="000000"/>
        </w:rPr>
        <w:t>Company may terminate the employment relationship at any time, with or without Cause (as defined below); provided that in the event Executive terminates the employment relationship without Good Reason or the Company terminates the employment relationship without Cause, such party must provide the other party with no less than thirty (30) days’ advance written notice. In the event Executive’s employment relationship is terminated for any reason, Executive shall be entitled to receive Executive’s earned but unpaid Base Salary, unreimbursed business expenses properly incurred by Executive pursuant to Section 4 and any other compensation or benefit earned by or owed to (but not yet paid to) Executive through and including the date of termination, payable in a lump sum on the next regularly scheduled payroll date following the date on which Executive’s employment terminated, or at such other date as shall be specified under the terms of the employee benefit plan pursuant to which such compensation or benefit is payable. Executive shall also resign from all positions and terminate any relationships as an employee, advisor, officer or director with the Company and any of its affiliates, each effective on the date of termination.</w:t>
      </w:r>
    </w:p>
    <w:p>
      <w:pPr>
        <w:spacing w:after="0" w:line="17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5.2 </w:t>
      </w:r>
      <w:r>
        <w:rPr>
          <w:rFonts w:ascii="Times New Roman" w:cs="Times New Roman" w:eastAsia="Times New Roman" w:hAnsi="Times New Roman"/>
          <w:sz w:val="22"/>
          <w:szCs w:val="22"/>
          <w:b w:val="1"/>
          <w:bCs w:val="1"/>
          <w:color w:val="000000"/>
        </w:rPr>
        <w:t>Severance Benefits for Termination Without Cause or Resignation with Good Reason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b w:val="1"/>
          <w:bCs w:val="1"/>
          <w:color w:val="000000"/>
        </w:rPr>
        <w:t xml:space="preserve">Outside the Change in Control Period. </w:t>
      </w:r>
      <w:r>
        <w:rPr>
          <w:rFonts w:ascii="Times New Roman" w:cs="Times New Roman" w:eastAsia="Times New Roman" w:hAnsi="Times New Roman"/>
          <w:sz w:val="22"/>
          <w:szCs w:val="22"/>
          <w:color w:val="000000"/>
        </w:rPr>
        <w:t>In the event Executive’s employment with the Company is terminated by the Company</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without Cause or Executive resigns for Good Reason</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6" w:name="page77"/>
    <w:bookmarkEnd w:id="76"/>
    <w:p>
      <w:pPr>
        <w:jc w:val="both"/>
        <w:spacing w:after="0" w:line="244" w:lineRule="auto"/>
        <w:rPr>
          <w:sz w:val="20"/>
          <w:szCs w:val="20"/>
          <w:color w:val="auto"/>
        </w:rPr>
      </w:pPr>
      <w:r>
        <w:rPr>
          <w:rFonts w:ascii="Times New Roman" w:cs="Times New Roman" w:eastAsia="Times New Roman" w:hAnsi="Times New Roman"/>
          <w:sz w:val="22"/>
          <w:szCs w:val="22"/>
          <w:color w:val="auto"/>
        </w:rPr>
        <w:t>prior to or following the Change in Control Period (as defined below), the Company shall provide Executive with the following payments and benefits, provided that Executive remains in compliance with the terms of this Agreement and the Restrictive Covenant Agreement (as defined below) and subject to Section 6 below:</w:t>
      </w:r>
    </w:p>
    <w:p>
      <w:pPr>
        <w:spacing w:after="0" w:line="173" w:lineRule="exact"/>
        <w:rPr>
          <w:sz w:val="20"/>
          <w:szCs w:val="20"/>
          <w:color w:val="auto"/>
        </w:rPr>
      </w:pPr>
    </w:p>
    <w:p>
      <w:pPr>
        <w:jc w:val="both"/>
        <w:ind w:firstLine="2600"/>
        <w:spacing w:after="0" w:line="238" w:lineRule="auto"/>
        <w:tabs>
          <w:tab w:leader="none" w:pos="3444"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pay Executive, as severance, the equivalent of nine (9) months of Executive’s Base Salary as in effect as of the date of Executive’s employment termination. This severance will be paid in the form of salary continuation, payable on the Company’s regular payroll dates, subject to standard payroll deductions and withholdings, starting on the 60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after Executive’s termination date, with the first payment to include those payments that would have occurred earlier but for the 60-day delay.</w:t>
      </w:r>
    </w:p>
    <w:p>
      <w:pPr>
        <w:spacing w:after="0" w:line="176" w:lineRule="exact"/>
        <w:rPr>
          <w:rFonts w:ascii="Times New Roman" w:cs="Times New Roman" w:eastAsia="Times New Roman" w:hAnsi="Times New Roman"/>
          <w:sz w:val="22"/>
          <w:szCs w:val="22"/>
          <w:color w:val="010000"/>
        </w:rPr>
      </w:pPr>
    </w:p>
    <w:p>
      <w:pPr>
        <w:jc w:val="both"/>
        <w:ind w:firstLine="2600"/>
        <w:spacing w:after="0" w:line="238" w:lineRule="auto"/>
        <w:tabs>
          <w:tab w:leader="none" w:pos="3504"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addition, the Company shall pay Executive, as severance, an amount equal to a prorated portion of Executive’s target Annual Bonus as in effect as of the date of Executive’s employment termination, with such proration to be determined based on the number of calendar days elapsed in the applicable performance period as of the date of such termination, payable in a lump sum, less deductions and withholdings, at the same time as the first severance payment described in Section 5.2(i) above.</w:t>
      </w:r>
    </w:p>
    <w:p>
      <w:pPr>
        <w:spacing w:after="0" w:line="176" w:lineRule="exact"/>
        <w:rPr>
          <w:rFonts w:ascii="Times New Roman" w:cs="Times New Roman" w:eastAsia="Times New Roman" w:hAnsi="Times New Roman"/>
          <w:sz w:val="22"/>
          <w:szCs w:val="22"/>
          <w:color w:val="010000"/>
        </w:rPr>
      </w:pPr>
    </w:p>
    <w:p>
      <w:pPr>
        <w:jc w:val="both"/>
        <w:ind w:firstLine="2600"/>
        <w:spacing w:after="0" w:line="233" w:lineRule="auto"/>
        <w:tabs>
          <w:tab w:leader="none" w:pos="3564"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nine (9) months following Executive’s termination date; (b) the date Executive becomes eligible for group health insurance coverage through a new employer; or (c) 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84" w:lineRule="exact"/>
        <w:rPr>
          <w:rFonts w:ascii="Times New Roman" w:cs="Times New Roman" w:eastAsia="Times New Roman" w:hAnsi="Times New Roman"/>
          <w:sz w:val="22"/>
          <w:szCs w:val="22"/>
          <w:color w:val="010000"/>
        </w:rPr>
      </w:pPr>
    </w:p>
    <w:p>
      <w:pPr>
        <w:jc w:val="both"/>
        <w:ind w:firstLine="2600"/>
        <w:spacing w:after="0" w:line="238" w:lineRule="auto"/>
        <w:tabs>
          <w:tab w:leader="none" w:pos="3552"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Options that are unvested and held by Executive as of the date of such termination shall be partially accelerated such that the portion of such Options that would have vesting during the nine-month period immediately following the date of such termination had Executive remained employed by the Company through the end of such nine-month period shall be deemed immediately vested and exercisable;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this Section 5.2(iii) shall not apply to any equity-based incentive compensation awards other than the Options described in Section 2.4(i).</w:t>
      </w:r>
    </w:p>
    <w:p>
      <w:pPr>
        <w:spacing w:after="0" w:line="173"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5.3 </w:t>
      </w:r>
      <w:r>
        <w:rPr>
          <w:rFonts w:ascii="Times New Roman" w:cs="Times New Roman" w:eastAsia="Times New Roman" w:hAnsi="Times New Roman"/>
          <w:sz w:val="22"/>
          <w:szCs w:val="22"/>
          <w:b w:val="1"/>
          <w:bCs w:val="1"/>
          <w:color w:val="000000"/>
        </w:rPr>
        <w:t>Severance Benefits for Termination Without Cause or Resignation with Good Reason During</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b w:val="1"/>
          <w:bCs w:val="1"/>
          <w:color w:val="000000"/>
        </w:rPr>
        <w:t xml:space="preserve">the Change in Control Period. </w:t>
      </w:r>
      <w:r>
        <w:rPr>
          <w:rFonts w:ascii="Times New Roman" w:cs="Times New Roman" w:eastAsia="Times New Roman" w:hAnsi="Times New Roman"/>
          <w:sz w:val="22"/>
          <w:szCs w:val="22"/>
          <w:color w:val="000000"/>
        </w:rPr>
        <w:t>In the event Executive’s employment with the Company is terminated by the Company without</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Cause or Executive resigns for Good Reason</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7" w:name="page78"/>
    <w:bookmarkEnd w:id="77"/>
    <w:p>
      <w:pPr>
        <w:jc w:val="both"/>
        <w:spacing w:after="0" w:line="244" w:lineRule="auto"/>
        <w:rPr>
          <w:sz w:val="20"/>
          <w:szCs w:val="20"/>
          <w:color w:val="auto"/>
        </w:rPr>
      </w:pPr>
      <w:r>
        <w:rPr>
          <w:rFonts w:ascii="Times New Roman" w:cs="Times New Roman" w:eastAsia="Times New Roman" w:hAnsi="Times New Roman"/>
          <w:sz w:val="22"/>
          <w:szCs w:val="22"/>
          <w:color w:val="auto"/>
        </w:rPr>
        <w:t>in each case during the Change in Control Period, the Company shall provide Executive with the following payments and benefits, provided that Executive remains in compliance with the terms of this Agreement and the Restrictive Covenant Agreement and subject to Section 6 below:</w:t>
      </w:r>
    </w:p>
    <w:p>
      <w:pPr>
        <w:spacing w:after="0" w:line="173" w:lineRule="exact"/>
        <w:rPr>
          <w:sz w:val="20"/>
          <w:szCs w:val="20"/>
          <w:color w:val="auto"/>
        </w:rPr>
      </w:pPr>
    </w:p>
    <w:p>
      <w:pPr>
        <w:jc w:val="both"/>
        <w:ind w:firstLine="2600"/>
        <w:spacing w:after="0" w:line="236" w:lineRule="auto"/>
        <w:tabs>
          <w:tab w:leader="none" w:pos="3444"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pay Executive, as severance, the equivalent of twelve (12) months of Executive’s Base Salary as in effect as of the date of Executive’s employment termination (disregarding any change to Executive’s Base Salary giving rise to Good Reason). This severance will be paid in the form of salary continuation, payable on the Company’s regular payroll dates, subject to standard payroll deductions and withholdings, starting on the 60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after Executive’s termination date, with the first payment to include those payments that would have occurred earlier but for the 60-day delay.</w:t>
      </w:r>
    </w:p>
    <w:p>
      <w:pPr>
        <w:spacing w:after="0" w:line="181" w:lineRule="exact"/>
        <w:rPr>
          <w:rFonts w:ascii="Times New Roman" w:cs="Times New Roman" w:eastAsia="Times New Roman" w:hAnsi="Times New Roman"/>
          <w:sz w:val="22"/>
          <w:szCs w:val="22"/>
          <w:color w:val="010000"/>
        </w:rPr>
      </w:pPr>
    </w:p>
    <w:p>
      <w:pPr>
        <w:jc w:val="both"/>
        <w:ind w:firstLine="2600"/>
        <w:spacing w:after="0" w:line="234" w:lineRule="auto"/>
        <w:tabs>
          <w:tab w:leader="none" w:pos="3504"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addition, the Company shall pay Executive, as severance, an amount equal to one hundred percent (100%) of Executive’s target annual bonus as in effect as of the date of Executive’s employment termination (disregarding any change to Executive’s Base Salary giving rise to Good Reason), payable in a lump sum, less deductions and withholdings, at the same time as the first severance payment described in Section 5.3(i) above. For the avoidance of doubt, the amount payable pursuant to this Section 5.3(ii) shall not be subject to proration based on the portion of the year elapsed as of the date of termination. In the event that such termination of employment occurs following a Potential Change in Control Date and prior to the consummation of a Change in Control, the amount described in this Section 5.3(ii) shall be paid in a lump sum as soon as practicable following the consummation of such Change in Control, Tess any amount previously paid to Executive in connection with such termination pursuant to Section 5.2(ii).</w:t>
      </w:r>
    </w:p>
    <w:p>
      <w:pPr>
        <w:spacing w:after="0" w:line="183" w:lineRule="exact"/>
        <w:rPr>
          <w:rFonts w:ascii="Times New Roman" w:cs="Times New Roman" w:eastAsia="Times New Roman" w:hAnsi="Times New Roman"/>
          <w:sz w:val="22"/>
          <w:szCs w:val="22"/>
          <w:color w:val="010000"/>
        </w:rPr>
      </w:pPr>
    </w:p>
    <w:p>
      <w:pPr>
        <w:jc w:val="both"/>
        <w:ind w:firstLine="2600"/>
        <w:spacing w:after="0" w:line="233" w:lineRule="auto"/>
        <w:tabs>
          <w:tab w:leader="none" w:pos="3564"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twelve (12) months following Executive’s termination date; (b) the date Executive becomes eligible for group health insurance coverage through a new employer; or (c) the date Executive ceases to be eligible for COBRA continuation coverage for any reason, including plan termination. hi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84" w:lineRule="exact"/>
        <w:rPr>
          <w:rFonts w:ascii="Times New Roman" w:cs="Times New Roman" w:eastAsia="Times New Roman" w:hAnsi="Times New Roman"/>
          <w:sz w:val="22"/>
          <w:szCs w:val="22"/>
          <w:color w:val="010000"/>
        </w:rPr>
      </w:pPr>
    </w:p>
    <w:p>
      <w:pPr>
        <w:jc w:val="both"/>
        <w:ind w:firstLine="2600"/>
        <w:spacing w:after="0" w:line="239" w:lineRule="auto"/>
        <w:tabs>
          <w:tab w:leader="none" w:pos="3552"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vesting of all unvested equity-based incentive compensation awards outstanding as of the date of such Change in Control and held by Executive as of the date of such termination shall be accelerated such that 100% of the shares underlying such awards shall be deemed immediately vested and, in the case of stock options, exercisable;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in the case of any unvested equity-based incentive compensation awards that are subject to performance-</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8" w:name="page79"/>
    <w:bookmarkEnd w:id="78"/>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based vesting terms as of the date of such termination, the treatment of such performance-based vesting conditions shall be governed by the applicable equity plan and award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in the event that such termination of employment occurs following a Potential Change in Control Date and prior to the consummation of a Change in Control, each outstanding and unvested equity-based incentive compensation award (other than any Option or portion thereof that has vested in connection with such termination in accordance with Section 5.2(iv)) shall cease vesting pursuant to its normal vesting schedule on the date of such termination of employment but shall not lapse or be forfeited on such date, and instead such award shall remain outstanding until the three-month anniversary of the Potential Change in Control Date, and in the event that a Change in Control subsequently occurs during such 3-month period, such award shall become vested and, if applicable, exercisable, in each case to the extent set forth in this Section 5.3(iv) as if such termination occurred immediately following the Change in Control, and in the event that a Change in Control does not subsequently occur during such 3-month period such award shall be canceled for no consideration upon the conclusion of such three-month period.</w:t>
      </w:r>
    </w:p>
    <w:p>
      <w:pPr>
        <w:spacing w:after="0" w:line="187"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In no event shall a termination by the Company without Cause or a resignation by Executive for Good Reason that occurs following a Potential Change in Control Date and before the consummation of a Change in Control result in duplicate payments or benefits to Executive under Section 5.2 and Section 5.3.</w:t>
      </w:r>
    </w:p>
    <w:p>
      <w:pPr>
        <w:spacing w:after="0" w:line="169" w:lineRule="exact"/>
        <w:rPr>
          <w:sz w:val="20"/>
          <w:szCs w:val="20"/>
          <w:color w:val="auto"/>
        </w:rPr>
      </w:pPr>
    </w:p>
    <w:p>
      <w:pPr>
        <w:ind w:left="174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010000"/>
        </w:rPr>
        <w:t>5.4</w:t>
      </w:r>
      <w:r>
        <w:rPr>
          <w:sz w:val="20"/>
          <w:szCs w:val="20"/>
          <w:color w:val="auto"/>
        </w:rPr>
        <w:tab/>
      </w:r>
      <w:r>
        <w:rPr>
          <w:rFonts w:ascii="Times New Roman" w:cs="Times New Roman" w:eastAsia="Times New Roman" w:hAnsi="Times New Roman"/>
          <w:sz w:val="21"/>
          <w:szCs w:val="21"/>
          <w:b w:val="1"/>
          <w:bCs w:val="1"/>
          <w:color w:val="auto"/>
        </w:rPr>
        <w:t>Termination for Cause; Resignation Without Good Reason; Death or Disability.</w:t>
      </w:r>
    </w:p>
    <w:p>
      <w:pPr>
        <w:spacing w:after="0" w:line="210" w:lineRule="exact"/>
        <w:rPr>
          <w:sz w:val="20"/>
          <w:szCs w:val="20"/>
          <w:color w:val="auto"/>
        </w:rPr>
      </w:pPr>
    </w:p>
    <w:p>
      <w:pPr>
        <w:jc w:val="both"/>
        <w:ind w:firstLine="2600"/>
        <w:spacing w:after="0" w:line="244" w:lineRule="auto"/>
        <w:tabs>
          <w:tab w:leader="none" w:pos="3444"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Executive resigns without Good Reason or the Company terminates Executive’s employment for Cause, Executive shall not be entitled to receive any payments or benefits under this Agreement, other than as set forth in Section 5.1.</w:t>
      </w:r>
    </w:p>
    <w:p>
      <w:pPr>
        <w:spacing w:after="0" w:line="173" w:lineRule="exact"/>
        <w:rPr>
          <w:rFonts w:ascii="Times New Roman" w:cs="Times New Roman" w:eastAsia="Times New Roman" w:hAnsi="Times New Roman"/>
          <w:sz w:val="22"/>
          <w:szCs w:val="22"/>
          <w:color w:val="010000"/>
        </w:rPr>
      </w:pPr>
    </w:p>
    <w:p>
      <w:pPr>
        <w:jc w:val="both"/>
        <w:ind w:firstLine="2600"/>
        <w:spacing w:after="0" w:line="246" w:lineRule="auto"/>
        <w:tabs>
          <w:tab w:leader="none" w:pos="3504"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Executive’s employment shall terminate automatically upon Executive’s death or Total Disability. “</w:t>
      </w:r>
      <w:r>
        <w:rPr>
          <w:rFonts w:ascii="Times New Roman" w:cs="Times New Roman" w:eastAsia="Times New Roman" w:hAnsi="Times New Roman"/>
          <w:sz w:val="21"/>
          <w:szCs w:val="21"/>
          <w:b w:val="1"/>
          <w:bCs w:val="1"/>
          <w:color w:val="auto"/>
        </w:rPr>
        <w:t>Total Disability</w:t>
      </w:r>
      <w:r>
        <w:rPr>
          <w:rFonts w:ascii="Times New Roman" w:cs="Times New Roman" w:eastAsia="Times New Roman" w:hAnsi="Times New Roman"/>
          <w:sz w:val="21"/>
          <w:szCs w:val="21"/>
          <w:color w:val="auto"/>
        </w:rPr>
        <w:t>” shall mean Executive’s inability, with reasonable accommodation, to perform the duties of Executive’s position for a period of (i) 180 consecutive days or (ii) 180 non-consecutive days during any 12-month period. as a result of physical or mental illness, loss of legal capacity or any other cause beyond Executive’s control as determined by a qualified independent physician selected by the Company and approved by Executive (which approval shall not be unreasonably withheld). Executive and the Company hereby acknowledge that Executive’s ability to perform the duties specified in Section 1 is the essence of this Agreement. Termination hereunder shall be deemed to be effective (a) at the end of the calendar month in which Executive’s death occurs or (b) immediately upon a determination by the Board or the compensation committee thereof of Executive’s Total Disability. In the case of termination of employment under this Section 5.4(ii), Executive shall not be entitled to receive any payments or benefits under this Agreement, other than as set forth in Section 5.1.</w:t>
      </w:r>
    </w:p>
    <w:p>
      <w:pPr>
        <w:spacing w:after="0" w:line="167" w:lineRule="exact"/>
        <w:rPr>
          <w:sz w:val="20"/>
          <w:szCs w:val="20"/>
          <w:color w:val="auto"/>
        </w:rPr>
      </w:pPr>
    </w:p>
    <w:p>
      <w:pPr>
        <w:jc w:val="both"/>
        <w:ind w:firstLine="872"/>
        <w:spacing w:after="0" w:line="248" w:lineRule="auto"/>
        <w:tabs>
          <w:tab w:leader="none" w:pos="1674" w:val="left"/>
        </w:tabs>
        <w:numPr>
          <w:ilvl w:val="1"/>
          <w:numId w:val="63"/>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 xml:space="preserve">Conditions to Receipt of Severance Benefits. </w:t>
      </w:r>
      <w:r>
        <w:rPr>
          <w:rFonts w:ascii="Times New Roman" w:cs="Times New Roman" w:eastAsia="Times New Roman" w:hAnsi="Times New Roman"/>
          <w:sz w:val="21"/>
          <w:szCs w:val="21"/>
          <w:color w:val="auto"/>
        </w:rPr>
        <w:t>As a condition to receiving the payments and benefits set forth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Section 5.2 and Section 5.3, (i) Executive must execute and deliver to the Company a release of claims in a form reasonably acceptable to the Company and such release must have become effective and the revocation period provided therein must have expired without Executive having revoked such release within the 60-day period following the date of termination, and</w:t>
      </w:r>
    </w:p>
    <w:p>
      <w:pPr>
        <w:spacing w:after="0" w:line="1" w:lineRule="exact"/>
        <w:rPr>
          <w:rFonts w:ascii="Times New Roman" w:cs="Times New Roman" w:eastAsia="Times New Roman" w:hAnsi="Times New Roman"/>
          <w:sz w:val="21"/>
          <w:szCs w:val="21"/>
          <w:b w:val="1"/>
          <w:bCs w:val="1"/>
          <w:color w:val="010000"/>
        </w:rPr>
      </w:pPr>
    </w:p>
    <w:p>
      <w:pPr>
        <w:ind w:left="320" w:hanging="312"/>
        <w:spacing w:after="0"/>
        <w:tabs>
          <w:tab w:leader="none" w:pos="3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must not have revoked or breached the provisions of such</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9" w:name="page80"/>
    <w:bookmarkEnd w:id="79"/>
    <w:p>
      <w:pPr>
        <w:jc w:val="both"/>
        <w:spacing w:after="0" w:line="235" w:lineRule="auto"/>
        <w:rPr>
          <w:sz w:val="20"/>
          <w:szCs w:val="20"/>
          <w:color w:val="auto"/>
        </w:rPr>
      </w:pPr>
      <w:r>
        <w:rPr>
          <w:rFonts w:ascii="Times New Roman" w:cs="Times New Roman" w:eastAsia="Times New Roman" w:hAnsi="Times New Roman"/>
          <w:sz w:val="22"/>
          <w:szCs w:val="22"/>
          <w:color w:val="auto"/>
        </w:rPr>
        <w:t>release or breached the provisions of the Restrictive Covenant Agreement. In the event that Executive does not execute and deliver such release, such release does not become effective and irrevocable within such period or Executive revokes or breaches the provisions of the release or breaches the provisions of the Restrictive Covenant Agreement, Executive (A) will be deemed to have voluntarily resigned Executive’s employment hereunder without Good Reason, (B) will not be entitled to the payments, benefits or accelerated vesting described in Section 5.2 or Section 5.3 and (C) will be required to reimburse the Company, in cash within five business days after written demand is made by the Company therefore, for an amount equal to the value of any payments or benefits Executive received pursuant to Section 5.2 or Section 5.3.</w:t>
      </w:r>
    </w:p>
    <w:p>
      <w:pPr>
        <w:spacing w:after="0" w:line="179" w:lineRule="exact"/>
        <w:rPr>
          <w:sz w:val="20"/>
          <w:szCs w:val="20"/>
          <w:color w:val="auto"/>
        </w:rPr>
      </w:pPr>
    </w:p>
    <w:p>
      <w:pPr>
        <w:jc w:val="both"/>
        <w:ind w:firstLine="872"/>
        <w:spacing w:after="0" w:line="250" w:lineRule="auto"/>
        <w:tabs>
          <w:tab w:leader="none" w:pos="1674" w:val="left"/>
        </w:tabs>
        <w:numPr>
          <w:ilvl w:val="1"/>
          <w:numId w:val="65"/>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 xml:space="preserve">Section 409A. </w:t>
      </w:r>
      <w:r>
        <w:rPr>
          <w:rFonts w:ascii="Times New Roman" w:cs="Times New Roman" w:eastAsia="Times New Roman" w:hAnsi="Times New Roman"/>
          <w:sz w:val="21"/>
          <w:szCs w:val="21"/>
          <w:color w:val="auto"/>
        </w:rPr>
        <w:t>It is intended that all of the severance benefits and other payments payable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satisfy, to the greatest extent possible, the exemptions from the application of Section 409A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provided under Treasury Regulations 1.409A-1(b)(4), 1.409A-1(b)</w:t>
      </w:r>
    </w:p>
    <w:p>
      <w:pPr>
        <w:spacing w:after="0" w:line="2" w:lineRule="exact"/>
        <w:rPr>
          <w:rFonts w:ascii="Times New Roman" w:cs="Times New Roman" w:eastAsia="Times New Roman" w:hAnsi="Times New Roman"/>
          <w:sz w:val="21"/>
          <w:szCs w:val="21"/>
          <w:b w:val="1"/>
          <w:bCs w:val="1"/>
          <w:color w:val="010000"/>
        </w:rPr>
      </w:pPr>
    </w:p>
    <w:p>
      <w:pPr>
        <w:jc w:val="both"/>
        <w:ind w:firstLine="8"/>
        <w:spacing w:after="0" w:line="231" w:lineRule="auto"/>
        <w:tabs>
          <w:tab w:leader="none" w:pos="31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1.409A-1(b)(9), and this Agreement will be construed to the greatest extent possible as consistent with those provisions, and to the extent not so exempt, this Agreement (and any definitions hereunder) will be construed in a manner that complies with Section 409A. All payments and benefits that are payable upon a termination of employment hereunder shall be paid or provided only upon Executive’s “separation from service” from the Company (within the meaning of Section 409A). For purposes of Section 409A (including, without limitation, for purposes of Treasury Regulation Section 1.409A-2(b)(2)(iii)),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termination to be a “specified employee” for purposes of Section 409A(a)(2) (B)(i), and if any of the payments upon termination set forth herein and/or under any other agreement with the Company are deemed to be “deferred compensation”, then to the extent delayed commencement of any portion of such payments is required in order to avoid a prohibited distribution under Section 409A(a)(2)(B)(i) and the related adverse taxation under Section 409A, such payments shall not be provided to Executive prior to the earliest of (i) the expiration of the six-month period measured from the date of Executive’s termination with the Company, (ii) the date of Executive’s death or (iii) such earlier date as permitted under Section 409A without the imposition of adverse taxation. Upon the first business day following the expiration of such applicable Section 409A(a)(2)(B)(i) period, all payments deferred pursuant to this Section 7 shall be paid in a lump sum to Executive, and any remaining payments due shall be paid as otherwise provided herein or in the applicable agreement. No interest shall be due on any amounts so deferred.</w:t>
      </w:r>
    </w:p>
    <w:p>
      <w:pPr>
        <w:spacing w:after="0" w:line="179" w:lineRule="exact"/>
        <w:rPr>
          <w:rFonts w:ascii="Times New Roman" w:cs="Times New Roman" w:eastAsia="Times New Roman" w:hAnsi="Times New Roman"/>
          <w:sz w:val="22"/>
          <w:szCs w:val="22"/>
          <w:color w:val="auto"/>
        </w:rPr>
      </w:pPr>
    </w:p>
    <w:p>
      <w:pPr>
        <w:jc w:val="both"/>
        <w:ind w:firstLine="872"/>
        <w:spacing w:after="0" w:line="236" w:lineRule="auto"/>
        <w:tabs>
          <w:tab w:leader="none" w:pos="1674" w:val="left"/>
        </w:tabs>
        <w:numPr>
          <w:ilvl w:val="1"/>
          <w:numId w:val="6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Section 280G. </w:t>
      </w:r>
      <w:r>
        <w:rPr>
          <w:rFonts w:ascii="Times New Roman" w:cs="Times New Roman" w:eastAsia="Times New Roman" w:hAnsi="Times New Roman"/>
          <w:sz w:val="22"/>
          <w:szCs w:val="22"/>
          <w:color w:val="auto"/>
        </w:rPr>
        <w:t>In the event that the severance and other benefits provided for in this Agreement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payable to Executive (i) constitute “parachute payments” within the meaning of Section 280G of the Code and (ii) but for this Section 8, would be subject to the excise tax imposed by Section 4999 of the Code, then,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0" w:name="page81"/>
    <w:bookmarkEnd w:id="80"/>
    <w:p>
      <w:pPr>
        <w:jc w:val="both"/>
        <w:spacing w:after="0" w:line="245" w:lineRule="auto"/>
        <w:rPr>
          <w:sz w:val="20"/>
          <w:szCs w:val="20"/>
          <w:color w:val="auto"/>
        </w:rPr>
      </w:pPr>
      <w:r>
        <w:rPr>
          <w:rFonts w:ascii="Times New Roman" w:cs="Times New Roman" w:eastAsia="Times New Roman" w:hAnsi="Times New Roman"/>
          <w:sz w:val="21"/>
          <w:szCs w:val="21"/>
          <w:color w:val="auto"/>
        </w:rPr>
        <w:t>results in the receipt by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 equity awards, and (iii) reduction of other benefits payable to Executive. Unless the Company and Executive otherwise agree in writing, any determination required under this Section 8 shall be made in writing by the Company’s independent public accountants (the “</w:t>
      </w:r>
      <w:r>
        <w:rPr>
          <w:rFonts w:ascii="Times New Roman" w:cs="Times New Roman" w:eastAsia="Times New Roman" w:hAnsi="Times New Roman"/>
          <w:sz w:val="21"/>
          <w:szCs w:val="21"/>
          <w:b w:val="1"/>
          <w:bCs w:val="1"/>
          <w:color w:val="auto"/>
        </w:rPr>
        <w:t>Accountants</w:t>
      </w:r>
      <w:r>
        <w:rPr>
          <w:rFonts w:ascii="Times New Roman" w:cs="Times New Roman" w:eastAsia="Times New Roman" w:hAnsi="Times New Roman"/>
          <w:sz w:val="21"/>
          <w:szCs w:val="21"/>
          <w:color w:val="auto"/>
        </w:rPr>
        <w:t>”), whose determination shall be conclusive and binding upon Executive and the Company for all purposes. For purposes of making the calculations required by this Section 8,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8. The Company shall bear all costs the Accountants may reasonably incur in connection with any calculations contemplated by this Section 8.</w:t>
      </w:r>
    </w:p>
    <w:p>
      <w:pPr>
        <w:spacing w:after="0" w:line="173" w:lineRule="exact"/>
        <w:rPr>
          <w:sz w:val="20"/>
          <w:szCs w:val="20"/>
          <w:color w:val="auto"/>
        </w:rPr>
      </w:pPr>
    </w:p>
    <w:p>
      <w:pPr>
        <w:ind w:left="1680" w:hanging="808"/>
        <w:spacing w:after="0"/>
        <w:tabs>
          <w:tab w:leader="none" w:pos="1680" w:val="left"/>
        </w:tabs>
        <w:numPr>
          <w:ilvl w:val="0"/>
          <w:numId w:val="6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Definitions.</w:t>
      </w:r>
    </w:p>
    <w:p>
      <w:pPr>
        <w:spacing w:after="0" w:line="206"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b w:val="1"/>
          <w:bCs w:val="1"/>
          <w:color w:val="010000"/>
        </w:rPr>
        <w:t xml:space="preserve">9.1 </w:t>
      </w:r>
      <w:r>
        <w:rPr>
          <w:rFonts w:ascii="Times New Roman" w:cs="Times New Roman" w:eastAsia="Times New Roman" w:hAnsi="Times New Roman"/>
          <w:sz w:val="22"/>
          <w:szCs w:val="22"/>
          <w:b w:val="1"/>
          <w:bCs w:val="1"/>
          <w:color w:val="000000"/>
        </w:rPr>
        <w:t>Cause.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For purposes of this Agreement, “</w:t>
      </w:r>
      <w:r>
        <w:rPr>
          <w:rFonts w:ascii="Times New Roman" w:cs="Times New Roman" w:eastAsia="Times New Roman" w:hAnsi="Times New Roman"/>
          <w:sz w:val="22"/>
          <w:szCs w:val="22"/>
          <w:b w:val="1"/>
          <w:bCs w:val="1"/>
          <w:color w:val="000000"/>
        </w:rPr>
        <w:t>Cause</w:t>
      </w:r>
      <w:r>
        <w:rPr>
          <w:rFonts w:ascii="Times New Roman" w:cs="Times New Roman" w:eastAsia="Times New Roman" w:hAnsi="Times New Roman"/>
          <w:sz w:val="22"/>
          <w:szCs w:val="22"/>
          <w:color w:val="000000"/>
        </w:rPr>
        <w:t>” for termination will mean: (i) a material breach</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of any of Executive’s obligations or duties pursuant to this Agreement or the Restrictive Covenant Agreement, which remains uncured ten business days after Executive becomes aware of the breach by formal written notification by the Company; (ii) gross negligence, willful misconduct or breach of fiduciary duty in the course of employment, which if curable remains uncured ten days after the Executive becomes aware of the breach by formal written notification by the Company; (iii) any action or activity that is contrary to applicable insider trading rules or any other applicable securities rules or legislation; (iv) a material act or omission involving substantial dishonesty or fraud that harms or would reasonably be expected to harm the Company; or</w:t>
      </w:r>
    </w:p>
    <w:p>
      <w:pPr>
        <w:spacing w:after="0" w:line="2" w:lineRule="exact"/>
        <w:rPr>
          <w:sz w:val="20"/>
          <w:szCs w:val="20"/>
          <w:color w:val="auto"/>
        </w:rPr>
      </w:pPr>
    </w:p>
    <w:p>
      <w:pPr>
        <w:ind w:firstLine="8"/>
        <w:spacing w:after="0" w:line="237" w:lineRule="auto"/>
        <w:tabs>
          <w:tab w:leader="none" w:pos="3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commission of, conviction or indictment for, or plea of no contest to, any felony (or state law equivalent) or any crime involving moral turpitude.</w:t>
      </w:r>
    </w:p>
    <w:p>
      <w:pPr>
        <w:spacing w:after="0" w:line="174"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b w:val="1"/>
          <w:bCs w:val="1"/>
          <w:color w:val="010000"/>
        </w:rPr>
        <w:t xml:space="preserve">9.2 </w:t>
      </w:r>
      <w:r>
        <w:rPr>
          <w:rFonts w:ascii="Times New Roman" w:cs="Times New Roman" w:eastAsia="Times New Roman" w:hAnsi="Times New Roman"/>
          <w:sz w:val="22"/>
          <w:szCs w:val="22"/>
          <w:b w:val="1"/>
          <w:bCs w:val="1"/>
          <w:color w:val="000000"/>
        </w:rPr>
        <w:t>Change in Control.</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For purposes of this Agreement, “</w:t>
      </w:r>
      <w:r>
        <w:rPr>
          <w:rFonts w:ascii="Times New Roman" w:cs="Times New Roman" w:eastAsia="Times New Roman" w:hAnsi="Times New Roman"/>
          <w:sz w:val="22"/>
          <w:szCs w:val="22"/>
          <w:b w:val="1"/>
          <w:bCs w:val="1"/>
          <w:color w:val="000000"/>
        </w:rPr>
        <w:t>Change in Control</w:t>
      </w:r>
      <w:r>
        <w:rPr>
          <w:rFonts w:ascii="Times New Roman" w:cs="Times New Roman" w:eastAsia="Times New Roman" w:hAnsi="Times New Roman"/>
          <w:sz w:val="22"/>
          <w:szCs w:val="22"/>
          <w:color w:val="000000"/>
        </w:rPr>
        <w:t>” means the occurrence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of one or more of the following: (a) a merger, a consolidation, a reorganization or an arrangement that results in a transfer of more than fifty percent (50%) of the total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(b) a direct or indirect sale or other transfer of beneficial ownership of securities of the Company possessing more than fifty percent (50%) of the total combined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(c) a direct or indirect sale or other transfer of the right to appoint more than fifty percent (50%) of the directors of the Board or otherwise directly or indirectly control the management, affairs and business of the Company to a person or a group of persons different from a person or a group of persons holding this right immediately prior to such transaction (other than the Company or a person that directly or indirectly controls, is controlled by, or is under common control with, the Company); (d) a direct</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1" w:name="page82"/>
    <w:bookmarkEnd w:id="81"/>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or indirect sale or other transfer of all or substantially all of the assets of the Company to a person or a group of persons different from a person or a group of persons holding those assets immediately prior to such transaction (other than the Company or a person that directly or indirectly controls, is controlled by, or is under common control with, the Company); or (e) a complete liquidation, dissolution or winding-up of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Change in Control will not be deemed to have occurred if such Change in Control results solely from the issuance, in connection with a bona fide financing or series of financings by the Company, of voting securities of the Company or any rights to acquire voting securities of the Company which are convertible into voting securities.</w:t>
      </w:r>
    </w:p>
    <w:p>
      <w:pPr>
        <w:spacing w:after="0" w:line="179"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b w:val="1"/>
          <w:bCs w:val="1"/>
          <w:color w:val="010000"/>
        </w:rPr>
        <w:t xml:space="preserve">9.3 </w:t>
      </w:r>
      <w:r>
        <w:rPr>
          <w:rFonts w:ascii="Times New Roman" w:cs="Times New Roman" w:eastAsia="Times New Roman" w:hAnsi="Times New Roman"/>
          <w:sz w:val="22"/>
          <w:szCs w:val="22"/>
          <w:b w:val="1"/>
          <w:bCs w:val="1"/>
          <w:color w:val="000000"/>
        </w:rPr>
        <w:t>Change in Control Period.</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For purposes of this Agreement, “</w:t>
      </w:r>
      <w:r>
        <w:rPr>
          <w:rFonts w:ascii="Times New Roman" w:cs="Times New Roman" w:eastAsia="Times New Roman" w:hAnsi="Times New Roman"/>
          <w:sz w:val="22"/>
          <w:szCs w:val="22"/>
          <w:b w:val="1"/>
          <w:bCs w:val="1"/>
          <w:color w:val="000000"/>
        </w:rPr>
        <w:t>Change in Control Period</w:t>
      </w:r>
      <w:r>
        <w:rPr>
          <w:rFonts w:ascii="Times New Roman" w:cs="Times New Roman" w:eastAsia="Times New Roman" w:hAnsi="Times New Roman"/>
          <w:sz w:val="22"/>
          <w:szCs w:val="22"/>
          <w:color w:val="000000"/>
        </w:rPr>
        <w:t>” means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the period (i) commencing on the later of (a) the date that is three (3) months prior to the effective date of a Change in Control and (b) the Potential Change in Control Date, and (ii) ending on the date that is twelve (12) months following the effective date of a Change in Control.</w:t>
      </w:r>
    </w:p>
    <w:p>
      <w:pPr>
        <w:spacing w:after="0" w:line="172"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b w:val="1"/>
          <w:bCs w:val="1"/>
          <w:color w:val="010000"/>
        </w:rPr>
        <w:t xml:space="preserve">9.4 </w:t>
      </w:r>
      <w:r>
        <w:rPr>
          <w:rFonts w:ascii="Times New Roman" w:cs="Times New Roman" w:eastAsia="Times New Roman" w:hAnsi="Times New Roman"/>
          <w:sz w:val="22"/>
          <w:szCs w:val="22"/>
          <w:b w:val="1"/>
          <w:bCs w:val="1"/>
          <w:color w:val="000000"/>
        </w:rPr>
        <w:t>Good Reason.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For purposes of this Agreement, “</w:t>
      </w:r>
      <w:r>
        <w:rPr>
          <w:rFonts w:ascii="Times New Roman" w:cs="Times New Roman" w:eastAsia="Times New Roman" w:hAnsi="Times New Roman"/>
          <w:sz w:val="22"/>
          <w:szCs w:val="22"/>
          <w:b w:val="1"/>
          <w:bCs w:val="1"/>
          <w:color w:val="000000"/>
        </w:rPr>
        <w:t>Good Reason</w:t>
      </w:r>
      <w:r>
        <w:rPr>
          <w:rFonts w:ascii="Times New Roman" w:cs="Times New Roman" w:eastAsia="Times New Roman" w:hAnsi="Times New Roman"/>
          <w:sz w:val="22"/>
          <w:szCs w:val="22"/>
          <w:color w:val="000000"/>
        </w:rPr>
        <w:t>” will mean any of the following</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actions taken by the Company without Executive’s prior written consent: (i) a material adverse change in Executive’s position, title, office or duties or assignment of any significant duties to Executive that are materially inconsistent with the position or offices held by Executive; (ii) Executive no longer serving as a Section 16 officer or, if the Company’s ultimate parent following a Change in Control is not a public company, not reporting to the Chief Executive Officer of the Company’s ultimate parent;</w:t>
      </w:r>
    </w:p>
    <w:p>
      <w:pPr>
        <w:spacing w:after="0" w:line="4" w:lineRule="exact"/>
        <w:rPr>
          <w:sz w:val="20"/>
          <w:szCs w:val="20"/>
          <w:color w:val="auto"/>
        </w:rPr>
      </w:pPr>
    </w:p>
    <w:p>
      <w:pPr>
        <w:jc w:val="both"/>
        <w:ind w:firstLine="8"/>
        <w:spacing w:after="0" w:line="241" w:lineRule="auto"/>
        <w:tabs>
          <w:tab w:leader="none" w:pos="384"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decrease in Executive’s aggregate base salary and target Annual Bonus by more than 10% (other than in connection with a broad-based reduction in the base salaries or target annual bonuses of all other officers of the Company); (iv) a relocation that increases Executive’s one-way commute by more than 30 miles; and (v) any directive by the Company to undertake any action or to omit to take any action in violation of Executive’s professional medical obligations or any law, rule, regulation or Company policy. In order to resign for Good Reason, (A) Executive must provide written notice to the Company’s Chief Executive Officer within 60 days after the first occurrence of the event giving rise to Good Reason setting forth the basis for Executive’s resignation, (B) Executive must allow the Company at least 30 days from receipt of such written notice to cure such event, and</w:t>
      </w:r>
    </w:p>
    <w:p>
      <w:pPr>
        <w:spacing w:after="0" w:line="3" w:lineRule="exact"/>
        <w:rPr>
          <w:rFonts w:ascii="Times New Roman" w:cs="Times New Roman" w:eastAsia="Times New Roman" w:hAnsi="Times New Roman"/>
          <w:sz w:val="21"/>
          <w:szCs w:val="21"/>
          <w:color w:val="auto"/>
        </w:rPr>
      </w:pPr>
    </w:p>
    <w:p>
      <w:pPr>
        <w:jc w:val="both"/>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if such event is not reasonably cured within such period, Executive must resign from all positions Executive then holds with the Company not later than 90 days after the expiration of such cure period. In addition, in order to resign for Good Reason under clause (v) above, (1) the notice described in clause (A) of the foregoing sentence must be accompanied by a written legal opinion from Executive’s legal counsel concluding that such action or omission would be in violation of Executive’s professional medical obligations or any law, rule, regulation or Company policy, and (2) during the 30-day cure period described in clause (B) of the foregoing sentence, the Company must be provided with an opportunity to discuss in good faith such legal opinion with Executive’s legal counsel.</w:t>
      </w:r>
    </w:p>
    <w:p>
      <w:pPr>
        <w:spacing w:after="0" w:line="17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9.5 </w:t>
      </w:r>
      <w:r>
        <w:rPr>
          <w:rFonts w:ascii="Times New Roman" w:cs="Times New Roman" w:eastAsia="Times New Roman" w:hAnsi="Times New Roman"/>
          <w:sz w:val="22"/>
          <w:szCs w:val="22"/>
          <w:b w:val="1"/>
          <w:bCs w:val="1"/>
          <w:color w:val="000000"/>
        </w:rPr>
        <w:t>Potential Change in Control Date.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For purposes of this Agreement, “</w:t>
      </w:r>
      <w:r>
        <w:rPr>
          <w:rFonts w:ascii="Times New Roman" w:cs="Times New Roman" w:eastAsia="Times New Roman" w:hAnsi="Times New Roman"/>
          <w:sz w:val="22"/>
          <w:szCs w:val="22"/>
          <w:b w:val="1"/>
          <w:bCs w:val="1"/>
          <w:color w:val="000000"/>
        </w:rPr>
        <w:t>Potential Change in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b w:val="1"/>
          <w:bCs w:val="1"/>
          <w:color w:val="000000"/>
        </w:rPr>
        <w:t>Control Date</w:t>
      </w:r>
      <w:r>
        <w:rPr>
          <w:rFonts w:ascii="Times New Roman" w:cs="Times New Roman" w:eastAsia="Times New Roman" w:hAnsi="Times New Roman"/>
          <w:sz w:val="22"/>
          <w:szCs w:val="22"/>
          <w:color w:val="000000"/>
        </w:rPr>
        <w:t>” means the date on which the Company commences its engagement with the applicable counterparty to pursue the</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transaction that will constitute a Change in Control if such transaction is consummated.</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2" w:name="page83"/>
    <w:bookmarkEnd w:id="82"/>
    <w:p>
      <w:pPr>
        <w:jc w:val="both"/>
        <w:ind w:firstLine="872"/>
        <w:spacing w:after="0" w:line="238" w:lineRule="auto"/>
        <w:tabs>
          <w:tab w:leader="none" w:pos="1782" w:val="left"/>
        </w:tabs>
        <w:numPr>
          <w:ilvl w:val="0"/>
          <w:numId w:val="7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Proprietary Information Obligations. </w:t>
      </w:r>
      <w:r>
        <w:rPr>
          <w:rFonts w:ascii="Times New Roman" w:cs="Times New Roman" w:eastAsia="Times New Roman" w:hAnsi="Times New Roman"/>
          <w:sz w:val="22"/>
          <w:szCs w:val="22"/>
          <w:color w:val="auto"/>
        </w:rPr>
        <w:t>As an employee of the Company, Executive will have access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confidential information of the Company and Executive may, during the course of Executive’s employment develop certain information or inventions that will be the property of the Company. To the protect the Company’s interests, as a condition of employment, Executive must execute and abide by the Employee Proprietary Information, Restrictive Covenant and Invention Assignment Agreement attached here to as Exhibit A (the “</w:t>
      </w:r>
      <w:r>
        <w:rPr>
          <w:rFonts w:ascii="Times New Roman" w:cs="Times New Roman" w:eastAsia="Times New Roman" w:hAnsi="Times New Roman"/>
          <w:sz w:val="22"/>
          <w:szCs w:val="22"/>
          <w:b w:val="1"/>
          <w:bCs w:val="1"/>
          <w:color w:val="auto"/>
        </w:rPr>
        <w:t>Restrictive Covenant Agreement</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b w:val="1"/>
          <w:bCs w:val="1"/>
          <w:color w:val="010000"/>
        </w:rPr>
      </w:pPr>
    </w:p>
    <w:p>
      <w:pPr>
        <w:ind w:left="1780" w:hanging="908"/>
        <w:spacing w:after="0"/>
        <w:tabs>
          <w:tab w:leader="none" w:pos="1780" w:val="left"/>
        </w:tabs>
        <w:numPr>
          <w:ilvl w:val="0"/>
          <w:numId w:val="7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Outside Activities During Employment.</w:t>
      </w:r>
    </w:p>
    <w:p>
      <w:pPr>
        <w:spacing w:after="0" w:line="206" w:lineRule="exact"/>
        <w:rPr>
          <w:sz w:val="20"/>
          <w:szCs w:val="20"/>
          <w:color w:val="auto"/>
        </w:rPr>
      </w:pPr>
    </w:p>
    <w:p>
      <w:pPr>
        <w:jc w:val="both"/>
        <w:ind w:firstLine="1727"/>
        <w:spacing w:after="0" w:line="237" w:lineRule="auto"/>
        <w:rPr>
          <w:sz w:val="20"/>
          <w:szCs w:val="20"/>
          <w:color w:val="auto"/>
        </w:rPr>
      </w:pPr>
      <w:r>
        <w:rPr>
          <w:rFonts w:ascii="Times New Roman" w:cs="Times New Roman" w:eastAsia="Times New Roman" w:hAnsi="Times New Roman"/>
          <w:sz w:val="22"/>
          <w:szCs w:val="22"/>
          <w:b w:val="1"/>
          <w:bCs w:val="1"/>
          <w:color w:val="010000"/>
        </w:rPr>
        <w:t xml:space="preserve">11.1 </w:t>
      </w:r>
      <w:r>
        <w:rPr>
          <w:rFonts w:ascii="Times New Roman" w:cs="Times New Roman" w:eastAsia="Times New Roman" w:hAnsi="Times New Roman"/>
          <w:sz w:val="22"/>
          <w:szCs w:val="22"/>
          <w:b w:val="1"/>
          <w:bCs w:val="1"/>
          <w:color w:val="000000"/>
        </w:rPr>
        <w:t>Non-Company Business.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Except with the prior written consent of the Board, Executive will not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during the term of Executive’s employment with the Company undertake or engage in any other employment, occupation or business enterprise, other than ones in which Executive is a passive investor, provided that they do not violate the Restrictive Covenant Agreement. Executive may engage in civic and not-for-profit activities, as well as (i) assume no more than two non-competitive board positions and (ii) maintain her current Stanford faculty position, so long as such activities do not materially interfere with the performance of Executive’s duties hereunder.</w:t>
      </w:r>
    </w:p>
    <w:p>
      <w:pPr>
        <w:spacing w:after="0" w:line="175"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11.2 </w:t>
      </w:r>
      <w:r>
        <w:rPr>
          <w:rFonts w:ascii="Times New Roman" w:cs="Times New Roman" w:eastAsia="Times New Roman" w:hAnsi="Times New Roman"/>
          <w:sz w:val="22"/>
          <w:szCs w:val="22"/>
          <w:b w:val="1"/>
          <w:bCs w:val="1"/>
          <w:color w:val="000000"/>
        </w:rPr>
        <w:t>No Adverse Interests.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Executive agrees not to acquire, assume or participate in, directly or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indirectly, any position, investment or interest known to be adverse or antagonistic to the Company, its business or prospects, financial or otherwise.</w:t>
      </w:r>
    </w:p>
    <w:p>
      <w:pPr>
        <w:spacing w:after="0" w:line="167" w:lineRule="exact"/>
        <w:rPr>
          <w:sz w:val="20"/>
          <w:szCs w:val="20"/>
          <w:color w:val="auto"/>
        </w:rPr>
      </w:pPr>
    </w:p>
    <w:p>
      <w:pPr>
        <w:jc w:val="both"/>
        <w:ind w:firstLine="872"/>
        <w:spacing w:after="0" w:line="232" w:lineRule="auto"/>
        <w:tabs>
          <w:tab w:leader="none" w:pos="1782" w:val="left"/>
        </w:tabs>
        <w:numPr>
          <w:ilvl w:val="0"/>
          <w:numId w:val="7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Dispute Resolution. </w:t>
      </w:r>
      <w:r>
        <w:rPr>
          <w:rFonts w:ascii="Times New Roman" w:cs="Times New Roman" w:eastAsia="Times New Roman" w:hAnsi="Times New Roman"/>
          <w:sz w:val="22"/>
          <w:szCs w:val="22"/>
          <w:color w:val="auto"/>
        </w:rPr>
        <w:t>To ensure the timely and economical resolution of disputes that may arise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Executive’s employment with the Company, Executive and the Company agree that any and all disputes, claims, or causes of action arising from or relating to the enforcement, breach, performance, negotiation, execution, or interpretation of this Agreement, Executive’s employment, or the termination of Executive’s employment, including but not limited to statutory claims, shall be resolved to the fullest extent permitted by law by final, binding and confidential arbitration, by a single arbitrator, in California conducted by JAMS, Inc.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under the then applicable JAMS rules or by another arbitration company if mutually agreed upon by Executive and Board. By agreeing to this arbitration procedure, both Executive and the Company waive the right to resolve any such dispute through a trial by jury or judge or administrative proceeding. The Company acknowledges that Executive will have the right to be represented by legal counsel at any arbitration proceeding.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of Executive if the dispute were decided in a court of law.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3" w:name="page84"/>
    <w:bookmarkEnd w:id="83"/>
    <w:p>
      <w:pPr>
        <w:ind w:left="1780" w:hanging="908"/>
        <w:spacing w:after="0"/>
        <w:tabs>
          <w:tab w:leader="none" w:pos="1780" w:val="left"/>
        </w:tabs>
        <w:numPr>
          <w:ilvl w:val="0"/>
          <w:numId w:val="7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General Provisions.</w:t>
      </w:r>
    </w:p>
    <w:p>
      <w:pPr>
        <w:spacing w:after="0" w:line="206"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13.1 </w:t>
      </w:r>
      <w:r>
        <w:rPr>
          <w:rFonts w:ascii="Times New Roman" w:cs="Times New Roman" w:eastAsia="Times New Roman" w:hAnsi="Times New Roman"/>
          <w:sz w:val="22"/>
          <w:szCs w:val="22"/>
          <w:b w:val="1"/>
          <w:bCs w:val="1"/>
          <w:color w:val="000000"/>
        </w:rPr>
        <w:t>Notices.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Any notices provided must be in writing and will be deemed effective upon the earlier of</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personal delivery (including personal delivery by fax) or the next day after sending by overnight carrier, to the Company at its primary office location and to Executive at the address as listed on the Company payroll.</w:t>
      </w:r>
    </w:p>
    <w:p>
      <w:pPr>
        <w:spacing w:after="0" w:line="167"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b w:val="1"/>
          <w:bCs w:val="1"/>
          <w:color w:val="010000"/>
        </w:rPr>
        <w:t xml:space="preserve">13.2 </w:t>
      </w:r>
      <w:r>
        <w:rPr>
          <w:rFonts w:ascii="Times New Roman" w:cs="Times New Roman" w:eastAsia="Times New Roman" w:hAnsi="Times New Roman"/>
          <w:sz w:val="22"/>
          <w:szCs w:val="22"/>
          <w:b w:val="1"/>
          <w:bCs w:val="1"/>
          <w:color w:val="000000"/>
        </w:rPr>
        <w:t>Severability.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Whenever possible, each provision of this Agreement will be interpreted in such</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7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13.3 </w:t>
      </w:r>
      <w:r>
        <w:rPr>
          <w:rFonts w:ascii="Times New Roman" w:cs="Times New Roman" w:eastAsia="Times New Roman" w:hAnsi="Times New Roman"/>
          <w:sz w:val="22"/>
          <w:szCs w:val="22"/>
          <w:b w:val="1"/>
          <w:bCs w:val="1"/>
          <w:color w:val="000000"/>
        </w:rPr>
        <w:t>Waiver.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Any waiver of any breach of any provisions of this Agreement must be in writing to be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effective, and it shall not thereby be deemed to have waived any preceding or succeeding breach of the same or any other provision of this Agreement.</w:t>
      </w:r>
    </w:p>
    <w:p>
      <w:pPr>
        <w:spacing w:after="0" w:line="167"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b w:val="1"/>
          <w:bCs w:val="1"/>
          <w:color w:val="010000"/>
        </w:rPr>
        <w:t xml:space="preserve">13.4 </w:t>
      </w:r>
      <w:r>
        <w:rPr>
          <w:rFonts w:ascii="Times New Roman" w:cs="Times New Roman" w:eastAsia="Times New Roman" w:hAnsi="Times New Roman"/>
          <w:sz w:val="22"/>
          <w:szCs w:val="22"/>
          <w:b w:val="1"/>
          <w:bCs w:val="1"/>
          <w:color w:val="000000"/>
        </w:rPr>
        <w:t>Complete Agreement.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This Agreement, together with the Restrictive Covenant Agreement,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constitutes the entire agreement between Executive and the Company with regard to this subject matter and is the complete, final, and exclusive embodiment of the Parties’ agreement with regard to this subject matter, and supersedes all prior or contemporaneous offers, negotiations and agreements, whether written or oral, relating to such subject matter.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78" w:lineRule="exact"/>
        <w:rPr>
          <w:sz w:val="20"/>
          <w:szCs w:val="20"/>
          <w:color w:val="auto"/>
        </w:rPr>
      </w:pPr>
    </w:p>
    <w:p>
      <w:pPr>
        <w:jc w:val="both"/>
        <w:ind w:right="20" w:firstLine="1727"/>
        <w:spacing w:after="0" w:line="262" w:lineRule="auto"/>
        <w:rPr>
          <w:sz w:val="20"/>
          <w:szCs w:val="20"/>
          <w:color w:val="auto"/>
        </w:rPr>
      </w:pPr>
      <w:r>
        <w:rPr>
          <w:rFonts w:ascii="Times New Roman" w:cs="Times New Roman" w:eastAsia="Times New Roman" w:hAnsi="Times New Roman"/>
          <w:sz w:val="22"/>
          <w:szCs w:val="22"/>
          <w:b w:val="1"/>
          <w:bCs w:val="1"/>
          <w:color w:val="010000"/>
        </w:rPr>
        <w:t xml:space="preserve">13.5 </w:t>
      </w:r>
      <w:r>
        <w:rPr>
          <w:rFonts w:ascii="Times New Roman" w:cs="Times New Roman" w:eastAsia="Times New Roman" w:hAnsi="Times New Roman"/>
          <w:sz w:val="22"/>
          <w:szCs w:val="22"/>
          <w:b w:val="1"/>
          <w:bCs w:val="1"/>
          <w:color w:val="000000"/>
        </w:rPr>
        <w:t>Counterparts.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This Agreement may be executed in separate counterparts, any one of which need</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not contain signatures of more than one party, but all of which taken together will constitute one and the same Agreement.</w:t>
      </w:r>
    </w:p>
    <w:p>
      <w:pPr>
        <w:spacing w:after="0" w:line="150"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b w:val="1"/>
          <w:bCs w:val="1"/>
          <w:color w:val="010000"/>
        </w:rPr>
        <w:t xml:space="preserve">13.6 </w:t>
      </w:r>
      <w:r>
        <w:rPr>
          <w:rFonts w:ascii="Times New Roman" w:cs="Times New Roman" w:eastAsia="Times New Roman" w:hAnsi="Times New Roman"/>
          <w:sz w:val="22"/>
          <w:szCs w:val="22"/>
          <w:b w:val="1"/>
          <w:bCs w:val="1"/>
          <w:color w:val="000000"/>
        </w:rPr>
        <w:t>Headings.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The headings of the paragraphs hereof are inserted for convenience only and shall not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be deemed to constitute a part hereof nor to affect the meaning thereof.</w:t>
      </w:r>
    </w:p>
    <w:p>
      <w:pPr>
        <w:spacing w:after="0" w:line="150"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b w:val="1"/>
          <w:bCs w:val="1"/>
          <w:color w:val="010000"/>
        </w:rPr>
        <w:t xml:space="preserve">13.7 </w:t>
      </w:r>
      <w:r>
        <w:rPr>
          <w:rFonts w:ascii="Times New Roman" w:cs="Times New Roman" w:eastAsia="Times New Roman" w:hAnsi="Times New Roman"/>
          <w:sz w:val="22"/>
          <w:szCs w:val="22"/>
          <w:b w:val="1"/>
          <w:bCs w:val="1"/>
          <w:color w:val="000000"/>
        </w:rPr>
        <w:t>Successors and Assigns.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This Agreement is intended to bind and inure to the benefit of and be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enforceable by Executive and the Company, and their respective successors, assigns, heirs, executors and administrators, except that Executive may not assign any of Executive’s duties hereunder and Executive may not assign any of Executive’s rights hereunder without the written consent of the Company.</w:t>
      </w:r>
    </w:p>
    <w:p>
      <w:pPr>
        <w:spacing w:after="0" w:line="172"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b w:val="1"/>
          <w:bCs w:val="1"/>
          <w:color w:val="010000"/>
        </w:rPr>
        <w:t xml:space="preserve">13.8 </w:t>
      </w:r>
      <w:r>
        <w:rPr>
          <w:rFonts w:ascii="Times New Roman" w:cs="Times New Roman" w:eastAsia="Times New Roman" w:hAnsi="Times New Roman"/>
          <w:sz w:val="22"/>
          <w:szCs w:val="22"/>
          <w:b w:val="1"/>
          <w:bCs w:val="1"/>
          <w:color w:val="000000"/>
        </w:rPr>
        <w:t>Tax Withholding and Indemnification.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All payments and awards contemplated or made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4" w:name="page85"/>
    <w:bookmarkEnd w:id="84"/>
    <w:p>
      <w:pPr>
        <w:spacing w:after="0" w:line="258" w:lineRule="auto"/>
        <w:rPr>
          <w:sz w:val="20"/>
          <w:szCs w:val="20"/>
          <w:color w:val="auto"/>
        </w:rPr>
      </w:pPr>
      <w:r>
        <w:rPr>
          <w:rFonts w:ascii="Times New Roman" w:cs="Times New Roman" w:eastAsia="Times New Roman" w:hAnsi="Times New Roman"/>
          <w:sz w:val="22"/>
          <w:szCs w:val="22"/>
          <w:color w:val="auto"/>
        </w:rPr>
        <w:t>made pursuant to this Agreement. Executive has had the opportunity to retain a tax and financial advisor and fully understands the tax and economic consequences of all payments and awards made pursuant to the Agreement.</w:t>
      </w:r>
    </w:p>
    <w:p>
      <w:pPr>
        <w:spacing w:after="0" w:line="154" w:lineRule="exact"/>
        <w:rPr>
          <w:sz w:val="20"/>
          <w:szCs w:val="20"/>
          <w:color w:val="auto"/>
        </w:rPr>
      </w:pPr>
    </w:p>
    <w:p>
      <w:pPr>
        <w:ind w:firstLine="1727"/>
        <w:spacing w:after="0" w:line="262" w:lineRule="auto"/>
        <w:rPr>
          <w:sz w:val="20"/>
          <w:szCs w:val="20"/>
          <w:color w:val="auto"/>
        </w:rPr>
      </w:pPr>
      <w:r>
        <w:rPr>
          <w:rFonts w:ascii="Times New Roman" w:cs="Times New Roman" w:eastAsia="Times New Roman" w:hAnsi="Times New Roman"/>
          <w:sz w:val="22"/>
          <w:szCs w:val="22"/>
          <w:b w:val="1"/>
          <w:bCs w:val="1"/>
          <w:color w:val="010000"/>
        </w:rPr>
        <w:t xml:space="preserve">13.9 </w:t>
      </w:r>
      <w:r>
        <w:rPr>
          <w:rFonts w:ascii="Times New Roman" w:cs="Times New Roman" w:eastAsia="Times New Roman" w:hAnsi="Times New Roman"/>
          <w:sz w:val="22"/>
          <w:szCs w:val="22"/>
          <w:b w:val="1"/>
          <w:bCs w:val="1"/>
          <w:color w:val="000000"/>
        </w:rPr>
        <w:t>Choice of Law.</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All questions concerning the construction, validity and interpretation of this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Agreement will be governed by the laws of the State of California.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have executed this Agreement on the day and year first written above.</w:t>
      </w: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relude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ncorporated</w:t>
      </w:r>
    </w:p>
    <w:p>
      <w:pPr>
        <w:spacing w:after="0" w:line="200" w:lineRule="exact"/>
        <w:rPr>
          <w:sz w:val="20"/>
          <w:szCs w:val="20"/>
          <w:color w:val="auto"/>
        </w:rPr>
      </w:pPr>
    </w:p>
    <w:p>
      <w:pPr>
        <w:spacing w:after="0" w:line="33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Krishna Vaddi</w:t>
      </w: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J</w:t>
      </w:r>
      <w:r>
        <w:rPr>
          <w:rFonts w:ascii="Times New Roman" w:cs="Times New Roman" w:eastAsia="Times New Roman" w:hAnsi="Times New Roman"/>
          <w:sz w:val="14"/>
          <w:szCs w:val="14"/>
          <w:b w:val="1"/>
          <w:bCs w:val="1"/>
          <w:color w:val="auto"/>
        </w:rPr>
        <w:t>ane</w:t>
      </w:r>
      <w:r>
        <w:rPr>
          <w:rFonts w:ascii="Times New Roman" w:cs="Times New Roman" w:eastAsia="Times New Roman" w:hAnsi="Times New Roman"/>
          <w:sz w:val="22"/>
          <w:szCs w:val="22"/>
          <w:b w:val="1"/>
          <w:bCs w:val="1"/>
          <w:color w:val="auto"/>
        </w:rPr>
        <w:t xml:space="preserve"> H</w:t>
      </w:r>
      <w:r>
        <w:rPr>
          <w:rFonts w:ascii="Times New Roman" w:cs="Times New Roman" w:eastAsia="Times New Roman" w:hAnsi="Times New Roman"/>
          <w:sz w:val="14"/>
          <w:szCs w:val="14"/>
          <w:b w:val="1"/>
          <w:bCs w:val="1"/>
          <w:color w:val="auto"/>
        </w:rPr>
        <w:t>uang</w:t>
      </w:r>
    </w:p>
    <w:p>
      <w:pPr>
        <w:spacing w:after="0" w:line="200" w:lineRule="exact"/>
        <w:rPr>
          <w:sz w:val="20"/>
          <w:szCs w:val="20"/>
          <w:color w:val="auto"/>
        </w:rPr>
      </w:pPr>
    </w:p>
    <w:p>
      <w:pPr>
        <w:spacing w:after="0" w:line="2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u w:val="single" w:color="auto"/>
          <w:color w:val="auto"/>
        </w:rPr>
        <w:t>/s/ Jane Huang</w:t>
      </w:r>
    </w:p>
    <w:p>
      <w:pPr>
        <w:spacing w:after="0" w:line="2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Employment Agreement</w:t>
      </w:r>
      <w:r>
        <w:rPr>
          <w:rFonts w:ascii="Times New Roman" w:cs="Times New Roman" w:eastAsia="Times New Roman" w:hAnsi="Times New Roman"/>
          <w:sz w:val="20"/>
          <w:szCs w:val="20"/>
          <w:color w:val="auto"/>
        </w:rPr>
        <w:t>]</w:t>
      </w:r>
    </w:p>
    <w:p>
      <w:pPr>
        <w:sectPr>
          <w:pgSz w:w="11900" w:h="16838" w:orient="portrait"/>
          <w:cols w:equalWidth="0" w:num="1">
            <w:col w:w="10360"/>
          </w:cols>
          <w:pgMar w:left="1200" w:top="108"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225" w:lineRule="exact"/>
        <w:rPr>
          <w:sz w:val="20"/>
          <w:szCs w:val="20"/>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Krishna Vaddi, PhD</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34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Laurent Chardonnet, certify that:</w:t>
      </w:r>
    </w:p>
    <w:p>
      <w:pPr>
        <w:spacing w:after="0" w:line="225" w:lineRule="exact"/>
        <w:rPr>
          <w:sz w:val="20"/>
          <w:szCs w:val="20"/>
          <w:color w:val="auto"/>
        </w:rPr>
      </w:pPr>
    </w:p>
    <w:p>
      <w:pPr>
        <w:ind w:left="500" w:hanging="492"/>
        <w:spacing w:after="0"/>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Laurent Chardonnet</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Laurent Chardonnet</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bl>
    <w:p>
      <w:pPr>
        <w:sectPr>
          <w:pgSz w:w="11900" w:h="16838" w:orient="portrait"/>
          <w:cols w:equalWidth="0" w:num="1">
            <w:col w:w="11240"/>
          </w:cols>
          <w:pgMar w:left="320" w:top="34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207" w:lineRule="exact"/>
        <w:rPr>
          <w:sz w:val="20"/>
          <w:szCs w:val="20"/>
          <w:color w:val="auto"/>
        </w:rPr>
      </w:pPr>
    </w:p>
    <w:p>
      <w:pPr>
        <w:ind w:left="1000" w:right="500" w:hanging="493"/>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00" w:right="620" w:hanging="493"/>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23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Krishna Vaddi</w:t>
            </w:r>
          </w:p>
        </w:tc>
      </w:tr>
      <w:tr>
        <w:trPr>
          <w:trHeight w:val="216"/>
        </w:trPr>
        <w:tc>
          <w:tcPr>
            <w:tcW w:w="3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Krishna Vaddi, PhD</w:t>
            </w:r>
          </w:p>
        </w:tc>
      </w:tr>
      <w:tr>
        <w:trPr>
          <w:trHeight w:val="216"/>
        </w:trPr>
        <w:tc>
          <w:tcPr>
            <w:tcW w:w="3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34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Laurent Chardonnet, Chief Financial Officer of Prelude Therapeutics Incorporated (the “Company”), do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207" w:lineRule="exact"/>
        <w:rPr>
          <w:sz w:val="20"/>
          <w:szCs w:val="20"/>
          <w:color w:val="auto"/>
        </w:rPr>
      </w:pPr>
    </w:p>
    <w:p>
      <w:pPr>
        <w:ind w:left="1000" w:right="500" w:hanging="493"/>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00" w:right="700" w:hanging="493"/>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230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By:</w:t>
            </w: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Laurent Chardonnet</w:t>
            </w:r>
          </w:p>
        </w:tc>
      </w:tr>
      <w:tr>
        <w:trPr>
          <w:trHeight w:val="216"/>
        </w:trPr>
        <w:tc>
          <w:tcPr>
            <w:tcW w:w="3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Laurent Chardonnet</w:t>
            </w:r>
          </w:p>
        </w:tc>
      </w:tr>
      <w:tr>
        <w:trPr>
          <w:trHeight w:val="216"/>
        </w:trPr>
        <w:tc>
          <w:tcPr>
            <w:tcW w:w="3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(Principal Accounting and Finance Officer)</w:t>
            </w: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lvl w:ilvl="1">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lvl w:ilvl="1">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decimal"/>
      <w:start w:val="437"/>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2"/>
    </w:lvl>
  </w:abstractNum>
  <w:abstractNum w:abstractNumId="56">
    <w:nsid w:val="4AD084E9"/>
    <w:multiLevelType w:val="hybridMultilevel"/>
    <w:lvl w:ilvl="0">
      <w:lvlJc w:val="left"/>
      <w:lvlText w:val="(%1)"/>
      <w:numFmt w:val="lowerRoman"/>
      <w:start w:val="1"/>
    </w:lvl>
  </w:abstractNum>
  <w:abstractNum w:abstractNumId="57">
    <w:nsid w:val="1F48EAA1"/>
    <w:multiLevelType w:val="hybridMultilevel"/>
    <w:lvl w:ilvl="0">
      <w:lvlJc w:val="left"/>
      <w:lvlText w:val="%1"/>
      <w:numFmt w:val="decimal"/>
      <w:start w:val="1"/>
    </w:lvl>
    <w:lvl w:ilvl="1">
      <w:lvlJc w:val="left"/>
      <w:lvlText w:val="(%2)"/>
      <w:numFmt w:val="lowerRoman"/>
      <w:start w:val="2"/>
    </w:lvl>
  </w:abstractNum>
  <w:abstractNum w:abstractNumId="58">
    <w:nsid w:val="1381823A"/>
    <w:multiLevelType w:val="hybridMultilevel"/>
    <w:lvl w:ilvl="0">
      <w:lvlJc w:val="left"/>
      <w:lvlText w:val="%1."/>
      <w:numFmt w:val="decimal"/>
      <w:start w:val="3"/>
    </w:lvl>
    <w:lvl w:ilvl="1">
      <w:lvlJc w:val="left"/>
      <w:lvlText w:val="%2"/>
      <w:numFmt w:val="lowerRoman"/>
      <w:start w:val="1"/>
    </w:lvl>
  </w:abstractNum>
  <w:abstractNum w:abstractNumId="59">
    <w:nsid w:val="5DB70AE5"/>
    <w:multiLevelType w:val="hybridMultilevel"/>
    <w:lvl w:ilvl="0">
      <w:lvlJc w:val="left"/>
      <w:lvlText w:val="(%1)"/>
      <w:numFmt w:val="lowerRoman"/>
      <w:start w:val="1"/>
    </w:lvl>
  </w:abstractNum>
  <w:abstractNum w:abstractNumId="60">
    <w:nsid w:val="100F8FCA"/>
    <w:multiLevelType w:val="hybridMultilevel"/>
    <w:lvl w:ilvl="0">
      <w:lvlJc w:val="left"/>
      <w:lvlText w:val="(%1)"/>
      <w:numFmt w:val="lowerRoman"/>
      <w:start w:val="1"/>
    </w:lvl>
  </w:abstractNum>
  <w:abstractNum w:abstractNumId="61">
    <w:nsid w:val="6590700B"/>
    <w:multiLevelType w:val="hybridMultilevel"/>
    <w:lvl w:ilvl="0">
      <w:lvlJc w:val="left"/>
      <w:lvlText w:val="(%1)"/>
      <w:numFmt w:val="lowerRoman"/>
      <w:start w:val="1"/>
    </w:lvl>
  </w:abstractNum>
  <w:abstractNum w:abstractNumId="62">
    <w:nsid w:val="15014ACB"/>
    <w:multiLevelType w:val="hybridMultilevel"/>
    <w:lvl w:ilvl="0">
      <w:lvlJc w:val="left"/>
      <w:lvlText w:val="%1"/>
      <w:numFmt w:val="lowerRoman"/>
      <w:start w:val="1"/>
    </w:lvl>
    <w:lvl w:ilvl="1">
      <w:lvlJc w:val="left"/>
      <w:lvlText w:val="%2."/>
      <w:numFmt w:val="decimal"/>
      <w:start w:val="6"/>
    </w:lvl>
  </w:abstractNum>
  <w:abstractNum w:abstractNumId="63">
    <w:nsid w:val="5F5E7FD0"/>
    <w:multiLevelType w:val="hybridMultilevel"/>
    <w:lvl w:ilvl="0">
      <w:lvlJc w:val="left"/>
      <w:lvlText w:val="(%1)"/>
      <w:numFmt w:val="lowerRoman"/>
      <w:start w:val="2"/>
    </w:lvl>
    <w:lvl w:ilvl="1">
      <w:lvlJc w:val="left"/>
      <w:lvlText w:val="%2"/>
      <w:numFmt w:val="decimal"/>
      <w:start w:val="1"/>
    </w:lvl>
  </w:abstractNum>
  <w:abstractNum w:abstractNumId="64">
    <w:nsid w:val="98A3148"/>
    <w:multiLevelType w:val="hybridMultilevel"/>
    <w:lvl w:ilvl="0">
      <w:lvlJc w:val="left"/>
      <w:lvlText w:val="%1"/>
      <w:numFmt w:val="decimal"/>
      <w:start w:val="1"/>
    </w:lvl>
    <w:lvl w:ilvl="1">
      <w:lvlJc w:val="left"/>
      <w:lvlText w:val="%2."/>
      <w:numFmt w:val="decimal"/>
      <w:start w:val="7"/>
    </w:lvl>
  </w:abstractNum>
  <w:abstractNum w:abstractNumId="65">
    <w:nsid w:val="799D0247"/>
    <w:multiLevelType w:val="hybridMultilevel"/>
    <w:lvl w:ilvl="0">
      <w:lvlJc w:val="left"/>
      <w:lvlText w:val="(%1)"/>
      <w:numFmt w:val="decimal"/>
      <w:start w:val="5"/>
    </w:lvl>
    <w:lvl w:ilvl="1">
      <w:lvlJc w:val="left"/>
      <w:lvlText w:val="%2."/>
      <w:numFmt w:val="decimal"/>
      <w:start w:val="8"/>
    </w:lvl>
  </w:abstractNum>
  <w:abstractNum w:abstractNumId="66">
    <w:nsid w:val="6B94764"/>
    <w:multiLevelType w:val="hybridMultilevel"/>
    <w:lvl w:ilvl="0">
      <w:lvlJc w:val="left"/>
      <w:lvlText w:val="%1."/>
      <w:numFmt w:val="decimal"/>
      <w:start w:val="9"/>
    </w:lvl>
  </w:abstractNum>
  <w:abstractNum w:abstractNumId="67">
    <w:nsid w:val="42C296BD"/>
    <w:multiLevelType w:val="hybridMultilevel"/>
    <w:lvl w:ilvl="0">
      <w:lvlJc w:val="left"/>
      <w:lvlText w:val="(%1)"/>
      <w:numFmt w:val="lowerRoman"/>
      <w:start w:val="5"/>
    </w:lvl>
  </w:abstractNum>
  <w:abstractNum w:abstractNumId="68">
    <w:nsid w:val="168E121F"/>
    <w:multiLevelType w:val="hybridMultilevel"/>
    <w:lvl w:ilvl="0">
      <w:lvlJc w:val="left"/>
      <w:lvlText w:val="(%1)"/>
      <w:numFmt w:val="lowerRoman"/>
      <w:start w:val="3"/>
    </w:lvl>
  </w:abstractNum>
  <w:abstractNum w:abstractNumId="69">
    <w:nsid w:val="1EBA5D23"/>
    <w:multiLevelType w:val="hybridMultilevel"/>
    <w:lvl w:ilvl="0">
      <w:lvlJc w:val="left"/>
      <w:lvlText w:val="%1."/>
      <w:numFmt w:val="decimal"/>
      <w:start w:val="10"/>
    </w:lvl>
  </w:abstractNum>
  <w:abstractNum w:abstractNumId="70">
    <w:nsid w:val="661E3F1E"/>
    <w:multiLevelType w:val="hybridMultilevel"/>
    <w:lvl w:ilvl="0">
      <w:lvlJc w:val="left"/>
      <w:lvlText w:val="%1."/>
      <w:numFmt w:val="decimal"/>
      <w:start w:val="12"/>
    </w:lvl>
  </w:abstractNum>
  <w:abstractNum w:abstractNumId="71">
    <w:nsid w:val="5DC79EA8"/>
    <w:multiLevelType w:val="hybridMultilevel"/>
    <w:lvl w:ilvl="0">
      <w:lvlJc w:val="left"/>
      <w:lvlText w:val="%1."/>
      <w:numFmt w:val="decimal"/>
      <w:start w:val="13"/>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2022-05-10T07:15:55Z</dcterms:created>
  <dcterms:modified xsi:type="dcterms:W3CDTF">2022-05-10T07:15:55Z</dcterms:modified>
</cp:coreProperties>
</file>