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460"/>
        <w:spacing w:after="0"/>
        <w:tabs>
          <w:tab w:leader="none" w:pos="33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PRELUDE THERAPEUTICS INCORPORATED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416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81-1384762</w:t>
            </w:r>
          </w:p>
        </w:tc>
      </w:tr>
      <w:tr>
        <w:trPr>
          <w:trHeight w:val="135"/>
        </w:trPr>
        <w:tc>
          <w:tcPr>
            <w:tcW w:w="416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6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9"/>
              </w:rPr>
              <w:t>incorporation or organization)</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6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200 Powder Mill Road</w:t>
            </w:r>
          </w:p>
        </w:tc>
        <w:tc>
          <w:tcPr>
            <w:tcW w:w="3060" w:type="dxa"/>
            <w:vAlign w:val="bottom"/>
          </w:tcPr>
          <w:p>
            <w:pPr>
              <w:spacing w:after="0"/>
              <w:rPr>
                <w:sz w:val="18"/>
                <w:szCs w:val="18"/>
                <w:color w:val="auto"/>
              </w:rPr>
            </w:pPr>
          </w:p>
        </w:tc>
      </w:tr>
      <w:tr>
        <w:trPr>
          <w:trHeight w:val="216"/>
        </w:trPr>
        <w:tc>
          <w:tcPr>
            <w:tcW w:w="416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Wilmington, Delaware</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19803</w:t>
            </w:r>
          </w:p>
        </w:tc>
      </w:tr>
      <w:tr>
        <w:trPr>
          <w:trHeight w:val="164"/>
        </w:trPr>
        <w:tc>
          <w:tcPr>
            <w:tcW w:w="4160" w:type="dxa"/>
            <w:vAlign w:val="bottom"/>
          </w:tcPr>
          <w:p>
            <w:pPr>
              <w:jc w:val="center"/>
              <w:ind w:right="1984"/>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(302) 467-1280</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45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Trading</w:t>
            </w:r>
          </w:p>
        </w:tc>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20" w:type="dxa"/>
            <w:vAlign w:val="bottom"/>
          </w:tcPr>
          <w:p>
            <w:pPr>
              <w:spacing w:after="0"/>
              <w:rPr>
                <w:sz w:val="14"/>
                <w:szCs w:val="14"/>
                <w:color w:val="auto"/>
              </w:rPr>
            </w:pP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Common Stock, par value $0.0001 per share</w:t>
            </w:r>
          </w:p>
        </w:tc>
        <w:tc>
          <w:tcPr>
            <w:tcW w:w="120" w:type="dxa"/>
            <w:vAlign w:val="bottom"/>
          </w:tcPr>
          <w:p>
            <w:pPr>
              <w:spacing w:after="0"/>
              <w:rPr>
                <w:sz w:val="16"/>
                <w:szCs w:val="16"/>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9"/>
              </w:rPr>
              <w:t>PRLD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3"/>
              </w:rPr>
              <w:t>The Nasdaq Stock Market LLC</w:t>
            </w:r>
          </w:p>
        </w:tc>
        <w:tc>
          <w:tcPr>
            <w:tcW w:w="0" w:type="dxa"/>
            <w:vAlign w:val="bottom"/>
          </w:tcPr>
          <w:p>
            <w:pPr>
              <w:spacing w:after="0"/>
              <w:rPr>
                <w:sz w:val="1"/>
                <w:szCs w:val="1"/>
                <w:color w:val="auto"/>
              </w:rPr>
            </w:pPr>
          </w:p>
        </w:tc>
      </w:tr>
      <w:tr>
        <w:trPr>
          <w:trHeight w:val="199"/>
        </w:trPr>
        <w:tc>
          <w:tcPr>
            <w:tcW w:w="450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5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90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260" w:type="dxa"/>
            <w:vAlign w:val="bottom"/>
          </w:tcPr>
          <w:p>
            <w:pPr>
              <w:ind w:left="3420"/>
              <w:spacing w:after="0"/>
              <w:rPr>
                <w:sz w:val="20"/>
                <w:szCs w:val="20"/>
                <w:color w:val="auto"/>
              </w:rPr>
            </w:pPr>
            <w:r>
              <w:rPr>
                <w:rFonts w:ascii="Arial" w:cs="Arial" w:eastAsia="Arial" w:hAnsi="Arial"/>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75"/>
        </w:trPr>
        <w:tc>
          <w:tcPr>
            <w:tcW w:w="1700" w:type="dxa"/>
            <w:vAlign w:val="bottom"/>
          </w:tcPr>
          <w:p>
            <w:pPr>
              <w:spacing w:after="0"/>
              <w:rPr>
                <w:sz w:val="20"/>
                <w:szCs w:val="20"/>
                <w:color w:val="auto"/>
              </w:rPr>
            </w:pPr>
            <w:r>
              <w:rPr>
                <w:rFonts w:ascii="Arial" w:cs="Arial" w:eastAsia="Arial" w:hAnsi="Arial"/>
                <w:sz w:val="15"/>
                <w:szCs w:val="15"/>
                <w:color w:val="auto"/>
              </w:rPr>
              <w:t>Non-accelerated filer</w:t>
            </w:r>
          </w:p>
        </w:tc>
        <w:tc>
          <w:tcPr>
            <w:tcW w:w="39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20"/>
              <w:spacing w:after="0"/>
              <w:rPr>
                <w:sz w:val="20"/>
                <w:szCs w:val="20"/>
                <w:color w:val="auto"/>
              </w:rPr>
            </w:pPr>
            <w:r>
              <w:rPr>
                <w:rFonts w:ascii="Arial" w:cs="Arial" w:eastAsia="Arial" w:hAnsi="Arial"/>
                <w:sz w:val="15"/>
                <w:szCs w:val="15"/>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7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260" w:type="dxa"/>
            <w:vAlign w:val="bottom"/>
          </w:tcPr>
          <w:p>
            <w:pPr>
              <w:ind w:left="3420"/>
              <w:spacing w:after="0"/>
              <w:rPr>
                <w:sz w:val="20"/>
                <w:szCs w:val="20"/>
                <w:color w:val="auto"/>
              </w:rPr>
            </w:pPr>
            <w:r>
              <w:rPr>
                <w:rFonts w:ascii="Arial" w:cs="Arial" w:eastAsia="Arial" w:hAnsi="Arial"/>
                <w:sz w:val="15"/>
                <w:szCs w:val="15"/>
                <w:color w:val="auto"/>
              </w:rPr>
              <w:t>Emerging growth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was approximately $343.3 million as of the last business day of the registrant’s most recently completed second fiscal quarter, based upon the closing sale price on The Nasdaq Stock Market LLC reported for such date. This excludes an aggregate of 35,047,353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11, 2022 was 47,631,741.</w:t>
      </w:r>
    </w:p>
    <w:p>
      <w:pPr>
        <w:spacing w:after="0" w:line="42"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 w:lineRule="exact"/>
        <w:rPr>
          <w:sz w:val="24"/>
          <w:szCs w:val="24"/>
          <w:color w:val="auto"/>
        </w:rPr>
      </w:pPr>
    </w:p>
    <w:p>
      <w:pPr>
        <w:jc w:val="both"/>
        <w:ind w:right="200"/>
        <w:spacing w:after="0" w:line="224" w:lineRule="auto"/>
        <w:rPr>
          <w:sz w:val="20"/>
          <w:szCs w:val="20"/>
          <w:color w:val="auto"/>
        </w:rPr>
      </w:pPr>
      <w:r>
        <w:rPr>
          <w:rFonts w:ascii="Arial" w:cs="Arial" w:eastAsia="Arial" w:hAnsi="Arial"/>
          <w:sz w:val="13"/>
          <w:szCs w:val="13"/>
          <w:color w:val="auto"/>
        </w:rPr>
        <w:t>Portions of the Registrant’s Definitive Proxy Statement (“Proxy Statement”) relating to the 2022 Annual Meeting of Stockholders will be filed with the Commission within 120 days after the end of the Registrant’s 2021 fiscal year pursuant to Regulation 14A and is incorporated by reference into Part III of this Report.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20" w:type="dxa"/>
            <w:vAlign w:val="bottom"/>
            <w:gridSpan w:val="9"/>
          </w:tcPr>
          <w:p>
            <w:pPr>
              <w:ind w:left="48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4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94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44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9440" w:type="dxa"/>
            <w:vAlign w:val="bottom"/>
            <w:gridSpan w:val="2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85">
              <w:r>
                <w:rPr>
                  <w:rFonts w:ascii="Arial" w:cs="Arial" w:eastAsia="Arial" w:hAnsi="Arial"/>
                  <w:sz w:val="18"/>
                  <w:szCs w:val="18"/>
                  <w:color w:val="0000EE"/>
                  <w:w w:val="87"/>
                </w:rPr>
                <w:t>Properties</w:t>
              </w:r>
            </w:hyperlink>
          </w:p>
        </w:tc>
        <w:tc>
          <w:tcPr>
            <w:tcW w:w="1280" w:type="dxa"/>
            <w:vAlign w:val="bottom"/>
            <w:tcBorders>
              <w:top w:val="single" w:sz="8" w:color="0000EE"/>
            </w:tcBorders>
            <w:gridSpan w:val="8"/>
          </w:tcPr>
          <w:p>
            <w:pPr>
              <w:spacing w:after="0"/>
              <w:rPr>
                <w:sz w:val="18"/>
                <w:szCs w:val="18"/>
                <w:color w:val="auto"/>
              </w:rPr>
            </w:pPr>
          </w:p>
        </w:tc>
        <w:tc>
          <w:tcPr>
            <w:tcW w:w="740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Legal Proceedings</w:t>
              </w:r>
            </w:hyperlink>
          </w:p>
        </w:tc>
        <w:tc>
          <w:tcPr>
            <w:tcW w:w="810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440" w:type="dxa"/>
            <w:vAlign w:val="bottom"/>
            <w:gridSpan w:val="2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439"/>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86">
              <w:r>
                <w:rPr>
                  <w:rFonts w:ascii="Arial" w:cs="Arial" w:eastAsia="Arial" w:hAnsi="Arial"/>
                  <w:sz w:val="18"/>
                  <w:szCs w:val="18"/>
                  <w:b w:val="1"/>
                  <w:bCs w:val="1"/>
                  <w:color w:val="0000EE"/>
                  <w:w w:val="99"/>
                </w:rPr>
                <w:t>PART II</w:t>
              </w:r>
            </w:hyperlink>
          </w:p>
        </w:tc>
        <w:tc>
          <w:tcPr>
            <w:tcW w:w="4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Market for Registrant’s Common Equity, Related Stockholder Matters and Issuer Purchases of Equity Securities</w:t>
              </w:r>
            </w:hyperlink>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[Reserved]</w:t>
              </w:r>
            </w:hyperlink>
          </w:p>
        </w:tc>
        <w:tc>
          <w:tcPr>
            <w:tcW w:w="8640" w:type="dxa"/>
            <w:vAlign w:val="bottom"/>
            <w:gridSpan w:val="1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Quantitative and Qualitative Disclosures About Market Risk</w:t>
              </w:r>
            </w:hyperlink>
          </w:p>
        </w:tc>
        <w:tc>
          <w:tcPr>
            <w:tcW w:w="508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9440" w:type="dxa"/>
            <w:vAlign w:val="bottom"/>
            <w:gridSpan w:val="2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Changes in and Disagreements With Accountants on Accounting and Financial Disclosure</w:t>
              </w:r>
            </w:hyperlink>
          </w:p>
        </w:tc>
        <w:tc>
          <w:tcPr>
            <w:tcW w:w="292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Controls and Procedures</w:t>
              </w:r>
            </w:hyperlink>
          </w:p>
        </w:tc>
        <w:tc>
          <w:tcPr>
            <w:tcW w:w="7660" w:type="dxa"/>
            <w:vAlign w:val="bottom"/>
            <w:gridSpan w:val="1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18">
              <w:r>
                <w:rPr>
                  <w:rFonts w:ascii="Arial" w:cs="Arial" w:eastAsia="Arial" w:hAnsi="Arial"/>
                  <w:sz w:val="18"/>
                  <w:szCs w:val="18"/>
                  <w:color w:val="0000EE"/>
                  <w:w w:val="92"/>
                </w:rPr>
                <w:t>Other Information</w:t>
              </w:r>
            </w:hyperlink>
          </w:p>
        </w:tc>
        <w:tc>
          <w:tcPr>
            <w:tcW w:w="812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9C.</w:t>
            </w:r>
          </w:p>
        </w:tc>
        <w:tc>
          <w:tcPr>
            <w:tcW w:w="9440" w:type="dxa"/>
            <w:vAlign w:val="bottom"/>
            <w:gridSpan w:val="22"/>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Disclosure Regarding Foreign Jurisdictions that Prevent Inspections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439"/>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PART III</w:t>
              </w:r>
            </w:hyperlink>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Directors, Executive Officers and Corporate Governance</w:t>
              </w:r>
            </w:hyperlink>
          </w:p>
        </w:tc>
        <w:tc>
          <w:tcPr>
            <w:tcW w:w="534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944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Security Ownership of Certain Beneficial Owners and Management and Related Stockholder Matters</w:t>
              </w:r>
            </w:hyperlink>
          </w:p>
        </w:tc>
        <w:tc>
          <w:tcPr>
            <w:tcW w:w="21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Certain Relationships and Related Transactions, and Director Independence</w:t>
              </w:r>
            </w:hyperlink>
          </w:p>
        </w:tc>
        <w:tc>
          <w:tcPr>
            <w:tcW w:w="39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944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Principal Accounting Fees and Services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39"/>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20">
              <w:r>
                <w:rPr>
                  <w:rFonts w:ascii="Arial" w:cs="Arial" w:eastAsia="Arial" w:hAnsi="Arial"/>
                  <w:sz w:val="18"/>
                  <w:szCs w:val="18"/>
                  <w:b w:val="1"/>
                  <w:bCs w:val="1"/>
                  <w:color w:val="0000EE"/>
                  <w:w w:val="98"/>
                </w:rPr>
                <w:t>PART IV</w:t>
              </w:r>
            </w:hyperlink>
          </w:p>
        </w:tc>
        <w:tc>
          <w:tcPr>
            <w:tcW w:w="42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9440" w:type="dxa"/>
            <w:vAlign w:val="bottom"/>
            <w:gridSpan w:val="2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Exhibits and Financial Statement Schedules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122">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5"/>
          </w:tcPr>
          <w:p>
            <w:pPr>
              <w:spacing w:after="0"/>
              <w:rPr>
                <w:sz w:val="18"/>
                <w:szCs w:val="18"/>
                <w:color w:val="auto"/>
              </w:rPr>
            </w:pPr>
          </w:p>
        </w:tc>
        <w:tc>
          <w:tcPr>
            <w:tcW w:w="628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40" w:type="dxa"/>
            <w:vAlign w:val="bottom"/>
            <w:gridSpan w:val="2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line="305" w:lineRule="auto"/>
        <w:rPr>
          <w:sz w:val="20"/>
          <w:szCs w:val="20"/>
          <w:color w:val="auto"/>
        </w:rPr>
      </w:pPr>
      <w:r>
        <w:rPr>
          <w:rFonts w:ascii="Arial" w:cs="Arial" w:eastAsia="Arial" w:hAnsi="Arial"/>
          <w:sz w:val="15"/>
          <w:szCs w:val="15"/>
          <w:b w:val="1"/>
          <w:bCs w:val="1"/>
          <w:i w:val="1"/>
          <w:iCs w:val="1"/>
          <w:color w:val="auto"/>
        </w:rPr>
        <w:t>This Annual Report on Form 10-K contains forward-looking statements within the meaning of Section 27A of the Securities Act of 1933, as amended, and Section 21E of the Securities Exchange Act of 1934, as amended. Forward-looking statements are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In some cases, you can identify forward-looking statements by terminology such as “may,” “might,” “will,” “should,” “expect,” “plan,” “anticipate,” “project,” “believe,” “estimate,” “predict,” “potential,” “intend” or “continue,” the negative of terms like these or other comparable terminology, and other words or terms of similar meaning.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All forward-looking statements included in this Annual Report on Form 10-K are based on information available to us on the date hereof, and we assume no obligation to update any such forward-looking statements. Our forward-looking statements can be affected by inaccurate assumptions we might make or by known or unknown risks, uncertainties and other factors. We discuss many of these risks, uncertainties and other factors in this Annual Report on Form 10-K in greater detail under the heading “Item 1A—Risk Factors.”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10-K may not occur and actual results could differ materially and adversely from those anticipated or implied in the forward-looking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12"/>
        <w:spacing w:after="0" w:line="271" w:lineRule="auto"/>
        <w:rPr>
          <w:sz w:val="20"/>
          <w:szCs w:val="20"/>
          <w:color w:val="auto"/>
        </w:rPr>
      </w:pPr>
      <w:r>
        <w:rPr>
          <w:rFonts w:ascii="Arial" w:cs="Arial" w:eastAsia="Arial" w:hAnsi="Arial"/>
          <w:sz w:val="17"/>
          <w:szCs w:val="17"/>
          <w:color w:val="auto"/>
        </w:rPr>
        <w:t>We are a clinical-stage fully integrated oncology company built on a foundation of drug discovery excellence to deliver novel precision cancer medicines to underserved patients.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trials.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six investigational new drug applications, or INDs, and successfully advanced these programs into clinical trials. In addition, we have two unique programs in various stages of preclinical development that we plan to advance into clinical development in 2022.</w:t>
      </w:r>
    </w:p>
    <w:p>
      <w:pPr>
        <w:spacing w:after="0" w:line="178" w:lineRule="exact"/>
        <w:rPr>
          <w:sz w:val="20"/>
          <w:szCs w:val="20"/>
          <w:color w:val="auto"/>
        </w:rPr>
      </w:pPr>
    </w:p>
    <w:p>
      <w:pPr>
        <w:ind w:right="220" w:firstLine="512"/>
        <w:spacing w:after="0" w:line="279" w:lineRule="auto"/>
        <w:rPr>
          <w:sz w:val="20"/>
          <w:szCs w:val="20"/>
          <w:color w:val="auto"/>
        </w:rPr>
      </w:pPr>
      <w:r>
        <w:rPr>
          <w:rFonts w:ascii="Arial" w:cs="Arial" w:eastAsia="Arial" w:hAnsi="Arial"/>
          <w:sz w:val="17"/>
          <w:szCs w:val="17"/>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believe we can best address these diseases by developing therapies that target primary and secondary resistance mechanisms.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 w:name="page4"/>
    <w:bookmarkEnd w:id="3"/>
    <w:p>
      <w:pPr>
        <w:ind w:left="520"/>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151765</wp:posOffset>
            </wp:positionV>
            <wp:extent cx="5657850" cy="2031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513"/>
        <w:spacing w:after="0" w:line="268" w:lineRule="auto"/>
        <w:rPr>
          <w:sz w:val="20"/>
          <w:szCs w:val="20"/>
          <w:color w:val="auto"/>
        </w:rPr>
      </w:pPr>
      <w:r>
        <w:rPr>
          <w:rFonts w:ascii="Arial" w:cs="Arial" w:eastAsia="Arial" w:hAnsi="Arial"/>
          <w:sz w:val="17"/>
          <w:szCs w:val="17"/>
          <w:color w:val="auto"/>
        </w:rPr>
        <w:t>Our most advanced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PRT543, our first clinical candidate, is currently in a Phase 1 clinical trial in advanced solid tumors and select myeloid malignancies. As of an August 6, 2021 data cutoff date, the dose escalation portion of the ongoing Phase 1 trial of PRT543 enrolled a total of 49 patients across 18 unselected advanced solid tumors and lymphoma. Patients enrolled in the trial received an average of three prior lines of therapy. PRT543 demonstrated target engagement and inhibition of PRMT5 functional activity as evidenced by a 69% reduction in serum symmetric dimethylarginine, or sDMA, at a dose of 45 mg/5x per week. In addition, PRT543 demonstrated signs of preliminary clinical activity, including a durable complete response, or CR, maintained for over 18 months in a patient with HRD+ ovarian cancer who remains on treatment, and prolonged stable disease, or SD, persisting for over six months in five patients, including four patients with ACC and one patient with uveal melanoma. A complete response is defined as the disappearance of all target lesions. PRT543 was generally well tolerated: the most common grade 3 or higher treatment-related adverse events, or AEs, occurring in at least 5% of patients were thrombocytopenia (27%) and anemia (12%), both of which were reversible upon treatment interruption. Patients were largely able to remain on therapy with few AE-related dose interruptions (27%), reductions (22%), or discontinuations (4%).</w:t>
      </w:r>
    </w:p>
    <w:p>
      <w:pPr>
        <w:spacing w:after="0" w:line="186" w:lineRule="exact"/>
        <w:rPr>
          <w:sz w:val="20"/>
          <w:szCs w:val="20"/>
          <w:color w:val="auto"/>
        </w:rPr>
      </w:pPr>
    </w:p>
    <w:p>
      <w:pPr>
        <w:ind w:firstLine="512"/>
        <w:spacing w:after="0" w:line="277" w:lineRule="auto"/>
        <w:rPr>
          <w:sz w:val="20"/>
          <w:szCs w:val="20"/>
          <w:color w:val="auto"/>
        </w:rPr>
      </w:pPr>
      <w:r>
        <w:rPr>
          <w:rFonts w:ascii="Arial" w:cs="Arial" w:eastAsia="Arial" w:hAnsi="Arial"/>
          <w:sz w:val="18"/>
          <w:szCs w:val="18"/>
          <w:color w:val="auto"/>
        </w:rPr>
        <w:t>Patient enrollment is continuing in specific biomarker-selected solid tumor and hematologic malignancy expansion cohorts. We anticipate presenting data from those expansion cohorts in the second half of 2022.</w:t>
      </w:r>
    </w:p>
    <w:p>
      <w:pPr>
        <w:spacing w:after="0" w:line="170"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PRT811, our second clinical candidate, is a PRMT5 inhibitor that we have optimized for high brain exposure. PRT811 is being studied in a Phase 1 clinical trial in unselected patients with solid tumors, including high-grade glioma. As of an August 13, 2021 data cutoff date, the dose escalation portion of the ongoing Phase 1 trial of PRT811 enrolled a total of 45 patients, including 27 patients across 16 unselected advanced solid tumors and 18 patients with high-grade gliomas, including 17 patients with glioblastoma multiforme. PRT811 demonstrated dose dependent inhibition of PRMT5 activity as evidenced by an 83% reduction in serum sDMA at a dose of 600 mg daily (QD). In addition, PRT811 demonstrated signs of preliminary clinical activity, including an IDH1 mutated high-grade glioma (glioblastoma (GBM)) patient who experienced a partial response, or PR, that evolved into a durable CR for more than 13 months. In addition, a patient with splicing-mutant, or SF3B1, uveal melanoma demonstrated SD for more than six months with a 25% tumor regression. At a post data-cutoff on September 20, 2021, one additional patient (receiving a dose of 800 mg QD) with SF3B1 uveal melanoma had an unconfirmed PR and 47% decrease in target lesion, and a patient with triple negative breast cancer (receiving a dose of 800 mg QD) demonstrated a 27% decrease in target lesions. PRT811 was generally well-tolerated; the most common grade 3 or higher treatment-related AE was thrombocytopenia (7%), which was reversible upon treatment interruption. Patients were largely able to remain on therapy with few AE-related dose interruptions (13%), reductions (4%), or discontinuations (3%).</w:t>
      </w:r>
    </w:p>
    <w:p>
      <w:pPr>
        <w:spacing w:after="0" w:line="192" w:lineRule="exact"/>
        <w:rPr>
          <w:sz w:val="20"/>
          <w:szCs w:val="20"/>
          <w:color w:val="auto"/>
        </w:rPr>
      </w:pPr>
    </w:p>
    <w:p>
      <w:pPr>
        <w:ind w:right="260" w:firstLine="513"/>
        <w:spacing w:after="0" w:line="277" w:lineRule="auto"/>
        <w:rPr>
          <w:sz w:val="20"/>
          <w:szCs w:val="20"/>
          <w:color w:val="auto"/>
        </w:rPr>
      </w:pPr>
      <w:r>
        <w:rPr>
          <w:rFonts w:ascii="Arial" w:cs="Arial" w:eastAsia="Arial" w:hAnsi="Arial"/>
          <w:sz w:val="18"/>
          <w:szCs w:val="18"/>
          <w:color w:val="auto"/>
        </w:rPr>
        <w:t>On March 9, 2022, we announced that we are concentrating our further development efforts on PRT811 in biomarker-selected patients in specific cancer types. While the Company believes that both PRT811 and PRT543 are high quality,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ind w:right="540"/>
        <w:spacing w:after="0" w:line="277" w:lineRule="auto"/>
        <w:rPr>
          <w:sz w:val="20"/>
          <w:szCs w:val="20"/>
          <w:color w:val="auto"/>
        </w:rPr>
      </w:pPr>
      <w:r>
        <w:rPr>
          <w:rFonts w:ascii="Arial" w:cs="Arial" w:eastAsia="Arial" w:hAnsi="Arial"/>
          <w:sz w:val="18"/>
          <w:szCs w:val="18"/>
          <w:color w:val="auto"/>
        </w:rPr>
        <w:t>clinically active compounds, PRT811 was selected based on its superior safety profile, higher level of target engagement, and unique brain penetrant properties.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we intend to:</w:t>
      </w:r>
    </w:p>
    <w:p>
      <w:pPr>
        <w:spacing w:after="0" w:line="23" w:lineRule="exact"/>
        <w:rPr>
          <w:sz w:val="20"/>
          <w:szCs w:val="20"/>
          <w:color w:val="auto"/>
        </w:rPr>
      </w:pPr>
    </w:p>
    <w:p>
      <w:pPr>
        <w:ind w:left="920" w:right="640" w:hanging="399"/>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clinical development in select patient populations where clinical activity has been observed, including splicing mutated myeloid malignancies and solid tumors including uveal melanoma and IDH1 mutated high grade gliomas.</w:t>
      </w:r>
    </w:p>
    <w:p>
      <w:pPr>
        <w:ind w:left="920" w:hanging="399"/>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 data analysis of the ongoing expansion cohort of adenoid cystic carcinoma (ACC) by mid-year to determine further development.</w:t>
      </w:r>
    </w:p>
    <w:p>
      <w:pPr>
        <w:spacing w:after="0" w:line="32" w:lineRule="exact"/>
        <w:rPr>
          <w:rFonts w:ascii="Arial" w:cs="Arial" w:eastAsia="Arial" w:hAnsi="Arial"/>
          <w:sz w:val="16"/>
          <w:szCs w:val="16"/>
          <w:color w:val="auto"/>
        </w:rPr>
      </w:pPr>
    </w:p>
    <w:p>
      <w:pPr>
        <w:ind w:left="920" w:hanging="39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 data from the ongoing dose expansion cohorts in the second half of 2022.</w:t>
      </w:r>
    </w:p>
    <w:p>
      <w:pPr>
        <w:spacing w:after="0" w:line="9" w:lineRule="exact"/>
        <w:rPr>
          <w:rFonts w:ascii="Arial" w:cs="Arial" w:eastAsia="Arial" w:hAnsi="Arial"/>
          <w:sz w:val="18"/>
          <w:szCs w:val="18"/>
          <w:color w:val="auto"/>
        </w:rPr>
      </w:pPr>
    </w:p>
    <w:p>
      <w:pPr>
        <w:ind w:left="920" w:hanging="39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appropriate development options for PRT811 based on emerging data from ongoing expansion cohorts.</w:t>
      </w:r>
    </w:p>
    <w:p>
      <w:pPr>
        <w:spacing w:after="0" w:line="211" w:lineRule="exact"/>
        <w:rPr>
          <w:sz w:val="20"/>
          <w:szCs w:val="20"/>
          <w:color w:val="auto"/>
        </w:rPr>
      </w:pPr>
    </w:p>
    <w:p>
      <w:pPr>
        <w:ind w:firstLine="512"/>
        <w:spacing w:after="0" w:line="293" w:lineRule="auto"/>
        <w:rPr>
          <w:sz w:val="20"/>
          <w:szCs w:val="20"/>
          <w:color w:val="auto"/>
        </w:rPr>
      </w:pPr>
      <w:r>
        <w:rPr>
          <w:rFonts w:ascii="Arial" w:cs="Arial" w:eastAsia="Arial" w:hAnsi="Arial"/>
          <w:sz w:val="16"/>
          <w:szCs w:val="16"/>
          <w:color w:val="auto"/>
        </w:rPr>
        <w:t>PRT1419, our third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Phase 1 clinical trial for the oral formulation of PRT1419. The dose escalation portion of the Phase 1 trial of both oral formulation and the intravenous, IV, formulation, which leverages the optimized physicochemical properties of PRT1419, are underway in patients with solid tumors and hematologic malignancies.</w:t>
      </w:r>
    </w:p>
    <w:p>
      <w:pPr>
        <w:spacing w:after="0" w:line="164" w:lineRule="exact"/>
        <w:rPr>
          <w:sz w:val="20"/>
          <w:szCs w:val="20"/>
          <w:color w:val="auto"/>
        </w:rPr>
      </w:pPr>
    </w:p>
    <w:p>
      <w:pPr>
        <w:ind w:right="240" w:firstLine="513"/>
        <w:spacing w:after="0" w:line="311" w:lineRule="auto"/>
        <w:rPr>
          <w:sz w:val="20"/>
          <w:szCs w:val="20"/>
          <w:color w:val="auto"/>
        </w:rPr>
      </w:pPr>
      <w:r>
        <w:rPr>
          <w:rFonts w:ascii="Arial" w:cs="Arial" w:eastAsia="Arial" w:hAnsi="Arial"/>
          <w:sz w:val="16"/>
          <w:szCs w:val="16"/>
          <w:color w:val="auto"/>
        </w:rPr>
        <w:t>On March 9, 2022, we announced that we are prioritizing development of the IV formulation of PRT1419, which demonstrated a desirable pharmacokinetic, pharmacodynamic and safety profile with potential for differentiation from competitor compounds. We intend to initiate a combination trial with venetoclax by mid-year with the goal of establishing safety, clinical activity and a recommended Phase 2 dose in the second half of 2022.</w:t>
      </w:r>
    </w:p>
    <w:p>
      <w:pPr>
        <w:spacing w:after="0" w:line="149" w:lineRule="exact"/>
        <w:rPr>
          <w:sz w:val="20"/>
          <w:szCs w:val="20"/>
          <w:color w:val="auto"/>
        </w:rPr>
      </w:pPr>
    </w:p>
    <w:p>
      <w:pPr>
        <w:ind w:right="60" w:firstLine="512"/>
        <w:spacing w:after="0" w:line="272" w:lineRule="auto"/>
        <w:rPr>
          <w:sz w:val="20"/>
          <w:szCs w:val="20"/>
          <w:color w:val="auto"/>
        </w:rPr>
      </w:pPr>
      <w:r>
        <w:rPr>
          <w:rFonts w:ascii="Arial" w:cs="Arial" w:eastAsia="Arial" w:hAnsi="Arial"/>
          <w:sz w:val="17"/>
          <w:szCs w:val="17"/>
          <w:color w:val="auto"/>
        </w:rPr>
        <w:t>PRT2527, our fourth clinical candidate, is designed to be a potent and selective Cyclin-dependent kinase 9, or CDK9, inhibitor. In preclinical studies, PRT2527 was shown to reduce MCL1 and MYC protein levels and was highly active in preclinical models at well-tolerated doses. PRT2527 has demonstrated high potency and kinase selectivity which may offer improved efficacy and safety compared to less selective CDK9 inhibitors. 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A phase one trial is underway evaluating escalating IV doses of PRT2527 as a monotherapy in patients with selected solid tumors, including sarcoma, prostate cancer, lung cancer, and other cancers with genomic alterations that lead to MYC dependence.</w:t>
      </w:r>
    </w:p>
    <w:p>
      <w:pPr>
        <w:spacing w:after="0" w:line="177" w:lineRule="exact"/>
        <w:rPr>
          <w:sz w:val="20"/>
          <w:szCs w:val="20"/>
          <w:color w:val="auto"/>
        </w:rPr>
      </w:pPr>
    </w:p>
    <w:p>
      <w:pPr>
        <w:ind w:firstLine="513"/>
        <w:spacing w:after="0" w:line="277" w:lineRule="auto"/>
        <w:rPr>
          <w:sz w:val="20"/>
          <w:szCs w:val="20"/>
          <w:color w:val="auto"/>
        </w:rPr>
      </w:pPr>
      <w:r>
        <w:rPr>
          <w:rFonts w:ascii="Arial" w:cs="Arial" w:eastAsia="Arial" w:hAnsi="Arial"/>
          <w:sz w:val="18"/>
          <w:szCs w:val="18"/>
          <w:color w:val="auto"/>
        </w:rPr>
        <w:t>On March 9, 2022, we announced that we intend to complete enrollment in the Phase 1 dose escalation study of PRT2527 with the goal of identifying a recommended Phase 2 dose in the second half of 2022.</w:t>
      </w:r>
    </w:p>
    <w:p>
      <w:pPr>
        <w:spacing w:after="0" w:line="170" w:lineRule="exact"/>
        <w:rPr>
          <w:sz w:val="20"/>
          <w:szCs w:val="20"/>
          <w:color w:val="auto"/>
        </w:rPr>
      </w:pPr>
    </w:p>
    <w:p>
      <w:pPr>
        <w:ind w:right="20" w:firstLine="512"/>
        <w:spacing w:after="0" w:line="255" w:lineRule="auto"/>
        <w:rPr>
          <w:sz w:val="20"/>
          <w:szCs w:val="20"/>
          <w:color w:val="auto"/>
        </w:rPr>
      </w:pPr>
      <w:r>
        <w:rPr>
          <w:rFonts w:ascii="Arial" w:cs="Arial" w:eastAsia="Arial" w:hAnsi="Arial"/>
          <w:sz w:val="18"/>
          <w:szCs w:val="18"/>
          <w:color w:val="auto"/>
        </w:rPr>
        <w:t>In addition to our four clinical stage candidates, we are advancing two new preclinical programs. Our most advanced preclinical program has led to the identification of PRT3645, a brain penetrant molecule that potently and selectively targets CDK4/6. IND-enabling studies for PRT3645 are ongoing and we plan to complete IND-enabling studies, file an IND and initiate a Phase 1 clinical trial in the second half of 2022. Our second pre-clinical program targets Brahma homologue, or BRM, otherwise known as SMARCA2. We have identified SMARCA2 protein degraders that demonstrate selective degradation of SMARCA2 at sub-nanomolar concentrations. We are currently profiling our lead compound, PRT-SCA2, and plan to submit an IND application by year-end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Prelude Discovery and Development Approach</w:t>
      </w:r>
    </w:p>
    <w:p>
      <w:pPr>
        <w:spacing w:after="0" w:line="121" w:lineRule="exact"/>
        <w:rPr>
          <w:sz w:val="20"/>
          <w:szCs w:val="20"/>
          <w:color w:val="auto"/>
        </w:rPr>
      </w:pPr>
    </w:p>
    <w:p>
      <w:pPr>
        <w:ind w:right="360" w:firstLine="512"/>
        <w:spacing w:after="0" w:line="277" w:lineRule="auto"/>
        <w:rPr>
          <w:sz w:val="20"/>
          <w:szCs w:val="20"/>
          <w:color w:val="auto"/>
        </w:rPr>
      </w:pPr>
      <w:r>
        <w:rPr>
          <w:rFonts w:ascii="Arial" w:cs="Arial" w:eastAsia="Arial" w:hAnsi="Arial"/>
          <w:sz w:val="18"/>
          <w:szCs w:val="18"/>
          <w:color w:val="auto"/>
        </w:rPr>
        <w:t>We carefully evaluate and select our targets based on three key pillars, which provide a framework for optimizing our drug discovery and development efforts.</w:t>
      </w:r>
    </w:p>
    <w:p>
      <w:pPr>
        <w:spacing w:after="0" w:line="35" w:lineRule="exact"/>
        <w:rPr>
          <w:sz w:val="20"/>
          <w:szCs w:val="20"/>
          <w:color w:val="auto"/>
        </w:rPr>
      </w:pPr>
    </w:p>
    <w:p>
      <w:pPr>
        <w:ind w:left="960" w:hanging="45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Identify target mechanisms with compelling biological rationale</w:t>
      </w:r>
    </w:p>
    <w:p>
      <w:pPr>
        <w:spacing w:after="0" w:line="117" w:lineRule="exact"/>
        <w:rPr>
          <w:rFonts w:ascii="Arial" w:cs="Arial" w:eastAsia="Arial" w:hAnsi="Arial"/>
          <w:sz w:val="18"/>
          <w:szCs w:val="18"/>
          <w:color w:val="auto"/>
        </w:rPr>
      </w:pPr>
    </w:p>
    <w:p>
      <w:pPr>
        <w:ind w:left="1400" w:hanging="447"/>
        <w:spacing w:after="0" w:line="277" w:lineRule="auto"/>
        <w:tabs>
          <w:tab w:leader="none" w:pos="14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Current target mechanisms of focus include: transcriptional regulation, deoxyribonucleic acid, or DNA, repair pathway, cell cycle regulation, exploitation of synthetic lethality and brain penetrant molecules.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960" w:hanging="45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Leverage our advanced medicinal chemistry capabilities to create better product candidates</w:t>
      </w:r>
    </w:p>
    <w:p>
      <w:pPr>
        <w:spacing w:after="0" w:line="117" w:lineRule="exact"/>
        <w:rPr>
          <w:sz w:val="20"/>
          <w:szCs w:val="20"/>
          <w:color w:val="auto"/>
        </w:rPr>
      </w:pPr>
    </w:p>
    <w:p>
      <w:pPr>
        <w:ind w:left="960"/>
        <w:spacing w:after="0"/>
        <w:tabs>
          <w:tab w:leader="none" w:pos="1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We view all target classes equally and strive to invent clinical candidates that meet our desired target product profiles.</w:t>
      </w:r>
    </w:p>
    <w:p>
      <w:pPr>
        <w:spacing w:after="0" w:line="23" w:lineRule="exact"/>
        <w:rPr>
          <w:sz w:val="20"/>
          <w:szCs w:val="20"/>
          <w:color w:val="auto"/>
        </w:rPr>
      </w:pPr>
    </w:p>
    <w:p>
      <w:pPr>
        <w:ind w:left="960" w:hanging="45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Pursue targets that drive cancers with high unmet need</w:t>
      </w:r>
    </w:p>
    <w:p>
      <w:pPr>
        <w:spacing w:after="0" w:line="116" w:lineRule="exact"/>
        <w:rPr>
          <w:rFonts w:ascii="Arial" w:cs="Arial" w:eastAsia="Arial" w:hAnsi="Arial"/>
          <w:sz w:val="18"/>
          <w:szCs w:val="18"/>
          <w:color w:val="auto"/>
        </w:rPr>
      </w:pPr>
    </w:p>
    <w:p>
      <w:pPr>
        <w:ind w:left="1400" w:right="180" w:hanging="447"/>
        <w:spacing w:after="0" w:line="277" w:lineRule="auto"/>
        <w:tabs>
          <w:tab w:leader="none" w:pos="14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Focus on targets that allow us to select patients and cancers with high unmet need with no approved therapies, or patient populations that are underserved by approved treatments.</w:t>
      </w:r>
    </w:p>
    <w:p>
      <w:pPr>
        <w:spacing w:after="0" w:line="170" w:lineRule="exact"/>
        <w:rPr>
          <w:sz w:val="20"/>
          <w:szCs w:val="20"/>
          <w:color w:val="auto"/>
        </w:rPr>
      </w:pPr>
    </w:p>
    <w:p>
      <w:pPr>
        <w:ind w:right="180" w:firstLine="512"/>
        <w:spacing w:after="0" w:line="259" w:lineRule="auto"/>
        <w:rPr>
          <w:sz w:val="20"/>
          <w:szCs w:val="20"/>
          <w:color w:val="auto"/>
        </w:rPr>
      </w:pPr>
      <w:r>
        <w:rPr>
          <w:rFonts w:ascii="Arial" w:cs="Arial" w:eastAsia="Arial" w:hAnsi="Arial"/>
          <w:sz w:val="18"/>
          <w:szCs w:val="18"/>
          <w:color w:val="auto"/>
        </w:rPr>
        <w:t>Once we have identified optimal targets using the three pillars above, we engage our unique discovery engine to rapidly and efficiently invent and develop molecules. We believe our expertise, capabilities and experience to select high value biological targets and invent molecules with an optimized balance of biological and chemical properties differentiates us from others in the precision oncology space. We believe our unique discovery engine will enable us to continue delivering a new IND every 12 to 18 months.</w:t>
      </w:r>
    </w:p>
    <w:p>
      <w:pPr>
        <w:spacing w:after="0" w:line="187" w:lineRule="exact"/>
        <w:rPr>
          <w:sz w:val="20"/>
          <w:szCs w:val="20"/>
          <w:color w:val="auto"/>
        </w:rPr>
      </w:pPr>
    </w:p>
    <w:p>
      <w:pPr>
        <w:jc w:val="both"/>
        <w:ind w:right="200" w:firstLine="512"/>
        <w:spacing w:after="0" w:line="263" w:lineRule="auto"/>
        <w:rPr>
          <w:sz w:val="20"/>
          <w:szCs w:val="20"/>
          <w:color w:val="auto"/>
        </w:rPr>
      </w:pPr>
      <w:r>
        <w:rPr>
          <w:rFonts w:ascii="Arial" w:cs="Arial" w:eastAsia="Arial" w:hAnsi="Arial"/>
          <w:sz w:val="18"/>
          <w:szCs w:val="18"/>
          <w:color w:val="auto"/>
        </w:rPr>
        <w:t>We design our clinical trials to leverage the broad utility of our compounds with a focus on efficient regulatory pathways to enable our potentially transformative medicines to quickly reach patients with high unmet medical need. By focusing on validated cancer signaling pathways and early clinical proof-of-concept, we seek to advance our programs through expedited approval processes.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512"/>
        <w:spacing w:after="0" w:line="259" w:lineRule="auto"/>
        <w:rPr>
          <w:sz w:val="20"/>
          <w:szCs w:val="20"/>
          <w:color w:val="auto"/>
        </w:rPr>
      </w:pPr>
      <w:r>
        <w:rPr>
          <w:rFonts w:ascii="Arial" w:cs="Arial" w:eastAsia="Arial" w:hAnsi="Arial"/>
          <w:sz w:val="18"/>
          <w:szCs w:val="18"/>
          <w:color w:val="auto"/>
        </w:rPr>
        <w:t>We aim to create better targeted and more effective cancer therapies. Our goal is to transform the lives of patients with cancer by leveraging the core competencies of our experienced team in medicinal chemistry, cancer biology and clinical development to bring novel drugs to market. We intend to become a fully integrated oncology company on the foundation of drug discovery excellence to deliver novel precision oncology medicines to patients with underserved cancers by pursuing the following objectives:</w:t>
      </w:r>
    </w:p>
    <w:p>
      <w:pPr>
        <w:spacing w:after="0" w:line="52"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Leverage our cancer biology and medicinal chemistry expertise to strive to deliver one new IND every 12 – 18 months.</w:t>
      </w:r>
    </w:p>
    <w:p>
      <w:pPr>
        <w:spacing w:after="0" w:line="117" w:lineRule="exact"/>
        <w:rPr>
          <w:sz w:val="20"/>
          <w:szCs w:val="20"/>
          <w:color w:val="auto"/>
        </w:rPr>
      </w:pPr>
    </w:p>
    <w:p>
      <w:pPr>
        <w:ind w:left="960" w:hanging="439"/>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Discover and develop differentiated small molecules NCEs in validated targets that address unmet needs of oncology patients.</w:t>
      </w:r>
    </w:p>
    <w:p>
      <w:pPr>
        <w:spacing w:after="0" w:line="117" w:lineRule="exact"/>
        <w:rPr>
          <w:rFonts w:ascii="Arial" w:cs="Arial" w:eastAsia="Arial" w:hAnsi="Arial"/>
          <w:sz w:val="18"/>
          <w:szCs w:val="18"/>
          <w:color w:val="auto"/>
        </w:rPr>
      </w:pPr>
    </w:p>
    <w:p>
      <w:pPr>
        <w:ind w:left="960" w:hanging="439"/>
        <w:spacing w:after="0"/>
        <w:tabs>
          <w:tab w:leader="none" w:pos="960" w:val="left"/>
        </w:tabs>
        <w:numPr>
          <w:ilvl w:val="1"/>
          <w:numId w:val="7"/>
        </w:numPr>
        <w:rPr>
          <w:rFonts w:ascii="Arial" w:cs="Arial" w:eastAsia="Arial" w:hAnsi="Arial"/>
          <w:sz w:val="17"/>
          <w:szCs w:val="17"/>
          <w:color w:val="auto"/>
        </w:rPr>
      </w:pPr>
      <w:r>
        <w:rPr>
          <w:rFonts w:ascii="Arial" w:cs="Arial" w:eastAsia="Arial" w:hAnsi="Arial"/>
          <w:sz w:val="17"/>
          <w:szCs w:val="17"/>
          <w:color w:val="auto"/>
        </w:rPr>
        <w:t>Rapidly progress our product candidates through clinical development in patients with solid tumors and hematological malignancies.</w:t>
      </w:r>
    </w:p>
    <w:p>
      <w:pPr>
        <w:spacing w:after="0" w:line="128" w:lineRule="exact"/>
        <w:rPr>
          <w:rFonts w:ascii="Arial" w:cs="Arial" w:eastAsia="Arial" w:hAnsi="Arial"/>
          <w:sz w:val="17"/>
          <w:szCs w:val="17"/>
          <w:color w:val="auto"/>
        </w:rPr>
      </w:pPr>
    </w:p>
    <w:p>
      <w:pPr>
        <w:ind w:left="960" w:right="80" w:hanging="453"/>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Focused clinical development in underserved cancers, and design clinical trials for allowing efficient decisions with the highest probability of success and potential for rapid regulatory approval.</w:t>
      </w:r>
    </w:p>
    <w:p>
      <w:pPr>
        <w:spacing w:after="0" w:line="62" w:lineRule="exact"/>
        <w:rPr>
          <w:rFonts w:ascii="Arial" w:cs="Arial" w:eastAsia="Arial" w:hAnsi="Arial"/>
          <w:sz w:val="18"/>
          <w:szCs w:val="18"/>
          <w:color w:val="auto"/>
        </w:rPr>
      </w:pPr>
    </w:p>
    <w:p>
      <w:pPr>
        <w:ind w:left="960" w:hanging="45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our product candidate pipeline in combination with internally discovered and third-party developed compounds.</w:t>
      </w:r>
    </w:p>
    <w:p>
      <w:pPr>
        <w:spacing w:after="0" w:line="117" w:lineRule="exact"/>
        <w:rPr>
          <w:rFonts w:ascii="Arial" w:cs="Arial" w:eastAsia="Arial" w:hAnsi="Arial"/>
          <w:sz w:val="18"/>
          <w:szCs w:val="18"/>
          <w:color w:val="auto"/>
        </w:rPr>
      </w:pPr>
    </w:p>
    <w:p>
      <w:pPr>
        <w:ind w:left="960" w:hanging="45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 strategic opportunities to accelerate development timelines and maximize the value of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Background and Treatment</w:t>
      </w:r>
    </w:p>
    <w:p>
      <w:pPr>
        <w:spacing w:after="0" w:line="229" w:lineRule="exact"/>
        <w:rPr>
          <w:sz w:val="20"/>
          <w:szCs w:val="20"/>
          <w:color w:val="auto"/>
        </w:rPr>
      </w:pPr>
    </w:p>
    <w:p>
      <w:pPr>
        <w:jc w:val="both"/>
        <w:ind w:right="260" w:firstLine="512"/>
        <w:spacing w:after="0" w:line="275" w:lineRule="auto"/>
        <w:rPr>
          <w:sz w:val="20"/>
          <w:szCs w:val="20"/>
          <w:color w:val="auto"/>
        </w:rPr>
      </w:pPr>
      <w:r>
        <w:rPr>
          <w:rFonts w:ascii="Arial" w:cs="Arial" w:eastAsia="Arial" w:hAnsi="Arial"/>
          <w:sz w:val="17"/>
          <w:szCs w:val="17"/>
          <w:color w:val="auto"/>
        </w:rPr>
        <w:t>Cancer is the second-leading cause of death in the United States. The American Cancer Society estimates that approximately 1.9 million new cancer cases will be diagnosed and more than 608,570 people are expected to die of the disease in the United States in 2021. Cancer is a disease of the genome caused by changes in DNA that alter cell behavior, growth and division. These changes can cause cells to produce abnormal amounts of certain proteins and/or to make aberrant proteins that do not function properly. It is widely understood that cancer cells can eventually evade therapies through mutations or other resistance mechanisms, limiting the long-term success of drug therapies.</w:t>
      </w:r>
    </w:p>
    <w:p>
      <w:pPr>
        <w:spacing w:after="0" w:line="176" w:lineRule="exact"/>
        <w:rPr>
          <w:sz w:val="20"/>
          <w:szCs w:val="20"/>
          <w:color w:val="auto"/>
        </w:rPr>
      </w:pPr>
    </w:p>
    <w:p>
      <w:pPr>
        <w:ind w:right="240" w:firstLine="512"/>
        <w:spacing w:after="0" w:line="263" w:lineRule="auto"/>
        <w:rPr>
          <w:sz w:val="20"/>
          <w:szCs w:val="20"/>
          <w:color w:val="auto"/>
        </w:rPr>
      </w:pPr>
      <w:r>
        <w:rPr>
          <w:rFonts w:ascii="Arial" w:cs="Arial" w:eastAsia="Arial" w:hAnsi="Arial"/>
          <w:sz w:val="18"/>
          <w:szCs w:val="18"/>
          <w:color w:val="auto"/>
        </w:rPr>
        <w:t>Historically, cancer has been treated with surgery, radiation and drug therapy with patients often receiving a combination of these treatment modalities. While surgery and radiation can be effective in patients with localized disease, drug therapies are often required when the cancer has spread beyond the primary site or is not amenable to resection.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 w:name="page7"/>
    <w:bookmarkEnd w:id="6"/>
    <w:p>
      <w:pPr>
        <w:ind w:right="60" w:firstLine="512"/>
        <w:spacing w:after="0" w:line="286" w:lineRule="auto"/>
        <w:rPr>
          <w:sz w:val="20"/>
          <w:szCs w:val="20"/>
          <w:color w:val="auto"/>
        </w:rPr>
      </w:pPr>
      <w:r>
        <w:rPr>
          <w:rFonts w:ascii="Arial" w:cs="Arial" w:eastAsia="Arial" w:hAnsi="Arial"/>
          <w:sz w:val="17"/>
          <w:szCs w:val="17"/>
          <w:color w:val="auto"/>
        </w:rPr>
        <w:t>Drug therapy is intended to kill or damage malignant cells by interfering with the biological processes that control development, growth and survival of cancer cells. This treatment modality has evolved over time from the use of non-specific cytotoxic therapies to precision oncology medicines targeting molecular pathways or oncogenic drivers. These precision medicines are broadly known as targeted therapies</w:t>
      </w:r>
      <w:r>
        <w:rPr>
          <w:rFonts w:ascii="Arial" w:cs="Arial" w:eastAsia="Arial" w:hAnsi="Arial"/>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PRMT5 Inhibitors: PRT543 &amp; PRT811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Rationale for targeting the PRMT5 pathway in cancer</w:t>
      </w:r>
    </w:p>
    <w:p>
      <w:pPr>
        <w:spacing w:after="0" w:line="144" w:lineRule="exact"/>
        <w:rPr>
          <w:sz w:val="20"/>
          <w:szCs w:val="20"/>
          <w:color w:val="auto"/>
        </w:rPr>
      </w:pPr>
    </w:p>
    <w:p>
      <w:pPr>
        <w:ind w:right="260" w:firstLine="512"/>
        <w:spacing w:after="0" w:line="263" w:lineRule="auto"/>
        <w:rPr>
          <w:sz w:val="20"/>
          <w:szCs w:val="20"/>
          <w:color w:val="auto"/>
        </w:rPr>
      </w:pPr>
      <w:r>
        <w:rPr>
          <w:rFonts w:ascii="Arial" w:cs="Arial" w:eastAsia="Arial" w:hAnsi="Arial"/>
          <w:sz w:val="18"/>
          <w:szCs w:val="18"/>
          <w:color w:val="auto"/>
        </w:rPr>
        <w:t>Cancer is a disease of the genome and all cancers have genomic lesions that must be addressed to develop effective treatments. These genomic changes are important at all stages of cancer progression, including initial formation, growth, and metastasis, and result in the upregulation of genes that promote cell growth and survival together with the downregulation of genes that suppress tumor growth.</w:t>
      </w:r>
    </w:p>
    <w:p>
      <w:pPr>
        <w:spacing w:after="0" w:line="211" w:lineRule="exact"/>
        <w:rPr>
          <w:sz w:val="20"/>
          <w:szCs w:val="20"/>
          <w:color w:val="auto"/>
        </w:rPr>
      </w:pPr>
    </w:p>
    <w:p>
      <w:pPr>
        <w:ind w:firstLine="512"/>
        <w:spacing w:after="0" w:line="263" w:lineRule="auto"/>
        <w:rPr>
          <w:sz w:val="20"/>
          <w:szCs w:val="20"/>
          <w:color w:val="auto"/>
        </w:rPr>
      </w:pPr>
      <w:r>
        <w:rPr>
          <w:rFonts w:ascii="Arial" w:cs="Arial" w:eastAsia="Arial" w:hAnsi="Arial"/>
          <w:sz w:val="18"/>
          <w:szCs w:val="18"/>
          <w:color w:val="auto"/>
        </w:rPr>
        <w:t>PRMT5 controls a number of the biological processes that drive cancer including transcription, translation, DNA repair and cell signaling. Overexpression and increased enzymatic activity of PRMT5 are associated with poor outcome and decreased survival in multiple human cancer settings, as outlined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2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Sample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Median</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Median</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Log rank</w:t>
            </w:r>
          </w:p>
        </w:tc>
        <w:tc>
          <w:tcPr>
            <w:tcW w:w="0" w:type="dxa"/>
            <w:vAlign w:val="bottom"/>
          </w:tcPr>
          <w:p>
            <w:pPr>
              <w:spacing w:after="0"/>
              <w:rPr>
                <w:sz w:val="1"/>
                <w:szCs w:val="1"/>
                <w:color w:val="auto"/>
              </w:rPr>
            </w:pPr>
          </w:p>
        </w:tc>
      </w:tr>
      <w:tr>
        <w:trPr>
          <w:trHeight w:val="148"/>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Tumor type</w:t>
            </w:r>
          </w:p>
        </w:tc>
        <w:tc>
          <w:tcPr>
            <w:tcW w:w="8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8"/>
              </w:rPr>
              <w:t>Size of</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Survival</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Survival</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vMerge w:val="continue"/>
          </w:tcPr>
          <w:p>
            <w:pPr>
              <w:spacing w:after="0"/>
              <w:rPr>
                <w:sz w:val="14"/>
                <w:szCs w:val="14"/>
                <w:color w:val="auto"/>
              </w:rPr>
            </w:pPr>
          </w:p>
        </w:tc>
        <w:tc>
          <w:tcPr>
            <w:tcW w:w="82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Patients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(High PRMT5)</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(Low PRMT5)</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p-value</w:t>
            </w: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Ovarian</w:t>
            </w:r>
          </w:p>
        </w:tc>
        <w:tc>
          <w:tcPr>
            <w:tcW w:w="8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118</w:t>
            </w:r>
          </w:p>
        </w:tc>
        <w:tc>
          <w:tcPr>
            <w:tcW w:w="2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0"/>
              </w:rPr>
              <w:t>~40 mos *</w:t>
            </w:r>
          </w:p>
        </w:tc>
        <w:tc>
          <w:tcPr>
            <w:tcW w:w="1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0"/>
              </w:rPr>
              <w:t>&gt;80 mos *</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Lung</w:t>
            </w: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400</w:t>
            </w:r>
          </w:p>
        </w:tc>
        <w:tc>
          <w:tcPr>
            <w:tcW w:w="220" w:type="dxa"/>
            <w:vAlign w:val="bottom"/>
          </w:tcPr>
          <w:p>
            <w:pPr>
              <w:spacing w:after="0"/>
              <w:rPr>
                <w:sz w:val="19"/>
                <w:szCs w:val="19"/>
                <w:color w:val="auto"/>
              </w:rPr>
            </w:pP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~45 mos *</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~75 mos *</w:t>
            </w:r>
          </w:p>
        </w:tc>
        <w:tc>
          <w:tcPr>
            <w:tcW w:w="1140" w:type="dxa"/>
            <w:vAlign w:val="bottom"/>
          </w:tcPr>
          <w:p>
            <w:pPr>
              <w:jc w:val="right"/>
              <w:spacing w:after="0"/>
              <w:rPr>
                <w:sz w:val="20"/>
                <w:szCs w:val="20"/>
                <w:color w:val="auto"/>
              </w:rPr>
            </w:pPr>
            <w:r>
              <w:rPr>
                <w:rFonts w:ascii="Arial" w:cs="Arial" w:eastAsia="Arial" w:hAnsi="Arial"/>
                <w:sz w:val="18"/>
                <w:szCs w:val="18"/>
                <w:color w:val="auto"/>
              </w:rPr>
              <w:t>&lt;0.0001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Lymphoma</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~1.6y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~5.8y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&lt;0.0001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GBM</w:t>
            </w: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108 days</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726 days</w:t>
            </w:r>
          </w:p>
        </w:tc>
        <w:tc>
          <w:tcPr>
            <w:tcW w:w="1140" w:type="dxa"/>
            <w:vAlign w:val="bottom"/>
          </w:tcPr>
          <w:p>
            <w:pPr>
              <w:jc w:val="right"/>
              <w:spacing w:after="0"/>
              <w:rPr>
                <w:sz w:val="20"/>
                <w:szCs w:val="20"/>
                <w:color w:val="auto"/>
              </w:rPr>
            </w:pPr>
            <w:r>
              <w:rPr>
                <w:rFonts w:ascii="Arial" w:cs="Arial" w:eastAsia="Arial" w:hAnsi="Arial"/>
                <w:sz w:val="18"/>
                <w:szCs w:val="18"/>
                <w:color w:val="auto"/>
              </w:rPr>
              <w:t>0.0001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Head and Neck</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209</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~4y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~10y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Pancreatic</w:t>
            </w: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~15 mos *</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~30 mos *</w:t>
            </w:r>
          </w:p>
        </w:tc>
        <w:tc>
          <w:tcPr>
            <w:tcW w:w="1140" w:type="dxa"/>
            <w:vAlign w:val="bottom"/>
          </w:tcPr>
          <w:p>
            <w:pPr>
              <w:jc w:val="right"/>
              <w:spacing w:after="0"/>
              <w:rPr>
                <w:sz w:val="20"/>
                <w:szCs w:val="20"/>
                <w:color w:val="auto"/>
              </w:rPr>
            </w:pPr>
            <w:r>
              <w:rPr>
                <w:rFonts w:ascii="Arial" w:cs="Arial" w:eastAsia="Arial" w:hAnsi="Arial"/>
                <w:sz w:val="18"/>
                <w:szCs w:val="18"/>
                <w:color w:val="auto"/>
              </w:rPr>
              <w:t>0.015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Colon</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~34 mos *</w:t>
            </w:r>
          </w:p>
        </w:tc>
        <w:tc>
          <w:tcPr>
            <w:tcW w:w="14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~83 mos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information is based on published data in peer-reviewed journals and reflects standard therapeutic intervention.</w:t>
      </w:r>
    </w:p>
    <w:p>
      <w:pPr>
        <w:spacing w:after="0" w:line="11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Where median survival was not explicitly provided in the text, we estimated values from the graphs provided in the publications.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PRMT5 Regulates Transcription and Translation of Cancer-related Genes</w:t>
      </w:r>
    </w:p>
    <w:p>
      <w:pPr>
        <w:spacing w:after="0" w:line="131" w:lineRule="exact"/>
        <w:rPr>
          <w:sz w:val="20"/>
          <w:szCs w:val="20"/>
          <w:color w:val="auto"/>
        </w:rPr>
      </w:pPr>
    </w:p>
    <w:p>
      <w:pPr>
        <w:ind w:right="60" w:firstLine="512"/>
        <w:spacing w:after="0" w:line="257" w:lineRule="auto"/>
        <w:rPr>
          <w:sz w:val="20"/>
          <w:szCs w:val="20"/>
          <w:color w:val="auto"/>
        </w:rPr>
      </w:pPr>
      <w:r>
        <w:rPr>
          <w:rFonts w:ascii="Arial" w:cs="Arial" w:eastAsia="Arial" w:hAnsi="Arial"/>
          <w:sz w:val="18"/>
          <w:szCs w:val="18"/>
          <w:color w:val="auto"/>
        </w:rPr>
        <w:t>The oncogenic process controlled by PRMT5 is mediated through the symmetric dimethylation of arginines on its substrate proteins (Figure 1). PRMT5, an intracellular enzyme, transfers two methyl groups from a co- factor S-adenosyl methionine, or SAM, and deposits them on its substrate proteins resulting in the formation of a symmetric dimethylarginine, or sDMA, mark. This post-translational modification alters the protein structure, impacts interactions with DNA, and also generates docking sites for effector molecules that can promote tumor cell growth and survival. PRMT5 substrate proteins include:</w:t>
      </w:r>
    </w:p>
    <w:p>
      <w:pPr>
        <w:spacing w:after="0" w:line="76" w:lineRule="exact"/>
        <w:rPr>
          <w:sz w:val="20"/>
          <w:szCs w:val="20"/>
          <w:color w:val="auto"/>
        </w:rPr>
      </w:pPr>
    </w:p>
    <w:p>
      <w:pPr>
        <w:ind w:left="960" w:hanging="45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Histones</w:t>
      </w:r>
      <w:r>
        <w:rPr>
          <w:rFonts w:ascii="Arial" w:cs="Arial" w:eastAsia="Arial" w:hAnsi="Arial"/>
          <w:sz w:val="18"/>
          <w:szCs w:val="18"/>
          <w:color w:val="auto"/>
        </w:rPr>
        <w:t>—basic proteins that associate with DNA in the nucleus and help condense it into chromatin;</w:t>
      </w:r>
    </w:p>
    <w:p>
      <w:pPr>
        <w:spacing w:after="0" w:line="130" w:lineRule="exact"/>
        <w:rPr>
          <w:rFonts w:ascii="Arial" w:cs="Arial" w:eastAsia="Arial" w:hAnsi="Arial"/>
          <w:sz w:val="18"/>
          <w:szCs w:val="18"/>
          <w:color w:val="auto"/>
        </w:rPr>
      </w:pPr>
    </w:p>
    <w:p>
      <w:pPr>
        <w:ind w:left="960" w:right="2820" w:hanging="453"/>
        <w:spacing w:after="0" w:line="282" w:lineRule="auto"/>
        <w:tabs>
          <w:tab w:leader="none" w:pos="94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Transcription factors</w:t>
      </w:r>
      <w:r>
        <w:rPr>
          <w:rFonts w:ascii="Arial" w:cs="Arial" w:eastAsia="Arial" w:hAnsi="Arial"/>
          <w:sz w:val="18"/>
          <w:szCs w:val="18"/>
          <w:color w:val="auto"/>
        </w:rPr>
        <w:t>—proteins involved in the process of transcribing DNA into ribonucleic acid, or</w:t>
      </w:r>
      <w:r>
        <w:rPr>
          <w:rFonts w:ascii="Arial" w:cs="Arial" w:eastAsia="Arial" w:hAnsi="Arial"/>
          <w:sz w:val="18"/>
          <w:szCs w:val="18"/>
          <w:b w:val="1"/>
          <w:bCs w:val="1"/>
          <w:color w:val="auto"/>
        </w:rPr>
        <w:t xml:space="preserve"> </w:t>
      </w:r>
      <w:r>
        <w:rPr>
          <w:rFonts w:ascii="Arial" w:cs="Arial" w:eastAsia="Arial" w:hAnsi="Arial"/>
          <w:sz w:val="18"/>
          <w:szCs w:val="18"/>
          <w:color w:val="auto"/>
        </w:rPr>
        <w:t>RNA; and</w:t>
      </w:r>
    </w:p>
    <w:p>
      <w:pPr>
        <w:spacing w:after="0" w:line="67" w:lineRule="exact"/>
        <w:rPr>
          <w:rFonts w:ascii="Arial" w:cs="Arial" w:eastAsia="Arial" w:hAnsi="Arial"/>
          <w:sz w:val="18"/>
          <w:szCs w:val="18"/>
          <w:color w:val="auto"/>
        </w:rPr>
      </w:pPr>
    </w:p>
    <w:p>
      <w:pPr>
        <w:ind w:left="960" w:right="2820" w:hanging="453"/>
        <w:spacing w:after="0" w:line="266" w:lineRule="auto"/>
        <w:tabs>
          <w:tab w:leader="none" w:pos="94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Spliceosomal proteins</w:t>
      </w:r>
      <w:r>
        <w:rPr>
          <w:rFonts w:ascii="Arial" w:cs="Arial" w:eastAsia="Arial" w:hAnsi="Arial"/>
          <w:sz w:val="18"/>
          <w:szCs w:val="18"/>
          <w:color w:val="auto"/>
        </w:rPr>
        <w:t>—large protein complex that removes introns from pre-mRNA to yield mature</w:t>
      </w:r>
      <w:r>
        <w:rPr>
          <w:rFonts w:ascii="Arial" w:cs="Arial" w:eastAsia="Arial" w:hAnsi="Arial"/>
          <w:sz w:val="18"/>
          <w:szCs w:val="18"/>
          <w:b w:val="1"/>
          <w:bCs w:val="1"/>
          <w:color w:val="auto"/>
        </w:rPr>
        <w:t xml:space="preserve"> </w:t>
      </w:r>
      <w:r>
        <w:rPr>
          <w:rFonts w:ascii="Arial" w:cs="Arial" w:eastAsia="Arial" w:hAnsi="Arial"/>
          <w:sz w:val="18"/>
          <w:szCs w:val="18"/>
          <w:color w:val="auto"/>
        </w:rPr>
        <w:t>RNA.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u w:val="single" w:color="auto"/>
          <w:color w:val="auto"/>
        </w:rPr>
        <w:t>Figure 1. PRMT5 Pathway Drives Oncogenesis and Resistance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Through arginine methylation of histones, transcription factors and the spliceosome complex, PRMT5 regulates the expression of genes involved in promoting cancer cell growth and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These include cell cycle genes, tumor suppressors, oncogenes, and genes involved in proliferation and signaling.</w:t>
      </w:r>
    </w:p>
    <w:p>
      <w:pPr>
        <w:spacing w:after="0" w:line="196" w:lineRule="exact"/>
        <w:rPr>
          <w:sz w:val="20"/>
          <w:szCs w:val="20"/>
          <w:color w:val="auto"/>
        </w:rPr>
      </w:pPr>
    </w:p>
    <w:p>
      <w:pPr>
        <w:ind w:right="160" w:firstLine="513"/>
        <w:spacing w:after="0" w:line="272" w:lineRule="auto"/>
        <w:rPr>
          <w:sz w:val="20"/>
          <w:szCs w:val="20"/>
          <w:color w:val="auto"/>
        </w:rPr>
      </w:pPr>
      <w:r>
        <w:rPr>
          <w:rFonts w:ascii="Arial" w:cs="Arial" w:eastAsia="Arial" w:hAnsi="Arial"/>
          <w:sz w:val="17"/>
          <w:szCs w:val="17"/>
          <w:color w:val="auto"/>
        </w:rPr>
        <w:t xml:space="preserve">PRMT5-regulated transcription factors, including cyclin D1 and MYC, have a well-established role in a number of cancers. Conversely, PRMT5-mediated methylation of histones such as H3 and H4 represses a number of tumor suppressor genes including retinoblastoma, or </w:t>
      </w:r>
      <w:r>
        <w:rPr>
          <w:rFonts w:ascii="Arial" w:cs="Arial" w:eastAsia="Arial" w:hAnsi="Arial"/>
          <w:sz w:val="17"/>
          <w:szCs w:val="17"/>
          <w:i w:val="1"/>
          <w:iCs w:val="1"/>
          <w:color w:val="auto"/>
        </w:rPr>
        <w:t>RB</w:t>
      </w:r>
      <w:r>
        <w:rPr>
          <w:rFonts w:ascii="Arial" w:cs="Arial" w:eastAsia="Arial" w:hAnsi="Arial"/>
          <w:sz w:val="17"/>
          <w:szCs w:val="17"/>
          <w:color w:val="auto"/>
        </w:rPr>
        <w:t>, family members, contributing to unchecked proliferation of malignant cells. In addition, PRMT5 symmetrically dimethylates ribosomal binding proteins and modulates mRNA translation of internal ribosome entry site-containing mRNAs, further promoting the generation of oncogenic proteins. Consistent with its role in promoting cancer, PRMT5 inhibition has been shown to decrease tumor growth in preclinical models. Therefore, PRMT5 is believed to serve as an important mediator of cancer progression and can be targeted to treat a range of solid tumors and hematological malignancies. These attributes make PRMT5 an ideal therapeutic target for cancer.</w:t>
      </w:r>
    </w:p>
    <w:p>
      <w:pPr>
        <w:spacing w:after="0" w:line="177" w:lineRule="exact"/>
        <w:rPr>
          <w:sz w:val="20"/>
          <w:szCs w:val="20"/>
          <w:color w:val="auto"/>
        </w:rPr>
      </w:pPr>
    </w:p>
    <w:p>
      <w:pPr>
        <w:ind w:right="40" w:firstLine="512"/>
        <w:spacing w:after="0" w:line="273" w:lineRule="auto"/>
        <w:rPr>
          <w:sz w:val="20"/>
          <w:szCs w:val="20"/>
          <w:color w:val="auto"/>
        </w:rPr>
      </w:pPr>
      <w:r>
        <w:rPr>
          <w:rFonts w:ascii="Arial" w:cs="Arial" w:eastAsia="Arial" w:hAnsi="Arial"/>
          <w:sz w:val="17"/>
          <w:szCs w:val="17"/>
          <w:color w:val="auto"/>
        </w:rPr>
        <w:t xml:space="preserve">The role of PRMT5 in regulating gene transcription and translation may be particularly relevant in cancers such as ACC where up to 86% of patients harbor the gene fusion of the </w:t>
      </w:r>
      <w:r>
        <w:rPr>
          <w:rFonts w:ascii="Arial" w:cs="Arial" w:eastAsia="Arial" w:hAnsi="Arial"/>
          <w:sz w:val="17"/>
          <w:szCs w:val="17"/>
          <w:i w:val="1"/>
          <w:iCs w:val="1"/>
          <w:color w:val="auto"/>
        </w:rPr>
        <w:t>MYB</w:t>
      </w:r>
      <w:r>
        <w:rPr>
          <w:rFonts w:ascii="Arial" w:cs="Arial" w:eastAsia="Arial" w:hAnsi="Arial"/>
          <w:sz w:val="17"/>
          <w:szCs w:val="17"/>
          <w:color w:val="auto"/>
        </w:rPr>
        <w:t xml:space="preserve"> family members </w:t>
      </w:r>
      <w:r>
        <w:rPr>
          <w:rFonts w:ascii="Arial" w:cs="Arial" w:eastAsia="Arial" w:hAnsi="Arial"/>
          <w:sz w:val="17"/>
          <w:szCs w:val="17"/>
          <w:i w:val="1"/>
          <w:iCs w:val="1"/>
          <w:color w:val="auto"/>
        </w:rPr>
        <w:t>MYB</w:t>
      </w:r>
      <w:r>
        <w:rPr>
          <w:rFonts w:ascii="Arial" w:cs="Arial" w:eastAsia="Arial" w:hAnsi="Arial"/>
          <w:sz w:val="17"/>
          <w:szCs w:val="17"/>
          <w:color w:val="auto"/>
        </w:rPr>
        <w:t xml:space="preserve"> or </w:t>
      </w:r>
      <w:r>
        <w:rPr>
          <w:rFonts w:ascii="Arial" w:cs="Arial" w:eastAsia="Arial" w:hAnsi="Arial"/>
          <w:sz w:val="17"/>
          <w:szCs w:val="17"/>
          <w:i w:val="1"/>
          <w:iCs w:val="1"/>
          <w:color w:val="auto"/>
        </w:rPr>
        <w:t>MYBL</w:t>
      </w:r>
      <w:r>
        <w:rPr>
          <w:rFonts w:ascii="Arial" w:cs="Arial" w:eastAsia="Arial" w:hAnsi="Arial"/>
          <w:sz w:val="17"/>
          <w:szCs w:val="17"/>
          <w:color w:val="auto"/>
        </w:rPr>
        <w:t xml:space="preserve">1 with the Nuclear Factor 1B, or </w:t>
      </w:r>
      <w:r>
        <w:rPr>
          <w:rFonts w:ascii="Arial" w:cs="Arial" w:eastAsia="Arial" w:hAnsi="Arial"/>
          <w:sz w:val="17"/>
          <w:szCs w:val="17"/>
          <w:i w:val="1"/>
          <w:iCs w:val="1"/>
          <w:color w:val="auto"/>
        </w:rPr>
        <w:t>NFIB</w:t>
      </w:r>
      <w:r>
        <w:rPr>
          <w:rFonts w:ascii="Arial" w:cs="Arial" w:eastAsia="Arial" w:hAnsi="Arial"/>
          <w:sz w:val="17"/>
          <w:szCs w:val="17"/>
          <w:color w:val="auto"/>
        </w:rPr>
        <w:t xml:space="preserve">, gene. </w:t>
      </w:r>
      <w:r>
        <w:rPr>
          <w:rFonts w:ascii="Arial" w:cs="Arial" w:eastAsia="Arial" w:hAnsi="Arial"/>
          <w:sz w:val="17"/>
          <w:szCs w:val="17"/>
          <w:i w:val="1"/>
          <w:iCs w:val="1"/>
          <w:color w:val="auto"/>
        </w:rPr>
        <w:t>MYB or MYBL1</w:t>
      </w:r>
      <w:r>
        <w:rPr>
          <w:rFonts w:ascii="Arial" w:cs="Arial" w:eastAsia="Arial" w:hAnsi="Arial"/>
          <w:sz w:val="17"/>
          <w:szCs w:val="17"/>
          <w:color w:val="auto"/>
        </w:rPr>
        <w:t xml:space="preserve"> gene fusions lead to overexpression of the MYB/ MYBL1 protein. Published data demonstrate that </w:t>
      </w:r>
      <w:r>
        <w:rPr>
          <w:rFonts w:ascii="Arial" w:cs="Arial" w:eastAsia="Arial" w:hAnsi="Arial"/>
          <w:sz w:val="17"/>
          <w:szCs w:val="17"/>
          <w:i w:val="1"/>
          <w:iCs w:val="1"/>
          <w:color w:val="auto"/>
        </w:rPr>
        <w:t>MYB</w:t>
      </w:r>
      <w:r>
        <w:rPr>
          <w:rFonts w:ascii="Arial" w:cs="Arial" w:eastAsia="Arial" w:hAnsi="Arial"/>
          <w:sz w:val="17"/>
          <w:szCs w:val="17"/>
          <w:color w:val="auto"/>
        </w:rPr>
        <w:t xml:space="preserve"> overexpression is important for driving cell proliferation and tumor growth in preclinical ACC models. In addition, our internal data illustrate that PRMT5 inhibition decreased </w:t>
      </w:r>
      <w:r>
        <w:rPr>
          <w:rFonts w:ascii="Arial" w:cs="Arial" w:eastAsia="Arial" w:hAnsi="Arial"/>
          <w:sz w:val="17"/>
          <w:szCs w:val="17"/>
          <w:i w:val="1"/>
          <w:iCs w:val="1"/>
          <w:color w:val="auto"/>
        </w:rPr>
        <w:t>MYB</w:t>
      </w:r>
      <w:r>
        <w:rPr>
          <w:rFonts w:ascii="Arial" w:cs="Arial" w:eastAsia="Arial" w:hAnsi="Arial"/>
          <w:sz w:val="17"/>
          <w:szCs w:val="17"/>
          <w:color w:val="auto"/>
        </w:rPr>
        <w:t xml:space="preserve"> expression levels in </w:t>
      </w:r>
      <w:r>
        <w:rPr>
          <w:rFonts w:ascii="Arial" w:cs="Arial" w:eastAsia="Arial" w:hAnsi="Arial"/>
          <w:sz w:val="17"/>
          <w:szCs w:val="17"/>
          <w:i w:val="1"/>
          <w:iCs w:val="1"/>
          <w:color w:val="auto"/>
        </w:rPr>
        <w:t>MYB</w:t>
      </w:r>
      <w:r>
        <w:rPr>
          <w:rFonts w:ascii="Arial" w:cs="Arial" w:eastAsia="Arial" w:hAnsi="Arial"/>
          <w:sz w:val="17"/>
          <w:szCs w:val="17"/>
          <w:color w:val="auto"/>
        </w:rPr>
        <w:t>-dependent preclinical models and inhibited tumor growth in PDX models of ACC. Recent evidence of clinical activity with a third party PRMT5 inhibitor in patients with ACC further validates PRMT5 as a potential target mechanism in this highly underserved cancer.</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PRMT5 Regulates mRNA Splicing in Cancer Cells</w:t>
      </w:r>
    </w:p>
    <w:p>
      <w:pPr>
        <w:spacing w:after="0" w:line="117" w:lineRule="exact"/>
        <w:rPr>
          <w:sz w:val="20"/>
          <w:szCs w:val="20"/>
          <w:color w:val="auto"/>
        </w:rPr>
      </w:pPr>
    </w:p>
    <w:p>
      <w:pPr>
        <w:ind w:firstLine="512"/>
        <w:spacing w:after="0" w:line="254" w:lineRule="auto"/>
        <w:rPr>
          <w:sz w:val="20"/>
          <w:szCs w:val="20"/>
          <w:color w:val="auto"/>
        </w:rPr>
      </w:pPr>
      <w:r>
        <w:rPr>
          <w:rFonts w:ascii="Arial" w:cs="Arial" w:eastAsia="Arial" w:hAnsi="Arial"/>
          <w:sz w:val="18"/>
          <w:szCs w:val="18"/>
          <w:color w:val="auto"/>
        </w:rPr>
        <w:t xml:space="preserve">In addition to regulating transcription, PRMT5 also modulates gene expression by controlling mRNA splicing. Splicing is a fundamental cellular process that involves the removal of noncoding sequences from the precursor mRNA to produce the mature form that encodes for protein. In the absence of correct mRNA splicing, mutated or unstable proteins are produced, ultimately leading to cell cycle defects, senescence and apoptosis. The splicing reaction is carried out by a multi-protein/RNA complex called the spliceosome. PRMT5 plays an important role in the splicing of mRNA through methylation of spliceosome protein, which is critical for the assembly of the spliceosome complex and its function. In preclinical models, tumors with high degrees of proliferation, such as </w:t>
      </w:r>
      <w:r>
        <w:rPr>
          <w:rFonts w:ascii="Arial" w:cs="Arial" w:eastAsia="Arial" w:hAnsi="Arial"/>
          <w:sz w:val="18"/>
          <w:szCs w:val="18"/>
          <w:i w:val="1"/>
          <w:iCs w:val="1"/>
          <w:color w:val="auto"/>
        </w:rPr>
        <w:t>MYC</w:t>
      </w:r>
      <w:r>
        <w:rPr>
          <w:rFonts w:ascii="Arial" w:cs="Arial" w:eastAsia="Arial" w:hAnsi="Arial"/>
          <w:sz w:val="18"/>
          <w:szCs w:val="18"/>
          <w:color w:val="auto"/>
        </w:rPr>
        <w:t>-driven tumors, were associated with increased activity of PRMT5 to maintain the fidelity of the spliceosome, demonstrating the importance of PRMT5 in this process.</w:t>
      </w:r>
    </w:p>
    <w:p>
      <w:pPr>
        <w:spacing w:after="0" w:line="195" w:lineRule="exact"/>
        <w:rPr>
          <w:sz w:val="20"/>
          <w:szCs w:val="20"/>
          <w:color w:val="auto"/>
        </w:rPr>
      </w:pPr>
    </w:p>
    <w:p>
      <w:pPr>
        <w:ind w:right="80" w:firstLine="512"/>
        <w:spacing w:after="0" w:line="259" w:lineRule="auto"/>
        <w:rPr>
          <w:sz w:val="20"/>
          <w:szCs w:val="20"/>
          <w:color w:val="auto"/>
        </w:rPr>
      </w:pPr>
      <w:r>
        <w:rPr>
          <w:rFonts w:ascii="Arial" w:cs="Arial" w:eastAsia="Arial" w:hAnsi="Arial"/>
          <w:sz w:val="18"/>
          <w:szCs w:val="18"/>
          <w:color w:val="auto"/>
        </w:rPr>
        <w:t>The role of PRMT5 in regulating mRNA splicing may be most relevant in cancers with spliceosomal mutations or those that are dependent on high splicing fidelity, such as GBM. Spliceosomal mutations also occur in more than 50% of MDS patients and at lower frequencies in other tumor types including MF, chronic myelomonocytic leukemia, AML, NHL, MM, chronic lymphocytic leukemia, or CLL, and uveal melanoma. These spliceosomal alterations are often correlated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 w:name="page9"/>
    <w:bookmarkEnd w:id="8"/>
    <w:p>
      <w:pPr>
        <w:ind w:right="60"/>
        <w:spacing w:after="0" w:line="342" w:lineRule="auto"/>
        <w:rPr>
          <w:sz w:val="20"/>
          <w:szCs w:val="20"/>
          <w:color w:val="auto"/>
        </w:rPr>
      </w:pPr>
      <w:r>
        <w:rPr>
          <w:rFonts w:ascii="Arial" w:cs="Arial" w:eastAsia="Arial" w:hAnsi="Arial"/>
          <w:sz w:val="16"/>
          <w:szCs w:val="16"/>
          <w:color w:val="auto"/>
        </w:rPr>
        <w:t>with higher mutational burden and/or poor prognosis. In models of AML, preclinical data demonstrated that PRMT5 inhibition resulted in higher levels of suppression of the growth of cancer cells containing mutated spliceosome proteins compared to those containing unmutated spliceosome proteins.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Synthetic lethality from PRMT5 inhibition in certain settings</w:t>
      </w:r>
    </w:p>
    <w:p>
      <w:pPr>
        <w:spacing w:after="0" w:line="117" w:lineRule="exact"/>
        <w:rPr>
          <w:sz w:val="20"/>
          <w:szCs w:val="20"/>
          <w:color w:val="auto"/>
        </w:rPr>
      </w:pPr>
    </w:p>
    <w:p>
      <w:pPr>
        <w:ind w:right="40" w:firstLine="512"/>
        <w:spacing w:after="0" w:line="254" w:lineRule="auto"/>
        <w:rPr>
          <w:sz w:val="20"/>
          <w:szCs w:val="20"/>
          <w:color w:val="auto"/>
        </w:rPr>
      </w:pPr>
      <w:r>
        <w:rPr>
          <w:rFonts w:ascii="Arial" w:cs="Arial" w:eastAsia="Arial" w:hAnsi="Arial"/>
          <w:sz w:val="18"/>
          <w:szCs w:val="18"/>
          <w:color w:val="auto"/>
        </w:rPr>
        <w:t xml:space="preserve">Synthetic lethality applies to specific pairs of genes. A synthetic lethal interaction occurs when a deficiency in either gene alone is viable whereas a deficiency in both genes simultaneously results in cell death. In cancer, synthetic lethality can be exploited to selectively kill cancer cells in which one gene in the pair is mutated or deleted in the tumor cell and the remaining second gene is therapeutically inhibited. This leads to death of the cancer cells whereas normal cells, which lack the specific genetic alteration, are spared the effect of the drug. In the case of PRMT5, it has been demonstrated that certain genomic alterations confer a selective dependence on PRMT5 so that PRMT5 inhibition can be utilized to produce a synthetic lethal effect. For example, PRMT5 inhibition shows a modest preferential impairment of cell viability in methylthioadenosine phosphorylase, or </w:t>
      </w:r>
      <w:r>
        <w:rPr>
          <w:rFonts w:ascii="Arial" w:cs="Arial" w:eastAsia="Arial" w:hAnsi="Arial"/>
          <w:sz w:val="18"/>
          <w:szCs w:val="18"/>
          <w:i w:val="1"/>
          <w:iCs w:val="1"/>
          <w:color w:val="auto"/>
        </w:rPr>
        <w:t>MTAP</w:t>
      </w:r>
      <w:r>
        <w:rPr>
          <w:rFonts w:ascii="Arial" w:cs="Arial" w:eastAsia="Arial" w:hAnsi="Arial"/>
          <w:sz w:val="18"/>
          <w:szCs w:val="18"/>
          <w:color w:val="auto"/>
        </w:rPr>
        <w:t xml:space="preserve">, -null cancer cells compared to normal cells, suggesting that PRMT5 inhibitors could produce a synthetic lethal effect in GBM, in which nearly half of the patients carry the </w:t>
      </w:r>
      <w:r>
        <w:rPr>
          <w:rFonts w:ascii="Arial" w:cs="Arial" w:eastAsia="Arial" w:hAnsi="Arial"/>
          <w:sz w:val="18"/>
          <w:szCs w:val="18"/>
          <w:i w:val="1"/>
          <w:iCs w:val="1"/>
          <w:color w:val="auto"/>
        </w:rPr>
        <w:t xml:space="preserve">MTAP </w:t>
      </w:r>
      <w:r>
        <w:rPr>
          <w:rFonts w:ascii="Arial" w:cs="Arial" w:eastAsia="Arial" w:hAnsi="Arial"/>
          <w:sz w:val="18"/>
          <w:szCs w:val="18"/>
          <w:color w:val="auto"/>
        </w:rPr>
        <w:t>deletion.</w:t>
      </w:r>
    </w:p>
    <w:p>
      <w:pPr>
        <w:spacing w:after="0" w:line="192" w:lineRule="exact"/>
        <w:rPr>
          <w:sz w:val="20"/>
          <w:szCs w:val="20"/>
          <w:color w:val="auto"/>
        </w:rPr>
      </w:pPr>
    </w:p>
    <w:p>
      <w:pPr>
        <w:ind w:firstLine="512"/>
        <w:spacing w:after="0" w:line="273" w:lineRule="auto"/>
        <w:rPr>
          <w:sz w:val="20"/>
          <w:szCs w:val="20"/>
          <w:color w:val="auto"/>
        </w:rPr>
      </w:pPr>
      <w:r>
        <w:rPr>
          <w:rFonts w:ascii="Arial" w:cs="Arial" w:eastAsia="Arial" w:hAnsi="Arial"/>
          <w:sz w:val="17"/>
          <w:szCs w:val="17"/>
          <w:color w:val="auto"/>
        </w:rPr>
        <w:t xml:space="preserve">The synthetic lethal effect of pharmacological inhibitors of DNA repair mechanisms such as poly ADP- ribose polymerases, or PARPs, have been successfully utilized in the treatment of HRD+ cancers. HRD+ can occur as a result of genetic or epigenetic mechanisms that result in loss of genes such as breast cancer genes, or </w:t>
      </w:r>
      <w:r>
        <w:rPr>
          <w:rFonts w:ascii="Arial" w:cs="Arial" w:eastAsia="Arial" w:hAnsi="Arial"/>
          <w:sz w:val="17"/>
          <w:szCs w:val="17"/>
          <w:i w:val="1"/>
          <w:iCs w:val="1"/>
          <w:color w:val="auto"/>
        </w:rPr>
        <w:t>BRCA1</w:t>
      </w:r>
      <w:r>
        <w:rPr>
          <w:rFonts w:ascii="Arial" w:cs="Arial" w:eastAsia="Arial" w:hAnsi="Arial"/>
          <w:sz w:val="17"/>
          <w:szCs w:val="17"/>
          <w:color w:val="auto"/>
        </w:rPr>
        <w:t xml:space="preserve"> and </w:t>
      </w:r>
      <w:r>
        <w:rPr>
          <w:rFonts w:ascii="Arial" w:cs="Arial" w:eastAsia="Arial" w:hAnsi="Arial"/>
          <w:sz w:val="17"/>
          <w:szCs w:val="17"/>
          <w:i w:val="1"/>
          <w:iCs w:val="1"/>
          <w:color w:val="auto"/>
        </w:rPr>
        <w:t>BRCA2</w:t>
      </w:r>
      <w:r>
        <w:rPr>
          <w:rFonts w:ascii="Arial" w:cs="Arial" w:eastAsia="Arial" w:hAnsi="Arial"/>
          <w:sz w:val="17"/>
          <w:szCs w:val="17"/>
          <w:color w:val="auto"/>
        </w:rPr>
        <w:t>, that are required for efficient DNA repair. More recent data support the potential synthetic lethality of PRMT5 inhibition in tumors that are HRD+ due to the role of PRMT5 in DNA repair (Figure 2). PRMT5 upregulates the transcription of genes involved in HR repair to regulate the DNA damage repair response. PRMT5 inhibition has been shown preclinically to decrease expression of these genes to induce cell death, supporting the potential of PRMT5 inhibitors in HRD+ tumors.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Together, these data support the development of PRMT5 inhibitors in select solid tumors and hematologic malignancies.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PRT543</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60" w:firstLine="512"/>
        <w:spacing w:after="0" w:line="277" w:lineRule="auto"/>
        <w:rPr>
          <w:sz w:val="20"/>
          <w:szCs w:val="20"/>
          <w:color w:val="auto"/>
        </w:rPr>
      </w:pPr>
      <w:r>
        <w:rPr>
          <w:rFonts w:ascii="Arial" w:cs="Arial" w:eastAsia="Arial" w:hAnsi="Arial"/>
          <w:sz w:val="18"/>
          <w:szCs w:val="18"/>
          <w:color w:val="auto"/>
        </w:rPr>
        <w:t>We are currently advancing our first clinical candidate PRT543, an oral inhibitor of PRMT5 in a Phase 1 clinical trial in advanced solid tumors and select myeloid malignancies.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Trial Design and Schema</w:t>
      </w:r>
    </w:p>
    <w:p>
      <w:pPr>
        <w:spacing w:after="0" w:line="117" w:lineRule="exact"/>
        <w:rPr>
          <w:sz w:val="20"/>
          <w:szCs w:val="20"/>
          <w:color w:val="auto"/>
        </w:rPr>
      </w:pPr>
    </w:p>
    <w:p>
      <w:pPr>
        <w:ind w:firstLine="512"/>
        <w:spacing w:after="0" w:line="296" w:lineRule="auto"/>
        <w:rPr>
          <w:sz w:val="20"/>
          <w:szCs w:val="20"/>
          <w:color w:val="auto"/>
        </w:rPr>
      </w:pPr>
      <w:r>
        <w:rPr>
          <w:rFonts w:ascii="Arial" w:cs="Arial" w:eastAsia="Arial" w:hAnsi="Arial"/>
          <w:sz w:val="16"/>
          <w:szCs w:val="16"/>
          <w:color w:val="auto"/>
        </w:rPr>
        <w:t>Our PRT543 Phase 1 clinical trial design seeks to leverage PRT543’s broad potential therapeutic utility to rapidly generate proof-of-concept across multiple solid tumors and myeloid malignancies. Trial enrollment of patients with relapsed/refractory, or R/R, advanced solid tumors, NHL (Group A) or R/R MF or MDS (Group B) commenced in February 2019 and is being conducted at approximately 25 sites throughout the United States. This clinical trial consists of two parts, a dose escalation portion followed by dose expansion into separate tumor-specific cohorts. Enrollment into the additional dose expansion cohorts began early in the second quarter of 2021. Total expected enrollment is anticipated to be approximately 165 patients.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Phase 1 Clinical Trial of PRT543</w:t>
      </w:r>
    </w:p>
    <w:p>
      <w:pPr>
        <w:spacing w:after="0" w:line="121" w:lineRule="exact"/>
        <w:rPr>
          <w:sz w:val="20"/>
          <w:szCs w:val="20"/>
          <w:color w:val="auto"/>
        </w:rPr>
      </w:pPr>
    </w:p>
    <w:p>
      <w:pPr>
        <w:ind w:right="20" w:firstLine="513"/>
        <w:spacing w:after="0" w:line="254" w:lineRule="auto"/>
        <w:rPr>
          <w:sz w:val="20"/>
          <w:szCs w:val="20"/>
          <w:color w:val="auto"/>
        </w:rPr>
      </w:pPr>
      <w:r>
        <w:rPr>
          <w:rFonts w:ascii="Arial" w:cs="Arial" w:eastAsia="Arial" w:hAnsi="Arial"/>
          <w:sz w:val="18"/>
          <w:szCs w:val="18"/>
          <w:color w:val="auto"/>
        </w:rPr>
        <w:t>All data are reflective of a data cutoff of August 6, 2021 unless otherwise stated. As of an August 6, 2021 data cutoff date, the dose escalation portion of the ongoing Phase 1 trial of PRT543 enrolled a total of 49 patients across 18 unselected advanced solid tumors and lymphoma. Patients enrolled received an average of three prior lines of therapy. PRT543 demonstrated target engagement and inhibition of PRMT5 functional activity as evidenced by a 69% reduction in serum symmetric dimethylarginine, or sDMA, at a dose of 45 mg/5x per week. In addition, PRT543 demonstrated signs of preliminary clinical activity, including a durable CR, maintained for over 18 months in a patient with HRD+ ovarian cancer who remains on treatment and prolonged SD, persisting for over six months in five patients, including four patients with ACC and one patient with uveal melanoma. A complete response is defined as the disappearance of all target lesions.</w:t>
      </w:r>
    </w:p>
    <w:p>
      <w:pPr>
        <w:spacing w:after="0" w:line="195" w:lineRule="exact"/>
        <w:rPr>
          <w:sz w:val="20"/>
          <w:szCs w:val="20"/>
          <w:color w:val="auto"/>
        </w:rPr>
      </w:pPr>
    </w:p>
    <w:p>
      <w:pPr>
        <w:ind w:right="460" w:firstLine="512"/>
        <w:spacing w:after="0" w:line="277" w:lineRule="auto"/>
        <w:rPr>
          <w:sz w:val="20"/>
          <w:szCs w:val="20"/>
          <w:color w:val="auto"/>
        </w:rPr>
      </w:pPr>
      <w:r>
        <w:rPr>
          <w:rFonts w:ascii="Arial" w:cs="Arial" w:eastAsia="Arial" w:hAnsi="Arial"/>
          <w:sz w:val="18"/>
          <w:szCs w:val="18"/>
          <w:color w:val="auto"/>
        </w:rPr>
        <w:t>PRT543 was generally well tolerated: the most common grade 3 or higher treatment-related adverse events, or AE, occurring in at least 5% of patients were thrombocytopenia (27%) and anemia (12%), both of which were reversible upon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treatment interruption. Patients were largely able to remain on therapy with few AE-related dose interruptions (27%), reductions (22%), or discontinuations (4%).</w:t>
      </w:r>
    </w:p>
    <w:p>
      <w:pPr>
        <w:spacing w:after="0" w:line="170" w:lineRule="exact"/>
        <w:rPr>
          <w:sz w:val="20"/>
          <w:szCs w:val="20"/>
          <w:color w:val="auto"/>
        </w:rPr>
      </w:pPr>
    </w:p>
    <w:p>
      <w:pPr>
        <w:ind w:right="400" w:firstLine="512"/>
        <w:spacing w:after="0" w:line="277" w:lineRule="auto"/>
        <w:rPr>
          <w:sz w:val="20"/>
          <w:szCs w:val="20"/>
          <w:color w:val="auto"/>
        </w:rPr>
      </w:pPr>
      <w:r>
        <w:rPr>
          <w:rFonts w:ascii="Arial" w:cs="Arial" w:eastAsia="Arial" w:hAnsi="Arial"/>
          <w:sz w:val="18"/>
          <w:szCs w:val="18"/>
          <w:color w:val="auto"/>
        </w:rPr>
        <w:t>While early in development and there is no guarantee of approval by the FDA or other regulatory authorities, we are encouraged by the clinical activity of PRT543.</w:t>
      </w:r>
    </w:p>
    <w:p>
      <w:pPr>
        <w:spacing w:after="0" w:line="170"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Based on data from the ongoing Phase 1 dose expansion studies of both PRT543 and PRT811, we announced, on March 9, 2022, that we are concentrating our development efforts on PRT811 in biomarker-selected patients in specific cancer types. While the Company believes that both PRT811 and PRT543 are high quality, clinically active compounds, PRT811 was selected based on its superior safety profile, higher level of target engagement, and unique brain penetrant properties.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we intend to:</w:t>
      </w:r>
    </w:p>
    <w:p>
      <w:pPr>
        <w:spacing w:after="0" w:line="23" w:lineRule="exact"/>
        <w:rPr>
          <w:sz w:val="20"/>
          <w:szCs w:val="20"/>
          <w:color w:val="auto"/>
        </w:rPr>
      </w:pPr>
    </w:p>
    <w:p>
      <w:pPr>
        <w:ind w:left="960" w:right="580" w:hanging="439"/>
        <w:spacing w:after="0" w:line="250"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Focus clinical development in select patient populations where clinical activity has been observed, including splicing mutated myeloid malignancies and solid tumors including uveal melanoma and IDH1 mutated high grade gliomas.</w:t>
      </w:r>
    </w:p>
    <w:p>
      <w:pPr>
        <w:ind w:left="960" w:hanging="439"/>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Complete data analysis of the ongoing expansion cohort of adenoid cystic carcinoma (ACC) by mid-year to determine further development.</w:t>
      </w:r>
    </w:p>
    <w:p>
      <w:pPr>
        <w:spacing w:after="0" w:line="32" w:lineRule="exact"/>
        <w:rPr>
          <w:rFonts w:ascii="Arial" w:cs="Arial" w:eastAsia="Arial" w:hAnsi="Arial"/>
          <w:sz w:val="16"/>
          <w:szCs w:val="16"/>
          <w:color w:val="auto"/>
        </w:rPr>
      </w:pPr>
    </w:p>
    <w:p>
      <w:pPr>
        <w:ind w:left="960" w:hanging="43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 data from the ongoing dose expansion cohorts in the second half of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PRT811</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496"/>
        <w:spacing w:after="0" w:line="311" w:lineRule="auto"/>
        <w:rPr>
          <w:sz w:val="20"/>
          <w:szCs w:val="20"/>
          <w:color w:val="auto"/>
        </w:rPr>
      </w:pPr>
      <w:r>
        <w:rPr>
          <w:rFonts w:ascii="Arial" w:cs="Arial" w:eastAsia="Arial" w:hAnsi="Arial"/>
          <w:sz w:val="16"/>
          <w:szCs w:val="16"/>
          <w:color w:val="auto"/>
        </w:rPr>
        <w:t>Our second PRMT5 inhibitor, PRT811 has completed a Phase 1 dose escalation study and is currently enrolling dose expansion cohorts. PRT811 is designed to be a highly potent, selective and orally bioavailable molecule optimized for high brain exposure and hence we believe is uniquely positioned to treat PRMT5-sensitive CNS cancers among other solid tumors. Data from the expansion cohorts are expected to be presented in the second half of 2022.</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Trial Design and Schema</w:t>
      </w:r>
    </w:p>
    <w:p>
      <w:pPr>
        <w:spacing w:after="0" w:line="117" w:lineRule="exact"/>
        <w:rPr>
          <w:sz w:val="20"/>
          <w:szCs w:val="20"/>
          <w:color w:val="auto"/>
        </w:rPr>
      </w:pPr>
    </w:p>
    <w:p>
      <w:pPr>
        <w:ind w:right="20" w:firstLine="512"/>
        <w:spacing w:after="0" w:line="259" w:lineRule="auto"/>
        <w:rPr>
          <w:sz w:val="20"/>
          <w:szCs w:val="20"/>
          <w:color w:val="auto"/>
        </w:rPr>
      </w:pPr>
      <w:r>
        <w:rPr>
          <w:rFonts w:ascii="Arial" w:cs="Arial" w:eastAsia="Arial" w:hAnsi="Arial"/>
          <w:sz w:val="18"/>
          <w:szCs w:val="18"/>
          <w:color w:val="auto"/>
        </w:rPr>
        <w:t>This is a multicenter, open-label, dose-escalation, dose-expansion Phase 1 clinical trial of PRT811. Enrollment into the dose escalation portion of the clinical trial includes patients with R/R solid tumors, PCNSL, and /or high-grade gliomas. Enrollment initiated in November 2019 and is being conducted across eleven sites in the United States. We initiated enrollment of the dose expansion portion of the clinical trial in three patient cohorts in December 2021. The total expected enrollment is approximately 63 patients.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u w:val="single" w:color="auto"/>
          <w:color w:val="auto"/>
        </w:rPr>
        <w:t>Figure 2. PRT543 and PRT811 Clinical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151765</wp:posOffset>
            </wp:positionV>
            <wp:extent cx="5383530" cy="1783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8353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Phase 1 Clinical Trial of PRT811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data are reflective of a data cutoff of August 13, 2021 unless otherwise stated.</w:t>
      </w:r>
    </w:p>
    <w:p>
      <w:pPr>
        <w:spacing w:after="0" w:line="225" w:lineRule="exact"/>
        <w:rPr>
          <w:sz w:val="20"/>
          <w:szCs w:val="20"/>
          <w:color w:val="auto"/>
        </w:rPr>
      </w:pPr>
    </w:p>
    <w:p>
      <w:pPr>
        <w:ind w:right="20" w:firstLine="501"/>
        <w:spacing w:after="0" w:line="269" w:lineRule="auto"/>
        <w:rPr>
          <w:sz w:val="20"/>
          <w:szCs w:val="20"/>
          <w:color w:val="auto"/>
        </w:rPr>
      </w:pPr>
      <w:r>
        <w:rPr>
          <w:rFonts w:ascii="Arial" w:cs="Arial" w:eastAsia="Arial" w:hAnsi="Arial"/>
          <w:sz w:val="17"/>
          <w:szCs w:val="17"/>
          <w:color w:val="auto"/>
        </w:rPr>
        <w:t>The dose escalation portion of the ongoing Phase 1 trial of PRT811 enrolled a total of 45 patients, including 27 patients across 16 unselected advanced solid tumors and 18 patients with high-grade gliomas, including 17 patients with glioblastoma multiforme, or GBM. PRT811 demonstrated dose dependent inhibition of PRMT5 activity as evidenced by an 83% reduction in serum sDMA at a dose of 600 mg daily (QD). In addition, PRT811 demonstrated signs of preliminary clinical activity, including an IDH1 mutated high-grade glioma (glioblastoma (GBM)) patient who experienced a PR that evolved into a durable CR for more than 13 months. In addition, a patient with splicing-mutant, or SF3B1, uveal melanoma demonstrated SD for more than six months with a 25% tumor regression. At a post data-cutoff on September 20, 2021, one additional patient (receiving a dose of 800 mg QD) with SF3B1 uveal melanoma had an unconfirmed PR and 47% decrease in target lesion, and a patient with triple negative breast cancer (receiving a dose of 800 mg QD) demonstrated a 27% decrease in target lesions. PRT811 was generally well-tolerated; the most common grade 3 or higher treatment-related AE was thrombocytopenia (7%), which was reversible upon treatment interruption. Patients were largely able to remain on therapy with few AE-related dose interruptions (13%), reductions (4%), or discontinuations (3%).</w:t>
      </w:r>
    </w:p>
    <w:p>
      <w:pPr>
        <w:spacing w:after="0" w:line="185" w:lineRule="exact"/>
        <w:rPr>
          <w:sz w:val="20"/>
          <w:szCs w:val="20"/>
          <w:color w:val="auto"/>
        </w:rPr>
      </w:pPr>
    </w:p>
    <w:p>
      <w:pPr>
        <w:ind w:firstLine="513"/>
        <w:spacing w:after="0" w:line="277" w:lineRule="auto"/>
        <w:rPr>
          <w:sz w:val="20"/>
          <w:szCs w:val="20"/>
          <w:color w:val="auto"/>
        </w:rPr>
      </w:pPr>
      <w:r>
        <w:rPr>
          <w:rFonts w:ascii="Arial" w:cs="Arial" w:eastAsia="Arial" w:hAnsi="Arial"/>
          <w:sz w:val="18"/>
          <w:szCs w:val="18"/>
          <w:color w:val="auto"/>
        </w:rPr>
        <w:t>Based on data from the ongoing Phase 1 dose expansion studies of both PRT543 and PRT811, we announced on March 9, 2022, that we are concentrating our development efforts on PRT811 in biomarker-selected patients in specific cancer types.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intend to:</w:t>
      </w:r>
    </w:p>
    <w:p>
      <w:pPr>
        <w:spacing w:after="0" w:line="23" w:lineRule="exact"/>
        <w:rPr>
          <w:sz w:val="20"/>
          <w:szCs w:val="20"/>
          <w:color w:val="auto"/>
        </w:rPr>
      </w:pPr>
    </w:p>
    <w:p>
      <w:pPr>
        <w:ind w:left="960" w:right="580" w:hanging="439"/>
        <w:spacing w:after="0" w:line="250"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 clinical development in select patient populations where clinical activity has been observed, including splicing mutated myeloid malignancies and solid tumors including uveal melanoma and IDH1 mutated high grade gliomas.</w:t>
      </w:r>
    </w:p>
    <w:p>
      <w:pPr>
        <w:ind w:left="960" w:hanging="43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 data from the ongoing dose expansion cohorts in the second half of 2022.</w:t>
      </w:r>
    </w:p>
    <w:p>
      <w:pPr>
        <w:spacing w:after="0" w:line="9" w:lineRule="exact"/>
        <w:rPr>
          <w:rFonts w:ascii="Arial" w:cs="Arial" w:eastAsia="Arial" w:hAnsi="Arial"/>
          <w:sz w:val="18"/>
          <w:szCs w:val="18"/>
          <w:color w:val="auto"/>
        </w:rPr>
      </w:pPr>
    </w:p>
    <w:p>
      <w:pPr>
        <w:ind w:left="960" w:hanging="43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 appropriate development options for PRT811 based on emerging data from ongoing expansion cohorts.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MCL1 Inhibitor: PRT1419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512"/>
        <w:spacing w:after="0" w:line="272" w:lineRule="auto"/>
        <w:rPr>
          <w:sz w:val="20"/>
          <w:szCs w:val="20"/>
          <w:color w:val="auto"/>
        </w:rPr>
      </w:pPr>
      <w:r>
        <w:rPr>
          <w:rFonts w:ascii="Arial" w:cs="Arial" w:eastAsia="Arial" w:hAnsi="Arial"/>
          <w:sz w:val="17"/>
          <w:szCs w:val="17"/>
          <w:color w:val="auto"/>
        </w:rPr>
        <w:t>PRT1419 is designed to be a potent and selective inhibitor of the anti-apoptotic protein, MCL1. PRT1419 has been optimized to have the PK properties to allow for either oral or IV administration, providing maximal coverage of the target while maintaining an adequate tolerability window. We believe that the physicochemical and pharmacological properties of PRT1419 allow the optionality of administering PRT1419 by either oral or IV route. Based on our preclinical data, as well as published third-party data, we believe that hematological malignancies are particularly sensitive to MCL1 inhibitors. MCL1 upregulation has been noted as a mechanism of acquired resistance to venetoclax and TKIs. In addition, certain solid tumors are responsive to MCL1 inhibition, informing a potential patient selection strategy. Based on data demonstrating that MCL1 is a primary resistance mechanism to BCL2 inhibitors like venetoclax, a combination study with azacitidine or venetoclax 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ind w:right="340"/>
        <w:spacing w:after="0" w:line="277" w:lineRule="auto"/>
        <w:rPr>
          <w:sz w:val="20"/>
          <w:szCs w:val="20"/>
          <w:color w:val="auto"/>
        </w:rPr>
      </w:pPr>
      <w:r>
        <w:rPr>
          <w:rFonts w:ascii="Arial" w:cs="Arial" w:eastAsia="Arial" w:hAnsi="Arial"/>
          <w:sz w:val="18"/>
          <w:szCs w:val="18"/>
          <w:color w:val="auto"/>
        </w:rPr>
        <w:t>MDS/AML is planned. The dose escalation portion of the Phase 1 trial of both oral formulation and the IV formulation, which leverages the optimized physicochemical properties of PRT1419, are now underway in patients with solid tumors.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firstLine="513"/>
        <w:spacing w:after="0" w:line="254" w:lineRule="auto"/>
        <w:rPr>
          <w:sz w:val="20"/>
          <w:szCs w:val="20"/>
          <w:color w:val="auto"/>
        </w:rPr>
      </w:pPr>
      <w:r>
        <w:rPr>
          <w:rFonts w:ascii="Arial" w:cs="Arial" w:eastAsia="Arial" w:hAnsi="Arial"/>
          <w:sz w:val="18"/>
          <w:szCs w:val="18"/>
          <w:color w:val="auto"/>
        </w:rPr>
        <w:t xml:space="preserve">The ability to evade cell death is a hallmark of cancer because it is one of the unique acquired abilities that allows malignant transformation of a normal cell. MCL1 and BCL2 are both members of a family of proteins that regulate cell survival versus cell death. Under normal circumstances, MCL1 and BCL2 exert their pro-survival function by binding to and sequestering the pro-death proteins, BAK and BAX, and prevent the activation of a downstream cascade leading to apoptosis (Figure 3). In normal cells, cellular stressors such as DNA damage disrupt this interaction and result in cell death. Cancer cells, however, frequently upregulate pro-survival proteins to prevent activation of the apoptotic pathway, thus evading death. </w:t>
      </w:r>
      <w:r>
        <w:rPr>
          <w:rFonts w:ascii="Arial" w:cs="Arial" w:eastAsia="Arial" w:hAnsi="Arial"/>
          <w:sz w:val="18"/>
          <w:szCs w:val="18"/>
          <w:i w:val="1"/>
          <w:iCs w:val="1"/>
          <w:color w:val="auto"/>
        </w:rPr>
        <w:t>MCL1</w:t>
      </w:r>
      <w:r>
        <w:rPr>
          <w:rFonts w:ascii="Arial" w:cs="Arial" w:eastAsia="Arial" w:hAnsi="Arial"/>
          <w:sz w:val="18"/>
          <w:szCs w:val="18"/>
          <w:color w:val="auto"/>
        </w:rPr>
        <w:t xml:space="preserve"> has been shown to have a critical role in promoting cancer cell survival and is frequently found to be amplified or overexpressed in both solid tumors and hematologic cancers.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Figure 3. MCL1 Promotes Tumor Cell Survival by Inhibiting Apoptosis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443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80" w:firstLine="513"/>
        <w:spacing w:after="0" w:line="277" w:lineRule="auto"/>
        <w:rPr>
          <w:sz w:val="20"/>
          <w:szCs w:val="20"/>
          <w:color w:val="auto"/>
        </w:rPr>
      </w:pPr>
      <w:r>
        <w:rPr>
          <w:rFonts w:ascii="Arial" w:cs="Arial" w:eastAsia="Arial" w:hAnsi="Arial"/>
          <w:sz w:val="18"/>
          <w:szCs w:val="18"/>
          <w:color w:val="auto"/>
        </w:rPr>
        <w:t>Members of the BCL2 protein family control cell survival and cell death. MCL1, a member of the family, acts to suppress cell death and has emerged as a target for anti-cancer therapy and as a resistance mechanism to the BCL2 inhibitor, venetoclax.</w:t>
      </w:r>
    </w:p>
    <w:p>
      <w:pPr>
        <w:spacing w:after="0" w:line="170" w:lineRule="exact"/>
        <w:rPr>
          <w:sz w:val="20"/>
          <w:szCs w:val="20"/>
          <w:color w:val="auto"/>
        </w:rPr>
      </w:pPr>
    </w:p>
    <w:p>
      <w:pPr>
        <w:ind w:right="40" w:firstLine="513"/>
        <w:spacing w:after="0" w:line="296" w:lineRule="auto"/>
        <w:rPr>
          <w:sz w:val="20"/>
          <w:szCs w:val="20"/>
          <w:color w:val="auto"/>
        </w:rPr>
      </w:pPr>
      <w:r>
        <w:rPr>
          <w:rFonts w:ascii="Arial" w:cs="Arial" w:eastAsia="Arial" w:hAnsi="Arial"/>
          <w:sz w:val="16"/>
          <w:szCs w:val="16"/>
          <w:color w:val="auto"/>
        </w:rPr>
        <w:t xml:space="preserve">Inhibition of MCL1 expression and/or function is therefore of considerable therapeutic interest in cancer. The importance of blocking the protein-protein interaction between pro-survival and pro-death proteins as a therapy to promote tumor cell death has been clinically validated with the BCL2 inhibitor, venetoclax. Venetoclax was approved in 2016 for R/R patients with CLL and in 2018 for patients with AML. </w:t>
      </w:r>
      <w:r>
        <w:rPr>
          <w:rFonts w:ascii="Arial" w:cs="Arial" w:eastAsia="Arial" w:hAnsi="Arial"/>
          <w:sz w:val="16"/>
          <w:szCs w:val="16"/>
          <w:i w:val="1"/>
          <w:iCs w:val="1"/>
          <w:color w:val="auto"/>
        </w:rPr>
        <w:t>MCL1</w:t>
      </w:r>
      <w:r>
        <w:rPr>
          <w:rFonts w:ascii="Arial" w:cs="Arial" w:eastAsia="Arial" w:hAnsi="Arial"/>
          <w:sz w:val="16"/>
          <w:szCs w:val="16"/>
          <w:color w:val="auto"/>
        </w:rPr>
        <w:t xml:space="preserve"> is upregulated in response to BCL2 inhibition and has been implicated in mediating resistance to venetoclax, as well as to chemotherapeutic agents and other targeted therapies including TKIs. These studies have demonstrated the potentially broad clinical benefits of targeting cell survival through MCL1 inhibition in cancer.</w:t>
      </w:r>
    </w:p>
    <w:p>
      <w:pPr>
        <w:spacing w:after="0" w:line="161" w:lineRule="exact"/>
        <w:rPr>
          <w:sz w:val="20"/>
          <w:szCs w:val="20"/>
          <w:color w:val="auto"/>
        </w:rPr>
      </w:pPr>
    </w:p>
    <w:p>
      <w:pPr>
        <w:ind w:right="100" w:firstLine="513"/>
        <w:spacing w:after="0" w:line="293" w:lineRule="auto"/>
        <w:rPr>
          <w:sz w:val="20"/>
          <w:szCs w:val="20"/>
          <w:color w:val="auto"/>
        </w:rPr>
      </w:pPr>
      <w:r>
        <w:rPr>
          <w:rFonts w:ascii="Arial" w:cs="Arial" w:eastAsia="Arial" w:hAnsi="Arial"/>
          <w:sz w:val="16"/>
          <w:szCs w:val="16"/>
          <w:color w:val="auto"/>
        </w:rPr>
        <w:t xml:space="preserve">Small molecule MCL1 inhibitors have been shown to be remarkably efficacious as monotherapy in preclinical models of MM, AML and lymphoma. Treatment with these inhibitors leads to robust activation of apoptosis markers including cleaved caspase-3 and cleaved PARP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vitro</w:t>
      </w:r>
      <w:r>
        <w:rPr>
          <w:rFonts w:ascii="Arial" w:cs="Arial" w:eastAsia="Arial" w:hAnsi="Arial"/>
          <w:sz w:val="16"/>
          <w:szCs w:val="16"/>
          <w:color w:val="auto"/>
        </w:rPr>
        <w:t>. Objective clinical responses were demonstrated in a Phase 1 multiple myeloma clinical trial with AMG176, a third-party MCL1 inhibitor,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validation of the pathway. MCL1 inhibitors have also demonstrated potent synergistic activity in combination with approved standard of care therapies, including venetoclax, in preclinical models of AML. Although these inhibitors show limited efficacy as monotherapy in solid tumor models, combination with TKIs has resulted in potent anti-tumor effects in triple negative breast cancer, melanoma and non-small cell lung cancer.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 w:name="page13"/>
    <w:bookmarkEnd w:id="12"/>
    <w:p>
      <w:pPr>
        <w:ind w:right="120" w:firstLine="513"/>
        <w:spacing w:after="0" w:line="301" w:lineRule="auto"/>
        <w:rPr>
          <w:sz w:val="20"/>
          <w:szCs w:val="20"/>
          <w:color w:val="auto"/>
        </w:rPr>
      </w:pPr>
      <w:r>
        <w:rPr>
          <w:rFonts w:ascii="Arial" w:cs="Arial" w:eastAsia="Arial" w:hAnsi="Arial"/>
          <w:sz w:val="16"/>
          <w:szCs w:val="16"/>
          <w:color w:val="auto"/>
        </w:rPr>
        <w:t xml:space="preserve">Although the data on the importance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in driving tumor growth and survival are compelling, complete ablation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has been shown to result in cardiomyocyte apoptosis in mice. Mice with heterozygous deletion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resulting in a 50% reduction in MCL1 protein did not demonstrate cardiac abnormalities. These results suggest that an optimized profile for a pharmacological inhibitor of MCL1 should allow for maximal but limited duration of target engagement rather than prolonged coverage to maximize the therapeutic window of </w:t>
      </w:r>
      <w:r>
        <w:rPr>
          <w:rFonts w:ascii="Arial" w:cs="Arial" w:eastAsia="Arial" w:hAnsi="Arial"/>
          <w:sz w:val="16"/>
          <w:szCs w:val="16"/>
          <w:i w:val="1"/>
          <w:iCs w:val="1"/>
          <w:color w:val="auto"/>
        </w:rPr>
        <w:t>MCL1</w:t>
      </w:r>
      <w:r>
        <w:rPr>
          <w:rFonts w:ascii="Arial" w:cs="Arial" w:eastAsia="Arial" w:hAnsi="Arial"/>
          <w:sz w:val="16"/>
          <w:szCs w:val="16"/>
          <w:color w:val="auto"/>
        </w:rPr>
        <w:t xml:space="preserve"> inhibition in clinical development.</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Approach to Designing Optimized MCL1 Inhibitors</w:t>
      </w:r>
    </w:p>
    <w:p>
      <w:pPr>
        <w:spacing w:after="0" w:line="117" w:lineRule="exact"/>
        <w:rPr>
          <w:sz w:val="20"/>
          <w:szCs w:val="20"/>
          <w:color w:val="auto"/>
        </w:rPr>
      </w:pPr>
    </w:p>
    <w:p>
      <w:pPr>
        <w:ind w:right="80" w:firstLine="513"/>
        <w:spacing w:after="0" w:line="279" w:lineRule="auto"/>
        <w:rPr>
          <w:sz w:val="20"/>
          <w:szCs w:val="20"/>
          <w:color w:val="auto"/>
        </w:rPr>
      </w:pPr>
      <w:r>
        <w:rPr>
          <w:rFonts w:ascii="Arial" w:cs="Arial" w:eastAsia="Arial" w:hAnsi="Arial"/>
          <w:sz w:val="17"/>
          <w:szCs w:val="17"/>
          <w:color w:val="auto"/>
        </w:rPr>
        <w:t>We used structure-based design to identify PRT1419 as an inhibitor of human MCL1 that is designed to induce tumor cell death by apoptosis. It has been optimized to have high permeability and adequate solubility to provide suitable PK that allows for oral and IV dosing. We believe these features have the potential to maximize the therapeutic window and overcome some of the limitations of current MCL1 inhibitors, as well as provide the convenience and flexibility associated with oral dosing both as monotherapy and potentially in combination with other oral therapies.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PRT1419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Potency and Selectivity</w:t>
      </w:r>
    </w:p>
    <w:p>
      <w:pPr>
        <w:spacing w:after="0" w:line="117" w:lineRule="exact"/>
        <w:rPr>
          <w:sz w:val="20"/>
          <w:szCs w:val="20"/>
          <w:color w:val="auto"/>
        </w:rPr>
      </w:pPr>
    </w:p>
    <w:p>
      <w:pPr>
        <w:ind w:right="140" w:firstLine="513"/>
        <w:spacing w:after="0" w:line="259" w:lineRule="auto"/>
        <w:rPr>
          <w:sz w:val="20"/>
          <w:szCs w:val="20"/>
          <w:color w:val="auto"/>
        </w:rPr>
      </w:pPr>
      <w:r>
        <w:rPr>
          <w:rFonts w:ascii="Arial" w:cs="Arial" w:eastAsia="Arial" w:hAnsi="Arial"/>
          <w:sz w:val="18"/>
          <w:szCs w:val="18"/>
          <w:color w:val="auto"/>
        </w:rPr>
        <w:t xml:space="preserve">We investigated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of PRT1419 to inhibit the protein-protein interaction of human recombinant MCL1 with the pro-death protein, BIM, by measuring its IC50. In this assay, we observed the IC50 of PRT1419 to be 6.6 nM. We also investigated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selectivity of PRT1419 for MCL1 as compared to related family members, BCL-2 and BCLXL. We observed that PRT1419 showed &gt;200 times weaker inhibition of BCL-2 and BCLXL compared to MCL1.</w:t>
      </w:r>
    </w:p>
    <w:p>
      <w:pPr>
        <w:spacing w:after="0" w:line="187" w:lineRule="exact"/>
        <w:rPr>
          <w:sz w:val="20"/>
          <w:szCs w:val="20"/>
          <w:color w:val="auto"/>
        </w:rPr>
      </w:pPr>
    </w:p>
    <w:p>
      <w:pPr>
        <w:ind w:right="60" w:firstLine="513"/>
        <w:spacing w:after="0" w:line="275" w:lineRule="auto"/>
        <w:rPr>
          <w:sz w:val="20"/>
          <w:szCs w:val="20"/>
          <w:color w:val="auto"/>
        </w:rPr>
      </w:pPr>
      <w:r>
        <w:rPr>
          <w:rFonts w:ascii="Arial" w:cs="Arial" w:eastAsia="Arial" w:hAnsi="Arial"/>
          <w:sz w:val="17"/>
          <w:szCs w:val="17"/>
          <w:color w:val="auto"/>
        </w:rPr>
        <w:t>Tumor cells undergo apoptosis in response to MCL1 inhibition. Therefore, we investigated the potency of PRT1419 to inhibit the proliferation of cell lines representing both solid tumors and hematologic malignancies. Tumor cell lines were treated with various concentrations of PRT1419 and the number of viable cells was measured after two days in culture. We observed that cell lines representing multiple myeloma, lymphomas and leukemias were particularly sensitive to PRT1419 with IC50 values in the nanomolar range. The in vitro activity of PRT1419 was confirmed in vivo. Once weekly dosing of PRT1419 demonstrated robust efficacy in preclinical models of AML, DLBCL and multiple myeloma.</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Trial Update</w:t>
      </w:r>
    </w:p>
    <w:p>
      <w:pPr>
        <w:spacing w:after="0" w:line="117" w:lineRule="exact"/>
        <w:rPr>
          <w:sz w:val="20"/>
          <w:szCs w:val="20"/>
          <w:color w:val="auto"/>
        </w:rPr>
      </w:pPr>
    </w:p>
    <w:p>
      <w:pPr>
        <w:jc w:val="both"/>
        <w:ind w:right="100" w:firstLine="513"/>
        <w:spacing w:after="0" w:line="311" w:lineRule="auto"/>
        <w:rPr>
          <w:sz w:val="20"/>
          <w:szCs w:val="20"/>
          <w:color w:val="auto"/>
        </w:rPr>
      </w:pPr>
      <w:r>
        <w:rPr>
          <w:rFonts w:ascii="Arial" w:cs="Arial" w:eastAsia="Arial" w:hAnsi="Arial"/>
          <w:sz w:val="16"/>
          <w:szCs w:val="16"/>
          <w:color w:val="auto"/>
        </w:rPr>
        <w:t>Two dose escalation Phase I studies for our oral and IV formulation of PRT1419 are on-going in patients with hematologic malignancies, including patients with high risk myelodysplastic syndrome, or MDS, acute myeloid leukemia, or AML, non-Hodgkin’s lymphoma, or NHL, and multiple myeloma, or MM. A third dose escalation Phase I study for our IV formulation of PRT1419 is on-going for patients with unselected solid tumors.</w:t>
      </w:r>
    </w:p>
    <w:p>
      <w:pPr>
        <w:spacing w:after="0" w:line="149"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On March 9, 2022, we announced that based on the data to date, we intend to prioritize development of the IV formulation of PRT1419, which demonstrated a desirable pharmacokinetic, pharmacodynamic and safety profile with potential for differentiation from competitor compounds. We intend to initiate a combination trial with venetoclax by mid-year with the goal of establishing safety, clinical activity and a recommended Phase 2 dose in the second half of 2022.</w:t>
      </w:r>
    </w:p>
    <w:p>
      <w:pPr>
        <w:spacing w:after="0" w:line="291" w:lineRule="exact"/>
        <w:rPr>
          <w:sz w:val="20"/>
          <w:szCs w:val="20"/>
          <w:color w:val="auto"/>
        </w:rPr>
      </w:pPr>
    </w:p>
    <w:p>
      <w:pPr>
        <w:jc w:val="right"/>
        <w:ind w:right="10020"/>
        <w:spacing w:after="0"/>
        <w:rPr>
          <w:sz w:val="20"/>
          <w:szCs w:val="20"/>
          <w:color w:val="auto"/>
        </w:rPr>
      </w:pPr>
      <w:r>
        <w:rPr>
          <w:rFonts w:ascii="Arial" w:cs="Arial" w:eastAsia="Arial" w:hAnsi="Arial"/>
          <w:sz w:val="17"/>
          <w:szCs w:val="17"/>
          <w:b w:val="1"/>
          <w:bCs w:val="1"/>
          <w:color w:val="auto"/>
        </w:rPr>
        <w:t>CDK9 Program</w:t>
      </w:r>
    </w:p>
    <w:p>
      <w:pPr>
        <w:spacing w:after="0" w:line="160" w:lineRule="exact"/>
        <w:rPr>
          <w:sz w:val="20"/>
          <w:szCs w:val="20"/>
          <w:color w:val="auto"/>
        </w:rPr>
      </w:pPr>
    </w:p>
    <w:p>
      <w:pPr>
        <w:jc w:val="right"/>
        <w:ind w:right="10040"/>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120" w:firstLine="513"/>
        <w:spacing w:after="0" w:line="296" w:lineRule="auto"/>
        <w:rPr>
          <w:sz w:val="20"/>
          <w:szCs w:val="20"/>
          <w:color w:val="auto"/>
        </w:rPr>
      </w:pPr>
      <w:r>
        <w:rPr>
          <w:rFonts w:ascii="Arial" w:cs="Arial" w:eastAsia="Arial" w:hAnsi="Arial"/>
          <w:sz w:val="16"/>
          <w:szCs w:val="16"/>
          <w:color w:val="auto"/>
        </w:rPr>
        <w:t xml:space="preserve">CDK9 has emerged as an essential regulator of cancer-promoting transcriptional programs, including those driven by </w:t>
      </w:r>
      <w:r>
        <w:rPr>
          <w:rFonts w:ascii="Arial" w:cs="Arial" w:eastAsia="Arial" w:hAnsi="Arial"/>
          <w:sz w:val="16"/>
          <w:szCs w:val="16"/>
          <w:i w:val="1"/>
          <w:iCs w:val="1"/>
          <w:color w:val="auto"/>
        </w:rPr>
        <w:t>MCL1, MYC</w:t>
      </w:r>
      <w:r>
        <w:rPr>
          <w:rFonts w:ascii="Arial" w:cs="Arial" w:eastAsia="Arial" w:hAnsi="Arial"/>
          <w:sz w:val="16"/>
          <w:szCs w:val="16"/>
          <w:color w:val="auto"/>
        </w:rPr>
        <w:t xml:space="preserve"> and </w:t>
      </w:r>
      <w:r>
        <w:rPr>
          <w:rFonts w:ascii="Arial" w:cs="Arial" w:eastAsia="Arial" w:hAnsi="Arial"/>
          <w:sz w:val="16"/>
          <w:szCs w:val="16"/>
          <w:i w:val="1"/>
          <w:iCs w:val="1"/>
          <w:color w:val="auto"/>
        </w:rPr>
        <w:t>MYB</w:t>
      </w:r>
      <w:r>
        <w:rPr>
          <w:rFonts w:ascii="Arial" w:cs="Arial" w:eastAsia="Arial" w:hAnsi="Arial"/>
          <w:sz w:val="16"/>
          <w:szCs w:val="16"/>
          <w:color w:val="auto"/>
        </w:rPr>
        <w:t>. Inhibition of CDK9 is thus an attractive therapeutic approach to produce synthetic lethality in genomically selected cancers. We have applied our internal expertise to design PRT2527 as a potent inhibitor of CDK9 that exhibits high kinome selectivity, PK properties and solubility that we believe may broaden the therapeutic window of CDK9 inhibition. A phase 1 trial is underway evaluating escalating IV doses of PRT2527 as a monotherapy in patients with selected solid tumors, including sarcoma, prostate cancer, lung cancer, and other cancers with genomic alterations that lead to MYC dependence.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Background</w:t>
      </w:r>
    </w:p>
    <w:p>
      <w:pPr>
        <w:spacing w:after="0" w:line="144" w:lineRule="exact"/>
        <w:rPr>
          <w:sz w:val="20"/>
          <w:szCs w:val="20"/>
          <w:color w:val="auto"/>
        </w:rPr>
      </w:pPr>
    </w:p>
    <w:p>
      <w:pPr>
        <w:ind w:firstLine="512"/>
        <w:spacing w:after="0" w:line="275" w:lineRule="auto"/>
        <w:rPr>
          <w:sz w:val="20"/>
          <w:szCs w:val="20"/>
          <w:color w:val="auto"/>
        </w:rPr>
      </w:pPr>
      <w:r>
        <w:rPr>
          <w:rFonts w:ascii="Arial" w:cs="Arial" w:eastAsia="Arial" w:hAnsi="Arial"/>
          <w:sz w:val="17"/>
          <w:szCs w:val="17"/>
          <w:color w:val="auto"/>
        </w:rPr>
        <w:t>Cyclin dependent kinases, or CDKs, are a family of closely related serine/threonine kinases that have demonstrated activity in multiple cancers. The first inhibitors of two of the family members, CDK4 and CDK6, gained FDA approval for HR+ metastatic breast cancer in 2015 and are now broadly used. In contrast to CDK4 and CDK6, which regulate cell cycle progression and proliferation, it is now appreciated that other members of the CDK family play important roles in regulating transcription. CDK9 specifically phosphorylates RNA polymerase II to generate mature mRNA. Given its fundamental role in transcription, CDK9 has emerged as a central node in the transcriptional addiction of cancer.</w:t>
      </w:r>
    </w:p>
    <w:p>
      <w:pPr>
        <w:spacing w:after="0" w:line="203" w:lineRule="exact"/>
        <w:rPr>
          <w:sz w:val="20"/>
          <w:szCs w:val="20"/>
          <w:color w:val="auto"/>
        </w:rPr>
      </w:pPr>
    </w:p>
    <w:p>
      <w:pPr>
        <w:ind w:right="100" w:firstLine="512"/>
        <w:spacing w:after="0" w:line="255" w:lineRule="auto"/>
        <w:rPr>
          <w:sz w:val="20"/>
          <w:szCs w:val="20"/>
          <w:color w:val="auto"/>
        </w:rPr>
      </w:pPr>
      <w:r>
        <w:rPr>
          <w:rFonts w:ascii="Arial" w:cs="Arial" w:eastAsia="Arial" w:hAnsi="Arial"/>
          <w:sz w:val="18"/>
          <w:szCs w:val="18"/>
          <w:color w:val="auto"/>
        </w:rPr>
        <w:t xml:space="preserve">Importantly, inhibition of CDK9 in cancer has been shown to preferentially deplete short-lived transcripts including key anti-apoptotic genes such as </w:t>
      </w:r>
      <w:r>
        <w:rPr>
          <w:rFonts w:ascii="Arial" w:cs="Arial" w:eastAsia="Arial" w:hAnsi="Arial"/>
          <w:sz w:val="18"/>
          <w:szCs w:val="18"/>
          <w:i w:val="1"/>
          <w:iCs w:val="1"/>
          <w:color w:val="auto"/>
        </w:rPr>
        <w:t>MCL1</w:t>
      </w:r>
      <w:r>
        <w:rPr>
          <w:rFonts w:ascii="Arial" w:cs="Arial" w:eastAsia="Arial" w:hAnsi="Arial"/>
          <w:sz w:val="18"/>
          <w:szCs w:val="18"/>
          <w:color w:val="auto"/>
        </w:rPr>
        <w:t xml:space="preserve"> and oncogenic transcription factors such as </w:t>
      </w:r>
      <w:r>
        <w:rPr>
          <w:rFonts w:ascii="Arial" w:cs="Arial" w:eastAsia="Arial" w:hAnsi="Arial"/>
          <w:sz w:val="18"/>
          <w:szCs w:val="18"/>
          <w:i w:val="1"/>
          <w:iCs w:val="1"/>
          <w:color w:val="auto"/>
        </w:rPr>
        <w:t>MYC</w:t>
      </w:r>
      <w:r>
        <w:rPr>
          <w:rFonts w:ascii="Arial" w:cs="Arial" w:eastAsia="Arial" w:hAnsi="Arial"/>
          <w:sz w:val="18"/>
          <w:szCs w:val="18"/>
          <w:color w:val="auto"/>
        </w:rPr>
        <w:t xml:space="preserve"> and </w:t>
      </w:r>
      <w:r>
        <w:rPr>
          <w:rFonts w:ascii="Arial" w:cs="Arial" w:eastAsia="Arial" w:hAnsi="Arial"/>
          <w:sz w:val="18"/>
          <w:szCs w:val="18"/>
          <w:i w:val="1"/>
          <w:iCs w:val="1"/>
          <w:color w:val="auto"/>
        </w:rPr>
        <w:t>MYB</w:t>
      </w:r>
      <w:r>
        <w:rPr>
          <w:rFonts w:ascii="Arial" w:cs="Arial" w:eastAsia="Arial" w:hAnsi="Arial"/>
          <w:sz w:val="18"/>
          <w:szCs w:val="18"/>
          <w:color w:val="auto"/>
        </w:rPr>
        <w:t xml:space="preserve">. Preclinical evidence demonstrates that CDK9 inhibition represses </w:t>
      </w:r>
      <w:r>
        <w:rPr>
          <w:rFonts w:ascii="Arial" w:cs="Arial" w:eastAsia="Arial" w:hAnsi="Arial"/>
          <w:sz w:val="18"/>
          <w:szCs w:val="18"/>
          <w:i w:val="1"/>
          <w:iCs w:val="1"/>
          <w:color w:val="auto"/>
        </w:rPr>
        <w:t>MCL1</w:t>
      </w:r>
      <w:r>
        <w:rPr>
          <w:rFonts w:ascii="Arial" w:cs="Arial" w:eastAsia="Arial" w:hAnsi="Arial"/>
          <w:sz w:val="18"/>
          <w:szCs w:val="18"/>
          <w:color w:val="auto"/>
        </w:rPr>
        <w:t xml:space="preserve"> and thereby overcomes resistance to the BCL2 inhibitor venetoclax. Additionally, preclinical studies suggest that CDK9 inhibition perturbs </w:t>
      </w:r>
      <w:r>
        <w:rPr>
          <w:rFonts w:ascii="Arial" w:cs="Arial" w:eastAsia="Arial" w:hAnsi="Arial"/>
          <w:sz w:val="18"/>
          <w:szCs w:val="18"/>
          <w:i w:val="1"/>
          <w:iCs w:val="1"/>
          <w:color w:val="auto"/>
        </w:rPr>
        <w:t>MYC</w:t>
      </w:r>
      <w:r>
        <w:rPr>
          <w:rFonts w:ascii="Arial" w:cs="Arial" w:eastAsia="Arial" w:hAnsi="Arial"/>
          <w:sz w:val="18"/>
          <w:szCs w:val="18"/>
          <w:color w:val="auto"/>
        </w:rPr>
        <w:t xml:space="preserve">- mediated signaling and produces synthetic lethality in nuclear protein of the testis midline carcinoma, hepatocellular carcinoma and additional solid tumors. Our patient selection strategy in clinical trials would strive to exploit these synthetic lethality relationships by identifying cancers with molecular evidence of </w:t>
      </w:r>
      <w:r>
        <w:rPr>
          <w:rFonts w:ascii="Arial" w:cs="Arial" w:eastAsia="Arial" w:hAnsi="Arial"/>
          <w:sz w:val="18"/>
          <w:szCs w:val="18"/>
          <w:i w:val="1"/>
          <w:iCs w:val="1"/>
          <w:color w:val="auto"/>
        </w:rPr>
        <w:t xml:space="preserve">MCL1 </w:t>
      </w:r>
      <w:r>
        <w:rPr>
          <w:rFonts w:ascii="Arial" w:cs="Arial" w:eastAsia="Arial" w:hAnsi="Arial"/>
          <w:sz w:val="18"/>
          <w:szCs w:val="18"/>
          <w:color w:val="auto"/>
        </w:rPr>
        <w:t>and/or</w:t>
      </w:r>
      <w:r>
        <w:rPr>
          <w:rFonts w:ascii="Arial" w:cs="Arial" w:eastAsia="Arial" w:hAnsi="Arial"/>
          <w:sz w:val="18"/>
          <w:szCs w:val="18"/>
          <w:i w:val="1"/>
          <w:iCs w:val="1"/>
          <w:color w:val="auto"/>
        </w:rPr>
        <w:t xml:space="preserve"> MYC </w:t>
      </w:r>
      <w:r>
        <w:rPr>
          <w:rFonts w:ascii="Arial" w:cs="Arial" w:eastAsia="Arial" w:hAnsi="Arial"/>
          <w:sz w:val="18"/>
          <w:szCs w:val="18"/>
          <w:color w:val="auto"/>
        </w:rPr>
        <w:t>dysregulation.</w:t>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CDK9 Inhibitor: PRT2527</w:t>
      </w:r>
    </w:p>
    <w:p>
      <w:pPr>
        <w:spacing w:after="0" w:line="144" w:lineRule="exact"/>
        <w:rPr>
          <w:sz w:val="20"/>
          <w:szCs w:val="20"/>
          <w:color w:val="auto"/>
        </w:rPr>
      </w:pPr>
    </w:p>
    <w:p>
      <w:pPr>
        <w:ind w:right="20" w:firstLine="512"/>
        <w:spacing w:after="0" w:line="257" w:lineRule="auto"/>
        <w:rPr>
          <w:sz w:val="20"/>
          <w:szCs w:val="20"/>
          <w:color w:val="auto"/>
        </w:rPr>
      </w:pPr>
      <w:r>
        <w:rPr>
          <w:rFonts w:ascii="Arial" w:cs="Arial" w:eastAsia="Arial" w:hAnsi="Arial"/>
          <w:sz w:val="18"/>
          <w:szCs w:val="18"/>
          <w:color w:val="auto"/>
        </w:rPr>
        <w:t>Although various non-selective CDK9 inhibitors have progressed through clinical development, they have been significantly limited by narrow therapeutic windows due to adverse effects, including bone marrow suppression, nausea and GI effects. We have utilized structure-based design to identify a novel, structurally differentiated series of CDK9 inhibitors. Iterative synthesis and testing of over 600 compounds allowed the identification of PRT2527, which has improved potency and kinase selectivity compared to AZ4573, the most advanced CDK9-selective inhibitor currently in development. The PK and physical properties of PRT2527 are suitable for IV or SC dosing.</w:t>
      </w:r>
    </w:p>
    <w:p>
      <w:pPr>
        <w:spacing w:after="0" w:line="215" w:lineRule="exact"/>
        <w:rPr>
          <w:sz w:val="20"/>
          <w:szCs w:val="20"/>
          <w:color w:val="auto"/>
        </w:rPr>
      </w:pPr>
    </w:p>
    <w:p>
      <w:pPr>
        <w:ind w:firstLine="512"/>
        <w:spacing w:after="0" w:line="259" w:lineRule="auto"/>
        <w:rPr>
          <w:sz w:val="20"/>
          <w:szCs w:val="20"/>
          <w:color w:val="auto"/>
        </w:rPr>
      </w:pPr>
      <w:r>
        <w:rPr>
          <w:rFonts w:ascii="Arial" w:cs="Arial" w:eastAsia="Arial" w:hAnsi="Arial"/>
          <w:sz w:val="18"/>
          <w:szCs w:val="18"/>
          <w:color w:val="auto"/>
        </w:rPr>
        <w:t xml:space="preserve">In preclinical models, PRT2527 reduced MCL1 and MYC protein levels and was highly active in the </w:t>
      </w:r>
      <w:r>
        <w:rPr>
          <w:rFonts w:ascii="Arial" w:cs="Arial" w:eastAsia="Arial" w:hAnsi="Arial"/>
          <w:sz w:val="18"/>
          <w:szCs w:val="18"/>
          <w:i w:val="1"/>
          <w:iCs w:val="1"/>
          <w:color w:val="auto"/>
        </w:rPr>
        <w:t>MYC</w:t>
      </w:r>
      <w:r>
        <w:rPr>
          <w:rFonts w:ascii="Arial" w:cs="Arial" w:eastAsia="Arial" w:hAnsi="Arial"/>
          <w:sz w:val="18"/>
          <w:szCs w:val="18"/>
          <w:color w:val="auto"/>
        </w:rPr>
        <w:t>- amplified MV4-11 xenograft model at well-tolerated doses. Upon evaluation of additional models, PRT2527 treatment demonstrated robust efficacy in both hematological malignancies and solid tumor models with MYC dysregulation. Our preclinical studies suggest that PRT2527 demonstrates high selectivity and high potency, providing opportunity for a wider therapeutic index compared to less selective CDK9 inhibitors.</w:t>
      </w:r>
    </w:p>
    <w:p>
      <w:pPr>
        <w:spacing w:after="0" w:line="187" w:lineRule="exact"/>
        <w:rPr>
          <w:sz w:val="20"/>
          <w:szCs w:val="20"/>
          <w:color w:val="auto"/>
        </w:rPr>
      </w:pPr>
    </w:p>
    <w:p>
      <w:pPr>
        <w:ind w:right="80" w:firstLine="513"/>
        <w:spacing w:after="0" w:line="277" w:lineRule="auto"/>
        <w:rPr>
          <w:sz w:val="20"/>
          <w:szCs w:val="20"/>
          <w:color w:val="auto"/>
        </w:rPr>
      </w:pPr>
      <w:r>
        <w:rPr>
          <w:rFonts w:ascii="Arial" w:cs="Arial" w:eastAsia="Arial" w:hAnsi="Arial"/>
          <w:sz w:val="18"/>
          <w:szCs w:val="18"/>
          <w:color w:val="auto"/>
        </w:rPr>
        <w:t>We intend to complete enrollment in the Phase 1 dose escalation study of PRT2527 with the goal of identifying a recommended Phase 2 dose in the second half of 2022.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CDK4/6 Program</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Background</w:t>
      </w:r>
    </w:p>
    <w:p>
      <w:pPr>
        <w:spacing w:after="0" w:line="23" w:lineRule="exact"/>
        <w:rPr>
          <w:sz w:val="20"/>
          <w:szCs w:val="20"/>
          <w:color w:val="auto"/>
        </w:rPr>
      </w:pPr>
    </w:p>
    <w:p>
      <w:pPr>
        <w:ind w:right="100" w:firstLine="512"/>
        <w:spacing w:after="0" w:line="253" w:lineRule="auto"/>
        <w:rPr>
          <w:sz w:val="20"/>
          <w:szCs w:val="20"/>
          <w:color w:val="auto"/>
        </w:rPr>
      </w:pPr>
      <w:r>
        <w:rPr>
          <w:rFonts w:ascii="Arial" w:cs="Arial" w:eastAsia="Arial" w:hAnsi="Arial"/>
          <w:sz w:val="18"/>
          <w:szCs w:val="18"/>
          <w:color w:val="auto"/>
        </w:rPr>
        <w:t>Among the CDK subfamily of kinases, CDK4 and CDK6 are the master regulators that control entry of cells into cell cycle. Given the central roles that CDK4 and CDK6 play in cell cycle regulation, dysregulation of the CDK4/CDK6 pathway has been frequently observed in cancer and CDK4/CDK6 have been intensively investigated as potential therapeutic targets for cancer treatment. The approval of three CDK4/CDK6 selective inhibitors in combination with endocrine therapies, to treat hormone receptor (HR) positive and human epidermal growth factor receptor 2 (HER2) negative metastatic breast cancer has further validated this hypothesis.</w:t>
      </w:r>
    </w:p>
    <w:p>
      <w:pPr>
        <w:spacing w:after="0" w:line="191" w:lineRule="exact"/>
        <w:rPr>
          <w:sz w:val="20"/>
          <w:szCs w:val="20"/>
          <w:color w:val="auto"/>
        </w:rPr>
      </w:pPr>
    </w:p>
    <w:p>
      <w:pPr>
        <w:ind w:right="20" w:firstLine="512"/>
        <w:spacing w:after="0" w:line="272" w:lineRule="auto"/>
        <w:rPr>
          <w:sz w:val="20"/>
          <w:szCs w:val="20"/>
          <w:color w:val="auto"/>
        </w:rPr>
      </w:pPr>
      <w:r>
        <w:rPr>
          <w:rFonts w:ascii="Arial" w:cs="Arial" w:eastAsia="Arial" w:hAnsi="Arial"/>
          <w:sz w:val="17"/>
          <w:szCs w:val="17"/>
          <w:color w:val="auto"/>
        </w:rPr>
        <w:t>Despite the success of CDK4/CDK6 inhibitors for the treatment of ER+ metastatic breast cancer, central nervous system (CNS) diseases such as glioblastoma (GBM) and brain metastases are challenging malignancies with urgent unmet needs. Large scale genomic studies revealed that the CDK4/CDK6 pathway is disrupted in the majority of gliomas, suggesting CDK4/CDK6 may be good targets for GBM. In addition, brain metastases may arise in an estimated 20% of all cancer patients but still lacks effective therapies. Genomic studies also identified the CDK4/6 pathway as one of three most altered and actionable genetic alternations in brain metastasis. However, despite positive preclinical data supporting targeting CDK4/CDK6 to treat CNS cancers, clinical development of CDK4/CDK6 inhibitors for GBM or brain metastases has not been successful, likely due to the inability of current inhibitors to penetrate the blood-brain barrier (BBB) and achieve effective concentrations in the brain.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color w:val="auto"/>
        </w:rPr>
        <w:t>Our CDK4/6 Inhibitor: PRT3645</w:t>
      </w:r>
    </w:p>
    <w:p>
      <w:pPr>
        <w:spacing w:after="0" w:line="117" w:lineRule="exact"/>
        <w:rPr>
          <w:sz w:val="20"/>
          <w:szCs w:val="20"/>
          <w:color w:val="auto"/>
        </w:rPr>
      </w:pPr>
    </w:p>
    <w:p>
      <w:pPr>
        <w:ind w:firstLine="513"/>
        <w:spacing w:after="0" w:line="285" w:lineRule="auto"/>
        <w:rPr>
          <w:sz w:val="20"/>
          <w:szCs w:val="20"/>
          <w:color w:val="auto"/>
        </w:rPr>
      </w:pPr>
      <w:r>
        <w:rPr>
          <w:rFonts w:ascii="Arial" w:cs="Arial" w:eastAsia="Arial" w:hAnsi="Arial"/>
          <w:sz w:val="16"/>
          <w:szCs w:val="16"/>
          <w:color w:val="auto"/>
        </w:rPr>
        <w:t>Structure based design and iterative compound synthesis and testing led to the identification of PRT3645, a highly brain penetrant molecule that potently and selectively targets CDK4/6. In cellular assays, PRT3645 inhibits phosphorylation of RB, a substrate of CDK4/CDK6, with low nanomolar activity. Consistent with this, PRT3645 treatment results in concentration-dependent inhibition of cell proliferation in glioblastoma (GBM) cell lines and in ER+/HER2- and HER2+ breast cancer lines. In vivo, orally administered PRT3645 was well tolerated and highly efficacious in a dose-dependent manner in orthotopic human breast cancer brain metastasis and GBM models. In a head to head comparison, PRT3645 demonstrated a brain:plasma ratio that</w:t>
      </w:r>
    </w:p>
    <w:p>
      <w:pPr>
        <w:spacing w:after="0" w:line="2"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was ~100x higher than approved CDK4/6 inhibitors. We plan to complete IND-enabling studies, file an IND and initiate a Phase 1 clinical trial in the second half of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SMARCA2 (BRM) targeted degrader program</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Background</w:t>
      </w:r>
    </w:p>
    <w:p>
      <w:pPr>
        <w:spacing w:after="0" w:line="144" w:lineRule="exact"/>
        <w:rPr>
          <w:sz w:val="20"/>
          <w:szCs w:val="20"/>
          <w:color w:val="auto"/>
        </w:rPr>
      </w:pPr>
    </w:p>
    <w:p>
      <w:pPr>
        <w:ind w:right="200" w:firstLine="513"/>
        <w:spacing w:after="0" w:line="273" w:lineRule="auto"/>
        <w:rPr>
          <w:sz w:val="20"/>
          <w:szCs w:val="20"/>
          <w:color w:val="auto"/>
        </w:rPr>
      </w:pPr>
      <w:r>
        <w:rPr>
          <w:rFonts w:ascii="Arial" w:cs="Arial" w:eastAsia="Arial" w:hAnsi="Arial"/>
          <w:sz w:val="17"/>
          <w:szCs w:val="17"/>
          <w:color w:val="auto"/>
        </w:rPr>
        <w:t xml:space="preserve">SMARCA2 (also known as BRM) and its related family member, SMARCA4 (also known as BRG1), are the enzymatic subunits of the SWI/SNF complex that regulates gene expression by allowing the DNA to be accessible for transcription to mature RNA, a process known as chromatin remodeling. </w:t>
      </w:r>
      <w:r>
        <w:rPr>
          <w:rFonts w:ascii="Arial" w:cs="Arial" w:eastAsia="Arial" w:hAnsi="Arial"/>
          <w:sz w:val="17"/>
          <w:szCs w:val="17"/>
          <w:i w:val="1"/>
          <w:iCs w:val="1"/>
          <w:color w:val="auto"/>
        </w:rPr>
        <w:t>SMARCA4</w:t>
      </w:r>
      <w:r>
        <w:rPr>
          <w:rFonts w:ascii="Arial" w:cs="Arial" w:eastAsia="Arial" w:hAnsi="Arial"/>
          <w:sz w:val="17"/>
          <w:szCs w:val="17"/>
          <w:color w:val="auto"/>
        </w:rPr>
        <w:t xml:space="preserve"> is mutated in multiple cancers, including 10-12% of NSCLC, resulting in loss of SMARCA4 protein. Because the activity of either SMARCA2 or SMARCA4 is required for chromatin remodeling to occur, the </w:t>
      </w:r>
      <w:r>
        <w:rPr>
          <w:rFonts w:ascii="Arial" w:cs="Arial" w:eastAsia="Arial" w:hAnsi="Arial"/>
          <w:sz w:val="17"/>
          <w:szCs w:val="17"/>
          <w:i w:val="1"/>
          <w:iCs w:val="1"/>
          <w:color w:val="auto"/>
        </w:rPr>
        <w:t>SMARCA4</w:t>
      </w:r>
      <w:r>
        <w:rPr>
          <w:rFonts w:ascii="Arial" w:cs="Arial" w:eastAsia="Arial" w:hAnsi="Arial"/>
          <w:sz w:val="17"/>
          <w:szCs w:val="17"/>
          <w:color w:val="auto"/>
        </w:rPr>
        <w:t xml:space="preserve">-deficient cancer cells become highly dependent on SMARCA2 for their survival. Therefore, we believe targeting SMARCA2 in </w:t>
      </w:r>
      <w:r>
        <w:rPr>
          <w:rFonts w:ascii="Arial" w:cs="Arial" w:eastAsia="Arial" w:hAnsi="Arial"/>
          <w:sz w:val="17"/>
          <w:szCs w:val="17"/>
          <w:i w:val="1"/>
          <w:iCs w:val="1"/>
          <w:color w:val="auto"/>
        </w:rPr>
        <w:t>SMARCA4</w:t>
      </w:r>
      <w:r>
        <w:rPr>
          <w:rFonts w:ascii="Arial" w:cs="Arial" w:eastAsia="Arial" w:hAnsi="Arial"/>
          <w:sz w:val="17"/>
          <w:szCs w:val="17"/>
          <w:color w:val="auto"/>
        </w:rPr>
        <w:t xml:space="preserve">-deficient cancers will produce a strong synthetic lethality, resulting in </w:t>
      </w:r>
      <w:r>
        <w:rPr>
          <w:rFonts w:ascii="Arial" w:cs="Arial" w:eastAsia="Arial" w:hAnsi="Arial"/>
          <w:sz w:val="17"/>
          <w:szCs w:val="17"/>
          <w:i w:val="1"/>
          <w:iCs w:val="1"/>
          <w:color w:val="auto"/>
        </w:rPr>
        <w:t>SMARCA4</w:t>
      </w:r>
      <w:r>
        <w:rPr>
          <w:rFonts w:ascii="Arial" w:cs="Arial" w:eastAsia="Arial" w:hAnsi="Arial"/>
          <w:sz w:val="17"/>
          <w:szCs w:val="17"/>
          <w:color w:val="auto"/>
        </w:rPr>
        <w:t xml:space="preserve"> mutant tumor cell death while sparing normal cells that express SMARCA4 protein.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SMARCA2 Degrader Program</w:t>
      </w:r>
    </w:p>
    <w:p>
      <w:pPr>
        <w:spacing w:after="0" w:line="144" w:lineRule="exact"/>
        <w:rPr>
          <w:sz w:val="20"/>
          <w:szCs w:val="20"/>
          <w:color w:val="auto"/>
        </w:rPr>
      </w:pPr>
    </w:p>
    <w:p>
      <w:pPr>
        <w:ind w:right="20" w:firstLine="512"/>
        <w:spacing w:after="0" w:line="291" w:lineRule="auto"/>
        <w:rPr>
          <w:sz w:val="20"/>
          <w:szCs w:val="20"/>
          <w:color w:val="auto"/>
        </w:rPr>
      </w:pPr>
      <w:r>
        <w:rPr>
          <w:rFonts w:ascii="Arial" w:cs="Arial" w:eastAsia="Arial" w:hAnsi="Arial"/>
          <w:sz w:val="16"/>
          <w:szCs w:val="16"/>
          <w:color w:val="auto"/>
        </w:rPr>
        <w:t>Due to the high homology between SMARCA2 and SMARCA4, there are few structural differences in the binding sites between the two proteins and thus selective SMARCA2 degradation has been a challenge for medicinal chemistry. Targeted protein degradation is a relatively new approach to degrade oncogenic proteins and has been shown to provide selective degradation of highly homologous proteins. A molecule capable of targeting a protein for degradation (degrader) typically contains a binding element to a targeted protein of interest (SMARCA2), a chemical linker and an E3 ligase binding element which allows for the formation of a ternary complex between the target, the degrader and the E3 ligase that induces ubiquitination and subsequent degradation of the targeted protein. Selectivity can be achieved, not only by the selective binding to the target (SMARCA2), but also through the optimization of the unique ternary complexes formed by the target (SMARCA2) versus its homologous protein (SMARCA4).</w:t>
      </w:r>
    </w:p>
    <w:p>
      <w:pPr>
        <w:spacing w:after="0" w:line="193" w:lineRule="exact"/>
        <w:rPr>
          <w:sz w:val="20"/>
          <w:szCs w:val="20"/>
          <w:color w:val="auto"/>
        </w:rPr>
      </w:pPr>
    </w:p>
    <w:p>
      <w:pPr>
        <w:ind w:right="40" w:firstLine="512"/>
        <w:spacing w:after="0" w:line="272" w:lineRule="auto"/>
        <w:rPr>
          <w:sz w:val="20"/>
          <w:szCs w:val="20"/>
          <w:color w:val="auto"/>
        </w:rPr>
      </w:pPr>
      <w:r>
        <w:rPr>
          <w:rFonts w:ascii="Arial" w:cs="Arial" w:eastAsia="Arial" w:hAnsi="Arial"/>
          <w:sz w:val="17"/>
          <w:szCs w:val="17"/>
          <w:color w:val="auto"/>
        </w:rPr>
        <w:t xml:space="preserve">We used structure-based drug design to identify a novel series of potent SMARCA2 degraders that are outside the typical drug-like chemical space, being significantly larger and structurally more complex. Extensive structure activity relationships generated by the iterative synthesis and testing of &gt;700 compounds as of the date of this Annual Report on Form 10-K has allowed the identification of specific structural motifs that provide &gt;20-fold selectivity for SMARCA2 degradation over SMARCA4 while maintaining potent SMARCA2 degradation, DC50 &lt; 10 nM. DC50 is a quantitative measure of how much of a compound is needed to inhibit the degradation of a protein by 50%. We have designed our SMARCA2 degraders to be potent and selective to specifically inhibit </w:t>
      </w:r>
      <w:r>
        <w:rPr>
          <w:rFonts w:ascii="Arial" w:cs="Arial" w:eastAsia="Arial" w:hAnsi="Arial"/>
          <w:sz w:val="17"/>
          <w:szCs w:val="17"/>
          <w:i w:val="1"/>
          <w:iCs w:val="1"/>
          <w:color w:val="auto"/>
        </w:rPr>
        <w:t>SMARCA4-</w:t>
      </w:r>
      <w:r>
        <w:rPr>
          <w:rFonts w:ascii="Arial" w:cs="Arial" w:eastAsia="Arial" w:hAnsi="Arial"/>
          <w:sz w:val="17"/>
          <w:szCs w:val="17"/>
          <w:color w:val="auto"/>
        </w:rPr>
        <w:t xml:space="preserve"> deficient human NSCLC cell lines and primary patient derived samples. We are currently profiling our lead compound, PRT-SCA2, and plan to submit an IND application by year-end 2022.</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right="100" w:firstLine="512"/>
        <w:spacing w:after="0" w:line="263" w:lineRule="auto"/>
        <w:rPr>
          <w:sz w:val="20"/>
          <w:szCs w:val="20"/>
          <w:color w:val="auto"/>
        </w:rPr>
      </w:pPr>
      <w:r>
        <w:rPr>
          <w:rFonts w:ascii="Arial" w:cs="Arial" w:eastAsia="Arial" w:hAnsi="Arial"/>
          <w:sz w:val="18"/>
          <w:szCs w:val="18"/>
          <w:color w:val="auto"/>
        </w:rPr>
        <w:t>We strive to protect the proprietary technologies that we believe are important to our business, including seeking and maintaining patent protection intended to cover the compositions of matter of our product candidates, their methods of use, related technology, and other inventions that are important to our business.</w:t>
      </w:r>
    </w:p>
    <w:p>
      <w:pPr>
        <w:spacing w:after="0" w:line="184" w:lineRule="exact"/>
        <w:rPr>
          <w:sz w:val="20"/>
          <w:szCs w:val="20"/>
          <w:color w:val="auto"/>
        </w:rPr>
      </w:pPr>
    </w:p>
    <w:p>
      <w:pPr>
        <w:ind w:right="100" w:firstLine="512"/>
        <w:spacing w:after="0" w:line="263" w:lineRule="auto"/>
        <w:rPr>
          <w:sz w:val="20"/>
          <w:szCs w:val="20"/>
          <w:color w:val="auto"/>
        </w:rPr>
      </w:pPr>
      <w:r>
        <w:rPr>
          <w:rFonts w:ascii="Arial" w:cs="Arial" w:eastAsia="Arial" w:hAnsi="Arial"/>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valid and enforceable patents and other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80"/>
        <w:spacing w:after="0" w:line="277" w:lineRule="auto"/>
        <w:rPr>
          <w:sz w:val="20"/>
          <w:szCs w:val="20"/>
          <w:color w:val="auto"/>
        </w:rPr>
      </w:pPr>
      <w:r>
        <w:rPr>
          <w:rFonts w:ascii="Arial" w:cs="Arial" w:eastAsia="Arial" w:hAnsi="Arial"/>
          <w:sz w:val="18"/>
          <w:szCs w:val="18"/>
          <w:color w:val="auto"/>
        </w:rPr>
        <w:t>proprietary rights of third parties. We also rely on know-how and continuing technological innovation to develop, strengthen, and maintain our proprietary position in the field of precision oncology.</w:t>
      </w:r>
    </w:p>
    <w:p>
      <w:pPr>
        <w:spacing w:after="0" w:line="170" w:lineRule="exact"/>
        <w:rPr>
          <w:sz w:val="20"/>
          <w:szCs w:val="20"/>
          <w:color w:val="auto"/>
        </w:rPr>
      </w:pPr>
    </w:p>
    <w:p>
      <w:pPr>
        <w:ind w:right="220" w:firstLine="513"/>
        <w:spacing w:after="0" w:line="263" w:lineRule="auto"/>
        <w:rPr>
          <w:sz w:val="20"/>
          <w:szCs w:val="20"/>
          <w:color w:val="auto"/>
        </w:rPr>
      </w:pPr>
      <w:r>
        <w:rPr>
          <w:rFonts w:ascii="Arial" w:cs="Arial" w:eastAsia="Arial" w:hAnsi="Arial"/>
          <w:sz w:val="18"/>
          <w:szCs w:val="18"/>
          <w:color w:val="auto"/>
        </w:rPr>
        <w:t>As more fully described below, our patent portfolio includes, inter alia, patent families with claims directed to compositions of matter for, and methods of using, compounds PRT543, PRT811 PRT1419, PRT2527, PRT3645, and compounds that degrade SMARCA2. The patent portfolio currently comprises of 146 patents and patent applications:</w:t>
      </w:r>
    </w:p>
    <w:p>
      <w:pPr>
        <w:spacing w:after="0" w:line="76" w:lineRule="exact"/>
        <w:rPr>
          <w:sz w:val="20"/>
          <w:szCs w:val="20"/>
          <w:color w:val="auto"/>
        </w:rPr>
      </w:pPr>
    </w:p>
    <w:p>
      <w:pPr>
        <w:ind w:left="920" w:hanging="39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8 issued U.S. patents, (ii) 16 U.S. non-provisional patent applications, and (iii) 23 U.S. provisional patent applications; and</w:t>
      </w:r>
    </w:p>
    <w:p>
      <w:pPr>
        <w:spacing w:after="0" w:line="23" w:lineRule="exact"/>
        <w:rPr>
          <w:rFonts w:ascii="Arial" w:cs="Arial" w:eastAsia="Arial" w:hAnsi="Arial"/>
          <w:sz w:val="18"/>
          <w:szCs w:val="18"/>
          <w:color w:val="auto"/>
        </w:rPr>
      </w:pPr>
    </w:p>
    <w:p>
      <w:pPr>
        <w:ind w:left="920" w:right="580" w:hanging="399"/>
        <w:spacing w:after="0" w:line="260"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(iv) 13 PCT patent applications, (v) 20 issued foreign patents including patents in the European jurisdictions, and (vi) 66 foreign patent applications.</w:t>
      </w:r>
    </w:p>
    <w:p>
      <w:pPr>
        <w:spacing w:after="0" w:line="77" w:lineRule="exact"/>
        <w:rPr>
          <w:sz w:val="20"/>
          <w:szCs w:val="20"/>
          <w:color w:val="auto"/>
        </w:rPr>
      </w:pPr>
    </w:p>
    <w:p>
      <w:pPr>
        <w:ind w:right="20" w:firstLine="513"/>
        <w:spacing w:after="0" w:line="301" w:lineRule="auto"/>
        <w:rPr>
          <w:sz w:val="20"/>
          <w:szCs w:val="20"/>
          <w:color w:val="auto"/>
        </w:rPr>
      </w:pPr>
      <w:r>
        <w:rPr>
          <w:rFonts w:ascii="Arial" w:cs="Arial" w:eastAsia="Arial" w:hAnsi="Arial"/>
          <w:sz w:val="16"/>
          <w:szCs w:val="16"/>
          <w:color w:val="auto"/>
        </w:rPr>
        <w:t>As of the present filing, a total of eight U.S. patents have been issued, which are wholly owned by us. Specifically, a total of three U.S. patent directed to PRT543 have issued and are expected to expire no earlier than August 9, 2038. Similarly, three U.S. patents directed to PRT811 have issued and are expected to expire no earlier than March 14, 2039. Also, one U.S. patent directed to the PRMT5 program has issued and is expected expire no earlier than August 16, 2039. In addition, one U.S. patent directed to PRT1419 has issued and is expected to expire no earlier than November 08, 2039.</w:t>
      </w:r>
    </w:p>
    <w:p>
      <w:pPr>
        <w:spacing w:after="0" w:line="265" w:lineRule="exact"/>
        <w:rPr>
          <w:sz w:val="20"/>
          <w:szCs w:val="20"/>
          <w:color w:val="auto"/>
        </w:rPr>
      </w:pPr>
    </w:p>
    <w:p>
      <w:pPr>
        <w:ind w:right="60" w:firstLine="512"/>
        <w:spacing w:after="0" w:line="293" w:lineRule="auto"/>
        <w:rPr>
          <w:sz w:val="20"/>
          <w:szCs w:val="20"/>
          <w:color w:val="auto"/>
        </w:rPr>
      </w:pPr>
      <w:r>
        <w:rPr>
          <w:rFonts w:ascii="Arial" w:cs="Arial" w:eastAsia="Arial" w:hAnsi="Arial"/>
          <w:sz w:val="16"/>
          <w:szCs w:val="16"/>
          <w:color w:val="auto"/>
        </w:rPr>
        <w:t>In addition to our filings in the United States, we own patent applications that are pending in Australia, Brazil, Canada, China, Eurasia, Europe, Hong Kong, India, Israel, Japan, Mexico, New Zealand, South Africa, South Korea, and Ukraine. Included in these applications are claims directed to the PRT543, PRT811, and PRT1419 composition and methods of using the same therapeutically. For the PRT543 compound, the patents from these applications, if issued, are expected to expire in August 2038, subject to any disclaimers or extensions. For the PRT811 compound, the patents from these applications, if issued, are expected to expire in March 2039, subject to any disclaimers or extensions. For the PRT1419 compound, the patents from these applications, if issued, are expected to expire in November 2039, subject to any disclaimers or extensions.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patent portfolios for our most advanced programs are summarized below.</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PRT543</w:t>
      </w:r>
    </w:p>
    <w:p>
      <w:pPr>
        <w:spacing w:after="0" w:line="144" w:lineRule="exact"/>
        <w:rPr>
          <w:sz w:val="20"/>
          <w:szCs w:val="20"/>
          <w:color w:val="auto"/>
        </w:rPr>
      </w:pPr>
    </w:p>
    <w:p>
      <w:pPr>
        <w:ind w:firstLine="512"/>
        <w:spacing w:after="0" w:line="254" w:lineRule="auto"/>
        <w:rPr>
          <w:sz w:val="20"/>
          <w:szCs w:val="20"/>
          <w:color w:val="auto"/>
        </w:rPr>
      </w:pPr>
      <w:r>
        <w:rPr>
          <w:rFonts w:ascii="Arial" w:cs="Arial" w:eastAsia="Arial" w:hAnsi="Arial"/>
          <w:sz w:val="18"/>
          <w:szCs w:val="18"/>
          <w:color w:val="auto"/>
        </w:rPr>
        <w:t>Our PRT543 patent portfolio is wholly owned by us. The portfolio includes three issued U.S. patents, which claim, among other things, PRT543, pharmaceutical compositions comprising PRT543, methods of inhibiting PRMT5 using PRT543, and methods of treating certain cancers, including breast and ovarian cancers, using PRT543. These U.S. patents are expected to expire no earlier than August 9, 2038, subject to any disclaimers or extensions available, including under the Hatch-Waxman Act. Corresponding patent applications are pending in several other countries and regions, including Australia, Brazil, Canada, China, Eurasia, Europe, Hong Kong, India, Israel, Japan, Mexico, New Zealand, South Africa, South Korea, and Ukraine. Any patents resulting from these patent applications, if issued, are also expected to expire no earlier than August 9, 2038, subject to any disclaimers or extensions.</w:t>
      </w:r>
    </w:p>
    <w:p>
      <w:pPr>
        <w:spacing w:after="0" w:line="330" w:lineRule="exact"/>
        <w:rPr>
          <w:sz w:val="20"/>
          <w:szCs w:val="20"/>
          <w:color w:val="auto"/>
        </w:rPr>
      </w:pPr>
    </w:p>
    <w:p>
      <w:pPr>
        <w:ind w:right="360" w:firstLine="513"/>
        <w:spacing w:after="0" w:line="279" w:lineRule="auto"/>
        <w:rPr>
          <w:sz w:val="20"/>
          <w:szCs w:val="20"/>
          <w:color w:val="auto"/>
        </w:rPr>
      </w:pPr>
      <w:r>
        <w:rPr>
          <w:rFonts w:ascii="Arial" w:cs="Arial" w:eastAsia="Arial" w:hAnsi="Arial"/>
          <w:sz w:val="17"/>
          <w:szCs w:val="17"/>
          <w:color w:val="auto"/>
        </w:rPr>
        <w:t>The PRT543 patent portfolio also includes four pending U.S. and one pending PCT patent applications, which claim, among other things, a genus of compounds that encompass PRT543, PRT543 salts and crystalline forms, methods of preparing PRT543, and additional methods of treatment using PRT543. Any U.S. patents issuing from these applications would be expected to expire no earlier than August 9, 2038, August 13, 2041; October 5, 2041; 9 and December 9, 2041, respectively, subject to any disclaimers or extensions.</w:t>
      </w:r>
    </w:p>
    <w:p>
      <w:pPr>
        <w:spacing w:after="0" w:line="63" w:lineRule="exact"/>
        <w:rPr>
          <w:sz w:val="20"/>
          <w:szCs w:val="20"/>
          <w:color w:val="auto"/>
        </w:rPr>
      </w:pPr>
    </w:p>
    <w:p>
      <w:pPr>
        <w:ind w:right="420" w:firstLine="512"/>
        <w:spacing w:after="0" w:line="263" w:lineRule="auto"/>
        <w:rPr>
          <w:sz w:val="20"/>
          <w:szCs w:val="20"/>
          <w:color w:val="auto"/>
        </w:rPr>
      </w:pPr>
      <w:r>
        <w:rPr>
          <w:rFonts w:ascii="Arial" w:cs="Arial" w:eastAsia="Arial" w:hAnsi="Arial"/>
          <w:sz w:val="18"/>
          <w:szCs w:val="18"/>
          <w:color w:val="auto"/>
        </w:rPr>
        <w:t>The PRT543 patent portfolio also includes six pending U.S. provisional applications that relate to among other things, methods of inhibiting PRMT5 using PRT543, methods of treating certain cancers, and associated clinical studies. Any patents granted that claim priority to this provisional application could expire as late as 2042.</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PRT811</w:t>
      </w:r>
    </w:p>
    <w:p>
      <w:pPr>
        <w:spacing w:after="0" w:line="144" w:lineRule="exact"/>
        <w:rPr>
          <w:sz w:val="20"/>
          <w:szCs w:val="20"/>
          <w:color w:val="auto"/>
        </w:rPr>
      </w:pPr>
    </w:p>
    <w:p>
      <w:pPr>
        <w:ind w:right="180" w:firstLine="513"/>
        <w:spacing w:after="0" w:line="259" w:lineRule="auto"/>
        <w:rPr>
          <w:sz w:val="20"/>
          <w:szCs w:val="20"/>
          <w:color w:val="auto"/>
        </w:rPr>
      </w:pPr>
      <w:r>
        <w:rPr>
          <w:rFonts w:ascii="Arial" w:cs="Arial" w:eastAsia="Arial" w:hAnsi="Arial"/>
          <w:sz w:val="18"/>
          <w:szCs w:val="18"/>
          <w:color w:val="auto"/>
        </w:rPr>
        <w:t>Our PRT811 patent portfolio is wholly owned by us. The portfolio includes three issued U.S. patents, which claim, among other things, PRT811, pharmaceutical compositions comprising PRT811, methods of inhibiting PRMT5 using PRT811, and methods of treating certain cancers, including glioblastoma, using PRT811. The patents are expected to expire no earlier than March 14, 2039, subject to any disclaimers or extensions available under the Hatch-Waxman Act. A related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 w:name="page17"/>
    <w:bookmarkEnd w:id="16"/>
    <w:p>
      <w:pPr>
        <w:ind w:right="380"/>
        <w:spacing w:after="0" w:line="286" w:lineRule="auto"/>
        <w:rPr>
          <w:sz w:val="20"/>
          <w:szCs w:val="20"/>
          <w:color w:val="auto"/>
        </w:rPr>
      </w:pPr>
      <w:r>
        <w:rPr>
          <w:rFonts w:ascii="Arial" w:cs="Arial" w:eastAsia="Arial" w:hAnsi="Arial"/>
          <w:sz w:val="17"/>
          <w:szCs w:val="17"/>
          <w:color w:val="auto"/>
        </w:rPr>
        <w:t>PCT application was filed, and corresponding national phase applications were filed in Australia, Brazil, Canada, China, Eurasia, Europe, Hong Kong, India, Israel, Japan, Mexico, New Zealand, South Africa, South Korea, and Ukraine. Any patents resulting from these national patent applications, if issued, are expected to expire no earlier than March 14, 2039, subject to any disclaimers or extensions.</w:t>
      </w:r>
    </w:p>
    <w:p>
      <w:pPr>
        <w:spacing w:after="0" w:line="57" w:lineRule="exact"/>
        <w:rPr>
          <w:sz w:val="20"/>
          <w:szCs w:val="20"/>
          <w:color w:val="auto"/>
        </w:rPr>
      </w:pPr>
    </w:p>
    <w:p>
      <w:pPr>
        <w:ind w:right="80" w:firstLine="513"/>
        <w:spacing w:after="0" w:line="259" w:lineRule="auto"/>
        <w:rPr>
          <w:sz w:val="20"/>
          <w:szCs w:val="20"/>
          <w:color w:val="auto"/>
        </w:rPr>
      </w:pPr>
      <w:r>
        <w:rPr>
          <w:rFonts w:ascii="Arial" w:cs="Arial" w:eastAsia="Arial" w:hAnsi="Arial"/>
          <w:sz w:val="18"/>
          <w:szCs w:val="18"/>
          <w:color w:val="auto"/>
        </w:rPr>
        <w:t>The PRT811 patent portfolio also includes two pending U.S. non-provisional applications and two PCT applications that claim compositions of matter, and s methods of treatment. Any patents issuing from the one pending U.S. non-provisional application would be expected to expire no earlier than April 03, 2020, and any patents issuing from the two PCT applications would be expected to expire not earlier than 2039 and 2040respectively, subject to any disclaimers or extensions.</w:t>
      </w:r>
    </w:p>
    <w:p>
      <w:pPr>
        <w:spacing w:after="0" w:line="79" w:lineRule="exact"/>
        <w:rPr>
          <w:sz w:val="20"/>
          <w:szCs w:val="20"/>
          <w:color w:val="auto"/>
        </w:rPr>
      </w:pPr>
    </w:p>
    <w:p>
      <w:pPr>
        <w:ind w:right="140" w:firstLine="513"/>
        <w:spacing w:after="0" w:line="263" w:lineRule="auto"/>
        <w:rPr>
          <w:sz w:val="20"/>
          <w:szCs w:val="20"/>
          <w:color w:val="auto"/>
        </w:rPr>
      </w:pPr>
      <w:r>
        <w:rPr>
          <w:rFonts w:ascii="Arial" w:cs="Arial" w:eastAsia="Arial" w:hAnsi="Arial"/>
          <w:sz w:val="18"/>
          <w:szCs w:val="18"/>
          <w:color w:val="auto"/>
        </w:rPr>
        <w:t>The PRT811 patent portfolio also includes three pending U.S. provisional applications that relate to among other things, methods of inhibiting PRMT5 using PRT811, and methods of treating certain cancers, and associated clinical studies. Any patents granted that claim priority to this provisional application could expire as late as 2042.</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PRT1419</w:t>
      </w:r>
    </w:p>
    <w:p>
      <w:pPr>
        <w:spacing w:after="0" w:line="144" w:lineRule="exact"/>
        <w:rPr>
          <w:sz w:val="20"/>
          <w:szCs w:val="20"/>
          <w:color w:val="auto"/>
        </w:rPr>
      </w:pPr>
    </w:p>
    <w:p>
      <w:pPr>
        <w:ind w:right="160" w:firstLine="512"/>
        <w:spacing w:after="0" w:line="273" w:lineRule="auto"/>
        <w:rPr>
          <w:sz w:val="20"/>
          <w:szCs w:val="20"/>
          <w:color w:val="auto"/>
        </w:rPr>
      </w:pPr>
      <w:r>
        <w:rPr>
          <w:rFonts w:ascii="Arial" w:cs="Arial" w:eastAsia="Arial" w:hAnsi="Arial"/>
          <w:sz w:val="17"/>
          <w:szCs w:val="17"/>
          <w:color w:val="auto"/>
        </w:rPr>
        <w:t>Our PRT1419 patent portfolio, which is wholly owned by us. The portfolio includes one issued U.S. patent, which claims among other things, PRT1419 and other compounds, pharmaceutical compositions comprising PRT1419, and methods of using such compounds. The patent is expected to expire no earlier than November 8, 2039, subject to any disclaimers or extensions available under the Hatch-Waxman Act. A related PCT application was filed, and corresponding national phase applications were filed in Australia, Brazil, Canada, China, Eurasia, Europe, Hong Kong, India, Israel, Japan, Mexico, New Zealand, South Africa, South Korea, and Ukraine. Any patents resulting from these national patent applications, if issued, are expected to expire no earlier than November 08, 2039, subject to any disclaimers or extensions.</w:t>
      </w:r>
    </w:p>
    <w:p>
      <w:pPr>
        <w:spacing w:after="0" w:line="70" w:lineRule="exact"/>
        <w:rPr>
          <w:sz w:val="20"/>
          <w:szCs w:val="20"/>
          <w:color w:val="auto"/>
        </w:rPr>
      </w:pPr>
    </w:p>
    <w:p>
      <w:pPr>
        <w:jc w:val="both"/>
        <w:ind w:right="180" w:firstLine="512"/>
        <w:spacing w:after="0" w:line="263" w:lineRule="auto"/>
        <w:rPr>
          <w:sz w:val="20"/>
          <w:szCs w:val="20"/>
          <w:color w:val="auto"/>
        </w:rPr>
      </w:pPr>
      <w:r>
        <w:rPr>
          <w:rFonts w:ascii="Arial" w:cs="Arial" w:eastAsia="Arial" w:hAnsi="Arial"/>
          <w:sz w:val="18"/>
          <w:szCs w:val="18"/>
          <w:color w:val="auto"/>
        </w:rPr>
        <w:t>The portfolio also included one pending U.S. non-provisional patent application, which claims among other things, PRT1419 related compounds, pharmaceutical compositions comprising PRT1419 related compounds, and methods of using such compounds. Any patents issued from this application would be expected to expire no earlier than August 17, 2041, subject to any disclaimers or extensions.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PRT2527</w:t>
      </w:r>
    </w:p>
    <w:p>
      <w:pPr>
        <w:spacing w:after="0" w:line="144" w:lineRule="exact"/>
        <w:rPr>
          <w:sz w:val="20"/>
          <w:szCs w:val="20"/>
          <w:color w:val="auto"/>
        </w:rPr>
      </w:pPr>
    </w:p>
    <w:p>
      <w:pPr>
        <w:ind w:right="220" w:firstLine="513"/>
        <w:spacing w:after="0" w:line="259" w:lineRule="auto"/>
        <w:rPr>
          <w:sz w:val="20"/>
          <w:szCs w:val="20"/>
          <w:color w:val="auto"/>
        </w:rPr>
      </w:pPr>
      <w:r>
        <w:rPr>
          <w:rFonts w:ascii="Arial" w:cs="Arial" w:eastAsia="Arial" w:hAnsi="Arial"/>
          <w:sz w:val="18"/>
          <w:szCs w:val="18"/>
          <w:color w:val="auto"/>
        </w:rPr>
        <w:t>Our PRT2527 patent portfolio, which is wholly owned by us, includes one U.S. non-provisional patent application and one PCT application claiming, among other things, PRT2527 and other compounds, pharmaceutical compositions comprising PRT2527, and methods of using PRT2527. Any patents that issue based upon these U.S. non-provisional and PCT applications would be expected to expire no earlier than 2040, subject to any disclaimers or extensions.</w:t>
      </w:r>
    </w:p>
    <w:p>
      <w:pPr>
        <w:spacing w:after="0" w:line="295" w:lineRule="exact"/>
        <w:rPr>
          <w:sz w:val="20"/>
          <w:szCs w:val="20"/>
          <w:color w:val="auto"/>
        </w:rPr>
      </w:pPr>
    </w:p>
    <w:p>
      <w:pPr>
        <w:ind w:right="200" w:firstLine="512"/>
        <w:spacing w:after="0" w:line="263" w:lineRule="auto"/>
        <w:rPr>
          <w:sz w:val="20"/>
          <w:szCs w:val="20"/>
          <w:color w:val="auto"/>
        </w:rPr>
      </w:pPr>
      <w:r>
        <w:rPr>
          <w:rFonts w:ascii="Arial" w:cs="Arial" w:eastAsia="Arial" w:hAnsi="Arial"/>
          <w:sz w:val="18"/>
          <w:szCs w:val="18"/>
          <w:color w:val="auto"/>
        </w:rPr>
        <w:t>The PRT2527 patent portfolio also includes two pending U.S. provisional applications that relate to among other things, methods of inhibiting CDK9 using PRT2527 related compounds and methods of treating certain cancers. Any patents granted that claim priority to this provisional application could expire as late as 2041.</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PRT3645</w:t>
      </w:r>
    </w:p>
    <w:p>
      <w:pPr>
        <w:spacing w:after="0" w:line="117" w:lineRule="exact"/>
        <w:rPr>
          <w:sz w:val="20"/>
          <w:szCs w:val="20"/>
          <w:color w:val="auto"/>
        </w:rPr>
      </w:pPr>
    </w:p>
    <w:p>
      <w:pPr>
        <w:ind w:firstLine="513"/>
        <w:spacing w:after="0" w:line="257" w:lineRule="auto"/>
        <w:rPr>
          <w:sz w:val="20"/>
          <w:szCs w:val="20"/>
          <w:color w:val="auto"/>
        </w:rPr>
      </w:pPr>
      <w:r>
        <w:rPr>
          <w:rFonts w:ascii="Arial" w:cs="Arial" w:eastAsia="Arial" w:hAnsi="Arial"/>
          <w:sz w:val="18"/>
          <w:szCs w:val="18"/>
          <w:color w:val="auto"/>
        </w:rPr>
        <w:t>Our PRT3645 patent portfolio, which is wholly owned by us, includes two pending U.S. non-provisional patent applications and two corresponding PCT applications claiming, among other things, genera of compounds that encompass PRT3645 and other compounds, and/or related inhibitors, pharmaceutical compositions comprising those inhibitors, and methods of treating cancer with those inhibitors. Any patents issued from the U.S. patent applications would be expected to expire no earlier than September 21, 2041, and December 17, 2041, respectively, subject to any disclaimers or extensions available under the Hatch-Waxman Act.</w:t>
      </w:r>
    </w:p>
    <w:p>
      <w:pPr>
        <w:spacing w:after="0" w:line="80" w:lineRule="exact"/>
        <w:rPr>
          <w:sz w:val="20"/>
          <w:szCs w:val="20"/>
          <w:color w:val="auto"/>
        </w:rPr>
      </w:pPr>
    </w:p>
    <w:p>
      <w:pPr>
        <w:ind w:right="40" w:firstLine="512"/>
        <w:spacing w:after="0" w:line="263" w:lineRule="auto"/>
        <w:rPr>
          <w:sz w:val="20"/>
          <w:szCs w:val="20"/>
          <w:color w:val="auto"/>
        </w:rPr>
      </w:pPr>
      <w:r>
        <w:rPr>
          <w:rFonts w:ascii="Arial" w:cs="Arial" w:eastAsia="Arial" w:hAnsi="Arial"/>
          <w:sz w:val="18"/>
          <w:szCs w:val="18"/>
          <w:color w:val="auto"/>
        </w:rPr>
        <w:t>The PRT3645 patent portfolio also includes two pending U.S. provisional applications that, among other things, encompass PRT3645 and/or related CDK inhibitors, pharmaceutical compositions comprising those inhibitors, and methods of treating cancer with those inhibitors. Any patents granted that claim priority to this provisional application could expire as late as 2042.</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SMARCA2 Degraders</w:t>
      </w:r>
    </w:p>
    <w:p>
      <w:pPr>
        <w:spacing w:after="0" w:line="144" w:lineRule="exact"/>
        <w:rPr>
          <w:sz w:val="20"/>
          <w:szCs w:val="20"/>
          <w:color w:val="auto"/>
        </w:rPr>
      </w:pPr>
    </w:p>
    <w:p>
      <w:pPr>
        <w:ind w:right="60" w:firstLine="512"/>
        <w:spacing w:after="0" w:line="301" w:lineRule="auto"/>
        <w:rPr>
          <w:sz w:val="20"/>
          <w:szCs w:val="20"/>
          <w:color w:val="auto"/>
        </w:rPr>
      </w:pPr>
      <w:r>
        <w:rPr>
          <w:rFonts w:ascii="Arial" w:cs="Arial" w:eastAsia="Arial" w:hAnsi="Arial"/>
          <w:sz w:val="16"/>
          <w:szCs w:val="16"/>
          <w:color w:val="auto"/>
        </w:rPr>
        <w:t>The SMARCA2 degrader patent portfolio includes two pending non-provisional U.S. applications and two corresponding PCT applications, which claim, among other things, genera of compounds that encompass SMARCA2 and/or related inhibitors, pharmaceutical compositions comprising those inhibitors, and methods of treating cancer with those inhibitors. Any patents issued from the U.S. patent applications would be expected to expire no earlier than June 09, 2041 and November 08, 2041, respectively, subject to any disclaimers or extensions available under the Hatch-Waxman Act.</w:t>
      </w:r>
    </w:p>
    <w:p>
      <w:pPr>
        <w:spacing w:after="0" w:line="49" w:lineRule="exact"/>
        <w:rPr>
          <w:sz w:val="20"/>
          <w:szCs w:val="20"/>
          <w:color w:val="auto"/>
        </w:rPr>
      </w:pPr>
    </w:p>
    <w:p>
      <w:pPr>
        <w:ind w:right="80" w:firstLine="512"/>
        <w:spacing w:after="0" w:line="263" w:lineRule="auto"/>
        <w:rPr>
          <w:sz w:val="20"/>
          <w:szCs w:val="20"/>
          <w:color w:val="auto"/>
        </w:rPr>
      </w:pPr>
      <w:r>
        <w:rPr>
          <w:rFonts w:ascii="Arial" w:cs="Arial" w:eastAsia="Arial" w:hAnsi="Arial"/>
          <w:sz w:val="18"/>
          <w:szCs w:val="18"/>
          <w:color w:val="auto"/>
        </w:rPr>
        <w:t>The SMARCA2 patent portfolio also includes one pending U.S. provisional application that, among other things, encompass SMARCA2 and/or related inhibitors, pharmaceutical compositions comprising those inhibitors, and methods of treating cancer with those inhibitors. Any patents granted that claim priority to this provisional application could expire as late as 2042.</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ind w:right="40" w:firstLine="512"/>
        <w:spacing w:after="0" w:line="263" w:lineRule="auto"/>
        <w:rPr>
          <w:sz w:val="20"/>
          <w:szCs w:val="20"/>
          <w:color w:val="auto"/>
        </w:rPr>
      </w:pPr>
      <w:r>
        <w:rPr>
          <w:rFonts w:ascii="Arial" w:cs="Arial" w:eastAsia="Arial" w:hAnsi="Arial"/>
          <w:sz w:val="18"/>
          <w:szCs w:val="18"/>
          <w:color w:val="auto"/>
        </w:rPr>
        <w:t>In addition, we have patent portfolios that are directed to a number of different compounds other than PRT543, PRT811, PRT1419, PRT2527, PRT3645, SMARCA2 degraders, and CDK inhibitors. We have patent applications directed to compounds that target resistance mechanisms in cancer. We expect to maintain some of these applications in the United States and to also file in foreign countries.</w:t>
      </w:r>
    </w:p>
    <w:p>
      <w:pPr>
        <w:spacing w:after="0" w:line="184" w:lineRule="exact"/>
        <w:rPr>
          <w:sz w:val="20"/>
          <w:szCs w:val="20"/>
          <w:color w:val="auto"/>
        </w:rPr>
      </w:pPr>
    </w:p>
    <w:p>
      <w:pPr>
        <w:jc w:val="both"/>
        <w:ind w:right="40" w:firstLine="512"/>
        <w:spacing w:after="0" w:line="342" w:lineRule="auto"/>
        <w:rPr>
          <w:sz w:val="20"/>
          <w:szCs w:val="20"/>
          <w:color w:val="auto"/>
        </w:rPr>
      </w:pPr>
      <w:r>
        <w:rPr>
          <w:rFonts w:ascii="Arial" w:cs="Arial" w:eastAsia="Arial" w:hAnsi="Arial"/>
          <w:sz w:val="16"/>
          <w:szCs w:val="16"/>
          <w:color w:val="auto"/>
        </w:rPr>
        <w:t>In addition to the applications described above, we wholly-own 16 applications including U.S. provisional patent applications, U.S. non-provisional patent applications, and PCT applications, covering compositions and methods of making and using those compounds to treat cancer and other diseases.</w:t>
      </w:r>
    </w:p>
    <w:p>
      <w:pPr>
        <w:spacing w:after="0" w:line="151" w:lineRule="exact"/>
        <w:rPr>
          <w:sz w:val="20"/>
          <w:szCs w:val="20"/>
          <w:color w:val="auto"/>
        </w:rPr>
      </w:pPr>
    </w:p>
    <w:p>
      <w:pPr>
        <w:ind w:right="80" w:firstLine="512"/>
        <w:spacing w:after="0" w:line="259"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the countries in which we file, the patent term is 20 years from the earliest non-provisional filing date, subject to any disclaimers or extensions. The term of a patent in the United States can be adjusted due to any failure of the United States Patent and Trademark Office following certain statutory and regulation deadlines for issuing a patent.</w:t>
      </w:r>
    </w:p>
    <w:p>
      <w:pPr>
        <w:spacing w:after="0" w:line="214" w:lineRule="exact"/>
        <w:rPr>
          <w:sz w:val="20"/>
          <w:szCs w:val="20"/>
          <w:color w:val="auto"/>
        </w:rPr>
      </w:pPr>
    </w:p>
    <w:p>
      <w:pPr>
        <w:ind w:right="20" w:firstLine="512"/>
        <w:spacing w:after="0" w:line="291" w:lineRule="auto"/>
        <w:rPr>
          <w:sz w:val="20"/>
          <w:szCs w:val="20"/>
          <w:color w:val="auto"/>
        </w:rPr>
      </w:pPr>
      <w:r>
        <w:rPr>
          <w:rFonts w:ascii="Arial" w:cs="Arial" w:eastAsia="Arial" w:hAnsi="Arial"/>
          <w:sz w:val="16"/>
          <w:szCs w:val="16"/>
          <w:color w:val="auto"/>
        </w:rPr>
        <w:t>In the United States, the patent term of a patent that covers an FDA-approved drug may also be eligible for patent term extension, which permits patent term restoration as compensation for a portion of the patent term lost during the FDA regulatory review process. The Hatch-Waxman Act permits</w:t>
      </w:r>
    </w:p>
    <w:p>
      <w:pPr>
        <w:ind w:right="540" w:firstLine="8"/>
        <w:spacing w:after="0" w:line="323" w:lineRule="auto"/>
        <w:tabs>
          <w:tab w:leader="none" w:pos="1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patent term extension of up to five years beyond the original expiration of the patent. The protection provided by a patent varies from country to country, and is dependent on the type of patent granted, the scope of the patent claims, and the legal remedies available in a given country.</w:t>
      </w:r>
    </w:p>
    <w:p>
      <w:pPr>
        <w:spacing w:after="0" w:line="165" w:lineRule="exact"/>
        <w:rPr>
          <w:sz w:val="20"/>
          <w:szCs w:val="20"/>
          <w:color w:val="auto"/>
        </w:rPr>
      </w:pPr>
    </w:p>
    <w:p>
      <w:pPr>
        <w:ind w:right="20" w:firstLine="512"/>
        <w:spacing w:after="0" w:line="270" w:lineRule="auto"/>
        <w:rPr>
          <w:sz w:val="20"/>
          <w:szCs w:val="20"/>
          <w:color w:val="auto"/>
        </w:rPr>
      </w:pPr>
      <w:r>
        <w:rPr>
          <w:rFonts w:ascii="Arial" w:cs="Arial" w:eastAsia="Arial" w:hAnsi="Arial"/>
          <w:sz w:val="17"/>
          <w:szCs w:val="17"/>
          <w:color w:val="auto"/>
        </w:rPr>
        <w:t>Obtaining patent protection is not the only method that we employ to protect our proprietary rights. We also utilize other forms of intellectual property protection, including trademark, copyright, and trade secrets, when those other forms are better suited to protect a particular aspect of our intellectual property. Our belief is that our proprietary rights are strengthened by our comprehensive approach to intellectual property protection.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48" w:lineRule="exact"/>
        <w:rPr>
          <w:sz w:val="20"/>
          <w:szCs w:val="20"/>
          <w:color w:val="auto"/>
        </w:rPr>
      </w:pPr>
    </w:p>
    <w:p>
      <w:pPr>
        <w:ind w:firstLine="512"/>
        <w:spacing w:after="0" w:line="296" w:lineRule="auto"/>
        <w:rPr>
          <w:sz w:val="20"/>
          <w:szCs w:val="20"/>
          <w:color w:val="auto"/>
        </w:rPr>
      </w:pPr>
      <w:r>
        <w:rPr>
          <w:rFonts w:ascii="Arial" w:cs="Arial" w:eastAsia="Arial" w:hAnsi="Arial"/>
          <w:sz w:val="16"/>
          <w:szCs w:val="16"/>
          <w:color w:val="auto"/>
        </w:rPr>
        <w:t>We do not own or operate, and currently have no plans to establish, any manufacturing facilities. We currently rely, and expect to continue to rely for the foreseeable future, on third parties for the manufacture of our product candidates for preclinical and clinical testing, including pharmaceutical ingredients and clinical drug supply, as well as for commercial manufacture of any drugs that we may commercialize. We obtain our supplies from these manufacturers on a purchase order basis and do not have long-term supply arrangements in place. We do not own in-house warehouse facilities. We rely on third parties for storage and distribution of drug substance and drug product. We do not currently have arrangements in place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ind w:right="20"/>
        <w:spacing w:after="0" w:line="263" w:lineRule="auto"/>
        <w:rPr>
          <w:sz w:val="20"/>
          <w:szCs w:val="20"/>
          <w:color w:val="auto"/>
        </w:rPr>
      </w:pPr>
      <w:r>
        <w:rPr>
          <w:rFonts w:ascii="Arial" w:cs="Arial" w:eastAsia="Arial" w:hAnsi="Arial"/>
          <w:sz w:val="18"/>
          <w:szCs w:val="18"/>
          <w:color w:val="auto"/>
        </w:rPr>
        <w:t>for redundant supply for active pharmaceutical ingredients and drug product.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48" w:lineRule="exact"/>
        <w:rPr>
          <w:sz w:val="20"/>
          <w:szCs w:val="20"/>
          <w:color w:val="auto"/>
        </w:rPr>
      </w:pPr>
    </w:p>
    <w:p>
      <w:pPr>
        <w:ind w:right="240" w:firstLine="513"/>
        <w:spacing w:after="0" w:line="26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If we are successful in obtaining necessary regulatory approval, we may pursue commercialization on our own or seek to collaborate with a third party for commercialization, particularly outside the United States.</w:t>
      </w:r>
    </w:p>
    <w:p>
      <w:pPr>
        <w:spacing w:after="0" w:line="211" w:lineRule="exact"/>
        <w:rPr>
          <w:sz w:val="20"/>
          <w:szCs w:val="20"/>
          <w:color w:val="auto"/>
        </w:rPr>
      </w:pPr>
    </w:p>
    <w:p>
      <w:pPr>
        <w:ind w:right="60" w:firstLine="513"/>
        <w:spacing w:after="0" w:line="269" w:lineRule="auto"/>
        <w:rPr>
          <w:sz w:val="20"/>
          <w:szCs w:val="20"/>
          <w:color w:val="auto"/>
        </w:rPr>
      </w:pPr>
      <w:r>
        <w:rPr>
          <w:rFonts w:ascii="Arial" w:cs="Arial" w:eastAsia="Arial" w:hAnsi="Arial"/>
          <w:sz w:val="17"/>
          <w:szCs w:val="17"/>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firstLine="513"/>
        <w:spacing w:after="0" w:line="270" w:lineRule="auto"/>
        <w:rPr>
          <w:sz w:val="20"/>
          <w:szCs w:val="20"/>
          <w:color w:val="auto"/>
        </w:rPr>
      </w:pPr>
      <w:r>
        <w:rPr>
          <w:rFonts w:ascii="Arial" w:cs="Arial" w:eastAsia="Arial" w:hAnsi="Arial"/>
          <w:sz w:val="17"/>
          <w:szCs w:val="17"/>
          <w:color w:val="auto"/>
        </w:rPr>
        <w:t>We face competition from segments of the pharmaceutical, biotechnology and other related markets that pursue the development of precision oncology therapies optimized to target the key driver mechanisms in cancers with high unmet need. Several biopharmaceutical companies, including Arvinas Inc., Aurigene, Black Diamond Therapeutics, Inc., Boehringer Ingelheim, C4 Therapeutics, Constellation Pharmaceuticals, Inc., Eli Lilly and Company, F. Hoffman-La Roche, Foghorn Therapeutics Inc., Fochon Pharmaceuticals, G1 Therapeutics Inc., Genentech, Kronos Bio, Inc., Kura Oncology, Inc., Kymera Therapeutics Inc., Mirati Therapeutics Inc., Nuvation Bio Inc. Repare Therapeutics Inc., Revolution Medicines, Inc., Relay Therapeutics, Inc., Springworks Therapeutics, Inc., Syndax Pharmaceuticals, Inc., and Zentalis Pharmaceuticals, Inc., are developing precision oncology medicines. In addition, we may face competition from companies developing product candidates that are based on targeting pathways of adaptive resistance, including Amgen Inc., AbbVie Inc., AstraZeneca plc, GlaxoSmithKline plc, Ideaya Biosciences, Johnson &amp; Johnson Services, Inc., Pfizer Inc., Tango Therapeutics, Inc., Vincerx Pharma, Inc., Novartis AG, and Gilead Sciences, Inc.</w:t>
      </w:r>
    </w:p>
    <w:p>
      <w:pPr>
        <w:spacing w:after="0" w:line="181" w:lineRule="exact"/>
        <w:rPr>
          <w:sz w:val="20"/>
          <w:szCs w:val="20"/>
          <w:color w:val="auto"/>
        </w:rPr>
      </w:pPr>
    </w:p>
    <w:p>
      <w:pPr>
        <w:ind w:right="40" w:firstLine="513"/>
        <w:spacing w:after="0" w:line="288"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222" w:lineRule="exact"/>
        <w:rPr>
          <w:sz w:val="20"/>
          <w:szCs w:val="20"/>
          <w:color w:val="auto"/>
        </w:rPr>
      </w:pPr>
    </w:p>
    <w:p>
      <w:pPr>
        <w:ind w:right="460" w:firstLine="512"/>
        <w:spacing w:after="0" w:line="277" w:lineRule="auto"/>
        <w:rPr>
          <w:sz w:val="20"/>
          <w:szCs w:val="20"/>
          <w:color w:val="auto"/>
        </w:rPr>
      </w:pPr>
      <w:r>
        <w:rPr>
          <w:rFonts w:ascii="Arial" w:cs="Arial" w:eastAsia="Arial" w:hAnsi="Arial"/>
          <w:sz w:val="18"/>
          <w:szCs w:val="18"/>
          <w:color w:val="auto"/>
        </w:rPr>
        <w:t>With respect to our PRMT5 programs, PRT543 and PRT811, several companies are developing PRMT5 inhibitors with clinical trials ongoing, including Amgen (AMG193), GlaxoSmithKline (GSK3326595), Ideaya Biosciences (IDE397),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right="80"/>
        <w:spacing w:after="0" w:line="272" w:lineRule="auto"/>
        <w:rPr>
          <w:sz w:val="20"/>
          <w:szCs w:val="20"/>
          <w:color w:val="auto"/>
        </w:rPr>
      </w:pPr>
      <w:r>
        <w:rPr>
          <w:rFonts w:ascii="Arial" w:cs="Arial" w:eastAsia="Arial" w:hAnsi="Arial"/>
          <w:sz w:val="17"/>
          <w:szCs w:val="17"/>
          <w:color w:val="auto"/>
        </w:rPr>
        <w:t>Johnson &amp; Johnson (JNJ-64619178), Pfizer (PF-06939999), and Tango Therapeutics (TNG908). For our product candidate PRT1419, other companies are developing MCL1 inhibitors with monotherapy and/or combination trials ongoing, including Amgen (AMG176), AstraZeneca (AZD5991), Novartis (MIK665), and Gilead (GS-9716). For our CDK9 program, PRT2527, AstraZeneca (AZD4573), Vincerx (VIP512), and Kronos (KB-0742) have CDK9 programs in Phase 1 clinical trials. For our CDK4/6 inhibitor program, PRT3645 Novartis (ribociclib), Lilly (abemaciclib), Pfizer (palbociclib), G1 Therapeutics (G1T38), and Fochon Pharmaceuticals (FCN-437) have clinical trials ongoing. For our SMARCA 2 (BRM) degrader program, other companies, including Amgen, Aurigene, C4 Therapeutics, F. Hoffman-La Roche, Foghorn Therapeutics, Inc., Kymera Therapeutics, Arvinas, Genentech, Boehringer Ingelheim, and Lilly have publicly disclosed their pre-clinical research efforts.</w:t>
      </w:r>
    </w:p>
    <w:p>
      <w:pPr>
        <w:spacing w:after="0" w:line="231" w:lineRule="exact"/>
        <w:rPr>
          <w:sz w:val="20"/>
          <w:szCs w:val="20"/>
          <w:color w:val="auto"/>
        </w:rPr>
      </w:pPr>
    </w:p>
    <w:p>
      <w:pPr>
        <w:ind w:right="140" w:firstLine="513"/>
        <w:spacing w:after="0" w:line="255"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firstLine="513"/>
        <w:spacing w:after="0" w:line="275"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44" w:lineRule="exact"/>
        <w:rPr>
          <w:sz w:val="20"/>
          <w:szCs w:val="20"/>
          <w:color w:val="auto"/>
        </w:rPr>
      </w:pPr>
    </w:p>
    <w:p>
      <w:pPr>
        <w:ind w:right="20" w:firstLine="512"/>
        <w:spacing w:after="0" w:line="273"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NDAs,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firstLine="512"/>
        <w:spacing w:after="0" w:line="257"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U.S. typically involves preclinical laboratory and animal tests, the submission to FDA of an investigational new drug application, or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309" w:lineRule="exact"/>
        <w:rPr>
          <w:sz w:val="20"/>
          <w:szCs w:val="20"/>
          <w:color w:val="auto"/>
        </w:rPr>
      </w:pPr>
    </w:p>
    <w:p>
      <w:pPr>
        <w:ind w:firstLine="512"/>
        <w:spacing w:after="0" w:line="290" w:lineRule="auto"/>
        <w:rPr>
          <w:sz w:val="20"/>
          <w:szCs w:val="20"/>
          <w:color w:val="auto"/>
        </w:rPr>
      </w:pPr>
      <w:r>
        <w:rPr>
          <w:rFonts w:ascii="Arial" w:cs="Arial" w:eastAsia="Arial" w:hAnsi="Arial"/>
          <w:sz w:val="16"/>
          <w:szCs w:val="16"/>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FDA has neither commented on nor questioned the IND within this 30-day period, the clinical trial proposed in the IND may begin. Clinical trials involve the administration of the investigational new drug to healthy volunteers or patients under the supervision of a qualified investigator. Clinical trials must be conducted: (i) in compliance with federal regulations; (ii) in compliance with good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FDA as part of the IND.</w:t>
      </w:r>
    </w:p>
    <w:p>
      <w:pPr>
        <w:spacing w:after="0" w:line="268" w:lineRule="exact"/>
        <w:rPr>
          <w:sz w:val="20"/>
          <w:szCs w:val="20"/>
          <w:color w:val="auto"/>
        </w:rPr>
      </w:pPr>
    </w:p>
    <w:p>
      <w:pPr>
        <w:ind w:right="40" w:firstLine="512"/>
        <w:spacing w:after="0" w:line="254" w:lineRule="auto"/>
        <w:rPr>
          <w:sz w:val="20"/>
          <w:szCs w:val="20"/>
          <w:color w:val="auto"/>
        </w:rPr>
      </w:pPr>
      <w:r>
        <w:rPr>
          <w:rFonts w:ascii="Arial" w:cs="Arial" w:eastAsia="Arial" w:hAnsi="Arial"/>
          <w:sz w:val="18"/>
          <w:szCs w:val="18"/>
          <w:color w:val="auto"/>
        </w:rPr>
        <w:t>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Imposition of a clinical hold may be full or partial. The study protocol and informed consent information for patients in clinical trials must also be submitted to an institutional review board, or IRB, and ethics committee for approval. The IRB will also monitor the clinical trial until completed. An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313" w:lineRule="exact"/>
        <w:rPr>
          <w:sz w:val="20"/>
          <w:szCs w:val="20"/>
          <w:color w:val="auto"/>
        </w:rPr>
      </w:pPr>
    </w:p>
    <w:p>
      <w:pPr>
        <w:ind w:firstLine="512"/>
        <w:spacing w:after="0" w:line="269" w:lineRule="auto"/>
        <w:rPr>
          <w:sz w:val="20"/>
          <w:szCs w:val="20"/>
          <w:color w:val="auto"/>
        </w:rPr>
      </w:pPr>
      <w:r>
        <w:rPr>
          <w:rFonts w:ascii="Arial" w:cs="Arial" w:eastAsia="Arial" w:hAnsi="Arial"/>
          <w:sz w:val="17"/>
          <w:szCs w:val="17"/>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FDA to evaluate the overall benefit-risk relationship of the drug and to provide adequate information for the labeling of the drug. In most cases FDA requires two adequate and well-controlled Phase 3 clinical trials to demonstrate the efficacy of the drug. A single Phase 3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w:t>
      </w:r>
    </w:p>
    <w:p>
      <w:pPr>
        <w:spacing w:after="0" w:line="179" w:lineRule="exact"/>
        <w:rPr>
          <w:sz w:val="20"/>
          <w:szCs w:val="20"/>
          <w:color w:val="auto"/>
        </w:rPr>
      </w:pPr>
    </w:p>
    <w:p>
      <w:pPr>
        <w:ind w:right="60" w:firstLine="512"/>
        <w:spacing w:after="0" w:line="263" w:lineRule="auto"/>
        <w:rPr>
          <w:sz w:val="20"/>
          <w:szCs w:val="20"/>
          <w:color w:val="auto"/>
        </w:rPr>
      </w:pPr>
      <w:r>
        <w:rPr>
          <w:rFonts w:ascii="Arial" w:cs="Arial" w:eastAsia="Arial" w:hAnsi="Arial"/>
          <w:sz w:val="18"/>
          <w:szCs w:val="18"/>
          <w:color w:val="auto"/>
        </w:rPr>
        <w:t>These Phases may overlap or be combined. For example, a Phase 1/2 clinical trial may contain both a dose- 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211" w:lineRule="exact"/>
        <w:rPr>
          <w:sz w:val="20"/>
          <w:szCs w:val="20"/>
          <w:color w:val="auto"/>
        </w:rPr>
      </w:pPr>
    </w:p>
    <w:p>
      <w:pPr>
        <w:jc w:val="both"/>
        <w:ind w:right="40" w:firstLine="512"/>
        <w:spacing w:after="0" w:line="259" w:lineRule="auto"/>
        <w:rPr>
          <w:sz w:val="20"/>
          <w:szCs w:val="20"/>
          <w:color w:val="auto"/>
        </w:rPr>
      </w:pPr>
      <w:r>
        <w:rPr>
          <w:rFonts w:ascii="Arial" w:cs="Arial" w:eastAsia="Arial" w:hAnsi="Arial"/>
          <w:sz w:val="18"/>
          <w:szCs w:val="18"/>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pivotal trial may be sufficient in rare instances to provide substantial evidence of effectiveness (generally subject to the requirement of additional post-approval studies).</w:t>
      </w:r>
    </w:p>
    <w:p>
      <w:pPr>
        <w:spacing w:after="0" w:line="214" w:lineRule="exact"/>
        <w:rPr>
          <w:sz w:val="20"/>
          <w:szCs w:val="20"/>
          <w:color w:val="auto"/>
        </w:rPr>
      </w:pPr>
    </w:p>
    <w:p>
      <w:pPr>
        <w:ind w:right="280" w:firstLine="512"/>
        <w:spacing w:after="0" w:line="277" w:lineRule="auto"/>
        <w:rPr>
          <w:sz w:val="20"/>
          <w:szCs w:val="20"/>
          <w:color w:val="auto"/>
        </w:rPr>
      </w:pPr>
      <w:r>
        <w:rPr>
          <w:rFonts w:ascii="Arial" w:cs="Arial" w:eastAsia="Arial" w:hAnsi="Arial"/>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97" w:lineRule="exact"/>
        <w:rPr>
          <w:sz w:val="20"/>
          <w:szCs w:val="20"/>
          <w:color w:val="auto"/>
        </w:rPr>
      </w:pPr>
    </w:p>
    <w:p>
      <w:pPr>
        <w:ind w:right="300" w:firstLine="512"/>
        <w:spacing w:after="0" w:line="263" w:lineRule="auto"/>
        <w:rPr>
          <w:sz w:val="20"/>
          <w:szCs w:val="20"/>
          <w:color w:val="auto"/>
        </w:rPr>
      </w:pPr>
      <w:r>
        <w:rPr>
          <w:rFonts w:ascii="Arial" w:cs="Arial" w:eastAsia="Arial" w:hAnsi="Arial"/>
          <w:sz w:val="18"/>
          <w:szCs w:val="18"/>
          <w:color w:val="auto"/>
        </w:rPr>
        <w:t>After completion of the required clinical testing, an NDA is prepared and submitted to FDA. FDA approval of the NDA is required before marketing of the product may begin in the U.S. The NDA must include the results of all preclinical, clinical and other testing and a compilation of data relating to the product’s pharmacology, chemistry, manufacture and controls.</w:t>
      </w:r>
    </w:p>
    <w:p>
      <w:pPr>
        <w:spacing w:after="0" w:line="211" w:lineRule="exact"/>
        <w:rPr>
          <w:sz w:val="20"/>
          <w:szCs w:val="20"/>
          <w:color w:val="auto"/>
        </w:rPr>
      </w:pPr>
    </w:p>
    <w:p>
      <w:pPr>
        <w:ind w:right="100" w:firstLine="512"/>
        <w:spacing w:after="0" w:line="259" w:lineRule="auto"/>
        <w:rPr>
          <w:sz w:val="20"/>
          <w:szCs w:val="20"/>
          <w:color w:val="auto"/>
        </w:rPr>
      </w:pPr>
      <w:r>
        <w:rPr>
          <w:rFonts w:ascii="Arial" w:cs="Arial" w:eastAsia="Arial" w:hAnsi="Arial"/>
          <w:sz w:val="18"/>
          <w:szCs w:val="18"/>
          <w:color w:val="auto"/>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approved NDA is also subject to annual program fees. The FDA adjusts the user fees on an annual basis, and the fees typically increase annually.</w:t>
      </w:r>
    </w:p>
    <w:p>
      <w:pPr>
        <w:spacing w:after="0" w:line="264" w:lineRule="exact"/>
        <w:rPr>
          <w:sz w:val="20"/>
          <w:szCs w:val="20"/>
          <w:color w:val="auto"/>
        </w:rPr>
      </w:pPr>
    </w:p>
    <w:p>
      <w:pPr>
        <w:ind w:right="40" w:firstLine="512"/>
        <w:spacing w:after="0" w:line="270" w:lineRule="auto"/>
        <w:rPr>
          <w:sz w:val="20"/>
          <w:szCs w:val="20"/>
          <w:color w:val="auto"/>
        </w:rPr>
      </w:pPr>
      <w:r>
        <w:rPr>
          <w:rFonts w:ascii="Arial" w:cs="Arial" w:eastAsia="Arial" w:hAnsi="Arial"/>
          <w:sz w:val="17"/>
          <w:szCs w:val="17"/>
          <w:color w:val="auto"/>
        </w:rPr>
        <w:t>FDA reviews each submitted NDA before it determines whether to file it, based on the agency’s threshold determination that it is sufficiently complete to permit substantive review, and FDA may request additional information. The FDA must make a decision on whether to file an NDA within 60 days of receipt, and such decision could include a refusal to file by the FDA. Once the submission is filed, FDA begins an in-depth review of the NDA. FDA has agreed to certain performance goals in the review of NDAs. Most applications for standard review drug products are reviewed within ten to twelve months; most applications for priority review drugs are reviewed in six to eight months. Priority review can be applied to drugs that FDA determines offer major advances in treatment or provide a treatment where no adequate therapy exists. The review process for both standard and priority review may be extended by FDA for three additional months to consider certain late- 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181" w:lineRule="exact"/>
        <w:rPr>
          <w:sz w:val="20"/>
          <w:szCs w:val="20"/>
          <w:color w:val="auto"/>
        </w:rPr>
      </w:pPr>
    </w:p>
    <w:p>
      <w:pPr>
        <w:ind w:right="320" w:firstLine="512"/>
        <w:spacing w:after="0" w:line="259" w:lineRule="auto"/>
        <w:rPr>
          <w:sz w:val="20"/>
          <w:szCs w:val="20"/>
          <w:color w:val="auto"/>
        </w:rPr>
      </w:pPr>
      <w:r>
        <w:rPr>
          <w:rFonts w:ascii="Arial" w:cs="Arial" w:eastAsia="Arial" w:hAnsi="Arial"/>
          <w:sz w:val="18"/>
          <w:szCs w:val="18"/>
          <w:color w:val="auto"/>
        </w:rPr>
        <w:t>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FDA is not bound by the recommendation of an advisory committee, but it generally follows such recommendations.</w:t>
      </w:r>
    </w:p>
    <w:p>
      <w:pPr>
        <w:spacing w:after="0" w:line="214" w:lineRule="exact"/>
        <w:rPr>
          <w:sz w:val="20"/>
          <w:szCs w:val="20"/>
          <w:color w:val="auto"/>
        </w:rPr>
      </w:pPr>
    </w:p>
    <w:p>
      <w:pPr>
        <w:ind w:right="60" w:firstLine="512"/>
        <w:spacing w:after="0" w:line="301" w:lineRule="auto"/>
        <w:rPr>
          <w:sz w:val="20"/>
          <w:szCs w:val="20"/>
          <w:color w:val="auto"/>
        </w:rPr>
      </w:pPr>
      <w:r>
        <w:rPr>
          <w:rFonts w:ascii="Arial" w:cs="Arial" w:eastAsia="Arial" w:hAnsi="Arial"/>
          <w:sz w:val="16"/>
          <w:szCs w:val="16"/>
          <w:color w:val="auto"/>
        </w:rPr>
        <w:t>Before approving an NDA, FDA will conduct a pre-approval inspection of the manufacturing facilities for the new product to determine whether they comply with cGMP requirements. FDA will not approve the product unless it determines that the manufacturing processes and facilities are in compliance with cGMP requirements and adequate to assure consistent production of the product within required specifications. The FDA also typically inspects one or more clinical trial sites to ensure compliance with GCP requirements and the integrity of the data supporting safety and efficacy.</w:t>
      </w:r>
    </w:p>
    <w:p>
      <w:pPr>
        <w:spacing w:after="0" w:line="157" w:lineRule="exact"/>
        <w:rPr>
          <w:sz w:val="20"/>
          <w:szCs w:val="20"/>
          <w:color w:val="auto"/>
        </w:rPr>
      </w:pPr>
    </w:p>
    <w:p>
      <w:pPr>
        <w:ind w:right="20" w:firstLine="512"/>
        <w:spacing w:after="0" w:line="272" w:lineRule="auto"/>
        <w:rPr>
          <w:sz w:val="20"/>
          <w:szCs w:val="20"/>
          <w:color w:val="auto"/>
        </w:rPr>
      </w:pPr>
      <w:r>
        <w:rPr>
          <w:rFonts w:ascii="Arial" w:cs="Arial" w:eastAsia="Arial" w:hAnsi="Arial"/>
          <w:sz w:val="17"/>
          <w:szCs w:val="17"/>
          <w:color w:val="auto"/>
        </w:rPr>
        <w:t>After FDA evaluates the NDA and the manufacturing facilities, it issues either an approval letter or a complete response letter. A complete response letter, or CRL, generally outlines the deficiencies in the submission and may require substantial additional testing, or information, in order for FDA to reconsider the application, such as additional clinical data, additional pivotal clinical trial(s), and/or other significant and time- 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FDA has committed to reviewing resubmissions in two or six months depending on the type of information included. Even if such data and information are submitted, the FDA may decide that the NDA does not satisfy the criteria for approval.</w:t>
      </w:r>
    </w:p>
    <w:p>
      <w:pPr>
        <w:spacing w:after="0" w:line="204" w:lineRule="exact"/>
        <w:rPr>
          <w:sz w:val="20"/>
          <w:szCs w:val="20"/>
          <w:color w:val="auto"/>
        </w:rPr>
      </w:pPr>
    </w:p>
    <w:p>
      <w:pPr>
        <w:ind w:firstLine="512"/>
        <w:spacing w:after="0" w:line="253" w:lineRule="auto"/>
        <w:rPr>
          <w:sz w:val="20"/>
          <w:szCs w:val="20"/>
          <w:color w:val="auto"/>
        </w:rPr>
      </w:pPr>
      <w:r>
        <w:rPr>
          <w:rFonts w:ascii="Arial" w:cs="Arial" w:eastAsia="Arial" w:hAnsi="Arial"/>
          <w:sz w:val="18"/>
          <w:szCs w:val="18"/>
          <w:color w:val="auto"/>
        </w:rPr>
        <w:t>If, or when, the deficiencies identified in the CRL have been addressed to FDA’s satisfaction in a resubmission of the NDA, FDA will issue an approval letter. An approval letter authorizes commercial marketing of the drug with specific prescribing information for specific indications. As a condition of NDA approval,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223" w:lineRule="exact"/>
        <w:rPr>
          <w:sz w:val="20"/>
          <w:szCs w:val="20"/>
          <w:color w:val="auto"/>
        </w:rPr>
      </w:pPr>
    </w:p>
    <w:p>
      <w:pPr>
        <w:ind w:right="20" w:firstLine="512"/>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FDA uses the same procedures and actions in reviewing NDA supplements as it does in reviewing NDAs.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44" w:lineRule="exact"/>
        <w:rPr>
          <w:sz w:val="20"/>
          <w:szCs w:val="20"/>
          <w:color w:val="auto"/>
        </w:rPr>
      </w:pPr>
    </w:p>
    <w:p>
      <w:pPr>
        <w:ind w:firstLine="512"/>
        <w:spacing w:after="0" w:line="257" w:lineRule="auto"/>
        <w:rPr>
          <w:sz w:val="20"/>
          <w:szCs w:val="20"/>
          <w:color w:val="auto"/>
        </w:rPr>
      </w:pPr>
      <w:r>
        <w:rPr>
          <w:rFonts w:ascii="Arial" w:cs="Arial" w:eastAsia="Arial" w:hAnsi="Arial"/>
          <w:sz w:val="18"/>
          <w:szCs w:val="18"/>
          <w:color w:val="auto"/>
        </w:rPr>
        <w:t>Sponsors of clinical trials of FDA 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Fast Track Designation</w:t>
      </w:r>
    </w:p>
    <w:p>
      <w:pPr>
        <w:spacing w:after="0" w:line="117" w:lineRule="exact"/>
        <w:rPr>
          <w:sz w:val="20"/>
          <w:szCs w:val="20"/>
          <w:color w:val="auto"/>
        </w:rPr>
      </w:pPr>
    </w:p>
    <w:p>
      <w:pPr>
        <w:ind w:right="60" w:firstLine="512"/>
        <w:spacing w:after="0" w:line="269" w:lineRule="auto"/>
        <w:rPr>
          <w:sz w:val="20"/>
          <w:szCs w:val="20"/>
          <w:color w:val="auto"/>
        </w:rPr>
      </w:pPr>
      <w:r>
        <w:rPr>
          <w:rFonts w:ascii="Arial" w:cs="Arial" w:eastAsia="Arial" w:hAnsi="Arial"/>
          <w:sz w:val="17"/>
          <w:szCs w:val="17"/>
          <w:color w:val="auto"/>
        </w:rPr>
        <w:t>Fast track designation may be granted for a product that is intended to treat a serious or life-threatening disease or condition for which there is no effective treatment and preclinical or clinical data demonstrate the potential to address unmet medical needs for the condition. The sponsor of an investigational drug product may request that FDA designate the product candidate for a specific indication as a fast track drug concurrent with, or after, the submission of the IND for the product candidate. FDA must determine if the product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NDA filing, the FDA will determine whether to grant priority review designation. FDA will grant such designation if the proposed drug would be a significant improvement in the safety or effectiveness of the treatment, prevention, or diagnosis of a serious condition. Additionally, fast track designation may be withdrawn if FDA believes that the designation is no longer supported by data emerging in the clinical trial process.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Accelerated Approval</w:t>
      </w:r>
    </w:p>
    <w:p>
      <w:pPr>
        <w:spacing w:after="0" w:line="90" w:lineRule="exact"/>
        <w:rPr>
          <w:sz w:val="20"/>
          <w:szCs w:val="20"/>
          <w:color w:val="auto"/>
        </w:rPr>
      </w:pPr>
    </w:p>
    <w:p>
      <w:pPr>
        <w:ind w:firstLine="512"/>
        <w:spacing w:after="0" w:line="268" w:lineRule="auto"/>
        <w:rPr>
          <w:sz w:val="20"/>
          <w:szCs w:val="20"/>
          <w:color w:val="auto"/>
        </w:rPr>
      </w:pPr>
      <w:r>
        <w:rPr>
          <w:rFonts w:ascii="Arial" w:cs="Arial" w:eastAsia="Arial" w:hAnsi="Arial"/>
          <w:sz w:val="17"/>
          <w:szCs w:val="17"/>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most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Breakthrough Therapy Designation</w:t>
      </w:r>
    </w:p>
    <w:p>
      <w:pPr>
        <w:spacing w:after="0" w:line="90" w:lineRule="exact"/>
        <w:rPr>
          <w:sz w:val="20"/>
          <w:szCs w:val="20"/>
          <w:color w:val="auto"/>
        </w:rPr>
      </w:pPr>
    </w:p>
    <w:p>
      <w:pPr>
        <w:ind w:firstLine="512"/>
        <w:spacing w:after="0" w:line="273" w:lineRule="auto"/>
        <w:rPr>
          <w:sz w:val="20"/>
          <w:szCs w:val="20"/>
          <w:color w:val="auto"/>
        </w:rPr>
      </w:pPr>
      <w:r>
        <w:rPr>
          <w:rFonts w:ascii="Arial" w:cs="Arial" w:eastAsia="Arial" w:hAnsi="Arial"/>
          <w:sz w:val="17"/>
          <w:szCs w:val="17"/>
          <w:color w:val="auto"/>
        </w:rPr>
        <w:t>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FDA designate the product candidate for a specific indication as a breakthrough therapy concurrent with, or after, the filing of the IND for the product candidate. FDA must determine if the product candidate qualifies for breakthrough therapy designation within 60 days of receipt of the sponsor’s request. The FDA may take certain actions with respect to breakthrough therapies, including holding</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3" w:name="page24"/>
    <w:bookmarkEnd w:id="23"/>
    <w:p>
      <w:pPr>
        <w:ind w:right="240"/>
        <w:spacing w:after="0" w:line="263" w:lineRule="auto"/>
        <w:rPr>
          <w:sz w:val="20"/>
          <w:szCs w:val="20"/>
          <w:color w:val="auto"/>
        </w:rPr>
      </w:pPr>
      <w:r>
        <w:rPr>
          <w:rFonts w:ascii="Arial" w:cs="Arial" w:eastAsia="Arial" w:hAnsi="Arial"/>
          <w:sz w:val="18"/>
          <w:szCs w:val="18"/>
          <w:color w:val="auto"/>
        </w:rPr>
        <w:t>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Drugs</w:t>
      </w:r>
    </w:p>
    <w:p>
      <w:pPr>
        <w:spacing w:after="0" w:line="90" w:lineRule="exact"/>
        <w:rPr>
          <w:sz w:val="20"/>
          <w:szCs w:val="20"/>
          <w:color w:val="auto"/>
        </w:rPr>
      </w:pPr>
    </w:p>
    <w:p>
      <w:pPr>
        <w:ind w:right="20" w:firstLine="512"/>
        <w:spacing w:after="0" w:line="259" w:lineRule="auto"/>
        <w:rPr>
          <w:sz w:val="20"/>
          <w:szCs w:val="20"/>
          <w:color w:val="auto"/>
        </w:rPr>
      </w:pPr>
      <w:r>
        <w:rPr>
          <w:rFonts w:ascii="Arial" w:cs="Arial" w:eastAsia="Arial" w:hAnsi="Arial"/>
          <w:sz w:val="18"/>
          <w:szCs w:val="18"/>
          <w:color w:val="auto"/>
        </w:rPr>
        <w:t>Under the Orphan Drug Act,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46" w:lineRule="exact"/>
        <w:rPr>
          <w:sz w:val="20"/>
          <w:szCs w:val="20"/>
          <w:color w:val="auto"/>
        </w:rPr>
      </w:pPr>
    </w:p>
    <w:p>
      <w:pPr>
        <w:ind w:right="20" w:firstLine="512"/>
        <w:spacing w:after="0" w:line="263" w:lineRule="auto"/>
        <w:rPr>
          <w:sz w:val="20"/>
          <w:szCs w:val="20"/>
          <w:color w:val="auto"/>
        </w:rPr>
      </w:pPr>
      <w:r>
        <w:rPr>
          <w:rFonts w:ascii="Arial" w:cs="Arial" w:eastAsia="Arial" w:hAnsi="Arial"/>
          <w:sz w:val="18"/>
          <w:szCs w:val="18"/>
          <w:color w:val="auto"/>
        </w:rPr>
        <w:t>Orphan drug designation must be requested before submitting an NDA. After FDA grants orphan drug designation, the identity of the drug and its potential orphan use are disclosed publicly by FDA. Orphan drug designation does not convey any advantage in, or shorten the duration of, the regulatory review and approval process.</w:t>
      </w:r>
    </w:p>
    <w:p>
      <w:pPr>
        <w:spacing w:after="0" w:line="184" w:lineRule="exact"/>
        <w:rPr>
          <w:sz w:val="20"/>
          <w:szCs w:val="20"/>
          <w:color w:val="auto"/>
        </w:rPr>
      </w:pPr>
    </w:p>
    <w:p>
      <w:pPr>
        <w:ind w:right="20" w:firstLine="512"/>
        <w:spacing w:after="0" w:line="254" w:lineRule="auto"/>
        <w:rPr>
          <w:sz w:val="20"/>
          <w:szCs w:val="20"/>
          <w:color w:val="auto"/>
        </w:rPr>
      </w:pPr>
      <w:r>
        <w:rPr>
          <w:rFonts w:ascii="Arial" w:cs="Arial" w:eastAsia="Arial" w:hAnsi="Arial"/>
          <w:sz w:val="18"/>
          <w:szCs w:val="18"/>
          <w:color w:val="auto"/>
        </w:rPr>
        <w:t>The first NDA applicant to receive FDA approval for a particular active moiety to treat a rare disease for which it has such designation is entitled to a seven-year exclusive marketing period in the U.S. for that product, for that indication. During the seven-year exclusivity period,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80" w:firstLine="512"/>
        <w:spacing w:after="0" w:line="293" w:lineRule="auto"/>
        <w:rPr>
          <w:sz w:val="20"/>
          <w:szCs w:val="20"/>
          <w:color w:val="auto"/>
        </w:rPr>
      </w:pPr>
      <w:r>
        <w:rPr>
          <w:rFonts w:ascii="Arial" w:cs="Arial" w:eastAsia="Arial" w:hAnsi="Arial"/>
          <w:sz w:val="16"/>
          <w:szCs w:val="16"/>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Unless otherwise required by regulation, PREA does not apply to any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64" w:lineRule="exact"/>
        <w:rPr>
          <w:sz w:val="20"/>
          <w:szCs w:val="20"/>
          <w:color w:val="auto"/>
        </w:rPr>
      </w:pPr>
    </w:p>
    <w:p>
      <w:pPr>
        <w:ind w:firstLine="512"/>
        <w:spacing w:after="0" w:line="257"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540" w:firstLine="512"/>
        <w:spacing w:after="0" w:line="259"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187" w:lineRule="exact"/>
        <w:rPr>
          <w:sz w:val="20"/>
          <w:szCs w:val="20"/>
          <w:color w:val="auto"/>
        </w:rPr>
      </w:pPr>
    </w:p>
    <w:p>
      <w:pPr>
        <w:ind w:right="140" w:firstLine="512"/>
        <w:spacing w:after="0" w:line="275" w:lineRule="auto"/>
        <w:rPr>
          <w:sz w:val="20"/>
          <w:szCs w:val="20"/>
          <w:color w:val="auto"/>
        </w:rPr>
      </w:pPr>
      <w:r>
        <w:rPr>
          <w:rFonts w:ascii="Arial" w:cs="Arial" w:eastAsia="Arial" w:hAnsi="Arial"/>
          <w:sz w:val="17"/>
          <w:szCs w:val="17"/>
          <w:color w:val="auto"/>
        </w:rPr>
        <w:t>Adverse event reporting and submission of periodic reports are required following FDA approval of an NDA. FDA also may require post-marketing testing, known as Phase 4 testing, risk evaluation and mitigation strategies, or REMS, and surveillance to monitor the effects of an approved product, or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Registration with FDA subjects entities to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right="140"/>
        <w:spacing w:after="0" w:line="279" w:lineRule="auto"/>
        <w:rPr>
          <w:sz w:val="20"/>
          <w:szCs w:val="20"/>
          <w:color w:val="auto"/>
        </w:rPr>
      </w:pPr>
      <w:r>
        <w:rPr>
          <w:rFonts w:ascii="Arial" w:cs="Arial" w:eastAsia="Arial" w:hAnsi="Arial"/>
          <w:sz w:val="17"/>
          <w:szCs w:val="17"/>
          <w:color w:val="auto"/>
        </w:rPr>
        <w:t>periodic unannounced inspections by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Orange Book Listing</w:t>
      </w:r>
    </w:p>
    <w:p>
      <w:pPr>
        <w:spacing w:after="0" w:line="117" w:lineRule="exact"/>
        <w:rPr>
          <w:sz w:val="20"/>
          <w:szCs w:val="20"/>
          <w:color w:val="auto"/>
        </w:rPr>
      </w:pPr>
    </w:p>
    <w:p>
      <w:pPr>
        <w:ind w:right="60" w:firstLine="512"/>
        <w:spacing w:after="0" w:line="279" w:lineRule="auto"/>
        <w:rPr>
          <w:sz w:val="20"/>
          <w:szCs w:val="20"/>
          <w:color w:val="auto"/>
        </w:rPr>
      </w:pPr>
      <w:r>
        <w:rPr>
          <w:rFonts w:ascii="Arial" w:cs="Arial" w:eastAsia="Arial" w:hAnsi="Arial"/>
          <w:sz w:val="17"/>
          <w:szCs w:val="17"/>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71" w:lineRule="exact"/>
        <w:rPr>
          <w:sz w:val="20"/>
          <w:szCs w:val="20"/>
          <w:color w:val="auto"/>
        </w:rPr>
      </w:pPr>
    </w:p>
    <w:p>
      <w:pPr>
        <w:ind w:right="20" w:firstLine="512"/>
        <w:spacing w:after="0" w:line="272" w:lineRule="auto"/>
        <w:rPr>
          <w:sz w:val="20"/>
          <w:szCs w:val="20"/>
          <w:color w:val="auto"/>
        </w:rPr>
      </w:pPr>
      <w:r>
        <w:rPr>
          <w:rFonts w:ascii="Arial" w:cs="Arial" w:eastAsia="Arial" w:hAnsi="Arial"/>
          <w:sz w:val="17"/>
          <w:szCs w:val="17"/>
          <w:color w:val="auto"/>
        </w:rPr>
        <w:t>Drugs listed in the Orange Book can, in turn, be cited by potential generic competitors in support of approval of an abbreviated new drug application,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177" w:lineRule="exact"/>
        <w:rPr>
          <w:sz w:val="20"/>
          <w:szCs w:val="20"/>
          <w:color w:val="auto"/>
        </w:rPr>
      </w:pPr>
    </w:p>
    <w:p>
      <w:pPr>
        <w:ind w:firstLine="512"/>
        <w:spacing w:after="0" w:line="286" w:lineRule="auto"/>
        <w:rPr>
          <w:sz w:val="20"/>
          <w:szCs w:val="20"/>
          <w:color w:val="auto"/>
        </w:rPr>
      </w:pPr>
      <w:r>
        <w:rPr>
          <w:rFonts w:ascii="Arial" w:cs="Arial" w:eastAsia="Arial" w:hAnsi="Arial"/>
          <w:sz w:val="16"/>
          <w:szCs w:val="16"/>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 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71" w:lineRule="exact"/>
        <w:rPr>
          <w:sz w:val="20"/>
          <w:szCs w:val="20"/>
          <w:color w:val="auto"/>
        </w:rPr>
      </w:pPr>
    </w:p>
    <w:p>
      <w:pPr>
        <w:ind w:right="340" w:firstLine="512"/>
        <w:spacing w:after="0" w:line="286" w:lineRule="auto"/>
        <w:rPr>
          <w:sz w:val="20"/>
          <w:szCs w:val="20"/>
          <w:color w:val="auto"/>
        </w:rPr>
      </w:pPr>
      <w:r>
        <w:rPr>
          <w:rFonts w:ascii="Arial" w:cs="Arial" w:eastAsia="Arial" w:hAnsi="Arial"/>
          <w:sz w:val="17"/>
          <w:szCs w:val="17"/>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2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Exclusivity</w:t>
      </w:r>
    </w:p>
    <w:p>
      <w:pPr>
        <w:spacing w:after="0" w:line="117" w:lineRule="exact"/>
        <w:rPr>
          <w:sz w:val="20"/>
          <w:szCs w:val="20"/>
          <w:color w:val="auto"/>
        </w:rPr>
      </w:pPr>
    </w:p>
    <w:p>
      <w:pPr>
        <w:ind w:right="20" w:firstLine="512"/>
        <w:spacing w:after="0" w:line="259" w:lineRule="auto"/>
        <w:rPr>
          <w:sz w:val="20"/>
          <w:szCs w:val="20"/>
          <w:color w:val="auto"/>
        </w:rPr>
      </w:pPr>
      <w:r>
        <w:rPr>
          <w:rFonts w:ascii="Arial" w:cs="Arial" w:eastAsia="Arial" w:hAnsi="Arial"/>
          <w:sz w:val="18"/>
          <w:szCs w:val="18"/>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5" w:name="page26"/>
    <w:bookmarkEnd w:id="25"/>
    <w:p>
      <w:pPr>
        <w:ind w:right="60"/>
        <w:spacing w:after="0" w:line="277" w:lineRule="auto"/>
        <w:rPr>
          <w:sz w:val="20"/>
          <w:szCs w:val="20"/>
          <w:color w:val="auto"/>
        </w:rPr>
      </w:pPr>
      <w:r>
        <w:rPr>
          <w:rFonts w:ascii="Arial" w:cs="Arial" w:eastAsia="Arial" w:hAnsi="Arial"/>
          <w:sz w:val="18"/>
          <w:szCs w:val="18"/>
          <w:color w:val="auto"/>
        </w:rPr>
        <w:t>is no listed patent in the Orange Book, there may not be a Paragraph IV certification, and, thus, no ANDA for a generic version of the drug may be filed before the expiration of the exclusivity period.</w:t>
      </w:r>
    </w:p>
    <w:p>
      <w:pPr>
        <w:spacing w:after="0" w:line="170" w:lineRule="exact"/>
        <w:rPr>
          <w:sz w:val="20"/>
          <w:szCs w:val="20"/>
          <w:color w:val="auto"/>
        </w:rPr>
      </w:pPr>
    </w:p>
    <w:p>
      <w:pPr>
        <w:ind w:firstLine="512"/>
        <w:spacing w:after="0" w:line="279" w:lineRule="auto"/>
        <w:rPr>
          <w:sz w:val="20"/>
          <w:szCs w:val="20"/>
          <w:color w:val="auto"/>
        </w:rPr>
      </w:pPr>
      <w:r>
        <w:rPr>
          <w:rFonts w:ascii="Arial" w:cs="Arial" w:eastAsia="Arial" w:hAnsi="Arial"/>
          <w:sz w:val="17"/>
          <w:szCs w:val="17"/>
          <w:color w:val="auto"/>
        </w:rPr>
        <w:t>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In some instances, an ANDA applicant may receive approval prior to expiration of the three-year exclusivity if the applicant seeks, and FDA permits, the omission of such exclusivity-protected information from the ANDA package insert.</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Patent Term Extension</w:t>
      </w:r>
    </w:p>
    <w:p>
      <w:pPr>
        <w:spacing w:after="0" w:line="117" w:lineRule="exact"/>
        <w:rPr>
          <w:sz w:val="20"/>
          <w:szCs w:val="20"/>
          <w:color w:val="auto"/>
        </w:rPr>
      </w:pPr>
    </w:p>
    <w:p>
      <w:pPr>
        <w:ind w:firstLine="512"/>
        <w:spacing w:after="0" w:line="296" w:lineRule="auto"/>
        <w:rPr>
          <w:sz w:val="20"/>
          <w:szCs w:val="20"/>
          <w:color w:val="auto"/>
        </w:rPr>
      </w:pPr>
      <w:r>
        <w:rPr>
          <w:rFonts w:ascii="Arial" w:cs="Arial" w:eastAsia="Arial" w:hAnsi="Arial"/>
          <w:sz w:val="16"/>
          <w:szCs w:val="16"/>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FDA determines that the applicant did not pursue approval with due diligence.</w:t>
      </w:r>
    </w:p>
    <w:p>
      <w:pPr>
        <w:spacing w:after="0" w:line="161" w:lineRule="exact"/>
        <w:rPr>
          <w:sz w:val="20"/>
          <w:szCs w:val="20"/>
          <w:color w:val="auto"/>
        </w:rPr>
      </w:pPr>
    </w:p>
    <w:p>
      <w:pPr>
        <w:ind w:right="300" w:firstLine="512"/>
        <w:spacing w:after="0" w:line="257" w:lineRule="auto"/>
        <w:rPr>
          <w:sz w:val="20"/>
          <w:szCs w:val="20"/>
          <w:color w:val="auto"/>
        </w:rPr>
      </w:pPr>
      <w:r>
        <w:rPr>
          <w:rFonts w:ascii="Arial" w:cs="Arial" w:eastAsia="Arial" w:hAnsi="Arial"/>
          <w:sz w:val="18"/>
          <w:szCs w:val="18"/>
          <w:color w:val="auto"/>
        </w:rPr>
        <w:t>The United States Patent and Trademark Office, or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88" w:lineRule="exact"/>
        <w:rPr>
          <w:sz w:val="20"/>
          <w:szCs w:val="20"/>
          <w:color w:val="auto"/>
        </w:rPr>
      </w:pPr>
    </w:p>
    <w:p>
      <w:pPr>
        <w:ind w:right="40" w:firstLine="512"/>
        <w:spacing w:after="0" w:line="255" w:lineRule="auto"/>
        <w:rPr>
          <w:sz w:val="20"/>
          <w:szCs w:val="20"/>
          <w:color w:val="auto"/>
        </w:rPr>
      </w:pPr>
      <w:r>
        <w:rPr>
          <w:rFonts w:ascii="Arial" w:cs="Arial" w:eastAsia="Arial" w:hAnsi="Arial"/>
          <w:sz w:val="18"/>
          <w:szCs w:val="18"/>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right="140" w:firstLine="513"/>
        <w:spacing w:after="0" w:line="254" w:lineRule="auto"/>
        <w:rPr>
          <w:sz w:val="20"/>
          <w:szCs w:val="20"/>
          <w:color w:val="auto"/>
        </w:rPr>
      </w:pPr>
      <w:r>
        <w:rPr>
          <w:rFonts w:ascii="Arial" w:cs="Arial" w:eastAsia="Arial" w:hAnsi="Arial"/>
          <w:sz w:val="18"/>
          <w:szCs w:val="18"/>
          <w:color w:val="auto"/>
        </w:rPr>
        <w:t>If use of an in vitro diagnostic is essential to safe and effective use of a drug product, then the FDA generally will require approval or clearance of the diagnostic, known as a companion diagnostic, at the same time that the FDA approves the drug product. FDA has generally required in vitro companion diagnostics intended to select the patients who will respond to cancer treatment to obtain a pre-market approval, or PMA, for that diagnostic simultaneously with approval of the drug. The review of these in vitro companion diagnostics in conjunction with the review of a cancer therapeutic involves coordination of review by the FDA’s Center for Drug Evaluation and Research and by the FDA’s Center for Devices and Radiological Health. Approval and clearance of a companion diagnostic also requires a high level of coordination between the drug manufacturer and device manufacturer, if different companies.</w:t>
      </w:r>
    </w:p>
    <w:p>
      <w:pPr>
        <w:spacing w:after="0" w:line="195" w:lineRule="exact"/>
        <w:rPr>
          <w:sz w:val="20"/>
          <w:szCs w:val="20"/>
          <w:color w:val="auto"/>
        </w:rPr>
      </w:pPr>
    </w:p>
    <w:p>
      <w:pPr>
        <w:ind w:right="200" w:firstLine="513"/>
        <w:spacing w:after="0" w:line="279"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 substantial application fee, which is typically increased annually.</w:t>
      </w:r>
    </w:p>
    <w:p>
      <w:pPr>
        <w:spacing w:after="0" w:line="171" w:lineRule="exact"/>
        <w:rPr>
          <w:sz w:val="20"/>
          <w:szCs w:val="20"/>
          <w:color w:val="auto"/>
        </w:rPr>
      </w:pPr>
    </w:p>
    <w:p>
      <w:pPr>
        <w:ind w:right="80" w:firstLine="512"/>
        <w:spacing w:after="0" w:line="301" w:lineRule="auto"/>
        <w:rPr>
          <w:sz w:val="20"/>
          <w:szCs w:val="20"/>
          <w:color w:val="auto"/>
        </w:rPr>
      </w:pPr>
      <w:r>
        <w:rPr>
          <w:rFonts w:ascii="Arial" w:cs="Arial" w:eastAsia="Arial" w:hAnsi="Arial"/>
          <w:sz w:val="16"/>
          <w:szCs w:val="16"/>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color w:val="auto"/>
        </w:rPr>
        <w:t>facilities for compliance with the Quality System Regulation, or QSR, which imposes elaborate testing, control, documentation and other quality assurance requirements.</w:t>
      </w:r>
    </w:p>
    <w:p>
      <w:pPr>
        <w:spacing w:after="0" w:line="116" w:lineRule="exact"/>
        <w:rPr>
          <w:sz w:val="20"/>
          <w:szCs w:val="20"/>
          <w:color w:val="auto"/>
        </w:rPr>
      </w:pPr>
    </w:p>
    <w:p>
      <w:pPr>
        <w:ind w:right="160" w:firstLine="512"/>
        <w:spacing w:after="0" w:line="254" w:lineRule="auto"/>
        <w:rPr>
          <w:sz w:val="20"/>
          <w:szCs w:val="20"/>
          <w:color w:val="auto"/>
        </w:rPr>
      </w:pPr>
      <w:r>
        <w:rPr>
          <w:rFonts w:ascii="Arial" w:cs="Arial" w:eastAsia="Arial" w:hAnsi="Arial"/>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38" w:lineRule="exact"/>
        <w:rPr>
          <w:sz w:val="20"/>
          <w:szCs w:val="20"/>
          <w:color w:val="auto"/>
        </w:rPr>
      </w:pPr>
    </w:p>
    <w:p>
      <w:pPr>
        <w:ind w:right="100" w:firstLine="512"/>
        <w:spacing w:after="0" w:line="254"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including payment of an annual establishment registration fee, and list their device(s)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90" w:lineRule="exact"/>
        <w:rPr>
          <w:sz w:val="20"/>
          <w:szCs w:val="20"/>
          <w:color w:val="auto"/>
        </w:rPr>
      </w:pPr>
    </w:p>
    <w:p>
      <w:pPr>
        <w:ind w:right="200" w:firstLine="512"/>
        <w:spacing w:after="0" w:line="263"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spacing w:after="0" w:line="130" w:lineRule="exact"/>
        <w:rPr>
          <w:sz w:val="20"/>
          <w:szCs w:val="20"/>
          <w:color w:val="auto"/>
        </w:rPr>
      </w:pPr>
    </w:p>
    <w:p>
      <w:pPr>
        <w:ind w:firstLine="512"/>
        <w:spacing w:after="0" w:line="288"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spacing w:after="0" w:line="114" w:lineRule="exact"/>
        <w:rPr>
          <w:sz w:val="20"/>
          <w:szCs w:val="20"/>
          <w:color w:val="auto"/>
        </w:rPr>
      </w:pPr>
    </w:p>
    <w:p>
      <w:pPr>
        <w:ind w:right="80" w:firstLine="512"/>
        <w:spacing w:after="0" w:line="289" w:lineRule="auto"/>
        <w:rPr>
          <w:sz w:val="20"/>
          <w:szCs w:val="20"/>
          <w:color w:val="auto"/>
        </w:rPr>
      </w:pPr>
      <w:r>
        <w:rPr>
          <w:rFonts w:ascii="Arial" w:cs="Arial" w:eastAsia="Arial" w:hAnsi="Arial"/>
          <w:sz w:val="16"/>
          <w:szCs w:val="16"/>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firstLine="512"/>
        <w:spacing w:after="0" w:line="254" w:lineRule="auto"/>
        <w:rPr>
          <w:sz w:val="20"/>
          <w:szCs w:val="20"/>
          <w:color w:val="auto"/>
        </w:rPr>
      </w:pPr>
      <w:r>
        <w:rPr>
          <w:rFonts w:ascii="Arial" w:cs="Arial" w:eastAsia="Arial" w:hAnsi="Arial"/>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95" w:lineRule="exact"/>
        <w:rPr>
          <w:sz w:val="20"/>
          <w:szCs w:val="20"/>
          <w:color w:val="auto"/>
        </w:rPr>
      </w:pPr>
    </w:p>
    <w:p>
      <w:pPr>
        <w:ind w:right="20" w:firstLine="512"/>
        <w:spacing w:after="0" w:line="269" w:lineRule="auto"/>
        <w:rPr>
          <w:sz w:val="20"/>
          <w:szCs w:val="20"/>
          <w:color w:val="auto"/>
        </w:rPr>
      </w:pPr>
      <w:r>
        <w:rPr>
          <w:rFonts w:ascii="Arial" w:cs="Arial" w:eastAsia="Arial" w:hAnsi="Arial"/>
          <w:sz w:val="17"/>
          <w:szCs w:val="17"/>
          <w:color w:val="auto"/>
        </w:rPr>
        <w:t>In addition, HIPAA, as amended by the Health Information Technology for Economic and Clinical Health Act of 2009, or HITECH, and their respective implementing regulations, including the Final Omnibus Rule published on January 25, 2013,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w:t>
      </w:r>
    </w:p>
    <w:p>
      <w:pPr>
        <w:spacing w:after="0" w:line="185" w:lineRule="exact"/>
        <w:rPr>
          <w:sz w:val="20"/>
          <w:szCs w:val="20"/>
          <w:color w:val="auto"/>
        </w:rPr>
      </w:pPr>
    </w:p>
    <w:p>
      <w:pPr>
        <w:ind w:right="180" w:firstLine="512"/>
        <w:spacing w:after="0" w:line="272" w:lineRule="auto"/>
        <w:rPr>
          <w:sz w:val="20"/>
          <w:szCs w:val="20"/>
          <w:color w:val="auto"/>
        </w:rPr>
      </w:pPr>
      <w:r>
        <w:rPr>
          <w:rFonts w:ascii="Arial" w:cs="Arial" w:eastAsia="Arial" w:hAnsi="Arial"/>
          <w:sz w:val="17"/>
          <w:szCs w:val="17"/>
          <w:color w:val="auto"/>
        </w:rPr>
        <w:t>Further, pursuant to the ACA, the Centers for Medicare &amp; Medicaid Services, or CMS, has issued a final rule that requires certain manufacturers of prescription drugs to collect and annually report information on certain payments or transfers of value to physicians, as defined by such law, and teaching hospitals, as well as ownership and investment interests held by physicians and their immediate family members. The reported data is made available in searchable form on a public website on an annual basis. Failure to submit required information may result in civil monetary penalties. Beginning calendar year 2021, manufacturers must collect information regarding payments and other transfers of value to physician assistants, nurse practitioners, clinical nurse specialists, certified registered nurse anesthetists, anesthesiologist assistants and certified nurse- midwives for reporting in 2022. The reported information is made publicly available on a searchable website.</w:t>
      </w:r>
    </w:p>
    <w:p>
      <w:pPr>
        <w:spacing w:after="0" w:line="177" w:lineRule="exact"/>
        <w:rPr>
          <w:sz w:val="20"/>
          <w:szCs w:val="20"/>
          <w:color w:val="auto"/>
        </w:rPr>
      </w:pPr>
    </w:p>
    <w:p>
      <w:pPr>
        <w:ind w:right="200" w:firstLine="512"/>
        <w:spacing w:after="0" w:line="257" w:lineRule="auto"/>
        <w:rPr>
          <w:sz w:val="20"/>
          <w:szCs w:val="20"/>
          <w:color w:val="auto"/>
        </w:rPr>
      </w:pPr>
      <w:r>
        <w:rPr>
          <w:rFonts w:ascii="Arial" w:cs="Arial" w:eastAsia="Arial" w:hAnsi="Arial"/>
          <w:sz w:val="18"/>
          <w:szCs w:val="18"/>
          <w:color w:val="auto"/>
        </w:rPr>
        <w:t>We may also be subject to analogous state and foreign anti-kickback and false claims laws that may apply to sales or marketing arrangements and claims involving healthcare items or services reimbursed by non- governmental third party payors, including private insurers, or that apply regardless of payor. 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Still other states require the posting of information relating to clinical studies and their outcomes.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195" w:lineRule="exact"/>
        <w:rPr>
          <w:sz w:val="20"/>
          <w:szCs w:val="20"/>
          <w:color w:val="auto"/>
        </w:rPr>
      </w:pPr>
    </w:p>
    <w:p>
      <w:pPr>
        <w:ind w:right="80" w:firstLine="512"/>
        <w:spacing w:after="0" w:line="273" w:lineRule="auto"/>
        <w:rPr>
          <w:sz w:val="20"/>
          <w:szCs w:val="20"/>
          <w:color w:val="auto"/>
        </w:rPr>
      </w:pPr>
      <w:r>
        <w:rPr>
          <w:rFonts w:ascii="Arial" w:cs="Arial" w:eastAsia="Arial" w:hAnsi="Arial"/>
          <w:sz w:val="17"/>
          <w:szCs w:val="17"/>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right="340"/>
        <w:spacing w:after="0" w:line="342" w:lineRule="auto"/>
        <w:rPr>
          <w:sz w:val="20"/>
          <w:szCs w:val="20"/>
          <w:color w:val="auto"/>
        </w:rPr>
      </w:pPr>
      <w:r>
        <w:rPr>
          <w:rFonts w:ascii="Arial" w:cs="Arial" w:eastAsia="Arial" w:hAnsi="Arial"/>
          <w:sz w:val="16"/>
          <w:szCs w:val="16"/>
          <w:color w:val="auto"/>
        </w:rPr>
        <w:t>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20" w:firstLine="512"/>
        <w:spacing w:after="0" w:line="267" w:lineRule="auto"/>
        <w:rPr>
          <w:sz w:val="20"/>
          <w:szCs w:val="20"/>
          <w:color w:val="auto"/>
        </w:rPr>
      </w:pPr>
      <w:r>
        <w:rPr>
          <w:rFonts w:ascii="Arial" w:cs="Arial" w:eastAsia="Arial" w:hAnsi="Arial"/>
          <w:sz w:val="17"/>
          <w:szCs w:val="17"/>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and Medicaid Innovation at CMS to test innovative payment and service delivery models to lower Medicare and Medicaid spending, potentially including prescription drug spending.</w:t>
      </w:r>
    </w:p>
    <w:p>
      <w:pPr>
        <w:spacing w:after="0" w:line="185" w:lineRule="exact"/>
        <w:rPr>
          <w:sz w:val="20"/>
          <w:szCs w:val="20"/>
          <w:color w:val="auto"/>
        </w:rPr>
      </w:pPr>
    </w:p>
    <w:p>
      <w:pPr>
        <w:jc w:val="both"/>
        <w:ind w:firstLine="512"/>
        <w:spacing w:after="0" w:line="284" w:lineRule="auto"/>
        <w:rPr>
          <w:sz w:val="20"/>
          <w:szCs w:val="20"/>
          <w:color w:val="auto"/>
        </w:rPr>
      </w:pPr>
      <w:r>
        <w:rPr>
          <w:rFonts w:ascii="Arial" w:cs="Arial" w:eastAsia="Arial" w:hAnsi="Arial"/>
          <w:sz w:val="16"/>
          <w:szCs w:val="16"/>
          <w:color w:val="auto"/>
        </w:rPr>
        <w:t>There have been legislative and judicial efforts to modify, repeal, or otherwise invalidate all, or certain provisions of, the ACA, including measures taken during the Trump administration. The Tax Cuts and Jobs Act of 2017, or the Tax Reform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In November 2020, the United States Supreme Court held oral arguments on the U.S. Court of Appeals for the Fifth Circuit’s decision that held that the individual mandate is unconstitutional. It is uncertain how the United States Supreme court will rule on this case or how healthcare measures of the Biden administration will impact the ACA and our business.</w:t>
      </w:r>
    </w:p>
    <w:p>
      <w:pPr>
        <w:spacing w:after="0" w:line="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or the BBA,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In addition, CMS published a final rule that would give states greater flexibility, effective January 1, 2020, in setting benchmarks for insurers in the individual and small group marketplaces, which may have the effect of relaxing the essential health benefits required under the ACA for plans sold through such marketplaces. We cannot predict the ultimate content, timing or effect of any healthcare reform legislation or the impact of potential legislation on us.</w:t>
      </w:r>
    </w:p>
    <w:p>
      <w:pPr>
        <w:spacing w:after="0" w:line="225" w:lineRule="exact"/>
        <w:rPr>
          <w:sz w:val="20"/>
          <w:szCs w:val="20"/>
          <w:color w:val="auto"/>
        </w:rPr>
      </w:pPr>
    </w:p>
    <w:p>
      <w:pPr>
        <w:ind w:right="300" w:firstLine="512"/>
        <w:spacing w:after="0" w:line="259"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right="60"/>
        <w:spacing w:after="0" w:line="286" w:lineRule="auto"/>
        <w:rPr>
          <w:sz w:val="20"/>
          <w:szCs w:val="20"/>
          <w:color w:val="auto"/>
        </w:rPr>
      </w:pPr>
      <w:r>
        <w:rPr>
          <w:rFonts w:ascii="Arial" w:cs="Arial" w:eastAsia="Arial" w:hAnsi="Arial"/>
          <w:sz w:val="16"/>
          <w:szCs w:val="16"/>
          <w:color w:val="auto"/>
        </w:rPr>
        <w:t>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The Consolidated Appropriations Act, 2021 extended the suspension of the 2% Medicare sequester through March 31, 2021.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201" w:lineRule="exact"/>
        <w:rPr>
          <w:sz w:val="20"/>
          <w:szCs w:val="20"/>
          <w:color w:val="auto"/>
        </w:rPr>
      </w:pPr>
    </w:p>
    <w:p>
      <w:pPr>
        <w:ind w:firstLine="512"/>
        <w:spacing w:after="0" w:line="255"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included a $135 billion allowance to support legislative proposals seeking to reduce drug prices, increase competition, lower out-of-pocket drug costs for patients, and increase patient access to lower-cost generic and biosimilar drugs.</w:t>
      </w:r>
    </w:p>
    <w:p>
      <w:pPr>
        <w:spacing w:after="0" w:line="219" w:lineRule="exact"/>
        <w:rPr>
          <w:sz w:val="20"/>
          <w:szCs w:val="20"/>
          <w:color w:val="auto"/>
        </w:rPr>
      </w:pPr>
    </w:p>
    <w:p>
      <w:pPr>
        <w:ind w:right="180" w:firstLine="512"/>
        <w:spacing w:after="0" w:line="272" w:lineRule="auto"/>
        <w:rPr>
          <w:sz w:val="20"/>
          <w:szCs w:val="20"/>
          <w:color w:val="auto"/>
        </w:rPr>
      </w:pPr>
      <w:r>
        <w:rPr>
          <w:rFonts w:ascii="Arial" w:cs="Arial" w:eastAsia="Arial" w:hAnsi="Arial"/>
          <w:sz w:val="17"/>
          <w:szCs w:val="17"/>
          <w:color w:val="auto"/>
        </w:rPr>
        <w:t>In particular,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The Trump and Biden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177" w:lineRule="exact"/>
        <w:rPr>
          <w:sz w:val="20"/>
          <w:szCs w:val="20"/>
          <w:color w:val="auto"/>
        </w:rPr>
      </w:pPr>
    </w:p>
    <w:p>
      <w:pPr>
        <w:ind w:firstLine="512"/>
        <w:spacing w:after="0" w:line="270" w:lineRule="auto"/>
        <w:rPr>
          <w:sz w:val="20"/>
          <w:szCs w:val="20"/>
          <w:color w:val="auto"/>
        </w:rPr>
      </w:pPr>
      <w:r>
        <w:rPr>
          <w:rFonts w:ascii="Arial" w:cs="Arial" w:eastAsia="Arial" w:hAnsi="Arial"/>
          <w:sz w:val="17"/>
          <w:szCs w:val="17"/>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CMS also published an interim final rule that establishes an MFN Model for Medicare Part B drug payment. This regulation would substantially change the drug reimbursement landscape as it bases Medicare Part B payment for 50 selected drugs on prices in foreign countries instead of ASP and establishes a fixed add-on payment in place of the current 6 percent (4.3 percent after sequestration) of ASP. The MFN drug payment amount is expected to be lower than the current ASP-based limit because U.S. drug prices are generally the highest in the world. On December 28, 2020, the United States District Court in Northern California issued a nationwide preliminary injunction against implementation of the interim final rule, and it faces uncertain prospects for implementation.</w:t>
      </w:r>
    </w:p>
    <w:p>
      <w:pPr>
        <w:spacing w:after="0" w:line="208" w:lineRule="exact"/>
        <w:rPr>
          <w:sz w:val="20"/>
          <w:szCs w:val="20"/>
          <w:color w:val="auto"/>
        </w:rPr>
      </w:pPr>
    </w:p>
    <w:p>
      <w:pPr>
        <w:jc w:val="both"/>
        <w:ind w:right="120" w:firstLine="512"/>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most cases, designed to encourage importation from other countries and bulk purchasing.</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0" w:name="page31"/>
    <w:bookmarkEnd w:id="30"/>
    <w:p>
      <w:pPr>
        <w:jc w:val="both"/>
        <w:ind w:right="240" w:firstLine="512"/>
        <w:spacing w:after="0" w:line="311" w:lineRule="auto"/>
        <w:rPr>
          <w:sz w:val="20"/>
          <w:szCs w:val="20"/>
          <w:color w:val="auto"/>
        </w:rPr>
      </w:pPr>
      <w:r>
        <w:rPr>
          <w:rFonts w:ascii="Arial" w:cs="Arial" w:eastAsia="Arial" w:hAnsi="Arial"/>
          <w:sz w:val="16"/>
          <w:szCs w:val="16"/>
          <w:color w:val="auto"/>
        </w:rPr>
        <w:t>It is possible that additional governmental action is taken to address the COVID-19 pandemic.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76" w:lineRule="exact"/>
        <w:rPr>
          <w:sz w:val="20"/>
          <w:szCs w:val="20"/>
          <w:color w:val="auto"/>
        </w:rPr>
      </w:pPr>
    </w:p>
    <w:p>
      <w:pPr>
        <w:ind w:right="160" w:firstLine="512"/>
        <w:spacing w:after="0" w:line="275"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80" w:firstLine="512"/>
        <w:spacing w:after="0" w:line="272" w:lineRule="auto"/>
        <w:rPr>
          <w:sz w:val="20"/>
          <w:szCs w:val="20"/>
          <w:color w:val="auto"/>
        </w:rPr>
      </w:pPr>
      <w:r>
        <w:rPr>
          <w:rFonts w:ascii="Arial" w:cs="Arial" w:eastAsia="Arial" w:hAnsi="Arial"/>
          <w:sz w:val="17"/>
          <w:szCs w:val="17"/>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when more established or lower-cost therapeutic alternatives are already available. Patients are unlikely to use our products unless reimbursement is adequate to cover all or a significant portion of the cost of our drug products.</w:t>
      </w:r>
    </w:p>
    <w:p>
      <w:pPr>
        <w:spacing w:after="0" w:line="150" w:lineRule="exact"/>
        <w:rPr>
          <w:sz w:val="20"/>
          <w:szCs w:val="20"/>
          <w:color w:val="auto"/>
        </w:rPr>
      </w:pPr>
    </w:p>
    <w:p>
      <w:pPr>
        <w:ind w:right="80" w:firstLine="512"/>
        <w:spacing w:after="0" w:line="271" w:lineRule="auto"/>
        <w:rPr>
          <w:sz w:val="20"/>
          <w:szCs w:val="20"/>
          <w:color w:val="auto"/>
        </w:rPr>
      </w:pPr>
      <w:r>
        <w:rPr>
          <w:rFonts w:ascii="Arial" w:cs="Arial" w:eastAsia="Arial" w:hAnsi="Arial"/>
          <w:sz w:val="17"/>
          <w:szCs w:val="17"/>
          <w:color w:val="auto"/>
        </w:rPr>
        <w:t>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151" w:lineRule="exact"/>
        <w:rPr>
          <w:sz w:val="20"/>
          <w:szCs w:val="20"/>
          <w:color w:val="auto"/>
        </w:rPr>
      </w:pPr>
    </w:p>
    <w:p>
      <w:pPr>
        <w:ind w:right="100" w:firstLine="512"/>
        <w:spacing w:after="0" w:line="259" w:lineRule="auto"/>
        <w:rPr>
          <w:sz w:val="20"/>
          <w:szCs w:val="20"/>
          <w:color w:val="auto"/>
        </w:rPr>
      </w:pPr>
      <w:r>
        <w:rPr>
          <w:rFonts w:ascii="Arial" w:cs="Arial" w:eastAsia="Arial" w:hAnsi="Arial"/>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 party payors may refuse to include a particular reference listed drug in their formularies or otherwise restrict patient access to a reference listed drug when a less costly generic equivalent or other alternative is available.</w:t>
      </w:r>
    </w:p>
    <w:p>
      <w:pPr>
        <w:spacing w:after="0" w:line="160" w:lineRule="exact"/>
        <w:rPr>
          <w:sz w:val="20"/>
          <w:szCs w:val="20"/>
          <w:color w:val="auto"/>
        </w:rPr>
      </w:pPr>
    </w:p>
    <w:p>
      <w:pPr>
        <w:ind w:right="260" w:firstLine="512"/>
        <w:spacing w:after="0" w:line="257" w:lineRule="auto"/>
        <w:rPr>
          <w:sz w:val="20"/>
          <w:szCs w:val="20"/>
          <w:color w:val="auto"/>
        </w:rPr>
      </w:pPr>
      <w:r>
        <w:rPr>
          <w:rFonts w:ascii="Arial" w:cs="Arial" w:eastAsia="Arial" w:hAnsi="Arial"/>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drugs products from coverage and limit payments for pharmaceuticals.</w:t>
      </w:r>
    </w:p>
    <w:p>
      <w:pPr>
        <w:spacing w:after="0" w:line="161" w:lineRule="exact"/>
        <w:rPr>
          <w:sz w:val="20"/>
          <w:szCs w:val="20"/>
          <w:color w:val="auto"/>
        </w:rPr>
      </w:pPr>
    </w:p>
    <w:p>
      <w:pPr>
        <w:ind w:firstLine="512"/>
        <w:spacing w:after="0" w:line="279" w:lineRule="auto"/>
        <w:rPr>
          <w:sz w:val="20"/>
          <w:szCs w:val="20"/>
          <w:color w:val="auto"/>
        </w:rPr>
      </w:pPr>
      <w:r>
        <w:rPr>
          <w:rFonts w:ascii="Arial" w:cs="Arial" w:eastAsia="Arial" w:hAnsi="Arial"/>
          <w:sz w:val="17"/>
          <w:szCs w:val="17"/>
          <w:color w:val="auto"/>
        </w:rPr>
        <w:t>In addition, we expect that the increased emphasis on managed care and cost containment measures in the United States by third-party payors and government authorities to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180" w:firstLine="513"/>
        <w:spacing w:after="0" w:line="259" w:lineRule="auto"/>
        <w:rPr>
          <w:sz w:val="20"/>
          <w:szCs w:val="20"/>
          <w:color w:val="auto"/>
        </w:rPr>
      </w:pPr>
      <w:r>
        <w:rPr>
          <w:rFonts w:ascii="Arial" w:cs="Arial" w:eastAsia="Arial" w:hAnsi="Arial"/>
          <w:sz w:val="18"/>
          <w:szCs w:val="18"/>
          <w:color w:val="auto"/>
        </w:rPr>
        <w:t>As of December 31, 2021, we had 116 full-time employees. Women represent approximately 45% of our employees with approximately 37% holding senior management level/leadership roles. Of these employees, 30 have an M.D. or a Ph.D.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Diversity &amp; Inclusion</w:t>
      </w:r>
    </w:p>
    <w:p>
      <w:pPr>
        <w:spacing w:after="0" w:line="117" w:lineRule="exact"/>
        <w:rPr>
          <w:sz w:val="20"/>
          <w:szCs w:val="20"/>
          <w:color w:val="auto"/>
        </w:rPr>
      </w:pPr>
    </w:p>
    <w:p>
      <w:pPr>
        <w:ind w:right="60" w:firstLine="513"/>
        <w:spacing w:after="0" w:line="273" w:lineRule="auto"/>
        <w:rPr>
          <w:sz w:val="20"/>
          <w:szCs w:val="20"/>
          <w:color w:val="auto"/>
        </w:rPr>
      </w:pPr>
      <w:r>
        <w:rPr>
          <w:rFonts w:ascii="Arial" w:cs="Arial" w:eastAsia="Arial" w:hAnsi="Arial"/>
          <w:sz w:val="17"/>
          <w:szCs w:val="17"/>
          <w:color w:val="auto"/>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a code of conduct that sets standards for appropriate behavior and are required to attend annual training to help prevent, identify, report and stop any type of discrimination and harassment. Our recruitment, hiring, development, training, compensation, and advancement at our company is based on qualifications, performance, skills and experience without regard to gender, race and ethnicity.</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Competitive Pay &amp; Benefits</w:t>
      </w:r>
    </w:p>
    <w:p>
      <w:pPr>
        <w:spacing w:after="0" w:line="90" w:lineRule="exact"/>
        <w:rPr>
          <w:sz w:val="20"/>
          <w:szCs w:val="20"/>
          <w:color w:val="auto"/>
        </w:rPr>
      </w:pPr>
    </w:p>
    <w:p>
      <w:pPr>
        <w:ind w:right="40" w:firstLine="513"/>
        <w:spacing w:after="0" w:line="275" w:lineRule="auto"/>
        <w:rPr>
          <w:sz w:val="20"/>
          <w:szCs w:val="20"/>
          <w:color w:val="auto"/>
        </w:rPr>
      </w:pPr>
      <w:r>
        <w:rPr>
          <w:rFonts w:ascii="Arial" w:cs="Arial" w:eastAsia="Arial" w:hAnsi="Arial"/>
          <w:sz w:val="17"/>
          <w:szCs w:val="17"/>
          <w:color w:val="auto"/>
        </w:rPr>
        <w:t>We strive to provide pay, comprehensive benefits and services that help meet the varying needs of our employees. Our total rewards package includes competitive pay; comprehensive healthcare benefits package for employees, with family member healthcare benefits covered at 80%; a health savings account with company contribution; 20 days of paid time off and paid holidays; family medical leave and flexible work schedules. In addition, we offer every full-time employee, both exempt and non-exempt, the benefit of equity ownership in the company through stock option grants and our employee stock purchase plan. We sponsor a 401(k) plan that includes a discretionary matching contribution.</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Development &amp; Training</w:t>
      </w:r>
    </w:p>
    <w:p>
      <w:pPr>
        <w:spacing w:after="0" w:line="90" w:lineRule="exact"/>
        <w:rPr>
          <w:sz w:val="20"/>
          <w:szCs w:val="20"/>
          <w:color w:val="auto"/>
        </w:rPr>
      </w:pPr>
    </w:p>
    <w:p>
      <w:pPr>
        <w:ind w:right="100" w:firstLine="512"/>
        <w:spacing w:after="0" w:line="263" w:lineRule="auto"/>
        <w:rPr>
          <w:sz w:val="20"/>
          <w:szCs w:val="20"/>
          <w:color w:val="auto"/>
        </w:rPr>
      </w:pPr>
      <w:r>
        <w:rPr>
          <w:rFonts w:ascii="Arial" w:cs="Arial" w:eastAsia="Arial" w:hAnsi="Arial"/>
          <w:sz w:val="18"/>
          <w:szCs w:val="18"/>
          <w:color w:val="auto"/>
        </w:rPr>
        <w:t>We focus on attracting, retaining, and cultivating talented individuals. We emphasize employee development and training by providing access to a wide range of online and instructor led development and continual learning programs. Employees are encouraged to attend scientific, clinical and technological meetings and conferences and have access to broad resources they need to be successful.</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Safety</w:t>
      </w:r>
    </w:p>
    <w:p>
      <w:pPr>
        <w:spacing w:after="0" w:line="90" w:lineRule="exact"/>
        <w:rPr>
          <w:sz w:val="20"/>
          <w:szCs w:val="20"/>
          <w:color w:val="auto"/>
        </w:rPr>
      </w:pPr>
    </w:p>
    <w:p>
      <w:pPr>
        <w:ind w:firstLine="512"/>
        <w:spacing w:after="0" w:line="275" w:lineRule="auto"/>
        <w:rPr>
          <w:sz w:val="20"/>
          <w:szCs w:val="20"/>
          <w:color w:val="auto"/>
        </w:rPr>
      </w:pPr>
      <w:r>
        <w:rPr>
          <w:rFonts w:ascii="Arial" w:cs="Arial" w:eastAsia="Arial" w:hAnsi="Arial"/>
          <w:sz w:val="17"/>
          <w:szCs w:val="17"/>
          <w:color w:val="auto"/>
        </w:rPr>
        <w:t>The safety, health and wellness of our employees is a top priority. In response to the COVID-19 pandemic, we have implemented a safety protocols including shift work scheduling to reduce number of people in the facility, requirements for the wearing of masks and for social distancing, increased cleaning procedures and readily available hand sanitizer. These protocols are designed to comply with health and safety standards as required by federal, state and local government agencies, taking into consideration guidelines of the Centers for Disease Control and Prevention and other public health authorities. In addition, we have provided work-at-home arrangements for employees who are able to do so.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513"/>
        <w:spacing w:after="0" w:line="259" w:lineRule="auto"/>
        <w:rPr>
          <w:sz w:val="20"/>
          <w:szCs w:val="20"/>
          <w:color w:val="auto"/>
        </w:rPr>
      </w:pPr>
      <w:r>
        <w:rPr>
          <w:rFonts w:ascii="Arial" w:cs="Arial" w:eastAsia="Arial" w:hAnsi="Arial"/>
          <w:sz w:val="18"/>
          <w:szCs w:val="18"/>
          <w:color w:val="auto"/>
        </w:rPr>
        <w:t>We were incorporated under the laws of the State of Delaware in February 2016. Our principal executive offices are located at 200 Powder Mill Road, Wilmington, DE 19803, and our telephone number is (302) 467-1280. Our website address is www.preludetx.com.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87" w:lineRule="exact"/>
        <w:rPr>
          <w:sz w:val="20"/>
          <w:szCs w:val="20"/>
          <w:color w:val="auto"/>
        </w:rPr>
      </w:pPr>
    </w:p>
    <w:p>
      <w:pPr>
        <w:ind w:firstLine="513"/>
        <w:spacing w:after="0" w:line="263" w:lineRule="auto"/>
        <w:rPr>
          <w:sz w:val="20"/>
          <w:szCs w:val="20"/>
          <w:color w:val="auto"/>
        </w:rPr>
      </w:pPr>
      <w:r>
        <w:rPr>
          <w:rFonts w:ascii="Arial" w:cs="Arial" w:eastAsia="Arial" w:hAnsi="Arial"/>
          <w:sz w:val="18"/>
          <w:szCs w:val="18"/>
          <w:color w:val="auto"/>
        </w:rPr>
        <w:t>The mark “Prelude Therapeutics,” the Prelude logo and all product names are our common law trademarks. All other service marks, trademarks and trade names appearing in this Annual Report on Form 10-K are the property of their respective owners. Solely for convenience, the trademarks and tradenames referred to in this Annual Report on Form 10-K appear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2" w:name="page33"/>
    <w:bookmarkEnd w:id="32"/>
    <w:p>
      <w:pPr>
        <w:ind w:right="220"/>
        <w:spacing w:after="0" w:line="277" w:lineRule="auto"/>
        <w:rPr>
          <w:sz w:val="20"/>
          <w:szCs w:val="20"/>
          <w:color w:val="auto"/>
        </w:rPr>
      </w:pPr>
      <w:r>
        <w:rPr>
          <w:rFonts w:ascii="Arial" w:cs="Arial" w:eastAsia="Arial" w:hAnsi="Arial"/>
          <w:sz w:val="18"/>
          <w:szCs w:val="18"/>
          <w:color w:val="auto"/>
        </w:rPr>
        <w:t>without the ® and ™ symbols, but those references are not intended to indicate, in any way, that we will not assert, to the fullest extent under applicable law, our rights, or the right of the applicable licensor to these trademarks and tradenames.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513"/>
        <w:spacing w:after="0" w:line="286" w:lineRule="auto"/>
        <w:rPr>
          <w:sz w:val="20"/>
          <w:szCs w:val="20"/>
          <w:color w:val="auto"/>
        </w:rPr>
      </w:pPr>
      <w:r>
        <w:rPr>
          <w:rFonts w:ascii="Arial" w:cs="Arial" w:eastAsia="Arial" w:hAnsi="Arial"/>
          <w:sz w:val="17"/>
          <w:szCs w:val="17"/>
          <w:color w:val="auto"/>
        </w:rPr>
        <w:t>We make available free of charge electronic versions of our Annual Report on Form 10-K, quarterly reports on Form 10-Q, current reports on Form 8-K and amendments to those reports on our website, preludetx.com, as soon as reasonably practicable after we electronically file or furnish such materials to the Securities and Exchange Commission, or SEC. The reports are also available at www.sec.gov.</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ind w:right="120" w:firstLine="513"/>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Annual Report on Form 10-K,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900" w:right="140" w:hanging="447"/>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 Our ability to use our net operating loss carryforwards and certain other tax attributes may be limited.</w:t>
      </w:r>
    </w:p>
    <w:p>
      <w:pPr>
        <w:spacing w:after="0" w:line="186" w:lineRule="exact"/>
        <w:rPr>
          <w:rFonts w:ascii="Arial" w:cs="Arial" w:eastAsia="Arial" w:hAnsi="Arial"/>
          <w:sz w:val="18"/>
          <w:szCs w:val="18"/>
          <w:color w:val="auto"/>
        </w:rPr>
      </w:pPr>
    </w:p>
    <w:p>
      <w:pPr>
        <w:ind w:left="900" w:right="220" w:hanging="447"/>
        <w:spacing w:after="0" w:line="26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183" w:lineRule="exact"/>
        <w:rPr>
          <w:rFonts w:ascii="Arial" w:cs="Arial" w:eastAsia="Arial" w:hAnsi="Arial"/>
          <w:sz w:val="18"/>
          <w:szCs w:val="18"/>
          <w:color w:val="auto"/>
        </w:rPr>
      </w:pPr>
    </w:p>
    <w:p>
      <w:pPr>
        <w:ind w:left="900" w:right="40" w:hanging="447"/>
        <w:spacing w:after="0" w:line="26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highly dependent on the success of our product candidates, PRT543, PRT811, PRT1419 and PRT2527,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183" w:lineRule="exact"/>
        <w:rPr>
          <w:rFonts w:ascii="Arial" w:cs="Arial" w:eastAsia="Arial" w:hAnsi="Arial"/>
          <w:sz w:val="18"/>
          <w:szCs w:val="18"/>
          <w:color w:val="auto"/>
        </w:rPr>
      </w:pPr>
    </w:p>
    <w:p>
      <w:pPr>
        <w:ind w:left="900" w:right="1200" w:hanging="447"/>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and/or commercialization of PRT543, PRT811, PRT1419, PRT2527 or our other product candidates.</w:t>
      </w:r>
    </w:p>
    <w:p>
      <w:pPr>
        <w:spacing w:after="0" w:line="170" w:lineRule="exact"/>
        <w:rPr>
          <w:rFonts w:ascii="Arial" w:cs="Arial" w:eastAsia="Arial" w:hAnsi="Arial"/>
          <w:sz w:val="18"/>
          <w:szCs w:val="18"/>
          <w:color w:val="auto"/>
        </w:rPr>
      </w:pPr>
    </w:p>
    <w:p>
      <w:pPr>
        <w:ind w:left="900" w:right="640" w:hanging="447"/>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experience delays or difficulties in enrolling patients in our ongoing or planned clinical trials, our receipt of necessary regulatory approval could be delayed or prevented.</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clinical trials and clinical trial operations.</w:t>
      </w:r>
    </w:p>
    <w:p>
      <w:pPr>
        <w:spacing w:after="0" w:line="279" w:lineRule="exact"/>
        <w:rPr>
          <w:rFonts w:ascii="Arial" w:cs="Arial" w:eastAsia="Arial" w:hAnsi="Arial"/>
          <w:sz w:val="18"/>
          <w:szCs w:val="18"/>
          <w:color w:val="auto"/>
        </w:rPr>
      </w:pPr>
    </w:p>
    <w:p>
      <w:pPr>
        <w:ind w:left="900" w:right="40" w:hanging="447"/>
        <w:spacing w:after="0" w:line="26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side effects or other safety risks associated with PRT543, PRT811, PRT1419, PRT2527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183" w:lineRule="exact"/>
        <w:rPr>
          <w:rFonts w:ascii="Arial" w:cs="Arial" w:eastAsia="Arial" w:hAnsi="Arial"/>
          <w:sz w:val="18"/>
          <w:szCs w:val="18"/>
          <w:color w:val="auto"/>
        </w:rPr>
      </w:pPr>
    </w:p>
    <w:p>
      <w:pPr>
        <w:ind w:left="900" w:right="420" w:hanging="447"/>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 care policy changes, including U.S. health care reform legislation, may have a material adverse effect on our business.</w:t>
      </w:r>
    </w:p>
    <w:p>
      <w:pPr>
        <w:spacing w:after="0" w:line="279" w:lineRule="exact"/>
        <w:rPr>
          <w:rFonts w:ascii="Arial" w:cs="Arial" w:eastAsia="Arial" w:hAnsi="Arial"/>
          <w:sz w:val="18"/>
          <w:szCs w:val="18"/>
          <w:color w:val="auto"/>
        </w:rPr>
      </w:pPr>
    </w:p>
    <w:p>
      <w:pPr>
        <w:ind w:left="900" w:hanging="447"/>
        <w:spacing w:after="0" w:line="30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157" w:lineRule="exact"/>
        <w:rPr>
          <w:rFonts w:ascii="Arial" w:cs="Arial" w:eastAsia="Arial" w:hAnsi="Arial"/>
          <w:sz w:val="16"/>
          <w:szCs w:val="16"/>
          <w:color w:val="auto"/>
        </w:rPr>
      </w:pPr>
    </w:p>
    <w:p>
      <w:pPr>
        <w:ind w:left="900" w:right="420" w:hanging="447"/>
        <w:spacing w:after="0" w:line="26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4" w:name="page35"/>
    <w:bookmarkEnd w:id="34"/>
    <w:p>
      <w:pPr>
        <w:ind w:left="447" w:right="180"/>
        <w:spacing w:after="0" w:line="342" w:lineRule="auto"/>
        <w:rPr>
          <w:sz w:val="20"/>
          <w:szCs w:val="20"/>
          <w:color w:val="auto"/>
        </w:rPr>
      </w:pPr>
      <w:r>
        <w:rPr>
          <w:rFonts w:ascii="Arial" w:cs="Arial" w:eastAsia="Arial" w:hAnsi="Arial"/>
          <w:sz w:val="16"/>
          <w:szCs w:val="16"/>
          <w:color w:val="auto"/>
        </w:rPr>
        <w:t>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24" w:lineRule="exact"/>
        <w:rPr>
          <w:sz w:val="20"/>
          <w:szCs w:val="20"/>
          <w:color w:val="auto"/>
        </w:rPr>
      </w:pPr>
    </w:p>
    <w:p>
      <w:pPr>
        <w:ind w:left="447" w:right="900" w:hanging="447"/>
        <w:spacing w:after="0" w:line="342" w:lineRule="auto"/>
        <w:tabs>
          <w:tab w:leader="none" w:pos="4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123" w:lineRule="exact"/>
        <w:rPr>
          <w:rFonts w:ascii="Arial" w:cs="Arial" w:eastAsia="Arial" w:hAnsi="Arial"/>
          <w:sz w:val="16"/>
          <w:szCs w:val="16"/>
          <w:color w:val="auto"/>
        </w:rPr>
      </w:pPr>
    </w:p>
    <w:p>
      <w:pPr>
        <w:ind w:left="447" w:right="20" w:hanging="447"/>
        <w:spacing w:after="0" w:line="263"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183" w:lineRule="exact"/>
        <w:rPr>
          <w:rFonts w:ascii="Arial" w:cs="Arial" w:eastAsia="Arial" w:hAnsi="Arial"/>
          <w:sz w:val="18"/>
          <w:szCs w:val="18"/>
          <w:color w:val="auto"/>
        </w:rPr>
      </w:pPr>
    </w:p>
    <w:p>
      <w:pPr>
        <w:ind w:left="447" w:right="40" w:hanging="447"/>
        <w:spacing w:after="0" w:line="277"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70" w:lineRule="exact"/>
        <w:rPr>
          <w:rFonts w:ascii="Arial" w:cs="Arial" w:eastAsia="Arial" w:hAnsi="Arial"/>
          <w:sz w:val="18"/>
          <w:szCs w:val="18"/>
          <w:color w:val="auto"/>
        </w:rPr>
      </w:pPr>
    </w:p>
    <w:p>
      <w:pPr>
        <w:ind w:left="447" w:right="140" w:hanging="447"/>
        <w:spacing w:after="0" w:line="277"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liability lawsuits against us could cause us to incur substantial liabilities and to limit commercialization of any products that we may develop.</w:t>
      </w:r>
    </w:p>
    <w:p>
      <w:pPr>
        <w:spacing w:after="0" w:line="170" w:lineRule="exact"/>
        <w:rPr>
          <w:rFonts w:ascii="Arial" w:cs="Arial" w:eastAsia="Arial" w:hAnsi="Arial"/>
          <w:sz w:val="18"/>
          <w:szCs w:val="18"/>
          <w:color w:val="auto"/>
        </w:rPr>
      </w:pPr>
    </w:p>
    <w:p>
      <w:pPr>
        <w:ind w:left="447" w:right="420" w:hanging="447"/>
        <w:spacing w:after="0" w:line="277"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employees and to attract, retain and motivate qualified personnel and manage our human capital.</w:t>
      </w:r>
    </w:p>
    <w:p>
      <w:pPr>
        <w:spacing w:after="0" w:line="170" w:lineRule="exact"/>
        <w:rPr>
          <w:rFonts w:ascii="Arial" w:cs="Arial" w:eastAsia="Arial" w:hAnsi="Arial"/>
          <w:sz w:val="18"/>
          <w:szCs w:val="18"/>
          <w:color w:val="auto"/>
        </w:rPr>
      </w:pPr>
    </w:p>
    <w:p>
      <w:pPr>
        <w:ind w:left="447" w:hanging="447"/>
        <w:spacing w:after="0" w:line="277"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rFonts w:ascii="Arial" w:cs="Arial" w:eastAsia="Arial" w:hAnsi="Arial"/>
          <w:sz w:val="18"/>
          <w:szCs w:val="18"/>
          <w:color w:val="auto"/>
        </w:rPr>
      </w:pPr>
    </w:p>
    <w:p>
      <w:pPr>
        <w:ind w:left="447" w:right="240" w:hanging="447"/>
        <w:spacing w:after="0" w:line="342" w:lineRule="auto"/>
        <w:tabs>
          <w:tab w:leader="none" w:pos="4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23" w:lineRule="exact"/>
        <w:rPr>
          <w:rFonts w:ascii="Arial" w:cs="Arial" w:eastAsia="Arial" w:hAnsi="Arial"/>
          <w:sz w:val="16"/>
          <w:szCs w:val="16"/>
          <w:color w:val="auto"/>
        </w:rPr>
      </w:pPr>
    </w:p>
    <w:p>
      <w:pPr>
        <w:ind w:left="447" w:right="480" w:hanging="447"/>
        <w:spacing w:after="0" w:line="277"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engage in strategic transactions that could impact our liquidity, increase our expenses and present significant distractions to our management.</w:t>
      </w:r>
    </w:p>
    <w:p>
      <w:pPr>
        <w:spacing w:after="0" w:line="170" w:lineRule="exact"/>
        <w:rPr>
          <w:rFonts w:ascii="Arial" w:cs="Arial" w:eastAsia="Arial" w:hAnsi="Arial"/>
          <w:sz w:val="18"/>
          <w:szCs w:val="18"/>
          <w:color w:val="auto"/>
        </w:rPr>
      </w:pPr>
    </w:p>
    <w:p>
      <w:pPr>
        <w:ind w:left="447" w:right="240" w:hanging="447"/>
        <w:spacing w:after="0" w:line="263"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183" w:lineRule="exact"/>
        <w:rPr>
          <w:rFonts w:ascii="Arial" w:cs="Arial" w:eastAsia="Arial" w:hAnsi="Arial"/>
          <w:sz w:val="18"/>
          <w:szCs w:val="18"/>
          <w:color w:val="auto"/>
        </w:rPr>
      </w:pPr>
    </w:p>
    <w:p>
      <w:pPr>
        <w:ind w:left="447" w:right="40" w:hanging="447"/>
        <w:spacing w:after="0" w:line="277"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become involved in lawsuits or administrative disputes to protect or enforce our patents or other intellectual property, which could be expensive, time consuming and unsuccessful.</w:t>
      </w:r>
    </w:p>
    <w:p>
      <w:pPr>
        <w:spacing w:after="0" w:line="170" w:lineRule="exact"/>
        <w:rPr>
          <w:rFonts w:ascii="Arial" w:cs="Arial" w:eastAsia="Arial" w:hAnsi="Arial"/>
          <w:sz w:val="18"/>
          <w:szCs w:val="18"/>
          <w:color w:val="auto"/>
        </w:rPr>
      </w:pPr>
    </w:p>
    <w:p>
      <w:pPr>
        <w:ind w:left="447" w:hanging="447"/>
        <w:spacing w:after="0"/>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effectively protect or enforce our intellectual property and proprietary rights throughout the world.</w:t>
      </w:r>
    </w:p>
    <w:p>
      <w:pPr>
        <w:spacing w:after="0" w:line="279" w:lineRule="exact"/>
        <w:rPr>
          <w:rFonts w:ascii="Arial" w:cs="Arial" w:eastAsia="Arial" w:hAnsi="Arial"/>
          <w:sz w:val="18"/>
          <w:szCs w:val="18"/>
          <w:color w:val="auto"/>
        </w:rPr>
      </w:pPr>
    </w:p>
    <w:p>
      <w:pPr>
        <w:ind w:left="447" w:right="80" w:hanging="447"/>
        <w:spacing w:after="0" w:line="342" w:lineRule="auto"/>
        <w:tabs>
          <w:tab w:leader="none" w:pos="4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123" w:lineRule="exact"/>
        <w:rPr>
          <w:rFonts w:ascii="Arial" w:cs="Arial" w:eastAsia="Arial" w:hAnsi="Arial"/>
          <w:sz w:val="16"/>
          <w:szCs w:val="16"/>
          <w:color w:val="auto"/>
        </w:rPr>
      </w:pPr>
    </w:p>
    <w:p>
      <w:pPr>
        <w:ind w:left="447" w:hanging="447"/>
        <w:spacing w:after="0"/>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Rights to improvements to our product candidates may be held by third parties.</w:t>
      </w:r>
    </w:p>
    <w:p>
      <w:pPr>
        <w:spacing w:after="0" w:line="279" w:lineRule="exact"/>
        <w:rPr>
          <w:rFonts w:ascii="Arial" w:cs="Arial" w:eastAsia="Arial" w:hAnsi="Arial"/>
          <w:sz w:val="18"/>
          <w:szCs w:val="18"/>
          <w:color w:val="auto"/>
        </w:rPr>
      </w:pPr>
    </w:p>
    <w:p>
      <w:pPr>
        <w:ind w:left="447" w:right="240" w:hanging="447"/>
        <w:spacing w:after="0" w:line="277"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active and liquid trading market for our common stock may never be sustained. As a result, you may not be able to resell your shares of common stock at or above the purchase price.</w:t>
      </w:r>
    </w:p>
    <w:p>
      <w:pPr>
        <w:spacing w:after="0" w:line="170" w:lineRule="exact"/>
        <w:rPr>
          <w:rFonts w:ascii="Arial" w:cs="Arial" w:eastAsia="Arial" w:hAnsi="Arial"/>
          <w:sz w:val="18"/>
          <w:szCs w:val="18"/>
          <w:color w:val="auto"/>
        </w:rPr>
      </w:pPr>
    </w:p>
    <w:p>
      <w:pPr>
        <w:ind w:left="447" w:right="220" w:hanging="447"/>
        <w:spacing w:after="0" w:line="277"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price of our common stock is likely to be highly volatile, which could result in substantial losses for purchasers of our common stock.</w:t>
      </w:r>
    </w:p>
    <w:p>
      <w:pPr>
        <w:spacing w:after="0" w:line="170" w:lineRule="exact"/>
        <w:rPr>
          <w:rFonts w:ascii="Arial" w:cs="Arial" w:eastAsia="Arial" w:hAnsi="Arial"/>
          <w:sz w:val="18"/>
          <w:szCs w:val="18"/>
          <w:color w:val="auto"/>
        </w:rPr>
      </w:pPr>
    </w:p>
    <w:p>
      <w:pPr>
        <w:ind w:left="447" w:right="260" w:hanging="447"/>
        <w:spacing w:after="0" w:line="277"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are able to exert significant control over matters subject to stockholder approval.</w:t>
      </w:r>
    </w:p>
    <w:p>
      <w:pPr>
        <w:spacing w:after="0" w:line="170" w:lineRule="exact"/>
        <w:rPr>
          <w:rFonts w:ascii="Arial" w:cs="Arial" w:eastAsia="Arial" w:hAnsi="Arial"/>
          <w:sz w:val="18"/>
          <w:szCs w:val="18"/>
          <w:color w:val="auto"/>
        </w:rPr>
      </w:pPr>
    </w:p>
    <w:p>
      <w:pPr>
        <w:ind w:left="447" w:right="280" w:hanging="447"/>
        <w:spacing w:after="0" w:line="342" w:lineRule="auto"/>
        <w:tabs>
          <w:tab w:leader="none" w:pos="4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23" w:lineRule="exact"/>
        <w:rPr>
          <w:rFonts w:ascii="Arial" w:cs="Arial" w:eastAsia="Arial" w:hAnsi="Arial"/>
          <w:sz w:val="16"/>
          <w:szCs w:val="16"/>
          <w:color w:val="auto"/>
        </w:rPr>
      </w:pPr>
    </w:p>
    <w:p>
      <w:pPr>
        <w:ind w:left="447" w:right="620" w:hanging="447"/>
        <w:spacing w:after="0" w:line="277"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continue to incur increased costs as a result of operating as a public company, and our management will be required to devote substantial time to new compliance initiatives and corporate governance practices.</w:t>
      </w:r>
    </w:p>
    <w:p>
      <w:pPr>
        <w:spacing w:after="0" w:line="278" w:lineRule="exact"/>
        <w:rPr>
          <w:sz w:val="20"/>
          <w:szCs w:val="20"/>
          <w:color w:val="auto"/>
        </w:rPr>
      </w:pPr>
    </w:p>
    <w:p>
      <w:pPr>
        <w:jc w:val="center"/>
        <w:ind w:right="353"/>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7"/>
          </w:cols>
          <w:pgMar w:left="773" w:top="449" w:right="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35" w:lineRule="exact"/>
        <w:rPr>
          <w:sz w:val="20"/>
          <w:szCs w:val="20"/>
          <w:color w:val="auto"/>
        </w:rPr>
      </w:pPr>
    </w:p>
    <w:p>
      <w:pPr>
        <w:ind w:left="460" w:right="100"/>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76"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 years, if at all. Consequently, there have been limited operations upon which we or you can evaluate our business. Predictions about our future success or viability may not be as accurate as they could be if we had a longer operating history or a history of successfully developing and commercializing cancer therapies. For the year ended December 31, 2021, we reported a net loss of $111.7 million. As of December 31, 2021, we had an accumulated deficit of $219.1 million. We expect to continue to incur significant research and development and other expenses related to our ongoing operations.</w:t>
      </w:r>
    </w:p>
    <w:p>
      <w:pPr>
        <w:spacing w:after="0" w:line="208"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Since our inception, we have focused substantially all of our efforts and financial resources on the research, preclinical and clinical development of our product candidates, PRT543, PRT811, PRT1419, and PRT2527, and our research efforts on other potential product candidates targeting PRMT5, MCL1, CDK9, and BRM, otherwise known as SMARCA2. As of December 31, 2021, our cash, cash equivalents, and marketable securities were $291.2 million.</w:t>
      </w:r>
    </w:p>
    <w:p>
      <w:pPr>
        <w:spacing w:after="0" w:line="200" w:lineRule="exact"/>
        <w:rPr>
          <w:sz w:val="20"/>
          <w:szCs w:val="20"/>
          <w:color w:val="auto"/>
        </w:rPr>
      </w:pPr>
    </w:p>
    <w:p>
      <w:pPr>
        <w:ind w:right="160" w:firstLine="446"/>
        <w:spacing w:after="0" w:line="286" w:lineRule="auto"/>
        <w:rPr>
          <w:sz w:val="20"/>
          <w:szCs w:val="20"/>
          <w:color w:val="auto"/>
        </w:rPr>
      </w:pPr>
      <w:r>
        <w:rPr>
          <w:rFonts w:ascii="Arial" w:cs="Arial" w:eastAsia="Arial" w:hAnsi="Arial"/>
          <w:sz w:val="16"/>
          <w:szCs w:val="16"/>
          <w:color w:val="auto"/>
        </w:rPr>
        <w:t>We expect to incur increasing levels of operating losses for the foreseeable future, particularly as we advance PRT543, PRT811, PRT1419 and PRT2527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planned expansion cohorts of PRT543 and PRT811, the ongoing Phase 1 clinical trial for oral PRT1419 and development and subsequent INDs of other future product candidates we may choose to pursue, including IV PRT1419, PRT2527, our CDK9 inhibitor, a SMARCA2 protein degrader and a kinase inhibitor. In addition, if we obtain marketing approval for PRT543, PRT811, PRT1419, PRT2527, or another product candidate, we will incur significant sales, marketing and outsourced manufacturing expenses in connection with the commercialization of PRT543, PRT811, PRT1419, PRT2527 or such other product candidate, respectively.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7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PRT2527, or another product candidate. Our ability to generate revenue depends on a number of factors, including, but not limited to, our ability to:</w:t>
      </w:r>
    </w:p>
    <w:p>
      <w:pPr>
        <w:spacing w:after="0" w:line="79" w:lineRule="exact"/>
        <w:rPr>
          <w:sz w:val="20"/>
          <w:szCs w:val="20"/>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complete successful Phase 1 portions of PRT543, PRT811, PRT1419 and PRT2527 clinical trials;</w:t>
      </w:r>
    </w:p>
    <w:p>
      <w:pPr>
        <w:spacing w:after="0" w:line="117" w:lineRule="exact"/>
        <w:rPr>
          <w:rFonts w:ascii="Arial" w:cs="Arial" w:eastAsia="Arial" w:hAnsi="Arial"/>
          <w:sz w:val="18"/>
          <w:szCs w:val="18"/>
          <w:color w:val="auto"/>
        </w:rPr>
      </w:pPr>
    </w:p>
    <w:p>
      <w:pPr>
        <w:ind w:left="900" w:right="180" w:hanging="447"/>
        <w:spacing w:after="0" w:line="31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initiate and successfully complete all safety, pharmacokinetic and other studies required to obtain U.S. and foreign marketing approval for PRT543 as a treatment for patients with hematological malignancies and advanced solid tumors, PRT811 as a treatment for patients with glioblastoma and advanced solid tumors, and PRT1419 as a treatment for patients with certain solid tumors and hematological malignancies;</w:t>
      </w:r>
    </w:p>
    <w:p>
      <w:pPr>
        <w:spacing w:after="0" w:line="40" w:lineRule="exact"/>
        <w:rPr>
          <w:rFonts w:ascii="Arial" w:cs="Arial" w:eastAsia="Arial" w:hAnsi="Arial"/>
          <w:sz w:val="16"/>
          <w:szCs w:val="16"/>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1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obtain favorable results from our clinical trials and apply for and obtain marketing approval for PRT543, PRT811, PRT1419, and PRT2527;</w:t>
      </w:r>
    </w:p>
    <w:p>
      <w:pPr>
        <w:spacing w:after="0" w:line="140" w:lineRule="exact"/>
        <w:rPr>
          <w:sz w:val="20"/>
          <w:szCs w:val="20"/>
          <w:color w:val="auto"/>
        </w:rPr>
      </w:pPr>
    </w:p>
    <w:p>
      <w:pPr>
        <w:ind w:left="5540" w:right="2880" w:hanging="5087"/>
        <w:spacing w:after="0" w:line="653" w:lineRule="auto"/>
        <w:tabs>
          <w:tab w:leader="none" w:pos="9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may increase the value of our programs;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left="900" w:hanging="447"/>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successfully manufacture or contract with others to manufacture PRT543, PRT811, PRT1419, PRT2527, and our other product candidates;</w:t>
      </w:r>
    </w:p>
    <w:p>
      <w:pPr>
        <w:spacing w:after="0" w:line="140" w:lineRule="exact"/>
        <w:rPr>
          <w:rFonts w:ascii="Arial" w:cs="Arial" w:eastAsia="Arial" w:hAnsi="Arial"/>
          <w:sz w:val="16"/>
          <w:szCs w:val="16"/>
          <w:color w:val="auto"/>
        </w:rPr>
      </w:pPr>
    </w:p>
    <w:p>
      <w:pPr>
        <w:ind w:left="900" w:right="140" w:hanging="447"/>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commercialize PRT543, PRT811, PRT1419, PRT2527 if approved, respectively, by building a sales force or entering into collaborations with third parties;</w:t>
      </w:r>
    </w:p>
    <w:p>
      <w:pPr>
        <w:spacing w:after="0" w:line="62" w:lineRule="exact"/>
        <w:rPr>
          <w:rFonts w:ascii="Arial" w:cs="Arial" w:eastAsia="Arial" w:hAnsi="Arial"/>
          <w:sz w:val="18"/>
          <w:szCs w:val="18"/>
          <w:color w:val="auto"/>
        </w:rPr>
      </w:pPr>
    </w:p>
    <w:p>
      <w:pPr>
        <w:ind w:left="900" w:right="100" w:hanging="447"/>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 INDs for a kinase inhibitor and SMARCA2 protein degrader that are made effective by the U.S. Food and Drug Administration, or the FDA;</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 and</w:t>
      </w:r>
    </w:p>
    <w:p>
      <w:pPr>
        <w:spacing w:after="0" w:line="117" w:lineRule="exact"/>
        <w:rPr>
          <w:rFonts w:ascii="Arial" w:cs="Arial" w:eastAsia="Arial" w:hAnsi="Arial"/>
          <w:sz w:val="18"/>
          <w:szCs w:val="18"/>
          <w:color w:val="auto"/>
        </w:rPr>
      </w:pPr>
    </w:p>
    <w:p>
      <w:pPr>
        <w:ind w:left="900" w:hanging="447"/>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market acceptance of PRT543, PRT811, PRT1419, PRT2527 and our other successful product candidates with the medical community and with third-party payors.</w:t>
      </w:r>
    </w:p>
    <w:p>
      <w:pPr>
        <w:spacing w:after="0" w:line="170" w:lineRule="exact"/>
        <w:rPr>
          <w:sz w:val="20"/>
          <w:szCs w:val="20"/>
          <w:color w:val="auto"/>
        </w:rPr>
      </w:pPr>
    </w:p>
    <w:p>
      <w:pPr>
        <w:ind w:right="180" w:firstLine="446"/>
        <w:spacing w:after="0" w:line="273" w:lineRule="auto"/>
        <w:rPr>
          <w:sz w:val="20"/>
          <w:szCs w:val="20"/>
          <w:color w:val="auto"/>
        </w:rPr>
      </w:pPr>
      <w:r>
        <w:rPr>
          <w:rFonts w:ascii="Arial" w:cs="Arial" w:eastAsia="Arial" w:hAnsi="Arial"/>
          <w:sz w:val="17"/>
          <w:szCs w:val="17"/>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178" w:lineRule="exact"/>
        <w:rPr>
          <w:sz w:val="20"/>
          <w:szCs w:val="20"/>
          <w:color w:val="auto"/>
        </w:rPr>
      </w:pPr>
    </w:p>
    <w:p>
      <w:pPr>
        <w:ind w:right="80" w:firstLine="446"/>
        <w:spacing w:after="0" w:line="275"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6" w:lineRule="exact"/>
        <w:rPr>
          <w:sz w:val="20"/>
          <w:szCs w:val="20"/>
          <w:color w:val="auto"/>
        </w:rPr>
      </w:pPr>
    </w:p>
    <w:p>
      <w:pPr>
        <w:ind w:right="80" w:firstLine="446"/>
        <w:spacing w:after="0" w:line="27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76"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1" w:lineRule="exact"/>
        <w:rPr>
          <w:sz w:val="20"/>
          <w:szCs w:val="20"/>
          <w:color w:val="auto"/>
        </w:rPr>
      </w:pPr>
    </w:p>
    <w:p>
      <w:pPr>
        <w:ind w:left="460" w:right="36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76"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advance our product candidates, PRT543, PRT811, PRT1419 and PRT2527, and other pipeline product candidates through clinical development, and seek to design additional product candidates from our discovery programs. We expect increased expenses as we continue our research and development,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right="220"/>
        <w:spacing w:after="0" w:line="277" w:lineRule="auto"/>
        <w:rPr>
          <w:sz w:val="20"/>
          <w:szCs w:val="20"/>
          <w:color w:val="auto"/>
        </w:rPr>
      </w:pPr>
      <w:r>
        <w:rPr>
          <w:rFonts w:ascii="Arial" w:cs="Arial" w:eastAsia="Arial" w:hAnsi="Arial"/>
          <w:sz w:val="18"/>
          <w:szCs w:val="18"/>
          <w:color w:val="auto"/>
        </w:rPr>
        <w:t>future operating plans. If we are unable to raise capital when needed or on favorable terms, we could be forced to delay, reduce or eliminate our research and development programs, our commercialization plans or other operations.</w:t>
      </w:r>
    </w:p>
    <w:p>
      <w:pPr>
        <w:spacing w:after="0" w:line="170"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We believe that our existing cash, cash equivalents, and marketable securities will enable us to fund our operating expenses, and capital expenditure requirements into the second half of 2024.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progress, timing and results of preclinical studies and clinical trials for our current or any future product candidates;</w:t>
      </w:r>
    </w:p>
    <w:p>
      <w:pPr>
        <w:spacing w:after="0" w:line="117" w:lineRule="exact"/>
        <w:rPr>
          <w:sz w:val="20"/>
          <w:szCs w:val="20"/>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17" w:lineRule="exact"/>
        <w:rPr>
          <w:rFonts w:ascii="Arial" w:cs="Arial" w:eastAsia="Arial" w:hAnsi="Arial"/>
          <w:sz w:val="18"/>
          <w:szCs w:val="18"/>
          <w:color w:val="auto"/>
        </w:rPr>
      </w:pPr>
    </w:p>
    <w:p>
      <w:pPr>
        <w:ind w:left="900" w:right="340" w:hanging="447"/>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other indications for our current product candidates that we may pursue;</w:t>
      </w:r>
    </w:p>
    <w:p>
      <w:pPr>
        <w:spacing w:after="0" w:line="62" w:lineRule="exact"/>
        <w:rPr>
          <w:rFonts w:ascii="Arial" w:cs="Arial" w:eastAsia="Arial" w:hAnsi="Arial"/>
          <w:sz w:val="18"/>
          <w:szCs w:val="18"/>
          <w:color w:val="auto"/>
        </w:rPr>
      </w:pPr>
    </w:p>
    <w:p>
      <w:pPr>
        <w:ind w:left="900" w:right="600" w:hanging="447"/>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62" w:lineRule="exact"/>
        <w:rPr>
          <w:rFonts w:ascii="Arial" w:cs="Arial" w:eastAsia="Arial" w:hAnsi="Arial"/>
          <w:sz w:val="18"/>
          <w:szCs w:val="18"/>
          <w:color w:val="auto"/>
        </w:rPr>
      </w:pPr>
    </w:p>
    <w:p>
      <w:pPr>
        <w:ind w:left="900" w:right="260" w:hanging="447"/>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8" w:lineRule="exact"/>
        <w:rPr>
          <w:rFonts w:ascii="Arial" w:cs="Arial" w:eastAsia="Arial" w:hAnsi="Arial"/>
          <w:sz w:val="18"/>
          <w:szCs w:val="18"/>
          <w:color w:val="auto"/>
        </w:rPr>
      </w:pPr>
    </w:p>
    <w:p>
      <w:pPr>
        <w:ind w:left="900" w:right="280" w:hanging="447"/>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62" w:lineRule="exact"/>
        <w:rPr>
          <w:rFonts w:ascii="Arial" w:cs="Arial" w:eastAsia="Arial" w:hAnsi="Arial"/>
          <w:sz w:val="18"/>
          <w:szCs w:val="18"/>
          <w:color w:val="auto"/>
        </w:rPr>
      </w:pPr>
    </w:p>
    <w:p>
      <w:pPr>
        <w:ind w:left="900" w:right="520" w:hanging="447"/>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and distribution capabilities;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17" w:lineRule="exact"/>
        <w:rPr>
          <w:rFonts w:ascii="Arial" w:cs="Arial" w:eastAsia="Arial" w:hAnsi="Arial"/>
          <w:sz w:val="18"/>
          <w:szCs w:val="18"/>
          <w:color w:val="auto"/>
        </w:rPr>
      </w:pPr>
    </w:p>
    <w:p>
      <w:pPr>
        <w:ind w:left="900" w:right="380" w:hanging="447"/>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PRT543, PRT811, PRT1419, or PRT2527 if any are approved, or our other pipeline product candidates that receive marketing approval;</w:t>
      </w:r>
    </w:p>
    <w:p>
      <w:pPr>
        <w:spacing w:after="0" w:line="62" w:lineRule="exact"/>
        <w:rPr>
          <w:rFonts w:ascii="Arial" w:cs="Arial" w:eastAsia="Arial" w:hAnsi="Arial"/>
          <w:sz w:val="18"/>
          <w:szCs w:val="18"/>
          <w:color w:val="auto"/>
        </w:rPr>
      </w:pPr>
    </w:p>
    <w:p>
      <w:pPr>
        <w:ind w:left="900" w:right="420" w:hanging="447"/>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15" w:lineRule="exact"/>
        <w:rPr>
          <w:rFonts w:ascii="Arial" w:cs="Arial" w:eastAsia="Arial" w:hAnsi="Arial"/>
          <w:sz w:val="16"/>
          <w:szCs w:val="16"/>
          <w:color w:val="auto"/>
        </w:rPr>
      </w:pPr>
    </w:p>
    <w:p>
      <w:pPr>
        <w:ind w:left="900" w:right="20" w:hanging="447"/>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62" w:lineRule="exact"/>
        <w:rPr>
          <w:rFonts w:ascii="Arial" w:cs="Arial" w:eastAsia="Arial" w:hAnsi="Arial"/>
          <w:sz w:val="18"/>
          <w:szCs w:val="18"/>
          <w:color w:val="auto"/>
        </w:rPr>
      </w:pPr>
    </w:p>
    <w:p>
      <w:pPr>
        <w:jc w:val="both"/>
        <w:ind w:left="900" w:hanging="447"/>
        <w:spacing w:after="0" w:line="31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the extent we pursue strategic collaborations, including collaborations to commercialize PRT543, PRT811, PRT1419, PRT2527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49" w:lineRule="exact"/>
        <w:rPr>
          <w:sz w:val="20"/>
          <w:szCs w:val="20"/>
          <w:color w:val="auto"/>
        </w:rPr>
      </w:pPr>
    </w:p>
    <w:p>
      <w:pPr>
        <w:ind w:right="120" w:firstLine="446"/>
        <w:spacing w:after="0" w:line="273" w:lineRule="auto"/>
        <w:rPr>
          <w:sz w:val="20"/>
          <w:szCs w:val="20"/>
          <w:color w:val="auto"/>
        </w:rPr>
      </w:pPr>
      <w:r>
        <w:rPr>
          <w:rFonts w:ascii="Arial" w:cs="Arial" w:eastAsia="Arial" w:hAnsi="Arial"/>
          <w:sz w:val="17"/>
          <w:szCs w:val="17"/>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272"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600" w:firstLine="446"/>
        <w:spacing w:after="0" w:line="277"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right="120"/>
        <w:spacing w:after="0" w:line="296" w:lineRule="auto"/>
        <w:rPr>
          <w:sz w:val="20"/>
          <w:szCs w:val="20"/>
          <w:color w:val="auto"/>
        </w:rPr>
      </w:pPr>
      <w:r>
        <w:rPr>
          <w:rFonts w:ascii="Arial" w:cs="Arial" w:eastAsia="Arial" w:hAnsi="Arial"/>
          <w:sz w:val="16"/>
          <w:szCs w:val="16"/>
          <w:color w:val="auto"/>
        </w:rPr>
        <w:t>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61" w:lineRule="exact"/>
        <w:rPr>
          <w:sz w:val="20"/>
          <w:szCs w:val="20"/>
          <w:color w:val="auto"/>
        </w:rPr>
      </w:pPr>
    </w:p>
    <w:p>
      <w:pPr>
        <w:ind w:right="60" w:firstLine="446"/>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Design and Development of our Product Candidates</w:t>
      </w:r>
    </w:p>
    <w:p>
      <w:pPr>
        <w:spacing w:after="0" w:line="121" w:lineRule="exact"/>
        <w:rPr>
          <w:sz w:val="20"/>
          <w:szCs w:val="20"/>
          <w:color w:val="auto"/>
        </w:rPr>
      </w:pPr>
    </w:p>
    <w:p>
      <w:pPr>
        <w:ind w:left="460" w:right="240"/>
        <w:spacing w:after="0" w:line="286" w:lineRule="auto"/>
        <w:rPr>
          <w:sz w:val="20"/>
          <w:szCs w:val="20"/>
          <w:color w:val="auto"/>
        </w:rPr>
      </w:pPr>
      <w:r>
        <w:rPr>
          <w:rFonts w:ascii="Arial" w:cs="Arial" w:eastAsia="Arial" w:hAnsi="Arial"/>
          <w:sz w:val="17"/>
          <w:szCs w:val="17"/>
          <w:b w:val="1"/>
          <w:bCs w:val="1"/>
          <w:i w:val="1"/>
          <w:iCs w:val="1"/>
          <w:color w:val="auto"/>
        </w:rPr>
        <w:t>We are highly dependent on the success of our product candidates, PRT543, PRT811, PRT1419 and PRT2527,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30" w:lineRule="exact"/>
        <w:rPr>
          <w:sz w:val="20"/>
          <w:szCs w:val="20"/>
          <w:color w:val="auto"/>
        </w:rPr>
      </w:pPr>
    </w:p>
    <w:p>
      <w:pPr>
        <w:ind w:right="40" w:firstLine="446"/>
        <w:spacing w:after="0" w:line="275" w:lineRule="auto"/>
        <w:rPr>
          <w:sz w:val="20"/>
          <w:szCs w:val="20"/>
          <w:color w:val="auto"/>
        </w:rPr>
      </w:pPr>
      <w:r>
        <w:rPr>
          <w:rFonts w:ascii="Arial" w:cs="Arial" w:eastAsia="Arial" w:hAnsi="Arial"/>
          <w:sz w:val="17"/>
          <w:szCs w:val="17"/>
          <w:color w:val="auto"/>
        </w:rPr>
        <w:t>Our future success is highly dependent on our ability to obtain regulatory approval for, and then successfully commercialize, our product candidates, PRT543, PRT811, PRT1419 and PRT2527. We are early in our development efforts and our lead product candidates, PRT543, PRT811, PRT1419 and PRT2527, are each currently in a Phase 1 clinical trial. Our other product candidates are in earlier stages of development. We currently have no products that are approved for sale in any jurisdiction. There can be no assurance that PRT543, PRT811, PRT1419, PRT2527 or our other product candidates in development will achieve success in their clinical trials or obtain regulatory approval.</w:t>
      </w:r>
    </w:p>
    <w:p>
      <w:pPr>
        <w:spacing w:after="0" w:line="149" w:lineRule="exact"/>
        <w:rPr>
          <w:sz w:val="20"/>
          <w:szCs w:val="20"/>
          <w:color w:val="auto"/>
        </w:rPr>
      </w:pPr>
    </w:p>
    <w:p>
      <w:pPr>
        <w:ind w:right="280" w:firstLine="446"/>
        <w:spacing w:after="0" w:line="286" w:lineRule="auto"/>
        <w:rPr>
          <w:sz w:val="20"/>
          <w:szCs w:val="20"/>
          <w:color w:val="auto"/>
        </w:rPr>
      </w:pPr>
      <w:r>
        <w:rPr>
          <w:rFonts w:ascii="Arial" w:cs="Arial" w:eastAsia="Arial" w:hAnsi="Arial"/>
          <w:sz w:val="17"/>
          <w:szCs w:val="17"/>
          <w:color w:val="auto"/>
        </w:rPr>
        <w:t>Our ability to generate product revenues, which we do not expect will occur for many years, if ever, will depend heavily on the successful development and eventual commercialization of PRT543, PRT811, PRT1419, PRT2527 or other product candidates in development. The success of our product candidates, including PRT543, PRT811, PRT1419 and PRT2527, will depend on several factors, including the following:</w:t>
      </w:r>
    </w:p>
    <w:p>
      <w:pPr>
        <w:spacing w:after="0" w:line="30" w:lineRule="exact"/>
        <w:rPr>
          <w:sz w:val="20"/>
          <w:szCs w:val="20"/>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900" w:right="40" w:hanging="447"/>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INDs by the FDA or other similar clinical trial applications from foreign regulatory authorities for our future clinical trials for our pipeline product candidates;</w:t>
      </w:r>
    </w:p>
    <w:p>
      <w:pPr>
        <w:spacing w:after="0" w:line="35"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17" w:lineRule="exact"/>
        <w:rPr>
          <w:rFonts w:ascii="Arial" w:cs="Arial" w:eastAsia="Arial" w:hAnsi="Arial"/>
          <w:sz w:val="18"/>
          <w:szCs w:val="18"/>
          <w:color w:val="auto"/>
        </w:rPr>
      </w:pPr>
    </w:p>
    <w:p>
      <w:pPr>
        <w:ind w:left="900" w:right="260" w:hanging="447"/>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w:t>
      </w:r>
    </w:p>
    <w:p>
      <w:pPr>
        <w:spacing w:after="0" w:line="3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ability, or that of our collaborators, to develop and obtain clearance or approval of companion diagnostics, on a timely basis, or at all;</w:t>
      </w:r>
    </w:p>
    <w:p>
      <w:pPr>
        <w:spacing w:after="0" w:line="102" w:lineRule="exact"/>
        <w:rPr>
          <w:sz w:val="20"/>
          <w:szCs w:val="20"/>
          <w:color w:val="auto"/>
        </w:rPr>
      </w:pPr>
    </w:p>
    <w:p>
      <w:pPr>
        <w:ind w:left="900" w:right="440" w:hanging="447"/>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w:t>
      </w:r>
    </w:p>
    <w:p>
      <w:pPr>
        <w:spacing w:after="0" w:line="35"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13" w:lineRule="exact"/>
        <w:rPr>
          <w:rFonts w:ascii="Arial" w:cs="Arial" w:eastAsia="Arial" w:hAnsi="Arial"/>
          <w:sz w:val="16"/>
          <w:szCs w:val="16"/>
          <w:color w:val="auto"/>
        </w:rPr>
      </w:pPr>
    </w:p>
    <w:p>
      <w:pPr>
        <w:ind w:left="900" w:right="60" w:hanging="447"/>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w:t>
      </w:r>
    </w:p>
    <w:p>
      <w:pPr>
        <w:spacing w:after="0" w:line="35"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implementing marketing and reimbursement strategies;</w:t>
      </w:r>
    </w:p>
    <w:p>
      <w:pPr>
        <w:spacing w:after="0" w:line="117" w:lineRule="exact"/>
        <w:rPr>
          <w:rFonts w:ascii="Arial" w:cs="Arial" w:eastAsia="Arial" w:hAnsi="Arial"/>
          <w:sz w:val="18"/>
          <w:szCs w:val="18"/>
          <w:color w:val="auto"/>
        </w:rPr>
      </w:pPr>
    </w:p>
    <w:p>
      <w:pPr>
        <w:ind w:left="900" w:right="380" w:hanging="447"/>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third-party payor coverage and adequate reimbursement;</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PRT543, PRT811, PRT1419 or PRT2527, vary adversely from our expectations.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Drug development involves a lengthy and expensive process, and clinical testing is uncertain as to the outcome.</w:t>
      </w:r>
    </w:p>
    <w:p>
      <w:pPr>
        <w:spacing w:after="0" w:line="117" w:lineRule="exact"/>
        <w:rPr>
          <w:sz w:val="20"/>
          <w:szCs w:val="20"/>
          <w:color w:val="auto"/>
        </w:rPr>
      </w:pPr>
    </w:p>
    <w:p>
      <w:pPr>
        <w:ind w:firstLine="446"/>
        <w:spacing w:after="0" w:line="275" w:lineRule="auto"/>
        <w:rPr>
          <w:sz w:val="20"/>
          <w:szCs w:val="20"/>
          <w:color w:val="auto"/>
        </w:rPr>
      </w:pPr>
      <w:r>
        <w:rPr>
          <w:rFonts w:ascii="Arial" w:cs="Arial" w:eastAsia="Arial" w:hAnsi="Arial"/>
          <w:sz w:val="17"/>
          <w:szCs w:val="17"/>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176" w:lineRule="exact"/>
        <w:rPr>
          <w:sz w:val="20"/>
          <w:szCs w:val="20"/>
          <w:color w:val="auto"/>
        </w:rPr>
      </w:pPr>
    </w:p>
    <w:p>
      <w:pPr>
        <w:ind w:right="80" w:firstLine="446"/>
        <w:spacing w:after="0" w:line="268" w:lineRule="auto"/>
        <w:rPr>
          <w:sz w:val="20"/>
          <w:szCs w:val="20"/>
          <w:color w:val="auto"/>
        </w:rPr>
      </w:pPr>
      <w:r>
        <w:rPr>
          <w:rFonts w:ascii="Arial" w:cs="Arial" w:eastAsia="Arial" w:hAnsi="Arial"/>
          <w:sz w:val="17"/>
          <w:szCs w:val="17"/>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 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 PRT811.</w:t>
      </w:r>
    </w:p>
    <w:p>
      <w:pPr>
        <w:spacing w:after="0" w:line="28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and/or commercialization of PRT543, PRT811, PRT1419, PRT2527 or our other product candidates.</w:t>
      </w:r>
    </w:p>
    <w:p>
      <w:pPr>
        <w:spacing w:after="0" w:line="62" w:lineRule="exact"/>
        <w:rPr>
          <w:sz w:val="20"/>
          <w:szCs w:val="20"/>
          <w:color w:val="auto"/>
        </w:rPr>
      </w:pPr>
    </w:p>
    <w:p>
      <w:pPr>
        <w:ind w:right="160" w:firstLine="446"/>
        <w:spacing w:after="0" w:line="263" w:lineRule="auto"/>
        <w:rPr>
          <w:sz w:val="20"/>
          <w:szCs w:val="20"/>
          <w:color w:val="auto"/>
        </w:rPr>
      </w:pPr>
      <w:r>
        <w:rPr>
          <w:rFonts w:ascii="Arial" w:cs="Arial" w:eastAsia="Arial" w:hAnsi="Arial"/>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84"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0" w:name="page41"/>
    <w:bookmarkEnd w:id="40"/>
    <w:p>
      <w:pPr>
        <w:jc w:val="both"/>
        <w:ind w:right="80" w:firstLine="446"/>
        <w:spacing w:after="0" w:line="263" w:lineRule="auto"/>
        <w:rPr>
          <w:sz w:val="20"/>
          <w:szCs w:val="20"/>
          <w:color w:val="auto"/>
        </w:rPr>
      </w:pPr>
      <w:r>
        <w:rPr>
          <w:rFonts w:ascii="Arial" w:cs="Arial" w:eastAsia="Arial" w:hAnsi="Arial"/>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76" w:lineRule="exact"/>
        <w:rPr>
          <w:sz w:val="20"/>
          <w:szCs w:val="20"/>
          <w:color w:val="auto"/>
        </w:rPr>
      </w:pPr>
    </w:p>
    <w:p>
      <w:pPr>
        <w:ind w:left="900" w:right="460" w:hanging="447"/>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00" w:right="80" w:hanging="447"/>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disagree as to the design or implementation of our clinical trials or with our recommended Phase 2 doses for any of our pipeline programs;</w:t>
      </w:r>
    </w:p>
    <w:p>
      <w:pPr>
        <w:spacing w:after="0" w:line="62" w:lineRule="exact"/>
        <w:rPr>
          <w:rFonts w:ascii="Arial" w:cs="Arial" w:eastAsia="Arial" w:hAnsi="Arial"/>
          <w:sz w:val="18"/>
          <w:szCs w:val="18"/>
          <w:color w:val="auto"/>
        </w:rPr>
      </w:pPr>
    </w:p>
    <w:p>
      <w:pPr>
        <w:ind w:left="900" w:right="560" w:hanging="447"/>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CROs, and prospective trial sites;</w:t>
      </w:r>
    </w:p>
    <w:p>
      <w:pPr>
        <w:spacing w:after="0" w:line="62" w:lineRule="exact"/>
        <w:rPr>
          <w:rFonts w:ascii="Arial" w:cs="Arial" w:eastAsia="Arial" w:hAnsi="Arial"/>
          <w:sz w:val="18"/>
          <w:szCs w:val="18"/>
          <w:color w:val="auto"/>
        </w:rPr>
      </w:pPr>
    </w:p>
    <w:p>
      <w:pPr>
        <w:ind w:left="900" w:right="160" w:hanging="447"/>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900" w:hanging="447"/>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8" w:lineRule="exact"/>
        <w:rPr>
          <w:rFonts w:ascii="Arial" w:cs="Arial" w:eastAsia="Arial" w:hAnsi="Arial"/>
          <w:sz w:val="18"/>
          <w:szCs w:val="18"/>
          <w:color w:val="auto"/>
        </w:rPr>
      </w:pPr>
    </w:p>
    <w:p>
      <w:pPr>
        <w:ind w:left="900" w:right="80" w:hanging="447"/>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for clinical trial participants from investigational and approved therapies may make it more difficult to enroll patients in our clinical trials;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difficulties in maintaining contact with patients after treatment, resulting in incomplete data;</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or third-party collaborators may fail to obtain regulatory approval of companion diagnostic tests, if required, on a timely basis, or at all;</w:t>
      </w:r>
    </w:p>
    <w:p>
      <w:pPr>
        <w:spacing w:after="0" w:line="128" w:lineRule="exact"/>
        <w:rPr>
          <w:rFonts w:ascii="Arial" w:cs="Arial" w:eastAsia="Arial" w:hAnsi="Arial"/>
          <w:sz w:val="17"/>
          <w:szCs w:val="17"/>
          <w:color w:val="auto"/>
        </w:rPr>
      </w:pPr>
    </w:p>
    <w:p>
      <w:pPr>
        <w:ind w:left="900" w:right="620" w:hanging="447"/>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contractors may fail to meet their contractual obligations to us in a timely manner, or at all, or may fail to comply with regulatory requirements;</w:t>
      </w:r>
    </w:p>
    <w:p>
      <w:pPr>
        <w:spacing w:after="0" w:line="62" w:lineRule="exact"/>
        <w:rPr>
          <w:rFonts w:ascii="Arial" w:cs="Arial" w:eastAsia="Arial" w:hAnsi="Arial"/>
          <w:sz w:val="18"/>
          <w:szCs w:val="18"/>
          <w:color w:val="auto"/>
        </w:rPr>
      </w:pPr>
    </w:p>
    <w:p>
      <w:pPr>
        <w:ind w:left="900" w:right="60" w:hanging="447"/>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product candidates may have undesirable or unexpected side effects or other unexpected characteristics, causing us or our investigators,</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regulators or IRBs/ECs to suspend or terminate the trials;</w:t>
      </w:r>
    </w:p>
    <w:p>
      <w:pPr>
        <w:spacing w:after="0" w:line="103" w:lineRule="exact"/>
        <w:rPr>
          <w:sz w:val="20"/>
          <w:szCs w:val="20"/>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for our product candidates may be greater than we anticipate;</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17" w:lineRule="exact"/>
        <w:rPr>
          <w:rFonts w:ascii="Arial" w:cs="Arial" w:eastAsia="Arial" w:hAnsi="Arial"/>
          <w:sz w:val="18"/>
          <w:szCs w:val="18"/>
          <w:color w:val="auto"/>
        </w:rPr>
      </w:pPr>
    </w:p>
    <w:p>
      <w:pPr>
        <w:ind w:left="900" w:right="580" w:hanging="447"/>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62"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70" w:lineRule="exact"/>
        <w:rPr>
          <w:sz w:val="20"/>
          <w:szCs w:val="20"/>
          <w:color w:val="auto"/>
        </w:rPr>
      </w:pPr>
    </w:p>
    <w:p>
      <w:pPr>
        <w:ind w:right="20" w:firstLine="446"/>
        <w:spacing w:after="0" w:line="275" w:lineRule="auto"/>
        <w:rPr>
          <w:sz w:val="20"/>
          <w:szCs w:val="20"/>
          <w:color w:val="auto"/>
        </w:rPr>
      </w:pPr>
      <w:r>
        <w:rPr>
          <w:rFonts w:ascii="Arial" w:cs="Arial" w:eastAsia="Arial" w:hAnsi="Arial"/>
          <w:sz w:val="17"/>
          <w:szCs w:val="17"/>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right="80" w:firstLine="446"/>
        <w:spacing w:after="0" w:line="263" w:lineRule="auto"/>
        <w:rPr>
          <w:sz w:val="20"/>
          <w:szCs w:val="20"/>
          <w:color w:val="auto"/>
        </w:rPr>
      </w:pPr>
      <w:r>
        <w:rPr>
          <w:rFonts w:ascii="Arial" w:cs="Arial" w:eastAsia="Arial" w:hAnsi="Arial"/>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24"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35"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or ACC, indications for which investigational drugs by our competitors are competing for clinical trial participants. Patient enrollment is also affected by other factors, including:</w:t>
      </w:r>
    </w:p>
    <w:p>
      <w:pPr>
        <w:spacing w:after="0" w:line="60" w:lineRule="exact"/>
        <w:rPr>
          <w:sz w:val="20"/>
          <w:szCs w:val="20"/>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90" w:lineRule="exact"/>
        <w:rPr>
          <w:rFonts w:ascii="Arial" w:cs="Arial" w:eastAsia="Arial" w:hAnsi="Arial"/>
          <w:sz w:val="18"/>
          <w:szCs w:val="18"/>
          <w:color w:val="auto"/>
        </w:rPr>
      </w:pPr>
    </w:p>
    <w:p>
      <w:pPr>
        <w:ind w:left="900" w:right="40" w:hanging="447"/>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35" w:lineRule="exact"/>
        <w:rPr>
          <w:rFonts w:ascii="Arial" w:cs="Arial" w:eastAsia="Arial" w:hAnsi="Arial"/>
          <w:sz w:val="18"/>
          <w:szCs w:val="18"/>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invasive procedures required to enroll patients and to obtain evidence of the product candidate’s performance during the clinical trial;</w:t>
      </w:r>
    </w:p>
    <w:p>
      <w:pPr>
        <w:spacing w:after="0" w:line="102" w:lineRule="exact"/>
        <w:rPr>
          <w:sz w:val="20"/>
          <w:szCs w:val="20"/>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85" w:lineRule="exact"/>
        <w:rPr>
          <w:sz w:val="20"/>
          <w:szCs w:val="20"/>
          <w:color w:val="auto"/>
        </w:rPr>
      </w:pPr>
    </w:p>
    <w:p>
      <w:pPr>
        <w:jc w:val="both"/>
        <w:ind w:right="480" w:firstLine="446"/>
        <w:spacing w:after="0" w:line="286" w:lineRule="auto"/>
        <w:rPr>
          <w:sz w:val="20"/>
          <w:szCs w:val="20"/>
          <w:color w:val="auto"/>
        </w:rPr>
      </w:pPr>
      <w:r>
        <w:rPr>
          <w:rFonts w:ascii="Arial" w:cs="Arial" w:eastAsia="Arial" w:hAnsi="Arial"/>
          <w:sz w:val="17"/>
          <w:szCs w:val="17"/>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COVID-19 pandemic, may result in increased development costs, which would cause the value of our company to decline and limit our ability to obtain additional financing.</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17" w:lineRule="exact"/>
        <w:rPr>
          <w:sz w:val="20"/>
          <w:szCs w:val="20"/>
          <w:color w:val="auto"/>
        </w:rPr>
      </w:pPr>
    </w:p>
    <w:p>
      <w:pPr>
        <w:ind w:right="20" w:firstLine="446"/>
        <w:spacing w:after="0" w:line="308" w:lineRule="auto"/>
        <w:rPr>
          <w:sz w:val="20"/>
          <w:szCs w:val="20"/>
          <w:color w:val="auto"/>
        </w:rPr>
      </w:pPr>
      <w:r>
        <w:rPr>
          <w:rFonts w:ascii="Arial" w:cs="Arial" w:eastAsia="Arial" w:hAnsi="Arial"/>
          <w:sz w:val="17"/>
          <w:szCs w:val="17"/>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38" w:lineRule="exact"/>
        <w:rPr>
          <w:sz w:val="20"/>
          <w:szCs w:val="20"/>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clinical trials;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2" w:name="page43"/>
    <w:bookmarkEnd w:id="42"/>
    <w:p>
      <w:pPr>
        <w:ind w:left="900" w:right="120" w:hanging="447"/>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17" w:lineRule="exact"/>
        <w:rPr>
          <w:rFonts w:ascii="Arial" w:cs="Arial" w:eastAsia="Arial" w:hAnsi="Arial"/>
          <w:sz w:val="18"/>
          <w:szCs w:val="18"/>
          <w:color w:val="auto"/>
        </w:rPr>
      </w:pPr>
    </w:p>
    <w:p>
      <w:pPr>
        <w:ind w:left="900" w:right="180" w:hanging="447"/>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900" w:right="280" w:hanging="447"/>
        <w:spacing w:after="0" w:line="263"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75" w:lineRule="exact"/>
        <w:rPr>
          <w:rFonts w:ascii="Arial" w:cs="Arial" w:eastAsia="Arial" w:hAnsi="Arial"/>
          <w:sz w:val="18"/>
          <w:szCs w:val="18"/>
          <w:color w:val="auto"/>
        </w:rPr>
      </w:pPr>
    </w:p>
    <w:p>
      <w:pPr>
        <w:ind w:left="900" w:right="300" w:hanging="447"/>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due to production shortages resulting from any events affecting raw material supply or manufacturing capabilities domestically and abroad;</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900" w:right="60" w:hanging="447"/>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pandemic which may require us to change the ways in which our</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clinical trials are conducted, which may result in unexpected costs, delays, or to discontinue the clinical trials altogether;</w:t>
      </w:r>
    </w:p>
    <w:p>
      <w:pPr>
        <w:spacing w:after="0" w:line="103" w:lineRule="exact"/>
        <w:rPr>
          <w:sz w:val="20"/>
          <w:szCs w:val="20"/>
          <w:color w:val="auto"/>
        </w:rPr>
      </w:pPr>
    </w:p>
    <w:p>
      <w:pPr>
        <w:ind w:left="900" w:right="140" w:hanging="447"/>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900" w:right="620" w:hanging="447"/>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of regulatory authorities such as FDA or European Medicines Agency, or EMA, to accept data from clinical trials in affected geographies; and</w:t>
      </w:r>
    </w:p>
    <w:p>
      <w:pPr>
        <w:spacing w:after="0" w:line="62" w:lineRule="exact"/>
        <w:rPr>
          <w:rFonts w:ascii="Arial" w:cs="Arial" w:eastAsia="Arial" w:hAnsi="Arial"/>
          <w:sz w:val="18"/>
          <w:szCs w:val="18"/>
          <w:color w:val="auto"/>
        </w:rPr>
      </w:pPr>
    </w:p>
    <w:p>
      <w:pPr>
        <w:ind w:left="900" w:right="620" w:hanging="447"/>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0"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the COVID-19 pandemic on our studies and current timelines. Measures we have taken in response to the COVID-19 pandemic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EMA or other health authorities, which could result in delays in meetings related to planned or completed clinical trials and ultimately of reviews and approvals of our product candidates. The global COVID-19 pandemic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43" w:name="page44"/>
    <w:bookmarkEnd w:id="43"/>
    <w:p>
      <w:pPr>
        <w:ind w:left="460" w:right="220"/>
        <w:spacing w:after="0" w:line="286"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PRT543, PRT811, PRT1419, PRT2527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7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As is the case with pharmaceuticals generally, we have observed side effects and adverse events associated with our clinical product candidate, PRT543. These side effects included diarrhea, nausea and fatigue, but none of these side effects were considered 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219"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215" w:lineRule="exact"/>
        <w:rPr>
          <w:sz w:val="20"/>
          <w:szCs w:val="20"/>
          <w:color w:val="auto"/>
        </w:rPr>
      </w:pPr>
    </w:p>
    <w:p>
      <w:pPr>
        <w:ind w:right="100" w:firstLine="446"/>
        <w:spacing w:after="0" w:line="293" w:lineRule="auto"/>
        <w:rPr>
          <w:sz w:val="20"/>
          <w:szCs w:val="20"/>
          <w:color w:val="auto"/>
        </w:rPr>
      </w:pPr>
      <w:r>
        <w:rPr>
          <w:rFonts w:ascii="Arial" w:cs="Arial" w:eastAsia="Arial" w:hAnsi="Arial"/>
          <w:sz w:val="16"/>
          <w:szCs w:val="16"/>
          <w:color w:val="auto"/>
        </w:rPr>
        <w:t>Additionally, due to the high mortality rates of the cancers for which we are initially pursuing development and the pretreated nature of many patients in our ongoing clinical trials of PRT543, PRT811, PRT1419 and PRT2527, a material percentage of patients in these clinical trials may die during a trial, which could impact development of PRT543, PRT811, PRT1419 and PRT2527,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Any of these occurrences may harm our business, prospects, financial condition and results of operations significantly.</w:t>
      </w:r>
    </w:p>
    <w:p>
      <w:pPr>
        <w:spacing w:after="0" w:line="191"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93"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215"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76"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17" w:lineRule="exact"/>
        <w:rPr>
          <w:rFonts w:ascii="Arial" w:cs="Arial" w:eastAsia="Arial" w:hAnsi="Arial"/>
          <w:sz w:val="18"/>
          <w:szCs w:val="18"/>
          <w:color w:val="auto"/>
        </w:rPr>
      </w:pPr>
    </w:p>
    <w:p>
      <w:pPr>
        <w:ind w:left="900" w:right="120" w:hanging="447"/>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left="900" w:right="20" w:hanging="447"/>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900" w:right="480" w:hanging="447"/>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80" w:firstLine="44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65" w:lineRule="exact"/>
        <w:rPr>
          <w:sz w:val="20"/>
          <w:szCs w:val="20"/>
          <w:color w:val="auto"/>
        </w:rPr>
      </w:pPr>
    </w:p>
    <w:p>
      <w:pPr>
        <w:ind w:left="460" w:right="300"/>
        <w:spacing w:after="0" w:line="342" w:lineRule="auto"/>
        <w:rPr>
          <w:sz w:val="20"/>
          <w:szCs w:val="20"/>
          <w:color w:val="auto"/>
        </w:rPr>
      </w:pPr>
      <w:r>
        <w:rPr>
          <w:rFonts w:ascii="Arial" w:cs="Arial" w:eastAsia="Arial" w:hAnsi="Arial"/>
          <w:sz w:val="16"/>
          <w:szCs w:val="16"/>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30" w:lineRule="exact"/>
        <w:rPr>
          <w:sz w:val="20"/>
          <w:szCs w:val="20"/>
          <w:color w:val="auto"/>
        </w:rPr>
      </w:pPr>
    </w:p>
    <w:p>
      <w:pPr>
        <w:ind w:right="40" w:firstLine="446"/>
        <w:spacing w:after="0" w:line="289"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PRT1419 or PRT2527, or any other product candidates may be harmed, which could harm our business, financial condition, results of operations and prospects.</w:t>
      </w:r>
    </w:p>
    <w:p>
      <w:pPr>
        <w:spacing w:after="0" w:line="180"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2" w:lineRule="exact"/>
        <w:rPr>
          <w:sz w:val="20"/>
          <w:szCs w:val="20"/>
          <w:color w:val="auto"/>
        </w:rPr>
      </w:pPr>
    </w:p>
    <w:p>
      <w:pPr>
        <w:jc w:val="both"/>
        <w:ind w:right="340" w:firstLine="446"/>
        <w:spacing w:after="0" w:line="263"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120"/>
        <w:spacing w:after="0" w:line="257" w:lineRule="auto"/>
        <w:rPr>
          <w:sz w:val="20"/>
          <w:szCs w:val="20"/>
          <w:color w:val="auto"/>
        </w:rPr>
      </w:pPr>
      <w:r>
        <w:rPr>
          <w:rFonts w:ascii="Arial" w:cs="Arial" w:eastAsia="Arial" w:hAnsi="Arial"/>
          <w:sz w:val="18"/>
          <w:szCs w:val="18"/>
          <w:color w:val="auto"/>
        </w:rPr>
        <w:t>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our efforts to design additional potential product candidates.</w:t>
      </w:r>
    </w:p>
    <w:p>
      <w:pPr>
        <w:spacing w:after="0" w:line="90" w:lineRule="exact"/>
        <w:rPr>
          <w:sz w:val="20"/>
          <w:szCs w:val="20"/>
          <w:color w:val="auto"/>
        </w:rPr>
      </w:pPr>
    </w:p>
    <w:p>
      <w:pPr>
        <w:ind w:right="20" w:firstLine="446"/>
        <w:spacing w:after="0" w:line="296" w:lineRule="auto"/>
        <w:rPr>
          <w:sz w:val="20"/>
          <w:szCs w:val="20"/>
          <w:color w:val="auto"/>
        </w:rPr>
      </w:pPr>
      <w:r>
        <w:rPr>
          <w:rFonts w:ascii="Arial" w:cs="Arial" w:eastAsia="Arial" w:hAnsi="Arial"/>
          <w:sz w:val="16"/>
          <w:szCs w:val="16"/>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26" w:lineRule="exact"/>
        <w:rPr>
          <w:sz w:val="20"/>
          <w:szCs w:val="20"/>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target selection methodology used may not be successful in identifying potential product candidates;</w:t>
      </w:r>
    </w:p>
    <w:p>
      <w:pPr>
        <w:spacing w:after="0" w:line="76"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are unlikely to be drugs that will obtain marketing approval or achieve market acceptance; or</w:t>
      </w:r>
    </w:p>
    <w:p>
      <w:pPr>
        <w:spacing w:after="0" w:line="62" w:lineRule="exact"/>
        <w:rPr>
          <w:sz w:val="20"/>
          <w:szCs w:val="20"/>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w:t>
      </w:r>
    </w:p>
    <w:p>
      <w:pPr>
        <w:spacing w:after="0" w:line="21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460" w:right="500"/>
        <w:spacing w:after="0" w:line="342" w:lineRule="auto"/>
        <w:rPr>
          <w:sz w:val="20"/>
          <w:szCs w:val="20"/>
          <w:color w:val="auto"/>
        </w:rPr>
      </w:pPr>
      <w:r>
        <w:rPr>
          <w:rFonts w:ascii="Arial" w:cs="Arial" w:eastAsia="Arial" w:hAnsi="Arial"/>
          <w:sz w:val="16"/>
          <w:szCs w:val="16"/>
          <w:b w:val="1"/>
          <w:bCs w:val="1"/>
          <w:i w:val="1"/>
          <w:iCs w:val="1"/>
          <w:color w:val="auto"/>
        </w:rPr>
        <w:t>The development and commercialization of pharmaceutical products are subject to extensive regulation, and we may not obtain regulatory approvals for PRT543, PRT811, PRT1419, PRT2527 or any other product candidates, on a timely basis or at all.</w:t>
      </w:r>
    </w:p>
    <w:p>
      <w:pPr>
        <w:spacing w:after="0" w:line="16"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PRT543, PRT811, PRT1419 and PRT2527,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2"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7" w:lineRule="exact"/>
        <w:rPr>
          <w:sz w:val="20"/>
          <w:szCs w:val="20"/>
          <w:color w:val="auto"/>
        </w:rPr>
      </w:pPr>
    </w:p>
    <w:p>
      <w:pPr>
        <w:ind w:firstLine="446"/>
        <w:spacing w:after="0" w:line="275" w:lineRule="auto"/>
        <w:rPr>
          <w:sz w:val="20"/>
          <w:szCs w:val="20"/>
          <w:color w:val="auto"/>
        </w:rPr>
      </w:pPr>
      <w:r>
        <w:rPr>
          <w:rFonts w:ascii="Arial" w:cs="Arial" w:eastAsia="Arial" w:hAnsi="Arial"/>
          <w:sz w:val="17"/>
          <w:szCs w:val="17"/>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 respectively, but the FDA may disagree with the sufficiency of our data and require additional clinical trials. Additionally, depending upon the results of the expansion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6" w:name="page47"/>
    <w:bookmarkEnd w:id="46"/>
    <w:p>
      <w:pPr>
        <w:ind w:right="140"/>
        <w:spacing w:after="0" w:line="279" w:lineRule="auto"/>
        <w:rPr>
          <w:sz w:val="20"/>
          <w:szCs w:val="20"/>
          <w:color w:val="auto"/>
        </w:rPr>
      </w:pPr>
      <w:r>
        <w:rPr>
          <w:rFonts w:ascii="Arial" w:cs="Arial" w:eastAsia="Arial" w:hAnsi="Arial"/>
          <w:sz w:val="17"/>
          <w:szCs w:val="17"/>
          <w:color w:val="auto"/>
        </w:rPr>
        <w:t>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PRT2527 or any other product candidate may not be predictive of the results of our later-stage clinical trials.</w:t>
      </w:r>
    </w:p>
    <w:p>
      <w:pPr>
        <w:spacing w:after="0" w:line="171"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could delay, limit or deny approval of a product candidate for many reasons, including because the FDA:</w:t>
      </w:r>
    </w:p>
    <w:p>
      <w:pPr>
        <w:spacing w:after="0" w:line="117" w:lineRule="exact"/>
        <w:rPr>
          <w:sz w:val="20"/>
          <w:szCs w:val="20"/>
          <w:color w:val="auto"/>
        </w:rPr>
      </w:pPr>
    </w:p>
    <w:p>
      <w:pPr>
        <w:ind w:left="900" w:hanging="447"/>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17" w:lineRule="exact"/>
        <w:rPr>
          <w:rFonts w:ascii="Arial" w:cs="Arial" w:eastAsia="Arial" w:hAnsi="Arial"/>
          <w:sz w:val="18"/>
          <w:szCs w:val="18"/>
          <w:color w:val="auto"/>
        </w:rPr>
      </w:pPr>
    </w:p>
    <w:p>
      <w:pPr>
        <w:ind w:left="900" w:right="480" w:hanging="447"/>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determines that the objective response rate, or ORR, and duration of response are not clinically meaningful;</w:t>
      </w:r>
    </w:p>
    <w:p>
      <w:pPr>
        <w:sectPr>
          <w:pgSz w:w="11900" w:h="16838" w:orient="portrait"/>
          <w:cols w:equalWidth="0" w:num="1">
            <w:col w:w="11220"/>
          </w:cols>
          <w:pgMar w:left="320" w:top="341" w:right="35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16" w:lineRule="exact"/>
        <w:rPr>
          <w:sz w:val="20"/>
          <w:szCs w:val="20"/>
          <w:color w:val="auto"/>
        </w:rPr>
      </w:pPr>
    </w:p>
    <w:p>
      <w:pPr>
        <w:sectPr>
          <w:pgSz w:w="11900" w:h="16838" w:orient="portrait"/>
          <w:cols w:equalWidth="0" w:num="2">
            <w:col w:w="520" w:space="380"/>
            <w:col w:w="10320"/>
          </w:cols>
          <w:pgMar w:left="320" w:top="341" w:right="359" w:bottom="1440" w:gutter="0" w:footer="0" w:header="0"/>
          <w:type w:val="continuous"/>
        </w:sectPr>
      </w:pPr>
    </w:p>
    <w:p>
      <w:pPr>
        <w:ind w:left="900" w:hanging="447"/>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17" w:lineRule="exact"/>
        <w:rPr>
          <w:rFonts w:ascii="Arial" w:cs="Arial" w:eastAsia="Arial" w:hAnsi="Arial"/>
          <w:sz w:val="18"/>
          <w:szCs w:val="18"/>
          <w:color w:val="auto"/>
        </w:rPr>
      </w:pPr>
    </w:p>
    <w:p>
      <w:pPr>
        <w:ind w:left="900" w:right="60" w:hanging="447"/>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determine that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900" w:right="400" w:hanging="447"/>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17" w:lineRule="exact"/>
        <w:rPr>
          <w:rFonts w:ascii="Arial" w:cs="Arial" w:eastAsia="Arial" w:hAnsi="Arial"/>
          <w:sz w:val="18"/>
          <w:szCs w:val="18"/>
          <w:color w:val="auto"/>
        </w:rPr>
      </w:pPr>
    </w:p>
    <w:p>
      <w:pPr>
        <w:ind w:left="900" w:right="100" w:hanging="447"/>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225" w:lineRule="exact"/>
        <w:rPr>
          <w:sz w:val="20"/>
          <w:szCs w:val="20"/>
          <w:color w:val="auto"/>
        </w:rPr>
      </w:pPr>
    </w:p>
    <w:p>
      <w:pPr>
        <w:ind w:right="560" w:firstLine="446"/>
        <w:spacing w:after="0" w:line="277"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w:t>
      </w:r>
    </w:p>
    <w:p>
      <w:pPr>
        <w:spacing w:after="0" w:line="170" w:lineRule="exact"/>
        <w:rPr>
          <w:sz w:val="20"/>
          <w:szCs w:val="20"/>
          <w:color w:val="auto"/>
        </w:rPr>
      </w:pPr>
    </w:p>
    <w:p>
      <w:pPr>
        <w:ind w:right="60" w:firstLine="446"/>
        <w:spacing w:after="0" w:line="263" w:lineRule="auto"/>
        <w:rPr>
          <w:sz w:val="20"/>
          <w:szCs w:val="20"/>
          <w:color w:val="auto"/>
        </w:rPr>
      </w:pPr>
      <w:r>
        <w:rPr>
          <w:rFonts w:ascii="Arial" w:cs="Arial" w:eastAsia="Arial" w:hAnsi="Arial"/>
          <w:sz w:val="18"/>
          <w:szCs w:val="18"/>
          <w:color w:val="auto"/>
        </w:rPr>
        <w:t>If we experience delays in obtaining approval or if we fail to obtain approval of PRT543, PRT811, PRT1419 or PRT2527, our commercial prospects will be harmed and our ability to generate revenues will be materially impaired which would adversely affect our business, prospects, financial condition and results of operations.</w:t>
      </w:r>
    </w:p>
    <w:p>
      <w:pPr>
        <w:spacing w:after="0" w:line="278"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2" w:lineRule="exact"/>
        <w:rPr>
          <w:sz w:val="20"/>
          <w:szCs w:val="20"/>
          <w:color w:val="auto"/>
        </w:rPr>
      </w:pPr>
    </w:p>
    <w:p>
      <w:pPr>
        <w:ind w:right="140" w:firstLine="446"/>
        <w:spacing w:after="0" w:line="263" w:lineRule="auto"/>
        <w:rPr>
          <w:sz w:val="20"/>
          <w:szCs w:val="20"/>
          <w:color w:val="auto"/>
        </w:rPr>
      </w:pPr>
      <w:r>
        <w:rPr>
          <w:rFonts w:ascii="Arial" w:cs="Arial" w:eastAsia="Arial" w:hAnsi="Arial"/>
          <w:sz w:val="18"/>
          <w:szCs w:val="18"/>
          <w:color w:val="auto"/>
        </w:rPr>
        <w:t>Under the FDA’s accelerated approval program,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47" w:name="page48"/>
    <w:bookmarkEnd w:id="47"/>
    <w:p>
      <w:pPr>
        <w:ind w:right="280"/>
        <w:spacing w:after="0" w:line="259" w:lineRule="auto"/>
        <w:rPr>
          <w:sz w:val="20"/>
          <w:szCs w:val="20"/>
          <w:color w:val="auto"/>
        </w:rPr>
      </w:pPr>
      <w:r>
        <w:rPr>
          <w:rFonts w:ascii="Arial" w:cs="Arial" w:eastAsia="Arial" w:hAnsi="Arial"/>
          <w:sz w:val="18"/>
          <w:szCs w:val="18"/>
          <w:color w:val="auto"/>
        </w:rPr>
        <w:t>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87" w:lineRule="exact"/>
        <w:rPr>
          <w:sz w:val="20"/>
          <w:szCs w:val="20"/>
          <w:color w:val="auto"/>
        </w:rPr>
      </w:pPr>
    </w:p>
    <w:p>
      <w:pPr>
        <w:ind w:firstLine="446"/>
        <w:spacing w:after="0" w:line="293" w:lineRule="auto"/>
        <w:rPr>
          <w:sz w:val="20"/>
          <w:szCs w:val="20"/>
          <w:color w:val="auto"/>
        </w:rPr>
      </w:pPr>
      <w:r>
        <w:rPr>
          <w:rFonts w:ascii="Arial" w:cs="Arial" w:eastAsia="Arial" w:hAnsi="Arial"/>
          <w:sz w:val="16"/>
          <w:szCs w:val="16"/>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29" w:lineRule="exact"/>
        <w:rPr>
          <w:sz w:val="20"/>
          <w:szCs w:val="20"/>
          <w:color w:val="auto"/>
        </w:rPr>
      </w:pPr>
    </w:p>
    <w:p>
      <w:pPr>
        <w:ind w:left="900" w:hanging="447"/>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trial or trials required to verify the predicted clinical benefit of our product candidate fail to verify such benefit or do not demonstrate</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sufficient clinical benefit to justify the risks associated with the drug;</w:t>
      </w:r>
    </w:p>
    <w:p>
      <w:pPr>
        <w:spacing w:after="0" w:line="76" w:lineRule="exact"/>
        <w:rPr>
          <w:sz w:val="20"/>
          <w:szCs w:val="20"/>
          <w:color w:val="auto"/>
        </w:rPr>
      </w:pPr>
    </w:p>
    <w:p>
      <w:pPr>
        <w:ind w:left="900" w:hanging="447"/>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266" w:lineRule="exact"/>
        <w:rPr>
          <w:sz w:val="20"/>
          <w:szCs w:val="20"/>
          <w:color w:val="auto"/>
        </w:rPr>
      </w:pPr>
    </w:p>
    <w:p>
      <w:pPr>
        <w:ind w:left="460" w:right="160"/>
        <w:spacing w:after="0" w:line="263" w:lineRule="auto"/>
        <w:rPr>
          <w:sz w:val="20"/>
          <w:szCs w:val="20"/>
          <w:color w:val="auto"/>
        </w:rPr>
      </w:pPr>
      <w:r>
        <w:rPr>
          <w:rFonts w:ascii="Arial" w:cs="Arial" w:eastAsia="Arial" w:hAnsi="Arial"/>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49" w:lineRule="exact"/>
        <w:rPr>
          <w:sz w:val="20"/>
          <w:szCs w:val="20"/>
          <w:color w:val="auto"/>
        </w:rPr>
      </w:pPr>
    </w:p>
    <w:p>
      <w:pPr>
        <w:ind w:right="120" w:firstLine="446"/>
        <w:spacing w:after="0" w:line="253" w:lineRule="auto"/>
        <w:rPr>
          <w:sz w:val="20"/>
          <w:szCs w:val="20"/>
          <w:color w:val="auto"/>
        </w:rPr>
      </w:pPr>
      <w:r>
        <w:rPr>
          <w:rFonts w:ascii="Arial" w:cs="Arial" w:eastAsia="Arial" w:hAnsi="Arial"/>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90" w:lineRule="exact"/>
        <w:rPr>
          <w:sz w:val="20"/>
          <w:szCs w:val="20"/>
          <w:color w:val="auto"/>
        </w:rPr>
      </w:pPr>
    </w:p>
    <w:p>
      <w:pPr>
        <w:ind w:right="280" w:firstLine="446"/>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ind w:right="80" w:firstLine="446"/>
        <w:spacing w:after="0" w:line="269" w:lineRule="auto"/>
        <w:rPr>
          <w:sz w:val="20"/>
          <w:szCs w:val="20"/>
          <w:color w:val="auto"/>
        </w:rPr>
      </w:pPr>
      <w:r>
        <w:rPr>
          <w:rFonts w:ascii="Arial" w:cs="Arial" w:eastAsia="Arial" w:hAnsi="Arial"/>
          <w:sz w:val="17"/>
          <w:szCs w:val="17"/>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 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280" w:lineRule="exact"/>
        <w:rPr>
          <w:sz w:val="20"/>
          <w:szCs w:val="20"/>
          <w:color w:val="auto"/>
        </w:rPr>
      </w:pPr>
    </w:p>
    <w:p>
      <w:pPr>
        <w:ind w:left="460" w:right="220"/>
        <w:spacing w:after="0" w:line="375" w:lineRule="auto"/>
        <w:rPr>
          <w:sz w:val="20"/>
          <w:szCs w:val="20"/>
          <w:color w:val="auto"/>
        </w:rPr>
      </w:pPr>
      <w:r>
        <w:rPr>
          <w:rFonts w:ascii="Arial" w:cs="Arial" w:eastAsia="Arial" w:hAnsi="Arial"/>
          <w:sz w:val="15"/>
          <w:szCs w:val="15"/>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77"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272" w:lineRule="exact"/>
        <w:rPr>
          <w:sz w:val="20"/>
          <w:szCs w:val="20"/>
          <w:color w:val="auto"/>
        </w:rPr>
      </w:pPr>
    </w:p>
    <w:p>
      <w:pPr>
        <w:ind w:left="460" w:right="8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6"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187" w:lineRule="exact"/>
        <w:rPr>
          <w:sz w:val="20"/>
          <w:szCs w:val="20"/>
          <w:color w:val="auto"/>
        </w:rPr>
      </w:pPr>
    </w:p>
    <w:p>
      <w:pPr>
        <w:jc w:val="both"/>
        <w:ind w:firstLine="446"/>
        <w:spacing w:after="0" w:line="296" w:lineRule="auto"/>
        <w:rPr>
          <w:sz w:val="20"/>
          <w:szCs w:val="20"/>
          <w:color w:val="auto"/>
        </w:rPr>
      </w:pPr>
      <w:r>
        <w:rPr>
          <w:rFonts w:ascii="Arial" w:cs="Arial" w:eastAsia="Arial" w:hAnsi="Arial"/>
          <w:sz w:val="16"/>
          <w:szCs w:val="16"/>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61" w:lineRule="exact"/>
        <w:rPr>
          <w:sz w:val="20"/>
          <w:szCs w:val="20"/>
          <w:color w:val="auto"/>
        </w:rPr>
      </w:pPr>
    </w:p>
    <w:p>
      <w:pPr>
        <w:ind w:right="220" w:firstLine="446"/>
        <w:spacing w:after="0" w:line="263"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FDA and IRB is required before such diagnostic is used in conjunction with the clinical trials for a corresponding product candidate.</w:t>
      </w:r>
    </w:p>
    <w:p>
      <w:pPr>
        <w:spacing w:after="0" w:line="225" w:lineRule="exact"/>
        <w:rPr>
          <w:sz w:val="20"/>
          <w:szCs w:val="20"/>
          <w:color w:val="auto"/>
        </w:rPr>
      </w:pPr>
    </w:p>
    <w:p>
      <w:pPr>
        <w:ind w:right="20" w:firstLine="446"/>
        <w:spacing w:after="0" w:line="268" w:lineRule="auto"/>
        <w:rPr>
          <w:sz w:val="20"/>
          <w:szCs w:val="20"/>
          <w:color w:val="auto"/>
        </w:rPr>
      </w:pPr>
      <w:r>
        <w:rPr>
          <w:rFonts w:ascii="Arial" w:cs="Arial" w:eastAsia="Arial" w:hAnsi="Arial"/>
          <w:sz w:val="17"/>
          <w:szCs w:val="17"/>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40"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72" w:lineRule="exact"/>
        <w:rPr>
          <w:sz w:val="20"/>
          <w:szCs w:val="20"/>
          <w:color w:val="auto"/>
        </w:rPr>
      </w:pPr>
    </w:p>
    <w:p>
      <w:pPr>
        <w:ind w:left="460" w:right="22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71" w:lineRule="exact"/>
        <w:rPr>
          <w:sz w:val="20"/>
          <w:szCs w:val="20"/>
          <w:color w:val="auto"/>
        </w:rPr>
      </w:pPr>
    </w:p>
    <w:p>
      <w:pPr>
        <w:ind w:right="120" w:firstLine="446"/>
        <w:spacing w:after="0" w:line="263" w:lineRule="auto"/>
        <w:rPr>
          <w:sz w:val="20"/>
          <w:szCs w:val="20"/>
          <w:color w:val="auto"/>
        </w:rPr>
      </w:pPr>
      <w:r>
        <w:rPr>
          <w:rFonts w:ascii="Arial" w:cs="Arial" w:eastAsia="Arial" w:hAnsi="Arial"/>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57"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60" w:lineRule="exact"/>
        <w:rPr>
          <w:sz w:val="20"/>
          <w:szCs w:val="20"/>
          <w:color w:val="auto"/>
        </w:rPr>
      </w:pPr>
    </w:p>
    <w:p>
      <w:pPr>
        <w:jc w:val="both"/>
        <w:ind w:right="240" w:firstLine="446"/>
        <w:spacing w:after="0" w:line="263" w:lineRule="auto"/>
        <w:rPr>
          <w:sz w:val="20"/>
          <w:szCs w:val="20"/>
          <w:color w:val="auto"/>
        </w:rPr>
      </w:pPr>
      <w:r>
        <w:rPr>
          <w:rFonts w:ascii="Arial" w:cs="Arial" w:eastAsia="Arial" w:hAnsi="Arial"/>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 w:name="page51"/>
    <w:bookmarkEnd w:id="50"/>
    <w:p>
      <w:pPr>
        <w:ind w:right="620"/>
        <w:spacing w:after="0" w:line="277" w:lineRule="auto"/>
        <w:rPr>
          <w:sz w:val="20"/>
          <w:szCs w:val="20"/>
          <w:color w:val="auto"/>
        </w:rPr>
      </w:pPr>
      <w:r>
        <w:rPr>
          <w:rFonts w:ascii="Arial" w:cs="Arial" w:eastAsia="Arial" w:hAnsi="Arial"/>
          <w:sz w:val="18"/>
          <w:szCs w:val="18"/>
          <w:color w:val="auto"/>
        </w:rPr>
        <w:t>documentation and reporting requirements. We and our contract manufacturing organizations, or CMOs, could be subject to periodic unannounced inspections by the FDA to monitor and ensure compliance with cGMPs.</w:t>
      </w:r>
    </w:p>
    <w:p>
      <w:pPr>
        <w:spacing w:after="0" w:line="143" w:lineRule="exact"/>
        <w:rPr>
          <w:sz w:val="20"/>
          <w:szCs w:val="20"/>
          <w:color w:val="auto"/>
        </w:rPr>
      </w:pPr>
    </w:p>
    <w:p>
      <w:pPr>
        <w:ind w:firstLine="446"/>
        <w:spacing w:after="0" w:line="275"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 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44" w:lineRule="exact"/>
        <w:rPr>
          <w:sz w:val="20"/>
          <w:szCs w:val="20"/>
          <w:color w:val="auto"/>
        </w:rPr>
      </w:pPr>
    </w:p>
    <w:p>
      <w:pPr>
        <w:ind w:left="460" w:right="160"/>
        <w:spacing w:after="0" w:line="338" w:lineRule="auto"/>
        <w:rPr>
          <w:sz w:val="20"/>
          <w:szCs w:val="20"/>
          <w:color w:val="auto"/>
        </w:rPr>
      </w:pPr>
      <w:r>
        <w:rPr>
          <w:rFonts w:ascii="Arial" w:cs="Arial" w:eastAsia="Arial" w:hAnsi="Arial"/>
          <w:sz w:val="15"/>
          <w:szCs w:val="15"/>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ind w:right="180" w:firstLine="446"/>
        <w:spacing w:after="0" w:line="255"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65"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43" w:lineRule="exact"/>
        <w:rPr>
          <w:sz w:val="20"/>
          <w:szCs w:val="20"/>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63"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90" w:lineRule="exact"/>
        <w:rPr>
          <w:rFonts w:ascii="Arial" w:cs="Arial" w:eastAsia="Arial" w:hAnsi="Arial"/>
          <w:sz w:val="18"/>
          <w:szCs w:val="18"/>
          <w:color w:val="auto"/>
        </w:rPr>
      </w:pPr>
    </w:p>
    <w:p>
      <w:pPr>
        <w:ind w:left="1320" w:hanging="866"/>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1" w:name="page52"/>
    <w:bookmarkEnd w:id="51"/>
    <w:p>
      <w:pPr>
        <w:ind w:right="680" w:firstLine="446"/>
        <w:spacing w:after="0" w:line="308"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87" w:lineRule="exact"/>
        <w:rPr>
          <w:sz w:val="20"/>
          <w:szCs w:val="20"/>
          <w:color w:val="auto"/>
        </w:rPr>
      </w:pPr>
    </w:p>
    <w:p>
      <w:pPr>
        <w:ind w:left="460" w:right="40"/>
        <w:spacing w:after="0" w:line="311" w:lineRule="auto"/>
        <w:rPr>
          <w:sz w:val="20"/>
          <w:szCs w:val="20"/>
          <w:color w:val="auto"/>
        </w:rPr>
      </w:pPr>
      <w:r>
        <w:rPr>
          <w:rFonts w:ascii="Arial" w:cs="Arial" w:eastAsia="Arial" w:hAnsi="Arial"/>
          <w:sz w:val="16"/>
          <w:szCs w:val="16"/>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14" w:lineRule="exact"/>
        <w:rPr>
          <w:sz w:val="20"/>
          <w:szCs w:val="20"/>
          <w:color w:val="auto"/>
        </w:rPr>
      </w:pPr>
    </w:p>
    <w:p>
      <w:pPr>
        <w:ind w:right="20" w:firstLine="446"/>
        <w:spacing w:after="0" w:line="296"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26" w:lineRule="exact"/>
        <w:rPr>
          <w:sz w:val="20"/>
          <w:szCs w:val="20"/>
          <w:color w:val="auto"/>
        </w:rPr>
      </w:pPr>
    </w:p>
    <w:p>
      <w:pPr>
        <w:ind w:left="900" w:hanging="447"/>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51" w:lineRule="exact"/>
        <w:rPr>
          <w:rFonts w:ascii="Arial" w:cs="Arial" w:eastAsia="Arial" w:hAnsi="Arial"/>
          <w:sz w:val="18"/>
          <w:szCs w:val="18"/>
          <w:color w:val="auto"/>
        </w:rPr>
      </w:pPr>
    </w:p>
    <w:p>
      <w:pPr>
        <w:ind w:left="900" w:right="300" w:hanging="447"/>
        <w:spacing w:after="0" w:line="25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52" w:lineRule="exact"/>
        <w:rPr>
          <w:rFonts w:ascii="Arial" w:cs="Arial" w:eastAsia="Arial" w:hAnsi="Arial"/>
          <w:sz w:val="18"/>
          <w:szCs w:val="18"/>
          <w:color w:val="auto"/>
        </w:rPr>
      </w:pPr>
    </w:p>
    <w:p>
      <w:pPr>
        <w:ind w:left="900" w:right="20" w:hanging="447"/>
        <w:spacing w:after="0" w:line="25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9" w:lineRule="exact"/>
        <w:rPr>
          <w:rFonts w:ascii="Arial" w:cs="Arial" w:eastAsia="Arial" w:hAnsi="Arial"/>
          <w:sz w:val="18"/>
          <w:szCs w:val="18"/>
          <w:color w:val="auto"/>
        </w:rPr>
      </w:pPr>
    </w:p>
    <w:p>
      <w:pPr>
        <w:ind w:left="900" w:right="400" w:hanging="447"/>
        <w:spacing w:after="0" w:line="301"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49" w:lineRule="exact"/>
        <w:rPr>
          <w:rFonts w:ascii="Arial" w:cs="Arial" w:eastAsia="Arial" w:hAnsi="Arial"/>
          <w:sz w:val="16"/>
          <w:szCs w:val="16"/>
          <w:color w:val="auto"/>
        </w:rPr>
      </w:pPr>
    </w:p>
    <w:p>
      <w:pPr>
        <w:ind w:left="900" w:right="20" w:hanging="447"/>
        <w:spacing w:after="0" w:line="25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and ownership and investment interests held by, physicians, defined to include doctors, dentists, optometrists, podiatrists and chiropractors,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anesthesiologist assistants, certified nurse anesthetists and certified nurse-midwives; and</w:t>
      </w:r>
    </w:p>
    <w:p>
      <w:pPr>
        <w:spacing w:after="0" w:line="83" w:lineRule="exact"/>
        <w:rPr>
          <w:rFonts w:ascii="Arial" w:cs="Arial" w:eastAsia="Arial" w:hAnsi="Arial"/>
          <w:sz w:val="18"/>
          <w:szCs w:val="18"/>
          <w:color w:val="auto"/>
        </w:rPr>
      </w:pPr>
    </w:p>
    <w:p>
      <w:pPr>
        <w:ind w:left="900" w:right="20" w:hanging="447"/>
        <w:spacing w:after="0" w:line="29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52" w:name="page53"/>
    <w:bookmarkEnd w:id="52"/>
    <w:p>
      <w:pPr>
        <w:ind w:left="900" w:right="600"/>
        <w:spacing w:after="0" w:line="259" w:lineRule="auto"/>
        <w:rPr>
          <w:sz w:val="20"/>
          <w:szCs w:val="20"/>
          <w:color w:val="auto"/>
        </w:rPr>
      </w:pPr>
      <w:r>
        <w:rPr>
          <w:rFonts w:ascii="Arial" w:cs="Arial" w:eastAsia="Arial" w:hAnsi="Arial"/>
          <w:sz w:val="18"/>
          <w:szCs w:val="18"/>
          <w:color w:val="auto"/>
        </w:rPr>
        <w:t>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Health care policy changes, including U.S. health care reform legislation, may have a material adverse effect on our business.</w:t>
      </w:r>
    </w:p>
    <w:p>
      <w:pPr>
        <w:spacing w:after="0" w:line="129" w:lineRule="exact"/>
        <w:rPr>
          <w:sz w:val="20"/>
          <w:szCs w:val="20"/>
          <w:color w:val="auto"/>
        </w:rPr>
      </w:pPr>
    </w:p>
    <w:p>
      <w:pPr>
        <w:ind w:firstLine="513"/>
        <w:spacing w:after="0" w:line="270" w:lineRule="auto"/>
        <w:rPr>
          <w:sz w:val="20"/>
          <w:szCs w:val="20"/>
          <w:color w:val="auto"/>
        </w:rPr>
      </w:pPr>
      <w:r>
        <w:rPr>
          <w:rFonts w:ascii="Arial" w:cs="Arial" w:eastAsia="Arial" w:hAnsi="Arial"/>
          <w:sz w:val="17"/>
          <w:szCs w:val="17"/>
          <w:color w:val="auto"/>
        </w:rPr>
        <w:t>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and could limit the acceptance and availability of our products. Further, while the United States has begun shifting to pay-for-performance rather than fee-for-service models and has been embracing many shared-risk arrangements, CMS and OIG specifically excluded medical device manufacturers from utilizing the new, more flexible Stark Law exceptions and Anti-Kickback Statute safe harbors under the Final Rules, part of the U.S. Department of Health and Human Services’ Regulatory Sprint to Coordinated Care, which were published on December 2, 2020 in the Federal Register and were largely effective January 19, 2021. The exclusion of manufacturers from utilizing these exceptions and safe harbors will not allow us to avail ourselves of immunity from liability under the laws, potentially inviting greater scrutiny over our shared risk arrangements.</w:t>
      </w:r>
    </w:p>
    <w:p>
      <w:pPr>
        <w:spacing w:after="0" w:line="73" w:lineRule="exact"/>
        <w:rPr>
          <w:sz w:val="20"/>
          <w:szCs w:val="20"/>
          <w:color w:val="auto"/>
        </w:rPr>
      </w:pPr>
    </w:p>
    <w:p>
      <w:pPr>
        <w:ind w:right="40" w:firstLine="513"/>
        <w:spacing w:after="0" w:line="269" w:lineRule="auto"/>
        <w:rPr>
          <w:sz w:val="20"/>
          <w:szCs w:val="20"/>
          <w:color w:val="auto"/>
        </w:rPr>
      </w:pPr>
      <w:r>
        <w:rPr>
          <w:rFonts w:ascii="Arial" w:cs="Arial" w:eastAsia="Arial" w:hAnsi="Arial"/>
          <w:sz w:val="17"/>
          <w:szCs w:val="17"/>
          <w:color w:val="auto"/>
        </w:rPr>
        <w:t>Additionally, on November 16, 2020 the OIG published a Special Fraud Alert addressing manufacturer Speaker Programs signaling both a more narrow government view of AKS compliance with respect to such programs as well as the potential for increased enforcement in this space by government oversight agencies such as the OIG and DOJ. In response to this Special Fraud Alert, PhRMA issued its Statement on Revisions to the PhRMA Code on Interactions with Health Care Professionals on August 6, 2021 asserting, among other things, that pharmaceutical companies should not pay for or provide alcohol in connection with speaker programs. The updated PhRMA Code updates also clarified that repeat attendance at a speaker program on the same or substantially the same topic where a meal is provided to the attendee is generally not appropriate. The updated PhRMA Code was made effective as of January 1, 2022. AdvaMed has not made corollary revisions to its Code of Ethics to date. We continue to assess industry response to the Special Fraud Alert and have and may continue to make modifications to certain aspects of our speaker programs, which may have a detrimental impact on our ability to educate healthcare providers about our products and to promote use of our products, which may lead to decreased product sales and negatively impact our business, financial condition and results of operations.</w:t>
      </w:r>
    </w:p>
    <w:p>
      <w:pPr>
        <w:spacing w:after="0" w:line="77" w:lineRule="exact"/>
        <w:rPr>
          <w:sz w:val="20"/>
          <w:szCs w:val="20"/>
          <w:color w:val="auto"/>
        </w:rPr>
      </w:pPr>
    </w:p>
    <w:p>
      <w:pPr>
        <w:ind w:right="100" w:firstLine="513"/>
        <w:spacing w:after="0" w:line="287" w:lineRule="auto"/>
        <w:rPr>
          <w:sz w:val="20"/>
          <w:szCs w:val="20"/>
          <w:color w:val="auto"/>
        </w:rPr>
      </w:pPr>
      <w:r>
        <w:rPr>
          <w:rFonts w:ascii="Arial" w:cs="Arial" w:eastAsia="Arial" w:hAnsi="Arial"/>
          <w:sz w:val="16"/>
          <w:szCs w:val="16"/>
          <w:color w:val="auto"/>
        </w:rPr>
        <w:t>Comprehensive healthcare legislation, signed into law in the United States in March 2010, titled the Patient Protection and Affordable Care Act, as amended by the Health Care and Education Affordability Reconciliation Act of 2010, collectively, the ACA, imposes certain stringent compliance, recordkeeping, and reporting requirements on companies in various sectors of the life sciences industry, and enhanced penalties for non-</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compliance. Despite the ACA going into effect over a decade ago, there have been numerous legal and Congressional challenges to the law’s provisions and the effect of certain provisions have made compliance costly. More recently, in June 2021, a case challenging the constitutionality of the ACA’s individual mandate (</w:t>
      </w:r>
      <w:r>
        <w:rPr>
          <w:rFonts w:ascii="Arial" w:cs="Arial" w:eastAsia="Arial" w:hAnsi="Arial"/>
          <w:sz w:val="18"/>
          <w:szCs w:val="18"/>
          <w:i w:val="1"/>
          <w:iCs w:val="1"/>
          <w:color w:val="auto"/>
        </w:rPr>
        <w:t>California v. Texas</w:t>
      </w:r>
      <w:r>
        <w:rPr>
          <w:rFonts w:ascii="Arial" w:cs="Arial" w:eastAsia="Arial" w:hAnsi="Arial"/>
          <w:sz w:val="18"/>
          <w:szCs w:val="18"/>
          <w:color w:val="auto"/>
        </w:rPr>
        <w:t>) was overturned at the Supreme Court.</w:t>
      </w:r>
    </w:p>
    <w:p>
      <w:pPr>
        <w:spacing w:after="0" w:line="82" w:lineRule="exact"/>
        <w:rPr>
          <w:sz w:val="20"/>
          <w:szCs w:val="20"/>
          <w:color w:val="auto"/>
        </w:rPr>
      </w:pPr>
    </w:p>
    <w:p>
      <w:pPr>
        <w:ind w:right="240" w:firstLine="513"/>
        <w:spacing w:after="0" w:line="259" w:lineRule="auto"/>
        <w:rPr>
          <w:sz w:val="20"/>
          <w:szCs w:val="20"/>
          <w:color w:val="auto"/>
        </w:rPr>
      </w:pPr>
      <w:r>
        <w:rPr>
          <w:rFonts w:ascii="Arial" w:cs="Arial" w:eastAsia="Arial" w:hAnsi="Arial"/>
          <w:sz w:val="18"/>
          <w:szCs w:val="18"/>
          <w:color w:val="auto"/>
        </w:rPr>
        <w:t>We cannot predict what additional new legislation, agency priorities, and rulemakings may be on the horizon as the United States continues to reassess how it pays for healthcare. As a result, we cannot quantify or predict what impact any changes might have on our business and results of operations. However, any changes that lower reimbursement for our products could materially and adversely affect our business, financial condition and results of operations.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3" w:name="page54"/>
    <w:bookmarkEnd w:id="53"/>
    <w:p>
      <w:pPr>
        <w:ind w:firstLine="513"/>
        <w:spacing w:after="0" w:line="271" w:lineRule="auto"/>
        <w:rPr>
          <w:sz w:val="20"/>
          <w:szCs w:val="20"/>
          <w:color w:val="auto"/>
        </w:rPr>
      </w:pPr>
      <w:r>
        <w:rPr>
          <w:rFonts w:ascii="Arial" w:cs="Arial" w:eastAsia="Arial" w:hAnsi="Arial"/>
          <w:sz w:val="17"/>
          <w:szCs w:val="17"/>
          <w:color w:val="auto"/>
        </w:rPr>
        <w:t>Other legal, regulatory and commercial policy influences are subjecting our industry to significant changes, and we cannot predict whether new regulations or policies will emerge from U.S. federal or state governments, foreign governments, or third-party payors. Government and commercial payors may, in the future, consider healthcare policies and proposals intended to curb rising healthcare costs, including those that could significantly affect reimbursement for healthcare products such as our systems. These policies have included, and may in the future include: basing reimbursement policies and rates on clinical outcomes, the comparative effectiveness, and costs, of different treatment technologies and modalities; imposing price controls and taxes on medical device providers; and other measures. Future significant changes in the healthcare systems in the United States or elsewhere could also have a negative impact on the demand for our current and future products. These include changes that may reduce reimbursement rates for our products and changes that may be proposed or implemented by the current or future laws or regulations.</w:t>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Governments outside of the United States tend to impose strict price controls, which may adversely affect our revenues, if any.</w:t>
      </w:r>
    </w:p>
    <w:p>
      <w:pPr>
        <w:spacing w:after="0" w:line="129" w:lineRule="exact"/>
        <w:rPr>
          <w:sz w:val="20"/>
          <w:szCs w:val="20"/>
          <w:color w:val="auto"/>
        </w:rPr>
      </w:pPr>
    </w:p>
    <w:p>
      <w:pPr>
        <w:ind w:right="100" w:firstLine="513"/>
        <w:spacing w:after="0" w:line="286" w:lineRule="auto"/>
        <w:rPr>
          <w:sz w:val="20"/>
          <w:szCs w:val="20"/>
          <w:color w:val="auto"/>
        </w:rPr>
      </w:pPr>
      <w:r>
        <w:rPr>
          <w:rFonts w:ascii="Arial" w:cs="Arial" w:eastAsia="Arial" w:hAnsi="Arial"/>
          <w:sz w:val="16"/>
          <w:szCs w:val="16"/>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133" w:lineRule="exact"/>
        <w:rPr>
          <w:sz w:val="20"/>
          <w:szCs w:val="20"/>
          <w:color w:val="auto"/>
        </w:rPr>
      </w:pPr>
    </w:p>
    <w:p>
      <w:pPr>
        <w:ind w:left="520" w:right="160"/>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49" w:lineRule="exact"/>
        <w:rPr>
          <w:sz w:val="20"/>
          <w:szCs w:val="20"/>
          <w:color w:val="auto"/>
        </w:rPr>
      </w:pPr>
    </w:p>
    <w:p>
      <w:pPr>
        <w:ind w:right="20" w:firstLine="513"/>
        <w:spacing w:after="0" w:line="254"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54" w:lineRule="exact"/>
        <w:rPr>
          <w:sz w:val="20"/>
          <w:szCs w:val="20"/>
          <w:color w:val="auto"/>
        </w:rPr>
      </w:pPr>
    </w:p>
    <w:p>
      <w:pPr>
        <w:jc w:val="both"/>
        <w:ind w:right="40" w:firstLine="513"/>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31" w:lineRule="exact"/>
        <w:rPr>
          <w:sz w:val="20"/>
          <w:szCs w:val="20"/>
          <w:color w:val="auto"/>
        </w:rPr>
      </w:pPr>
    </w:p>
    <w:p>
      <w:pPr>
        <w:ind w:right="160" w:firstLine="513"/>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ind w:right="40" w:firstLine="513"/>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24"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5" w:lineRule="exact"/>
        <w:rPr>
          <w:sz w:val="20"/>
          <w:szCs w:val="20"/>
          <w:color w:val="auto"/>
        </w:rPr>
      </w:pPr>
    </w:p>
    <w:p>
      <w:pPr>
        <w:ind w:right="140" w:firstLine="513"/>
        <w:spacing w:after="0" w:line="273" w:lineRule="auto"/>
        <w:rPr>
          <w:sz w:val="20"/>
          <w:szCs w:val="20"/>
          <w:color w:val="auto"/>
        </w:rPr>
      </w:pPr>
      <w:r>
        <w:rPr>
          <w:rFonts w:ascii="Arial" w:cs="Arial" w:eastAsia="Arial" w:hAnsi="Arial"/>
          <w:sz w:val="17"/>
          <w:szCs w:val="17"/>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37" w:lineRule="exact"/>
        <w:rPr>
          <w:sz w:val="20"/>
          <w:szCs w:val="20"/>
          <w:color w:val="auto"/>
        </w:rPr>
      </w:pPr>
    </w:p>
    <w:p>
      <w:pPr>
        <w:ind w:right="220" w:firstLine="513"/>
        <w:spacing w:after="0" w:line="279"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1" w:lineRule="exact"/>
        <w:rPr>
          <w:sz w:val="20"/>
          <w:szCs w:val="20"/>
          <w:color w:val="auto"/>
        </w:rPr>
      </w:pPr>
    </w:p>
    <w:p>
      <w:pPr>
        <w:ind w:right="60" w:firstLine="513"/>
        <w:spacing w:after="0" w:line="286"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65" w:lineRule="exact"/>
        <w:rPr>
          <w:sz w:val="20"/>
          <w:szCs w:val="20"/>
          <w:color w:val="auto"/>
        </w:rPr>
      </w:pPr>
    </w:p>
    <w:p>
      <w:pPr>
        <w:jc w:val="both"/>
        <w:ind w:right="140" w:firstLine="513"/>
        <w:spacing w:after="0" w:line="263"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4" w:lineRule="exact"/>
        <w:rPr>
          <w:sz w:val="20"/>
          <w:szCs w:val="20"/>
          <w:color w:val="auto"/>
        </w:rPr>
      </w:pPr>
    </w:p>
    <w:p>
      <w:pPr>
        <w:ind w:right="200" w:firstLine="513"/>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60" w:lineRule="exact"/>
        <w:rPr>
          <w:sz w:val="20"/>
          <w:szCs w:val="20"/>
          <w:color w:val="auto"/>
        </w:rPr>
      </w:pPr>
    </w:p>
    <w:p>
      <w:pPr>
        <w:ind w:left="520" w:right="2900"/>
        <w:spacing w:after="0" w:line="375" w:lineRule="auto"/>
        <w:rPr>
          <w:sz w:val="20"/>
          <w:szCs w:val="20"/>
          <w:color w:val="auto"/>
        </w:rPr>
      </w:pPr>
      <w:r>
        <w:rPr>
          <w:rFonts w:ascii="Arial" w:cs="Arial" w:eastAsia="Arial" w:hAnsi="Arial"/>
          <w:sz w:val="15"/>
          <w:szCs w:val="15"/>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1" w:lineRule="exact"/>
        <w:rPr>
          <w:sz w:val="20"/>
          <w:szCs w:val="20"/>
          <w:color w:val="auto"/>
        </w:rPr>
      </w:pPr>
    </w:p>
    <w:p>
      <w:pPr>
        <w:ind w:firstLine="513"/>
        <w:spacing w:after="0" w:line="270"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1" w:lineRule="exact"/>
        <w:rPr>
          <w:sz w:val="20"/>
          <w:szCs w:val="20"/>
          <w:color w:val="auto"/>
        </w:rPr>
      </w:pPr>
    </w:p>
    <w:p>
      <w:pPr>
        <w:ind w:firstLine="513"/>
        <w:spacing w:after="0" w:line="308" w:lineRule="auto"/>
        <w:rPr>
          <w:sz w:val="20"/>
          <w:szCs w:val="20"/>
          <w:color w:val="auto"/>
        </w:rPr>
      </w:pPr>
      <w:r>
        <w:rPr>
          <w:rFonts w:ascii="Arial" w:cs="Arial" w:eastAsia="Arial" w:hAnsi="Arial"/>
          <w:sz w:val="17"/>
          <w:szCs w:val="17"/>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20"/>
        <w:spacing w:after="0" w:line="301"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49" w:lineRule="exact"/>
        <w:rPr>
          <w:sz w:val="20"/>
          <w:szCs w:val="20"/>
          <w:color w:val="auto"/>
        </w:rPr>
      </w:pPr>
    </w:p>
    <w:p>
      <w:pPr>
        <w:ind w:firstLine="513"/>
        <w:spacing w:after="0" w:line="286" w:lineRule="auto"/>
        <w:rPr>
          <w:sz w:val="20"/>
          <w:szCs w:val="20"/>
          <w:color w:val="auto"/>
        </w:rPr>
      </w:pPr>
      <w:r>
        <w:rPr>
          <w:rFonts w:ascii="Arial" w:cs="Arial" w:eastAsia="Arial" w:hAnsi="Arial"/>
          <w:sz w:val="16"/>
          <w:szCs w:val="16"/>
          <w:color w:val="auto"/>
        </w:rPr>
        <w:t>We do not have the ability to independently conduct all aspects of our preclinical testing or clinical trials ourselves. As a result, we are dependent on third parties to conduct our ongoing and planned clinical trials of PRT543, PRT811, PRT1419 and PRT2527,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on to comply with these regulations may require us to stop and/or repeat clinical trials, which would delay the marketing approval process.</w:t>
      </w:r>
    </w:p>
    <w:p>
      <w:pPr>
        <w:spacing w:after="0" w:line="171" w:lineRule="exact"/>
        <w:rPr>
          <w:sz w:val="20"/>
          <w:szCs w:val="20"/>
          <w:color w:val="auto"/>
        </w:rPr>
      </w:pPr>
    </w:p>
    <w:p>
      <w:pPr>
        <w:ind w:right="120" w:firstLine="513"/>
        <w:spacing w:after="0" w:line="273"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78" w:lineRule="exact"/>
        <w:rPr>
          <w:sz w:val="20"/>
          <w:szCs w:val="20"/>
          <w:color w:val="auto"/>
        </w:rPr>
      </w:pPr>
    </w:p>
    <w:p>
      <w:pPr>
        <w:ind w:right="40" w:firstLine="513"/>
        <w:spacing w:after="0" w:line="296" w:lineRule="auto"/>
        <w:rPr>
          <w:sz w:val="20"/>
          <w:szCs w:val="20"/>
          <w:color w:val="auto"/>
        </w:rPr>
      </w:pPr>
      <w:r>
        <w:rPr>
          <w:rFonts w:ascii="Arial" w:cs="Arial" w:eastAsia="Arial" w:hAnsi="Arial"/>
          <w:sz w:val="16"/>
          <w:szCs w:val="16"/>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PRT2527 or any other product candidates and will not be able to, or may be delayed in our efforts to, successfully commercialize our products.</w:t>
      </w:r>
    </w:p>
    <w:p>
      <w:pPr>
        <w:spacing w:after="0" w:line="256" w:lineRule="exact"/>
        <w:rPr>
          <w:sz w:val="20"/>
          <w:szCs w:val="20"/>
          <w:color w:val="auto"/>
        </w:rPr>
      </w:pPr>
    </w:p>
    <w:p>
      <w:pPr>
        <w:ind w:left="520" w:right="60"/>
        <w:spacing w:after="0" w:line="275" w:lineRule="auto"/>
        <w:rPr>
          <w:sz w:val="20"/>
          <w:szCs w:val="20"/>
          <w:color w:val="auto"/>
        </w:rPr>
      </w:pPr>
      <w:r>
        <w:rPr>
          <w:rFonts w:ascii="Arial" w:cs="Arial" w:eastAsia="Arial" w:hAnsi="Arial"/>
          <w:sz w:val="17"/>
          <w:szCs w:val="17"/>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8" w:lineRule="exact"/>
        <w:rPr>
          <w:sz w:val="20"/>
          <w:szCs w:val="20"/>
          <w:color w:val="auto"/>
        </w:rPr>
      </w:pPr>
    </w:p>
    <w:p>
      <w:pPr>
        <w:jc w:val="both"/>
        <w:ind w:right="80" w:firstLine="513"/>
        <w:spacing w:after="0" w:line="275" w:lineRule="auto"/>
        <w:rPr>
          <w:sz w:val="20"/>
          <w:szCs w:val="20"/>
          <w:color w:val="auto"/>
        </w:rPr>
      </w:pPr>
      <w:r>
        <w:rPr>
          <w:rFonts w:ascii="Arial" w:cs="Arial" w:eastAsia="Arial" w:hAnsi="Arial"/>
          <w:sz w:val="17"/>
          <w:szCs w:val="17"/>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6" w:name="page57"/>
    <w:bookmarkEnd w:id="56"/>
    <w:p>
      <w:pPr>
        <w:ind w:right="600"/>
        <w:spacing w:after="0" w:line="277" w:lineRule="auto"/>
        <w:rPr>
          <w:sz w:val="20"/>
          <w:szCs w:val="20"/>
          <w:color w:val="auto"/>
        </w:rPr>
      </w:pPr>
      <w:r>
        <w:rPr>
          <w:rFonts w:ascii="Arial" w:cs="Arial" w:eastAsia="Arial" w:hAnsi="Arial"/>
          <w:sz w:val="18"/>
          <w:szCs w:val="18"/>
          <w:color w:val="auto"/>
        </w:rPr>
        <w:t>development or commercialization efforts. In addition, the ongoing COVID-19 pandemic may result in disruptions to the operations or an extended shutdown of certain businesses, which could include certain of our contract manufacturers.</w:t>
      </w:r>
    </w:p>
    <w:p>
      <w:pPr>
        <w:spacing w:after="0" w:line="170" w:lineRule="exact"/>
        <w:rPr>
          <w:sz w:val="20"/>
          <w:szCs w:val="20"/>
          <w:color w:val="auto"/>
        </w:rPr>
      </w:pPr>
    </w:p>
    <w:p>
      <w:pPr>
        <w:ind w:right="720" w:firstLine="513"/>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900" w:hanging="447"/>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17" w:lineRule="exact"/>
        <w:rPr>
          <w:rFonts w:ascii="Arial" w:cs="Arial" w:eastAsia="Arial" w:hAnsi="Arial"/>
          <w:sz w:val="18"/>
          <w:szCs w:val="18"/>
          <w:color w:val="auto"/>
        </w:rPr>
      </w:pPr>
    </w:p>
    <w:p>
      <w:pPr>
        <w:ind w:left="900" w:right="160" w:hanging="447"/>
        <w:spacing w:after="0" w:line="263"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1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left="900" w:hanging="447"/>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225" w:lineRule="exact"/>
        <w:rPr>
          <w:sz w:val="20"/>
          <w:szCs w:val="20"/>
          <w:color w:val="auto"/>
        </w:rPr>
      </w:pPr>
    </w:p>
    <w:p>
      <w:pPr>
        <w:ind w:right="20" w:firstLine="446"/>
        <w:spacing w:after="0" w:line="275" w:lineRule="auto"/>
        <w:rPr>
          <w:sz w:val="20"/>
          <w:szCs w:val="20"/>
          <w:color w:val="auto"/>
        </w:rPr>
      </w:pPr>
      <w:r>
        <w:rPr>
          <w:rFonts w:ascii="Arial" w:cs="Arial" w:eastAsia="Arial" w:hAnsi="Arial"/>
          <w:sz w:val="17"/>
          <w:szCs w:val="17"/>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76" w:lineRule="exact"/>
        <w:rPr>
          <w:sz w:val="20"/>
          <w:szCs w:val="20"/>
          <w:color w:val="auto"/>
        </w:rPr>
      </w:pPr>
    </w:p>
    <w:p>
      <w:pPr>
        <w:ind w:right="380" w:firstLine="446"/>
        <w:spacing w:after="0" w:line="279" w:lineRule="auto"/>
        <w:rPr>
          <w:sz w:val="20"/>
          <w:szCs w:val="20"/>
          <w:color w:val="auto"/>
        </w:rPr>
      </w:pPr>
      <w:r>
        <w:rPr>
          <w:rFonts w:ascii="Arial" w:cs="Arial" w:eastAsia="Arial" w:hAnsi="Arial"/>
          <w:sz w:val="17"/>
          <w:szCs w:val="17"/>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71"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68"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future, our clinical or commercial supply of drug and packaging and other services could be interrupted or limited, which could harm our business.</w:t>
      </w:r>
    </w:p>
    <w:p>
      <w:pPr>
        <w:spacing w:after="0" w:line="237" w:lineRule="exact"/>
        <w:rPr>
          <w:sz w:val="20"/>
          <w:szCs w:val="20"/>
          <w:color w:val="auto"/>
        </w:rPr>
      </w:pPr>
    </w:p>
    <w:p>
      <w:pPr>
        <w:ind w:right="60" w:firstLine="446"/>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2"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w:t>
      </w:r>
    </w:p>
    <w:p>
      <w:pPr>
        <w:spacing w:after="0" w:line="178" w:lineRule="exact"/>
        <w:rPr>
          <w:sz w:val="20"/>
          <w:szCs w:val="20"/>
          <w:color w:val="auto"/>
        </w:rPr>
      </w:pPr>
    </w:p>
    <w:p>
      <w:pPr>
        <w:ind w:firstLine="446"/>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41" w:lineRule="exact"/>
        <w:rPr>
          <w:sz w:val="20"/>
          <w:szCs w:val="20"/>
          <w:color w:val="auto"/>
        </w:rPr>
      </w:pPr>
    </w:p>
    <w:p>
      <w:pPr>
        <w:ind w:left="460" w:right="20"/>
        <w:spacing w:after="0" w:line="308"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38"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92" w:lineRule="exact"/>
        <w:rPr>
          <w:sz w:val="20"/>
          <w:szCs w:val="20"/>
          <w:color w:val="auto"/>
        </w:rPr>
      </w:pPr>
    </w:p>
    <w:p>
      <w:pPr>
        <w:ind w:right="20" w:firstLine="446"/>
        <w:spacing w:after="0" w:line="279"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36" w:lineRule="exact"/>
        <w:rPr>
          <w:sz w:val="20"/>
          <w:szCs w:val="20"/>
          <w:color w:val="auto"/>
        </w:rPr>
      </w:pPr>
    </w:p>
    <w:p>
      <w:pPr>
        <w:ind w:left="900" w:right="420" w:hanging="447"/>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35" w:lineRule="exact"/>
        <w:rPr>
          <w:rFonts w:ascii="Arial" w:cs="Arial" w:eastAsia="Arial" w:hAnsi="Arial"/>
          <w:sz w:val="18"/>
          <w:szCs w:val="18"/>
          <w:color w:val="auto"/>
        </w:rPr>
      </w:pPr>
    </w:p>
    <w:p>
      <w:pPr>
        <w:ind w:left="900" w:right="320" w:hanging="447"/>
        <w:spacing w:after="0" w:line="263"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left="900"/>
        <w:spacing w:after="0"/>
        <w:rPr>
          <w:sz w:val="20"/>
          <w:szCs w:val="20"/>
          <w:color w:val="auto"/>
        </w:rPr>
      </w:pPr>
      <w:r>
        <w:rPr>
          <w:rFonts w:ascii="Arial" w:cs="Arial" w:eastAsia="Arial" w:hAnsi="Arial"/>
          <w:sz w:val="16"/>
          <w:szCs w:val="16"/>
          <w:color w:val="auto"/>
        </w:rPr>
        <w:t>development function, or available funding or external factors such as an acquisition that diverts resources or creates competing priorities;</w:t>
      </w:r>
    </w:p>
    <w:p>
      <w:pPr>
        <w:spacing w:after="0" w:line="113" w:lineRule="exact"/>
        <w:rPr>
          <w:sz w:val="20"/>
          <w:szCs w:val="20"/>
          <w:color w:val="auto"/>
        </w:rPr>
      </w:pPr>
    </w:p>
    <w:p>
      <w:pPr>
        <w:ind w:left="900" w:right="360" w:hanging="447"/>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8"/>
          <w:szCs w:val="18"/>
          <w:color w:val="auto"/>
        </w:rPr>
      </w:pPr>
    </w:p>
    <w:p>
      <w:pPr>
        <w:ind w:left="900" w:right="400" w:hanging="447"/>
        <w:spacing w:after="0" w:line="263"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48" w:lineRule="exact"/>
        <w:rPr>
          <w:rFonts w:ascii="Arial" w:cs="Arial" w:eastAsia="Arial" w:hAnsi="Arial"/>
          <w:sz w:val="18"/>
          <w:szCs w:val="18"/>
          <w:color w:val="auto"/>
        </w:rPr>
      </w:pPr>
    </w:p>
    <w:p>
      <w:pPr>
        <w:ind w:left="900" w:right="580" w:hanging="447"/>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35" w:lineRule="exact"/>
        <w:rPr>
          <w:rFonts w:ascii="Arial" w:cs="Arial" w:eastAsia="Arial" w:hAnsi="Arial"/>
          <w:sz w:val="18"/>
          <w:szCs w:val="18"/>
          <w:color w:val="auto"/>
        </w:rPr>
      </w:pPr>
    </w:p>
    <w:p>
      <w:pPr>
        <w:ind w:left="900" w:right="180" w:hanging="447"/>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1" w:lineRule="exact"/>
        <w:rPr>
          <w:rFonts w:ascii="Arial" w:cs="Arial" w:eastAsia="Arial" w:hAnsi="Arial"/>
          <w:sz w:val="18"/>
          <w:szCs w:val="18"/>
          <w:color w:val="auto"/>
        </w:rPr>
      </w:pPr>
    </w:p>
    <w:p>
      <w:pPr>
        <w:ind w:left="900" w:right="140" w:hanging="447"/>
        <w:spacing w:after="0" w:line="263"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48" w:lineRule="exact"/>
        <w:rPr>
          <w:rFonts w:ascii="Arial" w:cs="Arial" w:eastAsia="Arial" w:hAnsi="Arial"/>
          <w:sz w:val="18"/>
          <w:szCs w:val="18"/>
          <w:color w:val="auto"/>
        </w:rPr>
      </w:pPr>
    </w:p>
    <w:p>
      <w:pPr>
        <w:ind w:left="900" w:right="600" w:hanging="447"/>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35" w:lineRule="exact"/>
        <w:rPr>
          <w:rFonts w:ascii="Arial" w:cs="Arial" w:eastAsia="Arial" w:hAnsi="Arial"/>
          <w:sz w:val="18"/>
          <w:szCs w:val="18"/>
          <w:color w:val="auto"/>
        </w:rPr>
      </w:pPr>
    </w:p>
    <w:p>
      <w:pPr>
        <w:ind w:left="900" w:hanging="447"/>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 and</w:t>
      </w:r>
    </w:p>
    <w:p>
      <w:pPr>
        <w:spacing w:after="0" w:line="113" w:lineRule="exact"/>
        <w:rPr>
          <w:rFonts w:ascii="Arial" w:cs="Arial" w:eastAsia="Arial" w:hAnsi="Arial"/>
          <w:sz w:val="16"/>
          <w:szCs w:val="16"/>
          <w:color w:val="auto"/>
        </w:rPr>
      </w:pPr>
    </w:p>
    <w:p>
      <w:pPr>
        <w:ind w:left="900" w:right="40" w:hanging="447"/>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43"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460" w:right="160"/>
        <w:spacing w:after="0" w:line="286"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30"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The total addressable market opportunity for PRT543, PRT811, PRT1419, PRT2527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27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5"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ind w:right="400"/>
        <w:spacing w:after="0" w:line="277" w:lineRule="auto"/>
        <w:rPr>
          <w:sz w:val="20"/>
          <w:szCs w:val="20"/>
          <w:color w:val="auto"/>
        </w:rPr>
      </w:pPr>
      <w:r>
        <w:rPr>
          <w:rFonts w:ascii="Arial" w:cs="Arial" w:eastAsia="Arial" w:hAnsi="Arial"/>
          <w:sz w:val="18"/>
          <w:szCs w:val="18"/>
          <w:color w:val="auto"/>
        </w:rPr>
        <w:t>of acceptance, we may not generate significant product revenues and we may not become profitable. The degree of market acceptance of our product candidates, if approved for commercial sale, will depend on a number of factors, including:</w:t>
      </w:r>
    </w:p>
    <w:p>
      <w:pPr>
        <w:spacing w:after="0" w:line="35" w:lineRule="exact"/>
        <w:rPr>
          <w:sz w:val="20"/>
          <w:szCs w:val="20"/>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acceptance of our product candidates as front-line treatment for various indications;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existence of distribution and/or use restrictions, such as through a REMS;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06" w:lineRule="exact"/>
        <w:rPr>
          <w:sz w:val="20"/>
          <w:szCs w:val="20"/>
          <w:color w:val="auto"/>
        </w:rPr>
      </w:pPr>
    </w:p>
    <w:p>
      <w:pPr>
        <w:jc w:val="both"/>
        <w:ind w:left="460" w:right="8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30" w:lineRule="exact"/>
        <w:rPr>
          <w:sz w:val="20"/>
          <w:szCs w:val="20"/>
          <w:color w:val="auto"/>
        </w:rPr>
      </w:pPr>
    </w:p>
    <w:p>
      <w:pPr>
        <w:ind w:right="80" w:firstLine="446"/>
        <w:spacing w:after="0" w:line="263" w:lineRule="auto"/>
        <w:rPr>
          <w:sz w:val="20"/>
          <w:szCs w:val="20"/>
          <w:color w:val="auto"/>
        </w:rPr>
      </w:pPr>
      <w:r>
        <w:rPr>
          <w:rFonts w:ascii="Arial" w:cs="Arial" w:eastAsia="Arial" w:hAnsi="Arial"/>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84" w:lineRule="exact"/>
        <w:rPr>
          <w:sz w:val="20"/>
          <w:szCs w:val="20"/>
          <w:color w:val="auto"/>
        </w:rPr>
      </w:pPr>
    </w:p>
    <w:p>
      <w:pPr>
        <w:ind w:firstLine="446"/>
        <w:spacing w:after="0" w:line="301" w:lineRule="auto"/>
        <w:rPr>
          <w:sz w:val="20"/>
          <w:szCs w:val="20"/>
          <w:color w:val="auto"/>
        </w:rPr>
      </w:pPr>
      <w:r>
        <w:rPr>
          <w:rFonts w:ascii="Arial" w:cs="Arial" w:eastAsia="Arial" w:hAnsi="Arial"/>
          <w:sz w:val="16"/>
          <w:szCs w:val="16"/>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900" w:hanging="447"/>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raise financing necessary to build our commercialization infrastructure;</w:t>
      </w:r>
    </w:p>
    <w:p>
      <w:pPr>
        <w:spacing w:after="0" w:line="117" w:lineRule="exact"/>
        <w:rPr>
          <w:rFonts w:ascii="Arial" w:cs="Arial" w:eastAsia="Arial" w:hAnsi="Arial"/>
          <w:sz w:val="18"/>
          <w:szCs w:val="18"/>
          <w:color w:val="auto"/>
        </w:rPr>
      </w:pPr>
    </w:p>
    <w:p>
      <w:pPr>
        <w:ind w:left="900" w:right="240" w:hanging="447"/>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an adequate number of physicians as to the benefits of our products;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unfavorable third-party payor coverage and reimbursement in any geography;</w:t>
      </w:r>
    </w:p>
    <w:p>
      <w:pPr>
        <w:spacing w:after="0" w:line="117" w:lineRule="exact"/>
        <w:rPr>
          <w:rFonts w:ascii="Arial" w:cs="Arial" w:eastAsia="Arial" w:hAnsi="Arial"/>
          <w:sz w:val="18"/>
          <w:szCs w:val="18"/>
          <w:color w:val="auto"/>
        </w:rPr>
      </w:pPr>
    </w:p>
    <w:p>
      <w:pPr>
        <w:ind w:left="900" w:right="220" w:hanging="447"/>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0" w:name="page61"/>
    <w:bookmarkEnd w:id="60"/>
    <w:p>
      <w:pPr>
        <w:ind w:right="40" w:firstLine="446"/>
        <w:spacing w:after="0" w:line="273" w:lineRule="auto"/>
        <w:rPr>
          <w:sz w:val="20"/>
          <w:szCs w:val="20"/>
          <w:color w:val="auto"/>
        </w:rPr>
      </w:pPr>
      <w:r>
        <w:rPr>
          <w:rFonts w:ascii="Arial" w:cs="Arial" w:eastAsia="Arial" w:hAnsi="Arial"/>
          <w:sz w:val="17"/>
          <w:szCs w:val="17"/>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72"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446"/>
        <w:spacing w:after="0" w:line="269" w:lineRule="auto"/>
        <w:rPr>
          <w:sz w:val="20"/>
          <w:szCs w:val="20"/>
          <w:color w:val="auto"/>
        </w:rPr>
      </w:pPr>
      <w:r>
        <w:rPr>
          <w:rFonts w:ascii="Arial" w:cs="Arial" w:eastAsia="Arial" w:hAnsi="Arial"/>
          <w:sz w:val="17"/>
          <w:szCs w:val="17"/>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Arvinas Inc., Aurigene, Black Diamond Therapeutics, Inc., Boehringer Ingelheim, C4 Therapeutics, Constellation Pharmaceuticals, Inc., Eli Lilly and Company, F. Hoffman-La Roche, Foghorn Therapeutics Inc., Fochon Pharmaceuticals, G1 Therapeutics Inc., Genentech, Kronos Bio, Inc., Kura Oncology, Inc., Kymera Therapeutics Inc., Mirati Therapeutics Inc., Nuvation Bio Inc. Repare Therapeutics Inc., Revolution Medicines, Inc., Relay Therapeutics, Inc., Springworks Therapeutics, Inc., Syndax Pharmaceuticals, Inc., and Zentalis Pharmaceuticals, Inc. In addition, we may face competition from companies developing product candidates that are based on targeting pathways of adaptive resistance, including Amgen Inc., AbbVie Inc., AstraZeneca plc, GlaxoSmithKline plc, Ideaya Biosciences, Johnson &amp; Johnson Services, Inc., Pfizer Inc., Tango Therapeutics, Inc., Vincerx Pharma, Inc., Novartis AG, and Gilead Sciences, Inc.</w:t>
      </w:r>
    </w:p>
    <w:p>
      <w:pPr>
        <w:spacing w:after="0" w:line="179" w:lineRule="exact"/>
        <w:rPr>
          <w:sz w:val="20"/>
          <w:szCs w:val="20"/>
          <w:color w:val="auto"/>
        </w:rPr>
      </w:pPr>
    </w:p>
    <w:p>
      <w:pPr>
        <w:ind w:right="20" w:firstLine="446"/>
        <w:spacing w:after="0" w:line="284" w:lineRule="auto"/>
        <w:rPr>
          <w:sz w:val="20"/>
          <w:szCs w:val="20"/>
          <w:color w:val="auto"/>
        </w:rPr>
      </w:pPr>
      <w:r>
        <w:rPr>
          <w:rFonts w:ascii="Arial" w:cs="Arial" w:eastAsia="Arial" w:hAnsi="Arial"/>
          <w:sz w:val="16"/>
          <w:szCs w:val="16"/>
          <w:color w:val="auto"/>
        </w:rPr>
        <w:t>Specifically, with respect to our PRMT5 programs, PRT543 and PRT811, several companies are developing PRMT5 inhibitors with clinical trials ongoing, including Amgen (AMG193), GlaxoSmithKline (GSK3326595), Ideaya Biosciences (IDE397), Johnson &amp; Johnson (JNJ-64619178), Pfizer (PF-06939999), and Tango Therapeutics (TNG908). For our MCL1 program, PRT1419, other companies are developing MCL1 inhibitors with monotherapy and/or combination trials ongoing, including Amgen (AMG176), AstraZeneca (AZD5991), Novartis (MIK665), and Gilead (GS-9716). For our CDK9 program, PRT2527, both AstraZeneca (AZD4573), Vincerx (VIP512), and Kronos (KB-0742) have CDK9 programs in Phase 1 clinical trials. For our CDK4/6 program, PRT3645, Novartis (ribociclib), Lilly (abemaciclib), Pfizer (palbociclib), G1 Therapeutics (G1T38), and Fochon Pharmaceuticals (FCN-</w:t>
      </w:r>
    </w:p>
    <w:p>
      <w:pPr>
        <w:spacing w:after="0" w:line="4" w:lineRule="exact"/>
        <w:rPr>
          <w:sz w:val="20"/>
          <w:szCs w:val="20"/>
          <w:color w:val="auto"/>
        </w:rPr>
      </w:pPr>
    </w:p>
    <w:p>
      <w:pPr>
        <w:ind w:firstLine="8"/>
        <w:spacing w:after="0" w:line="255" w:lineRule="auto"/>
        <w:tabs>
          <w:tab w:leader="none" w:pos="3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have clinical trials ongoing. For our SMARCA2 (BRM) degrader program, other companies, including Amgen, Aurigene, C4 Therapeutics, F. Hoffmann-La Roche, Foghorn Therapeutics, Inc., Kymera Therapeutics, Arvinas, Genentech, Boehringer Ingelheim, and Lilly have publicly disclosed their pre-clinical research efforts.</w:t>
      </w:r>
    </w:p>
    <w:p>
      <w:pPr>
        <w:spacing w:after="0" w:line="217"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firstLine="446"/>
        <w:spacing w:after="0" w:line="301"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right="140"/>
        <w:spacing w:after="0" w:line="279" w:lineRule="auto"/>
        <w:rPr>
          <w:sz w:val="20"/>
          <w:szCs w:val="20"/>
          <w:color w:val="auto"/>
        </w:rPr>
      </w:pPr>
      <w:r>
        <w:rPr>
          <w:rFonts w:ascii="Arial" w:cs="Arial" w:eastAsia="Arial" w:hAnsi="Arial"/>
          <w:sz w:val="17"/>
          <w:szCs w:val="17"/>
          <w:color w:val="auto"/>
        </w:rPr>
        <w:t>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71" w:lineRule="exact"/>
        <w:rPr>
          <w:sz w:val="20"/>
          <w:szCs w:val="20"/>
          <w:color w:val="auto"/>
        </w:rPr>
      </w:pPr>
    </w:p>
    <w:p>
      <w:pPr>
        <w:ind w:firstLine="446"/>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59"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 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94"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192" w:lineRule="exact"/>
        <w:rPr>
          <w:sz w:val="20"/>
          <w:szCs w:val="20"/>
          <w:color w:val="auto"/>
        </w:rPr>
      </w:pPr>
    </w:p>
    <w:p>
      <w:pPr>
        <w:ind w:right="80" w:firstLine="446"/>
        <w:spacing w:after="0" w:line="290" w:lineRule="auto"/>
        <w:rPr>
          <w:sz w:val="20"/>
          <w:szCs w:val="20"/>
          <w:color w:val="auto"/>
        </w:rPr>
      </w:pPr>
      <w:r>
        <w:rPr>
          <w:rFonts w:ascii="Arial" w:cs="Arial" w:eastAsia="Arial" w:hAnsi="Arial"/>
          <w:sz w:val="16"/>
          <w:szCs w:val="16"/>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65"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uncertainty regarding our ability to obtain coverage and adequate reimbursement for the same reasons applicable to our product candidates.</w:t>
      </w:r>
    </w:p>
    <w:p>
      <w:pPr>
        <w:spacing w:after="0" w:line="225"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79"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ind w:right="220" w:firstLine="446"/>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41" w:lineRule="exact"/>
        <w:rPr>
          <w:sz w:val="20"/>
          <w:szCs w:val="20"/>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21"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and to attract, retain and motivate qualified personnel and manage our human capital.</w:t>
      </w:r>
    </w:p>
    <w:p>
      <w:pPr>
        <w:spacing w:after="0" w:line="62" w:lineRule="exact"/>
        <w:rPr>
          <w:sz w:val="20"/>
          <w:szCs w:val="20"/>
          <w:color w:val="auto"/>
        </w:rPr>
      </w:pPr>
    </w:p>
    <w:p>
      <w:pPr>
        <w:ind w:right="280" w:firstLine="513"/>
        <w:spacing w:after="0" w:line="263"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other principal members of our management, scientific and clinical team. We currently do not maintain key person insurance on these individuals.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Although we have entered into employment agreements with our executive officers, each of them may terminate their employment with us at any time.</w:t>
      </w:r>
    </w:p>
    <w:p>
      <w:pPr>
        <w:spacing w:after="0" w:line="234" w:lineRule="exact"/>
        <w:rPr>
          <w:sz w:val="20"/>
          <w:szCs w:val="20"/>
          <w:color w:val="auto"/>
        </w:rPr>
      </w:pPr>
    </w:p>
    <w:p>
      <w:pPr>
        <w:ind w:firstLine="513"/>
        <w:spacing w:after="0" w:line="269" w:lineRule="auto"/>
        <w:rPr>
          <w:sz w:val="20"/>
          <w:szCs w:val="20"/>
          <w:color w:val="auto"/>
        </w:rPr>
      </w:pPr>
      <w:r>
        <w:rPr>
          <w:rFonts w:ascii="Arial" w:cs="Arial" w:eastAsia="Arial" w:hAnsi="Arial"/>
          <w:sz w:val="17"/>
          <w:szCs w:val="17"/>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and in addition, the COVID-19 pandemic has increased companies’ willingness to hire remote workers,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293" w:lineRule="exact"/>
        <w:rPr>
          <w:sz w:val="20"/>
          <w:szCs w:val="20"/>
          <w:color w:val="auto"/>
        </w:rPr>
      </w:pPr>
    </w:p>
    <w:p>
      <w:pPr>
        <w:ind w:left="460" w:right="20"/>
        <w:spacing w:after="0" w:line="308"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1"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As of December 31, 2021, we had 116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51"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PRT543, PRT811, PRT1419 and PRT2527,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PRT2527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56" w:lineRule="exact"/>
        <w:rPr>
          <w:sz w:val="20"/>
          <w:szCs w:val="20"/>
          <w:color w:val="auto"/>
        </w:rPr>
      </w:pPr>
    </w:p>
    <w:p>
      <w:pPr>
        <w:jc w:val="both"/>
        <w:ind w:right="200" w:firstLine="446"/>
        <w:spacing w:after="0" w:line="263"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PRT543, PRT811, PRT1419 or PRT2527, our other pipeline product candidates or any future product candidates and, accordingly, may not achieve our research, development and commercialization goals.</w:t>
      </w:r>
    </w:p>
    <w:p>
      <w:pPr>
        <w:spacing w:after="0" w:line="224" w:lineRule="exact"/>
        <w:rPr>
          <w:sz w:val="20"/>
          <w:szCs w:val="20"/>
          <w:color w:val="auto"/>
        </w:rPr>
      </w:pPr>
    </w:p>
    <w:p>
      <w:pPr>
        <w:ind w:left="460" w:right="40"/>
        <w:spacing w:after="0" w:line="308"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11"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ind w:right="20"/>
        <w:spacing w:after="0" w:line="257" w:lineRule="auto"/>
        <w:rPr>
          <w:sz w:val="20"/>
          <w:szCs w:val="20"/>
          <w:color w:val="auto"/>
        </w:rPr>
      </w:pPr>
      <w:r>
        <w:rPr>
          <w:rFonts w:ascii="Arial" w:cs="Arial" w:eastAsia="Arial" w:hAnsi="Arial"/>
          <w:sz w:val="18"/>
          <w:szCs w:val="18"/>
          <w:color w:val="auto"/>
        </w:rPr>
        <w:t>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47"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91"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63"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81"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COVID-19 pandemic to their advantage. We may not be able to anticipate all types of security threats, nor may we be able to implement preventive measures effective against all such security threats. The techniques used by cyber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5" w:name="page66"/>
    <w:bookmarkEnd w:id="65"/>
    <w:p>
      <w:pPr>
        <w:spacing w:after="0" w:line="269" w:lineRule="auto"/>
        <w:rPr>
          <w:sz w:val="20"/>
          <w:szCs w:val="20"/>
          <w:color w:val="auto"/>
        </w:rPr>
      </w:pPr>
      <w:r>
        <w:rPr>
          <w:rFonts w:ascii="Arial" w:cs="Arial" w:eastAsia="Arial" w:hAnsi="Arial"/>
          <w:sz w:val="17"/>
          <w:szCs w:val="17"/>
          <w:color w:val="auto"/>
        </w:rPr>
        <w:t>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PRT2527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28" w:lineRule="exact"/>
        <w:rPr>
          <w:sz w:val="20"/>
          <w:szCs w:val="20"/>
          <w:color w:val="auto"/>
        </w:rPr>
      </w:pPr>
    </w:p>
    <w:p>
      <w:pPr>
        <w:ind w:right="100" w:firstLine="446"/>
        <w:spacing w:after="0" w:line="268"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PRT543, PRT811, PRT1419, PRT2527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93" w:lineRule="exact"/>
        <w:rPr>
          <w:sz w:val="20"/>
          <w:szCs w:val="20"/>
          <w:color w:val="auto"/>
        </w:rPr>
      </w:pPr>
    </w:p>
    <w:p>
      <w:pPr>
        <w:ind w:left="460" w:right="60"/>
        <w:spacing w:after="0" w:line="325"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right="80" w:firstLine="446"/>
        <w:spacing w:after="0" w:line="271"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6" w:name="page67"/>
    <w:bookmarkEnd w:id="66"/>
    <w:p>
      <w:pPr>
        <w:ind w:right="20"/>
        <w:spacing w:after="0" w:line="284" w:lineRule="auto"/>
        <w:rPr>
          <w:sz w:val="20"/>
          <w:szCs w:val="20"/>
          <w:color w:val="auto"/>
        </w:rPr>
      </w:pPr>
      <w:r>
        <w:rPr>
          <w:rFonts w:ascii="Arial" w:cs="Arial" w:eastAsia="Arial" w:hAnsi="Arial"/>
          <w:sz w:val="16"/>
          <w:szCs w:val="16"/>
          <w:color w:val="auto"/>
        </w:rPr>
        <w:t>personal information is used, the obligation to notify regulators and affected individuals of personal data breaches, extensive new internal privacy governance obligations and obligations to honor expanded rights of individuals in relation to their personal information (e.g.,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On August 10, 2020, the U.S. Department of Commerce and the European Commission announced new discussions to evaluate the potential for an enhanced EU-U.S. Privacy Shield framework to comply with the July 16 judgment of the Court of Justice. While the Court of Justice upheld the use of other data transfer mechanisms, such as the Binding Corporate Rules, the decision has led to some uncertainty regarding the use of such mechanisms for data transfers to the United States, and the court made clear that reliance on Binding Corporate Rules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Binding Corporate Rules, for cross-border data transfers. To comply with this guidance, we may need to implement additional safeguards to further enhance the security of data transferred out of the European Economic Area, which could increase our compliance costs, expose us to further regulatory scrutiny and liability, and adversely affect our business. To the extent that we were to rely on Privacy Shield, we will not be able to do so in the future, which could increase our costs and our ability to efficiently process personal data from the EU.</w:t>
      </w:r>
    </w:p>
    <w:p>
      <w:pPr>
        <w:spacing w:after="0" w:line="200" w:lineRule="exact"/>
        <w:rPr>
          <w:sz w:val="20"/>
          <w:szCs w:val="20"/>
          <w:color w:val="auto"/>
        </w:rPr>
      </w:pPr>
    </w:p>
    <w:p>
      <w:pPr>
        <w:spacing w:after="0" w:line="225" w:lineRule="exact"/>
        <w:rPr>
          <w:sz w:val="20"/>
          <w:szCs w:val="20"/>
          <w:color w:val="auto"/>
        </w:rPr>
      </w:pPr>
    </w:p>
    <w:p>
      <w:pPr>
        <w:ind w:firstLine="446"/>
        <w:spacing w:after="0" w:line="275" w:lineRule="auto"/>
        <w:rPr>
          <w:sz w:val="20"/>
          <w:szCs w:val="20"/>
          <w:color w:val="auto"/>
        </w:rPr>
      </w:pPr>
      <w:r>
        <w:rPr>
          <w:rFonts w:ascii="Arial" w:cs="Arial" w:eastAsia="Arial" w:hAnsi="Arial"/>
          <w:sz w:val="17"/>
          <w:szCs w:val="17"/>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Beginning in 2021, the United Kingdom became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203" w:lineRule="exact"/>
        <w:rPr>
          <w:sz w:val="20"/>
          <w:szCs w:val="20"/>
          <w:color w:val="auto"/>
        </w:rPr>
      </w:pPr>
    </w:p>
    <w:p>
      <w:pPr>
        <w:ind w:right="40" w:firstLine="446"/>
        <w:spacing w:after="0" w:line="267" w:lineRule="auto"/>
        <w:rPr>
          <w:sz w:val="20"/>
          <w:szCs w:val="20"/>
          <w:color w:val="auto"/>
        </w:rPr>
      </w:pPr>
      <w:r>
        <w:rPr>
          <w:rFonts w:ascii="Arial" w:cs="Arial" w:eastAsia="Arial" w:hAnsi="Arial"/>
          <w:sz w:val="17"/>
          <w:szCs w:val="17"/>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along with related regulations which came into force on August 14, 2020 and may impact our business activities and exemplifies the vulnerability of our business to the evolving regulatory environment related to personal data and protected health information. Additionally, although not effective until January 1, 2023, the California Privacy Rights Act (the “CPRA”), which expands upon the CCPA, was passed in the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unlimited civil penalties for violations, as well as a private right of action for data breaches that is expected to increase data breach litigation. The CCPA and CPRA may increase our compliance costs and potential liability, particularly in the event of a data breach. Additionally, the CCPA has prompted a number of proposals in the U.S. for new federal and state-level privacy legislation that, if passed, could increase our potential liability, increase our compliance costs, and adversely affect our business. Other states are also seeking to regulate consumer privacy stringently, and both Virginia and Colorado signed comprehensive privacy legislation in 2021. These laws (the Virginia Consumer Data Protection Act and the Colorado Privacy Act) are set to come into force in 2023 and a number of other state legislatures are actively considering passing similar consumer privacy laws, including those in New York and Washington.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firstLine="446"/>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right="20" w:firstLine="446"/>
        <w:spacing w:after="0" w:line="285" w:lineRule="auto"/>
        <w:rPr>
          <w:sz w:val="20"/>
          <w:szCs w:val="20"/>
          <w:color w:val="auto"/>
        </w:rPr>
      </w:pPr>
      <w:r>
        <w:rPr>
          <w:rFonts w:ascii="Arial" w:cs="Arial" w:eastAsia="Arial" w:hAnsi="Arial"/>
          <w:sz w:val="16"/>
          <w:szCs w:val="16"/>
          <w:color w:val="auto"/>
        </w:rPr>
        <w:t>Our company is located in Delaware. Any unplanned event, such as flood, fire, explosion, earthquake, extreme weather condition, medical epidemic, including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In addition, the long-term effects of climate change on general economic conditions and the pharmaceutical industry in particular are unclear, and may heighten or intensify existing risk of natural disasters.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25"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5" w:lineRule="exact"/>
        <w:rPr>
          <w:sz w:val="20"/>
          <w:szCs w:val="20"/>
          <w:color w:val="auto"/>
        </w:rPr>
      </w:pPr>
    </w:p>
    <w:p>
      <w:pPr>
        <w:ind w:right="20" w:firstLine="446"/>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90"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131"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35" w:lineRule="exact"/>
        <w:rPr>
          <w:sz w:val="20"/>
          <w:szCs w:val="20"/>
          <w:color w:val="auto"/>
        </w:rPr>
      </w:pPr>
    </w:p>
    <w:p>
      <w:pPr>
        <w:ind w:right="160" w:firstLine="446"/>
        <w:spacing w:after="0" w:line="255" w:lineRule="auto"/>
        <w:rPr>
          <w:sz w:val="20"/>
          <w:szCs w:val="20"/>
          <w:color w:val="auto"/>
        </w:rPr>
      </w:pPr>
      <w:r>
        <w:rPr>
          <w:rFonts w:ascii="Arial" w:cs="Arial" w:eastAsia="Arial" w:hAnsi="Arial"/>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84" w:lineRule="exact"/>
        <w:rPr>
          <w:sz w:val="20"/>
          <w:szCs w:val="20"/>
          <w:color w:val="auto"/>
        </w:rPr>
      </w:pPr>
    </w:p>
    <w:p>
      <w:pPr>
        <w:ind w:left="900" w:hanging="447"/>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900" w:right="80" w:hanging="447"/>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40" w:lineRule="exact"/>
        <w:rPr>
          <w:rFonts w:ascii="Arial" w:cs="Arial" w:eastAsia="Arial" w:hAnsi="Arial"/>
          <w:sz w:val="16"/>
          <w:szCs w:val="16"/>
          <w:color w:val="auto"/>
        </w:rPr>
      </w:pPr>
    </w:p>
    <w:p>
      <w:pPr>
        <w:ind w:left="900" w:hanging="447"/>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140" w:lineRule="exact"/>
        <w:rPr>
          <w:rFonts w:ascii="Arial" w:cs="Arial" w:eastAsia="Arial" w:hAnsi="Arial"/>
          <w:sz w:val="16"/>
          <w:szCs w:val="16"/>
          <w:color w:val="auto"/>
        </w:rPr>
      </w:pPr>
    </w:p>
    <w:p>
      <w:pPr>
        <w:ind w:left="900" w:hanging="447"/>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b w:val="1"/>
          <w:bCs w:val="1"/>
          <w:i w:val="1"/>
          <w:iCs w:val="1"/>
          <w:color w:val="auto"/>
        </w:rPr>
        <w:t>Our portfolio of investments may be subject to market, interest and credit risk that may reduce its value.</w:t>
      </w:r>
    </w:p>
    <w:p>
      <w:pPr>
        <w:spacing w:after="0" w:line="117"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the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76" w:lineRule="exact"/>
        <w:rPr>
          <w:sz w:val="20"/>
          <w:szCs w:val="20"/>
          <w:color w:val="auto"/>
        </w:rPr>
      </w:pPr>
    </w:p>
    <w:p>
      <w:pPr>
        <w:ind w:right="160" w:firstLine="446"/>
        <w:spacing w:after="0" w:line="254" w:lineRule="auto"/>
        <w:rPr>
          <w:sz w:val="20"/>
          <w:szCs w:val="20"/>
          <w:color w:val="auto"/>
        </w:rPr>
      </w:pPr>
      <w:r>
        <w:rPr>
          <w:rFonts w:ascii="Arial" w:cs="Arial" w:eastAsia="Arial" w:hAnsi="Arial"/>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PRT543, PRT811, PRT1419 and PRT2527,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195" w:lineRule="exact"/>
        <w:rPr>
          <w:sz w:val="20"/>
          <w:szCs w:val="20"/>
          <w:color w:val="auto"/>
        </w:rPr>
      </w:pPr>
    </w:p>
    <w:p>
      <w:pPr>
        <w:ind w:right="400" w:firstLine="446"/>
        <w:spacing w:after="0" w:line="259" w:lineRule="auto"/>
        <w:rPr>
          <w:sz w:val="20"/>
          <w:szCs w:val="20"/>
          <w:color w:val="auto"/>
        </w:rPr>
      </w:pPr>
      <w:r>
        <w:rPr>
          <w:rFonts w:ascii="Arial" w:cs="Arial" w:eastAsia="Arial" w:hAnsi="Arial"/>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in foreign jurisdictions relating to PRT543, PRT811, and PRT1419.</w:t>
      </w:r>
    </w:p>
    <w:p>
      <w:pPr>
        <w:spacing w:after="0" w:line="187" w:lineRule="exact"/>
        <w:rPr>
          <w:sz w:val="20"/>
          <w:szCs w:val="20"/>
          <w:color w:val="auto"/>
        </w:rPr>
      </w:pPr>
    </w:p>
    <w:p>
      <w:pPr>
        <w:ind w:right="200" w:firstLine="446"/>
        <w:spacing w:after="0" w:line="272" w:lineRule="auto"/>
        <w:rPr>
          <w:sz w:val="20"/>
          <w:szCs w:val="20"/>
          <w:color w:val="auto"/>
        </w:rPr>
      </w:pPr>
      <w:r>
        <w:rPr>
          <w:rFonts w:ascii="Arial" w:cs="Arial" w:eastAsia="Arial" w:hAnsi="Arial"/>
          <w:sz w:val="17"/>
          <w:szCs w:val="17"/>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77" w:lineRule="exact"/>
        <w:rPr>
          <w:sz w:val="20"/>
          <w:szCs w:val="20"/>
          <w:color w:val="auto"/>
        </w:rPr>
      </w:pPr>
    </w:p>
    <w:p>
      <w:pPr>
        <w:ind w:right="20" w:firstLine="446"/>
        <w:spacing w:after="0" w:line="287" w:lineRule="auto"/>
        <w:rPr>
          <w:sz w:val="20"/>
          <w:szCs w:val="20"/>
          <w:color w:val="auto"/>
        </w:rPr>
      </w:pPr>
      <w:r>
        <w:rPr>
          <w:rFonts w:ascii="Arial" w:cs="Arial" w:eastAsia="Arial" w:hAnsi="Arial"/>
          <w:sz w:val="16"/>
          <w:szCs w:val="16"/>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only one issued U.S. patent covering PRT543 that is expected to expire no earlier than August 9, 2038, one issued U.S. patent covering PRT811 that is expected to expire no earlier than March 14, 2039; and one issued U.S. patent covering PRT1419 that is expected to expire no earlier than November 8, 2039. We do not yet have issued patents on all of our product candidates.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ind w:firstLine="446"/>
        <w:spacing w:after="0" w:line="269" w:lineRule="auto"/>
        <w:rPr>
          <w:sz w:val="20"/>
          <w:szCs w:val="20"/>
          <w:color w:val="auto"/>
        </w:rPr>
      </w:pPr>
      <w:r>
        <w:rPr>
          <w:rFonts w:ascii="Arial" w:cs="Arial" w:eastAsia="Arial" w:hAnsi="Arial"/>
          <w:sz w:val="17"/>
          <w:szCs w:val="17"/>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179"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86"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78" w:lineRule="exact"/>
        <w:rPr>
          <w:sz w:val="20"/>
          <w:szCs w:val="20"/>
          <w:color w:val="auto"/>
        </w:rPr>
      </w:pPr>
    </w:p>
    <w:p>
      <w:pPr>
        <w:ind w:right="160" w:firstLine="446"/>
        <w:spacing w:after="0" w:line="275" w:lineRule="auto"/>
        <w:rPr>
          <w:sz w:val="20"/>
          <w:szCs w:val="20"/>
          <w:color w:val="auto"/>
        </w:rPr>
      </w:pPr>
      <w:r>
        <w:rPr>
          <w:rFonts w:ascii="Arial" w:cs="Arial" w:eastAsia="Arial" w:hAnsi="Arial"/>
          <w:sz w:val="17"/>
          <w:szCs w:val="17"/>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76" w:lineRule="exact"/>
        <w:rPr>
          <w:sz w:val="20"/>
          <w:szCs w:val="20"/>
          <w:color w:val="auto"/>
        </w:rPr>
      </w:pPr>
    </w:p>
    <w:p>
      <w:pPr>
        <w:ind w:right="240" w:firstLine="446"/>
        <w:spacing w:after="0" w:line="259" w:lineRule="auto"/>
        <w:rPr>
          <w:sz w:val="20"/>
          <w:szCs w:val="20"/>
          <w:color w:val="auto"/>
        </w:rPr>
      </w:pPr>
      <w:r>
        <w:rPr>
          <w:rFonts w:ascii="Arial" w:cs="Arial" w:eastAsia="Arial" w:hAnsi="Arial"/>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spacing w:after="0" w:line="269" w:lineRule="auto"/>
        <w:rPr>
          <w:sz w:val="20"/>
          <w:szCs w:val="20"/>
          <w:color w:val="auto"/>
        </w:rPr>
      </w:pPr>
      <w:r>
        <w:rPr>
          <w:rFonts w:ascii="Arial" w:cs="Arial" w:eastAsia="Arial" w:hAnsi="Arial"/>
          <w:sz w:val="17"/>
          <w:szCs w:val="17"/>
          <w:color w:val="auto"/>
        </w:rPr>
        <w:t>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185"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195"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22" w:lineRule="exact"/>
        <w:rPr>
          <w:sz w:val="20"/>
          <w:szCs w:val="20"/>
          <w:color w:val="auto"/>
        </w:rPr>
      </w:pPr>
    </w:p>
    <w:p>
      <w:pPr>
        <w:ind w:right="20" w:firstLine="446"/>
        <w:spacing w:after="0" w:line="268"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26" w:lineRule="exact"/>
        <w:rPr>
          <w:sz w:val="20"/>
          <w:szCs w:val="20"/>
          <w:color w:val="auto"/>
        </w:rPr>
      </w:pPr>
    </w:p>
    <w:p>
      <w:pPr>
        <w:ind w:right="20" w:firstLine="446"/>
        <w:spacing w:after="0" w:line="301"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2" w:name="page73"/>
    <w:bookmarkEnd w:id="72"/>
    <w:p>
      <w:pPr>
        <w:ind w:right="40"/>
        <w:spacing w:after="0" w:line="259" w:lineRule="auto"/>
        <w:rPr>
          <w:sz w:val="20"/>
          <w:szCs w:val="20"/>
          <w:color w:val="auto"/>
        </w:rPr>
      </w:pPr>
      <w:r>
        <w:rPr>
          <w:rFonts w:ascii="Arial" w:cs="Arial" w:eastAsia="Arial" w:hAnsi="Arial"/>
          <w:sz w:val="18"/>
          <w:szCs w:val="18"/>
          <w:color w:val="auto"/>
        </w:rPr>
        <w:t>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14"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22"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188" w:lineRule="exact"/>
        <w:rPr>
          <w:sz w:val="20"/>
          <w:szCs w:val="20"/>
          <w:color w:val="auto"/>
        </w:rPr>
      </w:pPr>
    </w:p>
    <w:p>
      <w:pPr>
        <w:ind w:right="280" w:firstLine="446"/>
        <w:spacing w:after="0" w:line="275" w:lineRule="auto"/>
        <w:rPr>
          <w:sz w:val="20"/>
          <w:szCs w:val="20"/>
          <w:color w:val="auto"/>
        </w:rPr>
      </w:pPr>
      <w:r>
        <w:rPr>
          <w:rFonts w:ascii="Arial" w:cs="Arial" w:eastAsia="Arial" w:hAnsi="Arial"/>
          <w:sz w:val="17"/>
          <w:szCs w:val="17"/>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176"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8"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78" w:lineRule="exact"/>
        <w:rPr>
          <w:sz w:val="20"/>
          <w:szCs w:val="20"/>
          <w:color w:val="auto"/>
        </w:rPr>
      </w:pPr>
    </w:p>
    <w:p>
      <w:pPr>
        <w:ind w:right="280" w:firstLine="446"/>
        <w:spacing w:after="0" w:line="296" w:lineRule="auto"/>
        <w:rPr>
          <w:sz w:val="20"/>
          <w:szCs w:val="20"/>
          <w:color w:val="auto"/>
        </w:rPr>
      </w:pPr>
      <w:r>
        <w:rPr>
          <w:rFonts w:ascii="Arial" w:cs="Arial" w:eastAsia="Arial" w:hAnsi="Arial"/>
          <w:sz w:val="16"/>
          <w:szCs w:val="16"/>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(e.g.,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3" w:name="page74"/>
    <w:bookmarkEnd w:id="73"/>
    <w:p>
      <w:pPr>
        <w:spacing w:after="0" w:line="271" w:lineRule="auto"/>
        <w:rPr>
          <w:sz w:val="20"/>
          <w:szCs w:val="20"/>
          <w:color w:val="auto"/>
        </w:rPr>
      </w:pPr>
      <w:r>
        <w:rPr>
          <w:rFonts w:ascii="Arial" w:cs="Arial" w:eastAsia="Arial" w:hAnsi="Arial"/>
          <w:sz w:val="17"/>
          <w:szCs w:val="17"/>
          <w:color w:val="auto"/>
        </w:rPr>
        <w:t>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effectively protect or enforce our intellectual property and proprietary rights throughout the world.</w:t>
      </w:r>
    </w:p>
    <w:p>
      <w:pPr>
        <w:spacing w:after="0" w:line="117"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181" w:lineRule="exact"/>
        <w:rPr>
          <w:sz w:val="20"/>
          <w:szCs w:val="20"/>
          <w:color w:val="auto"/>
        </w:rPr>
      </w:pPr>
    </w:p>
    <w:p>
      <w:pPr>
        <w:ind w:right="20" w:firstLine="446"/>
        <w:spacing w:after="0" w:line="285" w:lineRule="auto"/>
        <w:rPr>
          <w:sz w:val="20"/>
          <w:szCs w:val="20"/>
          <w:color w:val="auto"/>
        </w:rPr>
      </w:pPr>
      <w:r>
        <w:rPr>
          <w:rFonts w:ascii="Arial" w:cs="Arial" w:eastAsia="Arial" w:hAnsi="Arial"/>
          <w:sz w:val="16"/>
          <w:szCs w:val="16"/>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ind w:left="460" w:right="20"/>
        <w:spacing w:after="0" w:line="342" w:lineRule="auto"/>
        <w:rPr>
          <w:sz w:val="20"/>
          <w:szCs w:val="20"/>
          <w:color w:val="auto"/>
        </w:rPr>
      </w:pPr>
      <w:r>
        <w:rPr>
          <w:rFonts w:ascii="Arial" w:cs="Arial" w:eastAsia="Arial" w:hAnsi="Arial"/>
          <w:sz w:val="16"/>
          <w:szCs w:val="16"/>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16"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92"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5"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182" w:lineRule="exact"/>
        <w:rPr>
          <w:sz w:val="20"/>
          <w:szCs w:val="20"/>
          <w:color w:val="auto"/>
        </w:rPr>
      </w:pPr>
    </w:p>
    <w:p>
      <w:pPr>
        <w:ind w:right="100" w:firstLine="446"/>
        <w:spacing w:after="0" w:line="288" w:lineRule="auto"/>
        <w:rPr>
          <w:sz w:val="20"/>
          <w:szCs w:val="20"/>
          <w:color w:val="auto"/>
        </w:rPr>
      </w:pPr>
      <w:r>
        <w:rPr>
          <w:rFonts w:ascii="Arial" w:cs="Arial" w:eastAsia="Arial" w:hAnsi="Arial"/>
          <w:sz w:val="16"/>
          <w:szCs w:val="16"/>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75" w:name="page76"/>
    <w:bookmarkEnd w:id="75"/>
    <w:p>
      <w:pPr>
        <w:ind w:left="460" w:right="2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62" w:lineRule="exact"/>
        <w:rPr>
          <w:sz w:val="20"/>
          <w:szCs w:val="20"/>
          <w:color w:val="auto"/>
        </w:rPr>
      </w:pPr>
    </w:p>
    <w:p>
      <w:pPr>
        <w:ind w:right="40" w:firstLine="446"/>
        <w:spacing w:after="0" w:line="288" w:lineRule="auto"/>
        <w:rPr>
          <w:sz w:val="20"/>
          <w:szCs w:val="20"/>
          <w:color w:val="auto"/>
        </w:rPr>
      </w:pPr>
      <w:r>
        <w:rPr>
          <w:rFonts w:ascii="Arial" w:cs="Arial" w:eastAsia="Arial" w:hAnsi="Arial"/>
          <w:sz w:val="16"/>
          <w:szCs w:val="16"/>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68"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Rights to improvements to our product candidates may be held by third parties.</w:t>
      </w:r>
    </w:p>
    <w:p>
      <w:pPr>
        <w:spacing w:after="0" w:line="117" w:lineRule="exact"/>
        <w:rPr>
          <w:sz w:val="20"/>
          <w:szCs w:val="20"/>
          <w:color w:val="auto"/>
        </w:rPr>
      </w:pPr>
    </w:p>
    <w:p>
      <w:pPr>
        <w:ind w:right="20" w:firstLine="446"/>
        <w:spacing w:after="0" w:line="268" w:lineRule="auto"/>
        <w:rPr>
          <w:sz w:val="20"/>
          <w:szCs w:val="20"/>
          <w:color w:val="auto"/>
        </w:rPr>
      </w:pPr>
      <w:r>
        <w:rPr>
          <w:rFonts w:ascii="Arial" w:cs="Arial" w:eastAsia="Arial" w:hAnsi="Arial"/>
          <w:sz w:val="17"/>
          <w:szCs w:val="17"/>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b w:val="1"/>
          <w:bCs w:val="1"/>
          <w:i w:val="1"/>
          <w:iCs w:val="1"/>
          <w:color w:val="auto"/>
        </w:rPr>
        <w:t>The term of our patents may be inadequate to protect our competitive position on our products.</w:t>
      </w:r>
    </w:p>
    <w:p>
      <w:pPr>
        <w:spacing w:after="0" w:line="117" w:lineRule="exact"/>
        <w:rPr>
          <w:sz w:val="20"/>
          <w:szCs w:val="20"/>
          <w:color w:val="auto"/>
        </w:rPr>
      </w:pPr>
    </w:p>
    <w:p>
      <w:pPr>
        <w:ind w:right="80" w:firstLine="446"/>
        <w:spacing w:after="0" w:line="267"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 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283" w:lineRule="exact"/>
        <w:rPr>
          <w:sz w:val="20"/>
          <w:szCs w:val="20"/>
          <w:color w:val="auto"/>
        </w:rPr>
      </w:pPr>
    </w:p>
    <w:p>
      <w:pPr>
        <w:ind w:left="460" w:right="2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76"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86"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62"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7" w:name="page78"/>
    <w:bookmarkEnd w:id="77"/>
    <w:p>
      <w:pPr>
        <w:spacing w:after="0" w:line="291" w:lineRule="auto"/>
        <w:rPr>
          <w:sz w:val="20"/>
          <w:szCs w:val="20"/>
          <w:color w:val="auto"/>
        </w:rPr>
      </w:pPr>
      <w:r>
        <w:rPr>
          <w:rFonts w:ascii="Arial" w:cs="Arial" w:eastAsia="Arial" w:hAnsi="Arial"/>
          <w:sz w:val="16"/>
          <w:szCs w:val="16"/>
          <w:color w:val="auto"/>
        </w:rPr>
        <w:t>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00" w:right="100" w:hanging="447"/>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62" w:lineRule="exact"/>
        <w:rPr>
          <w:rFonts w:ascii="Arial" w:cs="Arial" w:eastAsia="Arial" w:hAnsi="Arial"/>
          <w:sz w:val="18"/>
          <w:szCs w:val="18"/>
          <w:color w:val="auto"/>
        </w:rPr>
      </w:pPr>
    </w:p>
    <w:p>
      <w:pPr>
        <w:ind w:left="900" w:right="260" w:hanging="447"/>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900" w:right="60" w:hanging="447"/>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00" w:right="40" w:hanging="447"/>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8" w:lineRule="exact"/>
        <w:rPr>
          <w:rFonts w:ascii="Arial" w:cs="Arial" w:eastAsia="Arial" w:hAnsi="Arial"/>
          <w:sz w:val="18"/>
          <w:szCs w:val="18"/>
          <w:color w:val="auto"/>
        </w:rPr>
      </w:pPr>
    </w:p>
    <w:p>
      <w:pPr>
        <w:ind w:left="900" w:hanging="44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44" w:lineRule="exact"/>
        <w:rPr>
          <w:rFonts w:ascii="Arial" w:cs="Arial" w:eastAsia="Arial" w:hAnsi="Arial"/>
          <w:sz w:val="18"/>
          <w:szCs w:val="18"/>
          <w:color w:val="auto"/>
        </w:rPr>
      </w:pPr>
    </w:p>
    <w:p>
      <w:pPr>
        <w:ind w:left="900" w:right="40" w:hanging="447"/>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89" w:lineRule="exact"/>
        <w:rPr>
          <w:rFonts w:ascii="Arial" w:cs="Arial" w:eastAsia="Arial" w:hAnsi="Arial"/>
          <w:sz w:val="18"/>
          <w:szCs w:val="18"/>
          <w:color w:val="auto"/>
        </w:rPr>
      </w:pPr>
    </w:p>
    <w:p>
      <w:pPr>
        <w:ind w:left="900" w:right="300" w:hanging="447"/>
        <w:spacing w:after="0" w:line="334"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ind w:left="900" w:hanging="44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44" w:lineRule="exact"/>
        <w:rPr>
          <w:rFonts w:ascii="Arial" w:cs="Arial" w:eastAsia="Arial" w:hAnsi="Arial"/>
          <w:sz w:val="18"/>
          <w:szCs w:val="18"/>
          <w:color w:val="auto"/>
        </w:rPr>
      </w:pPr>
    </w:p>
    <w:p>
      <w:pPr>
        <w:ind w:left="900" w:right="220" w:hanging="447"/>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 how, and a third party may subsequently file a patent covering such intellectual property.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4"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35"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ind w:left="460" w:right="2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35"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35" w:lineRule="exact"/>
        <w:rPr>
          <w:sz w:val="20"/>
          <w:szCs w:val="20"/>
          <w:color w:val="auto"/>
        </w:rPr>
      </w:pPr>
    </w:p>
    <w:p>
      <w:pPr>
        <w:ind w:left="900" w:right="400" w:hanging="447"/>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35" w:lineRule="exact"/>
        <w:rPr>
          <w:rFonts w:ascii="Arial" w:cs="Arial" w:eastAsia="Arial" w:hAnsi="Arial"/>
          <w:sz w:val="18"/>
          <w:szCs w:val="18"/>
          <w:color w:val="auto"/>
        </w:rPr>
      </w:pPr>
    </w:p>
    <w:p>
      <w:pPr>
        <w:ind w:left="900" w:right="120" w:hanging="447"/>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future preclinical or clinical trials or funding support by us, or future collaborators or licensing partners;</w:t>
      </w:r>
    </w:p>
    <w:p>
      <w:pPr>
        <w:spacing w:after="0" w:line="35"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35" w:lineRule="exact"/>
        <w:rPr>
          <w:rFonts w:ascii="Arial" w:cs="Arial" w:eastAsia="Arial" w:hAnsi="Arial"/>
          <w:sz w:val="18"/>
          <w:szCs w:val="18"/>
          <w:color w:val="auto"/>
        </w:rPr>
      </w:pPr>
    </w:p>
    <w:p>
      <w:pPr>
        <w:ind w:left="900" w:hanging="447"/>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01" w:lineRule="exact"/>
        <w:rPr>
          <w:rFonts w:ascii="Arial" w:cs="Arial" w:eastAsia="Arial" w:hAnsi="Arial"/>
          <w:sz w:val="17"/>
          <w:szCs w:val="17"/>
          <w:color w:val="auto"/>
        </w:rPr>
      </w:pPr>
    </w:p>
    <w:p>
      <w:pPr>
        <w:ind w:left="900" w:hanging="447"/>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90" w:lineRule="exact"/>
        <w:rPr>
          <w:rFonts w:ascii="Arial" w:cs="Arial" w:eastAsia="Arial" w:hAnsi="Arial"/>
          <w:sz w:val="18"/>
          <w:szCs w:val="18"/>
          <w:color w:val="auto"/>
        </w:rPr>
      </w:pPr>
    </w:p>
    <w:p>
      <w:pPr>
        <w:ind w:left="900" w:right="280" w:hanging="447"/>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35" w:lineRule="exact"/>
        <w:rPr>
          <w:rFonts w:ascii="Arial" w:cs="Arial" w:eastAsia="Arial" w:hAnsi="Arial"/>
          <w:sz w:val="18"/>
          <w:szCs w:val="18"/>
          <w:color w:val="auto"/>
        </w:rPr>
      </w:pPr>
    </w:p>
    <w:p>
      <w:pPr>
        <w:ind w:left="900" w:right="460" w:hanging="447"/>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the COVID-19 pandemic.</w:t>
      </w:r>
    </w:p>
    <w:p>
      <w:pPr>
        <w:spacing w:after="0" w:line="239"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30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market price of our common stock is likely to be highly volatile, which could result in substantial losses for purchasers of our common stock.</w:t>
      </w:r>
    </w:p>
    <w:p>
      <w:pPr>
        <w:spacing w:after="0" w:line="152" w:lineRule="exact"/>
        <w:rPr>
          <w:sz w:val="20"/>
          <w:szCs w:val="20"/>
          <w:color w:val="auto"/>
        </w:rPr>
      </w:pPr>
    </w:p>
    <w:p>
      <w:pPr>
        <w:ind w:right="120" w:firstLine="446"/>
        <w:spacing w:after="0" w:line="296" w:lineRule="auto"/>
        <w:rPr>
          <w:sz w:val="20"/>
          <w:szCs w:val="20"/>
          <w:color w:val="auto"/>
        </w:rPr>
      </w:pPr>
      <w:r>
        <w:rPr>
          <w:rFonts w:ascii="Arial" w:cs="Arial" w:eastAsia="Arial" w:hAnsi="Arial"/>
          <w:sz w:val="16"/>
          <w:szCs w:val="16"/>
          <w:color w:val="auto"/>
        </w:rPr>
        <w:t>The market price of our common stock has been highly volatile since our initial public offering, or IPO. From January 1, 2021 to December 31, 2021, the closing price of common stock on the Nasdaq Global Select Market has ranged from $10.96 to $95.38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Annual Report on Form 10-K and the following:</w:t>
      </w:r>
    </w:p>
    <w:p>
      <w:pPr>
        <w:spacing w:after="0" w:line="53" w:lineRule="exact"/>
        <w:rPr>
          <w:sz w:val="20"/>
          <w:szCs w:val="20"/>
          <w:color w:val="auto"/>
        </w:rPr>
      </w:pPr>
    </w:p>
    <w:p>
      <w:pPr>
        <w:ind w:left="900" w:right="60" w:hanging="447"/>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enrollment or results of clinical trials of our product candidates, or those of our competitors or our future collaborators, or changes in the development status of our product candidates;</w:t>
      </w:r>
    </w:p>
    <w:p>
      <w:pPr>
        <w:spacing w:after="0" w:line="62" w:lineRule="exact"/>
        <w:rPr>
          <w:rFonts w:ascii="Arial" w:cs="Arial" w:eastAsia="Arial" w:hAnsi="Arial"/>
          <w:sz w:val="18"/>
          <w:szCs w:val="18"/>
          <w:color w:val="auto"/>
        </w:rPr>
      </w:pPr>
    </w:p>
    <w:p>
      <w:pPr>
        <w:ind w:left="900" w:right="140" w:hanging="447"/>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900" w:right="200" w:hanging="447"/>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9" w:lineRule="exact"/>
        <w:rPr>
          <w:sz w:val="20"/>
          <w:szCs w:val="20"/>
          <w:color w:val="auto"/>
        </w:rPr>
      </w:pPr>
    </w:p>
    <w:p>
      <w:pPr>
        <w:ind w:left="5540" w:right="1860" w:hanging="5087"/>
        <w:spacing w:after="0" w:line="653" w:lineRule="auto"/>
        <w:tabs>
          <w:tab w:leader="none" w:pos="9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9" w:name="page80"/>
    <w:bookmarkEnd w:id="79"/>
    <w:p>
      <w:pPr>
        <w:ind w:left="900" w:hanging="447"/>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developments concerning any future collaborations, including but not limited to those with development and commercialization partners;</w:t>
      </w:r>
    </w:p>
    <w:p>
      <w:pPr>
        <w:spacing w:after="0" w:line="128"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9" w:lineRule="exact"/>
        <w:rPr>
          <w:sz w:val="20"/>
          <w:szCs w:val="20"/>
          <w:color w:val="auto"/>
        </w:rPr>
      </w:pPr>
    </w:p>
    <w:p>
      <w:pPr>
        <w:ind w:left="900" w:hanging="447"/>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 candidates and products;</w:t>
      </w:r>
    </w:p>
    <w:p>
      <w:pPr>
        <w:spacing w:after="0" w:line="62" w:lineRule="exact"/>
        <w:rPr>
          <w:rFonts w:ascii="Arial" w:cs="Arial" w:eastAsia="Arial" w:hAnsi="Arial"/>
          <w:sz w:val="18"/>
          <w:szCs w:val="18"/>
          <w:color w:val="auto"/>
        </w:rPr>
      </w:pPr>
    </w:p>
    <w:p>
      <w:pPr>
        <w:ind w:left="900" w:hanging="447"/>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right="240" w:hanging="447"/>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9" w:lineRule="exact"/>
        <w:rPr>
          <w:sz w:val="20"/>
          <w:szCs w:val="20"/>
          <w:color w:val="auto"/>
        </w:rPr>
      </w:pPr>
    </w:p>
    <w:p>
      <w:pPr>
        <w:ind w:left="900" w:hanging="447"/>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common stock by us, insiders or our stockholders;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900" w:right="540" w:hanging="447"/>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 such as the COVID-19 pandemic.</w:t>
      </w:r>
    </w:p>
    <w:p>
      <w:pPr>
        <w:spacing w:after="0" w:line="170"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8"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20" w:firstLine="446"/>
        <w:spacing w:after="0" w:line="263" w:lineRule="auto"/>
        <w:rPr>
          <w:sz w:val="20"/>
          <w:szCs w:val="20"/>
          <w:color w:val="auto"/>
        </w:rPr>
      </w:pPr>
      <w:r>
        <w:rPr>
          <w:rFonts w:ascii="Arial" w:cs="Arial" w:eastAsia="Arial" w:hAnsi="Arial"/>
          <w:sz w:val="18"/>
          <w:szCs w:val="18"/>
          <w:color w:val="auto"/>
        </w:rPr>
        <w:t>As of December 31, 2021, our executive officers, directors, beneficial owners of 5% or more of our capital stock and their respective affiliates beneficially owned a substantial portion of our common stock. The voting power of this group may increase to the extent they convert shares of non-voting common stock they hold into common stock.</w:t>
      </w:r>
    </w:p>
    <w:p>
      <w:pPr>
        <w:spacing w:after="0" w:line="184"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This group of stockholders have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0" w:name="page81"/>
    <w:bookmarkEnd w:id="80"/>
    <w:p>
      <w:pPr>
        <w:ind w:right="540"/>
        <w:spacing w:after="0" w:line="342" w:lineRule="auto"/>
        <w:rPr>
          <w:sz w:val="20"/>
          <w:szCs w:val="20"/>
          <w:color w:val="auto"/>
        </w:rPr>
      </w:pPr>
      <w:r>
        <w:rPr>
          <w:rFonts w:ascii="Arial" w:cs="Arial" w:eastAsia="Arial" w:hAnsi="Arial"/>
          <w:sz w:val="16"/>
          <w:szCs w:val="16"/>
          <w:color w:val="auto"/>
        </w:rPr>
        <w:t>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43"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62" w:lineRule="exact"/>
        <w:rPr>
          <w:sz w:val="20"/>
          <w:szCs w:val="20"/>
          <w:color w:val="auto"/>
        </w:rPr>
      </w:pPr>
    </w:p>
    <w:p>
      <w:pPr>
        <w:ind w:right="40" w:firstLine="446"/>
        <w:spacing w:after="0" w:line="269" w:lineRule="auto"/>
        <w:rPr>
          <w:sz w:val="20"/>
          <w:szCs w:val="20"/>
          <w:color w:val="auto"/>
        </w:rPr>
      </w:pPr>
      <w:r>
        <w:rPr>
          <w:rFonts w:ascii="Arial" w:cs="Arial" w:eastAsia="Arial" w:hAnsi="Arial"/>
          <w:sz w:val="17"/>
          <w:szCs w:val="17"/>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February 28, 2022, the common stock will have 100% of the voting power, but if the holders of non-voting common stock were to convert all of their shares into common stock, the prior common stock would have 76.1% of the voting power, and the former non-voting common stock would represent 23.9%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273" w:lineRule="exact"/>
        <w:rPr>
          <w:sz w:val="20"/>
          <w:szCs w:val="20"/>
          <w:color w:val="auto"/>
        </w:rPr>
      </w:pPr>
    </w:p>
    <w:p>
      <w:pPr>
        <w:ind w:left="460" w:right="38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 w:lineRule="exact"/>
        <w:rPr>
          <w:sz w:val="20"/>
          <w:szCs w:val="20"/>
          <w:color w:val="auto"/>
        </w:rPr>
      </w:pPr>
    </w:p>
    <w:p>
      <w:pPr>
        <w:ind w:right="80" w:firstLine="446"/>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Annual Report on Form 10-K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Annual Report on Form 10-K.</w:t>
      </w:r>
    </w:p>
    <w:p>
      <w:pPr>
        <w:spacing w:after="0" w:line="192"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this Annual Report on Form 10-K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82" w:lineRule="exact"/>
        <w:rPr>
          <w:sz w:val="20"/>
          <w:szCs w:val="20"/>
          <w:color w:val="auto"/>
        </w:rPr>
      </w:pPr>
    </w:p>
    <w:p>
      <w:pPr>
        <w:ind w:firstLine="446"/>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1" w:name="page82"/>
    <w:bookmarkEnd w:id="81"/>
    <w:p>
      <w:pPr>
        <w:ind w:right="220"/>
        <w:spacing w:after="0" w:line="279" w:lineRule="auto"/>
        <w:rPr>
          <w:sz w:val="20"/>
          <w:szCs w:val="20"/>
          <w:color w:val="auto"/>
        </w:rPr>
      </w:pPr>
      <w:r>
        <w:rPr>
          <w:rFonts w:ascii="Arial" w:cs="Arial" w:eastAsia="Arial" w:hAnsi="Arial"/>
          <w:sz w:val="17"/>
          <w:szCs w:val="17"/>
          <w:color w:val="auto"/>
        </w:rPr>
        <w:t>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1"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73" w:lineRule="exact"/>
        <w:rPr>
          <w:sz w:val="20"/>
          <w:szCs w:val="20"/>
          <w:color w:val="auto"/>
        </w:rPr>
      </w:pPr>
    </w:p>
    <w:p>
      <w:pPr>
        <w:ind w:left="460" w:right="4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38" w:lineRule="exact"/>
        <w:rPr>
          <w:sz w:val="20"/>
          <w:szCs w:val="20"/>
          <w:color w:val="auto"/>
        </w:rPr>
      </w:pPr>
    </w:p>
    <w:p>
      <w:pPr>
        <w:ind w:firstLine="446"/>
        <w:spacing w:after="0" w:line="263"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49" w:lineRule="exact"/>
        <w:rPr>
          <w:sz w:val="20"/>
          <w:szCs w:val="20"/>
          <w:color w:val="auto"/>
        </w:rPr>
      </w:pPr>
    </w:p>
    <w:p>
      <w:pPr>
        <w:ind w:left="900" w:hanging="447"/>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authorize the issuance of “blank check” preferred stock that our board could use to implement a stockholder rights plan;</w:t>
      </w:r>
    </w:p>
    <w:p>
      <w:pPr>
        <w:spacing w:after="0" w:line="90" w:lineRule="exact"/>
        <w:rPr>
          <w:sz w:val="20"/>
          <w:szCs w:val="20"/>
          <w:color w:val="auto"/>
        </w:rPr>
      </w:pPr>
    </w:p>
    <w:p>
      <w:pPr>
        <w:ind w:left="900" w:hanging="447"/>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900" w:hanging="447"/>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900" w:right="360" w:hanging="447"/>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43" w:lineRule="exact"/>
        <w:rPr>
          <w:sz w:val="20"/>
          <w:szCs w:val="20"/>
          <w:color w:val="auto"/>
        </w:rPr>
      </w:pPr>
    </w:p>
    <w:p>
      <w:pPr>
        <w:ind w:firstLine="446"/>
        <w:spacing w:after="0" w:line="263"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65" w:lineRule="exact"/>
        <w:rPr>
          <w:sz w:val="20"/>
          <w:szCs w:val="20"/>
          <w:color w:val="auto"/>
        </w:rPr>
      </w:pPr>
    </w:p>
    <w:p>
      <w:pPr>
        <w:ind w:left="460" w:right="40"/>
        <w:spacing w:after="0" w:line="356" w:lineRule="auto"/>
        <w:rPr>
          <w:sz w:val="20"/>
          <w:szCs w:val="20"/>
          <w:color w:val="auto"/>
        </w:rPr>
      </w:pPr>
      <w:r>
        <w:rPr>
          <w:rFonts w:ascii="Arial" w:cs="Arial" w:eastAsia="Arial" w:hAnsi="Arial"/>
          <w:sz w:val="15"/>
          <w:szCs w:val="15"/>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1" w:lineRule="exact"/>
        <w:rPr>
          <w:sz w:val="20"/>
          <w:szCs w:val="20"/>
          <w:color w:val="auto"/>
        </w:rPr>
      </w:pPr>
    </w:p>
    <w:p>
      <w:pPr>
        <w:ind w:right="140" w:firstLine="446"/>
        <w:spacing w:after="0" w:line="263" w:lineRule="auto"/>
        <w:rPr>
          <w:sz w:val="20"/>
          <w:szCs w:val="20"/>
          <w:color w:val="auto"/>
        </w:rPr>
      </w:pPr>
      <w:r>
        <w:rPr>
          <w:rFonts w:ascii="Arial" w:cs="Arial" w:eastAsia="Arial" w:hAnsi="Arial"/>
          <w:sz w:val="18"/>
          <w:szCs w:val="18"/>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2" w:name="page83"/>
    <w:bookmarkEnd w:id="82"/>
    <w:p>
      <w:pPr>
        <w:ind w:right="240"/>
        <w:spacing w:after="0" w:line="263" w:lineRule="auto"/>
        <w:rPr>
          <w:sz w:val="20"/>
          <w:szCs w:val="20"/>
          <w:color w:val="auto"/>
        </w:rPr>
      </w:pPr>
      <w:r>
        <w:rPr>
          <w:rFonts w:ascii="Arial" w:cs="Arial" w:eastAsia="Arial" w:hAnsi="Arial"/>
          <w:sz w:val="18"/>
          <w:szCs w:val="18"/>
          <w:color w:val="auto"/>
        </w:rPr>
        <w:t>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57" w:lineRule="exact"/>
        <w:rPr>
          <w:sz w:val="20"/>
          <w:szCs w:val="20"/>
          <w:color w:val="auto"/>
        </w:rPr>
      </w:pPr>
    </w:p>
    <w:p>
      <w:pPr>
        <w:ind w:right="40" w:firstLine="446"/>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30" w:lineRule="exact"/>
        <w:rPr>
          <w:sz w:val="20"/>
          <w:szCs w:val="20"/>
          <w:color w:val="auto"/>
        </w:rPr>
      </w:pPr>
    </w:p>
    <w:p>
      <w:pPr>
        <w:ind w:right="140" w:firstLine="446"/>
        <w:spacing w:after="0" w:line="254"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194" w:lineRule="exact"/>
        <w:rPr>
          <w:sz w:val="20"/>
          <w:szCs w:val="20"/>
          <w:color w:val="auto"/>
        </w:rPr>
      </w:pPr>
    </w:p>
    <w:p>
      <w:pPr>
        <w:ind w:right="320" w:firstLine="446"/>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14"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2" w:lineRule="exact"/>
        <w:rPr>
          <w:sz w:val="20"/>
          <w:szCs w:val="20"/>
          <w:color w:val="auto"/>
        </w:rPr>
      </w:pPr>
    </w:p>
    <w:p>
      <w:pPr>
        <w:ind w:right="20" w:firstLine="446"/>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ind w:left="460" w:right="2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280" w:firstLine="446"/>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460" w:right="6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59"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62" w:lineRule="exact"/>
        <w:rPr>
          <w:sz w:val="20"/>
          <w:szCs w:val="20"/>
          <w:color w:val="auto"/>
        </w:rPr>
      </w:pPr>
    </w:p>
    <w:p>
      <w:pPr>
        <w:ind w:firstLine="619"/>
        <w:spacing w:after="0" w:line="263" w:lineRule="auto"/>
        <w:rPr>
          <w:sz w:val="20"/>
          <w:szCs w:val="20"/>
          <w:color w:val="auto"/>
        </w:rPr>
      </w:pPr>
      <w:r>
        <w:rPr>
          <w:rFonts w:ascii="Arial" w:cs="Arial" w:eastAsia="Arial" w:hAnsi="Arial"/>
          <w:sz w:val="18"/>
          <w:szCs w:val="18"/>
          <w:color w:val="auto"/>
        </w:rPr>
        <w:t>We are subject to the reporting requirements of the Exchange Act, the Sarbanes-Oxley Act and the rules and the listing requirements of the Nasdaq Global Select Market. The Sarbanes-Oxley Act requires, among other things, that we maintain effective disclosure controls and procedures and internal control over financial reporting.</w:t>
      </w:r>
    </w:p>
    <w:p>
      <w:pPr>
        <w:spacing w:after="0" w:line="184" w:lineRule="exact"/>
        <w:rPr>
          <w:sz w:val="20"/>
          <w:szCs w:val="20"/>
          <w:color w:val="auto"/>
        </w:rPr>
      </w:pPr>
    </w:p>
    <w:p>
      <w:pPr>
        <w:ind w:right="120" w:firstLine="619"/>
        <w:spacing w:after="0" w:line="259" w:lineRule="auto"/>
        <w:rPr>
          <w:sz w:val="20"/>
          <w:szCs w:val="20"/>
          <w:color w:val="auto"/>
        </w:rPr>
      </w:pPr>
      <w:r>
        <w:rPr>
          <w:rFonts w:ascii="Arial" w:cs="Arial" w:eastAsia="Arial" w:hAnsi="Arial"/>
          <w:sz w:val="18"/>
          <w:szCs w:val="18"/>
          <w:color w:val="auto"/>
        </w:rPr>
        <w:t>We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404(a) of the Sarbanes-Oxley Act. This requires that we incur substantial additional professional fees and internal costs to expand our accounting and finance functions and that we expend significant management efforts.</w:t>
      </w:r>
    </w:p>
    <w:p>
      <w:pPr>
        <w:spacing w:after="0" w:line="187" w:lineRule="exact"/>
        <w:rPr>
          <w:sz w:val="20"/>
          <w:szCs w:val="20"/>
          <w:color w:val="auto"/>
        </w:rPr>
      </w:pPr>
    </w:p>
    <w:p>
      <w:pPr>
        <w:ind w:right="120" w:firstLine="619"/>
        <w:spacing w:after="0" w:line="259" w:lineRule="auto"/>
        <w:rPr>
          <w:sz w:val="20"/>
          <w:szCs w:val="20"/>
          <w:color w:val="auto"/>
        </w:rPr>
      </w:pPr>
      <w:r>
        <w:rPr>
          <w:rFonts w:ascii="Arial" w:cs="Arial" w:eastAsia="Arial" w:hAnsi="Arial"/>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7" w:lineRule="exact"/>
        <w:rPr>
          <w:sz w:val="20"/>
          <w:szCs w:val="20"/>
          <w:color w:val="auto"/>
        </w:rPr>
      </w:pPr>
    </w:p>
    <w:p>
      <w:pPr>
        <w:jc w:val="both"/>
        <w:ind w:right="180" w:firstLine="619"/>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SEC, or other regulatory authorities.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principal executive office is located in Wilmington, Delaware where we license &amp; lease space in two buildings for a total of approximately</w:t>
      </w:r>
    </w:p>
    <w:p>
      <w:pPr>
        <w:spacing w:after="0" w:line="3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39,294 square feet of office and laboratory space that is utilized for administrative, research and development and other business related activities. The license covering our laboratory, supportive, and executive offices expires on December 31, 2022, with an option to renew for an additional 12 months thereafter. Our secondary office presence is leased through June 30, 2022.</w:t>
      </w:r>
    </w:p>
    <w:p>
      <w:pPr>
        <w:spacing w:after="0" w:line="298" w:lineRule="exact"/>
        <w:rPr>
          <w:sz w:val="20"/>
          <w:szCs w:val="20"/>
          <w:color w:val="auto"/>
        </w:rPr>
      </w:pPr>
    </w:p>
    <w:p>
      <w:pPr>
        <w:ind w:right="60" w:firstLine="513"/>
        <w:spacing w:after="0" w:line="275" w:lineRule="auto"/>
        <w:rPr>
          <w:sz w:val="20"/>
          <w:szCs w:val="20"/>
          <w:color w:val="auto"/>
        </w:rPr>
      </w:pPr>
      <w:r>
        <w:rPr>
          <w:rFonts w:ascii="Arial" w:cs="Arial" w:eastAsia="Arial" w:hAnsi="Arial"/>
          <w:sz w:val="17"/>
          <w:szCs w:val="17"/>
          <w:color w:val="auto"/>
        </w:rPr>
        <w:t>On November 30, 2021, we entered into a lease agreement (the “Chestnut Run Lease”) for approximately 81,000 square feet of office and laboratory space that we intend to use for administrative, research and development and other activities located at Chestnut Run Plaza in Wilmington, Delaware. The Chestnut Run Lease has an initial term of 162 months from the earlier of (i) the Landlord Work Substantial Completion Date (as such term is defined in the Chestnut Run Lease) or (ii) the date the Company takes possession of the premises for the conduct of the Company’s business. We have an option to extend the term of the lease by up to three additional five-year terms and certain expansion rights.</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believe that our facilities are sufficient to meet our current needs and that suitable additional space will be available as and when needed.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40" w:firstLine="513"/>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400" w:right="1920" w:hanging="400"/>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85" w:lineRule="exact"/>
        <w:rPr>
          <w:sz w:val="20"/>
          <w:szCs w:val="20"/>
          <w:color w:val="auto"/>
        </w:rPr>
      </w:pPr>
    </w:p>
    <w:p>
      <w:pPr>
        <w:ind w:right="340" w:firstLine="401"/>
        <w:spacing w:after="0" w:line="277" w:lineRule="auto"/>
        <w:rPr>
          <w:sz w:val="20"/>
          <w:szCs w:val="20"/>
          <w:color w:val="auto"/>
        </w:rPr>
      </w:pPr>
      <w:r>
        <w:rPr>
          <w:rFonts w:ascii="Arial" w:cs="Arial" w:eastAsia="Arial" w:hAnsi="Arial"/>
          <w:sz w:val="18"/>
          <w:szCs w:val="18"/>
          <w:color w:val="auto"/>
        </w:rPr>
        <w:t>Our common stock has been listed on The Nasdaq Global Market under the symbol “PRLD” since September 25, 2020. Prior to that there was no public trading market for our common stock.</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ind w:right="220" w:firstLine="401"/>
        <w:spacing w:after="0" w:line="311" w:lineRule="auto"/>
        <w:rPr>
          <w:sz w:val="20"/>
          <w:szCs w:val="20"/>
          <w:color w:val="auto"/>
        </w:rPr>
      </w:pPr>
      <w:r>
        <w:rPr>
          <w:rFonts w:ascii="Arial" w:cs="Arial" w:eastAsia="Arial" w:hAnsi="Arial"/>
          <w:sz w:val="16"/>
          <w:szCs w:val="16"/>
          <w:color w:val="auto"/>
        </w:rPr>
        <w:t>As of March 11, 2022, there were approximately 21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ind w:right="100" w:firstLine="401"/>
        <w:spacing w:after="0" w:line="279" w:lineRule="auto"/>
        <w:rPr>
          <w:sz w:val="20"/>
          <w:szCs w:val="20"/>
          <w:color w:val="auto"/>
        </w:rPr>
      </w:pPr>
      <w:r>
        <w:rPr>
          <w:rFonts w:ascii="Arial" w:cs="Arial" w:eastAsia="Arial" w:hAnsi="Arial"/>
          <w:sz w:val="17"/>
          <w:szCs w:val="17"/>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89" w:lineRule="exact"/>
        <w:rPr>
          <w:sz w:val="20"/>
          <w:szCs w:val="20"/>
          <w:color w:val="auto"/>
        </w:rPr>
      </w:pPr>
    </w:p>
    <w:p>
      <w:pPr>
        <w:ind w:right="60" w:firstLine="401"/>
        <w:spacing w:after="0" w:line="220" w:lineRule="exact"/>
        <w:rPr>
          <w:sz w:val="20"/>
          <w:szCs w:val="20"/>
          <w:color w:val="auto"/>
        </w:rPr>
      </w:pPr>
      <w:r>
        <w:rPr>
          <w:rFonts w:ascii="Arial" w:cs="Arial" w:eastAsia="Arial" w:hAnsi="Arial"/>
          <w:sz w:val="18"/>
          <w:szCs w:val="18"/>
          <w:color w:val="auto"/>
        </w:rPr>
        <w:t>On September 29, 2020, we completed our IPO and sold 9,573,750 shares of common stock at an IPO price of $19.00 per share. The offer and sale of all of the shares in the IPO were registered under the Securities Act pursuant to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1 (File No. 333</w:t>
      </w:r>
      <w:r>
        <w:rPr>
          <w:rFonts w:ascii="MS PGothic" w:cs="MS PGothic" w:eastAsia="MS PGothic" w:hAnsi="MS PGothic"/>
          <w:sz w:val="18"/>
          <w:szCs w:val="18"/>
          <w:color w:val="auto"/>
        </w:rPr>
        <w:t>‑</w:t>
      </w:r>
      <w:r>
        <w:rPr>
          <w:rFonts w:ascii="Arial" w:cs="Arial" w:eastAsia="Arial" w:hAnsi="Arial"/>
          <w:sz w:val="18"/>
          <w:szCs w:val="18"/>
          <w:color w:val="auto"/>
        </w:rPr>
        <w:t>248628), which was declared effective by the SEC on September 24, 2020. No additional shares were registered.</w:t>
      </w:r>
    </w:p>
    <w:p>
      <w:pPr>
        <w:spacing w:after="0" w:line="164"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We received net proceeds from the IPO of approximately $166.6 million, after deducting underwriting discounts and commissions and offering costs. Morgan Stanley &amp; Co. LLC, Goldman Sachs &amp; Co. LLC and BofA Securities, Inc.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60" w:lineRule="exact"/>
        <w:rPr>
          <w:sz w:val="20"/>
          <w:szCs w:val="20"/>
          <w:color w:val="auto"/>
        </w:rPr>
      </w:pPr>
    </w:p>
    <w:p>
      <w:pPr>
        <w:ind w:right="660" w:firstLine="401"/>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130" w:lineRule="exact"/>
        <w:rPr>
          <w:sz w:val="20"/>
          <w:szCs w:val="20"/>
          <w:color w:val="auto"/>
        </w:rPr>
      </w:pPr>
    </w:p>
    <w:p>
      <w:pPr>
        <w:ind w:right="60" w:firstLine="401"/>
        <w:spacing w:after="0" w:line="219" w:lineRule="exact"/>
        <w:rPr>
          <w:sz w:val="20"/>
          <w:szCs w:val="20"/>
          <w:color w:val="auto"/>
        </w:rPr>
      </w:pPr>
      <w:r>
        <w:rPr>
          <w:rFonts w:ascii="Arial" w:cs="Arial" w:eastAsia="Arial" w:hAnsi="Arial"/>
          <w:sz w:val="18"/>
          <w:szCs w:val="18"/>
          <w:color w:val="auto"/>
        </w:rPr>
        <w:t>In January 2021, the Company sold 2,875,000 shares of its common stock at a public offering price of $60.00 per share. The offer and sale of all of the shares were registered under the Securities Act pursuant to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1 filed January 4, 2021, which was declared effective by the SEC on January 6, 2021. We received net proceeds of $161.4 million after deducting underwriting discounts, commissions, and other offering expenses paid by the Company. There has been no material change in the planned use of proceeds as described in the Prospectus filed with the SEC pursuant to Rule 424(b)(4) under the Securities Act on January 7, 2021.</w:t>
      </w:r>
    </w:p>
    <w:p>
      <w:pPr>
        <w:spacing w:after="0" w:line="30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7" w:lineRule="exact"/>
        <w:rPr>
          <w:sz w:val="20"/>
          <w:szCs w:val="20"/>
          <w:color w:val="auto"/>
        </w:rPr>
      </w:pPr>
    </w:p>
    <w:p>
      <w:pPr>
        <w:ind w:firstLine="513"/>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related notes and other financial information included elsewhere in this Form 10-K. Some of the information contained in this discussion and analysis contains forward-looking statements that involve risks and uncertainties. You should review the section titled “Risk Factors” in this Form 10-K for a discussion of important factors that could cause actual results to differ materially from the results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3"/>
        <w:spacing w:after="0" w:line="271" w:lineRule="auto"/>
        <w:rPr>
          <w:sz w:val="20"/>
          <w:szCs w:val="20"/>
          <w:color w:val="auto"/>
        </w:rPr>
      </w:pPr>
      <w:r>
        <w:rPr>
          <w:rFonts w:ascii="Arial" w:cs="Arial" w:eastAsia="Arial" w:hAnsi="Arial"/>
          <w:sz w:val="17"/>
          <w:szCs w:val="17"/>
          <w:color w:val="auto"/>
        </w:rPr>
        <w:t>We are a clinical-stage fully integrated oncology company built on a foundation of drug discovery excellence to deliver novel precision cancer medicines to underserved patients.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trials.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six investigational new drug applications, or INDs, and successfully advanced these programs into clinical trials. In addition, we have two unique programs in various stages of preclinical development that we plan to advance into clinical development in 2022.</w:t>
      </w:r>
    </w:p>
    <w:p>
      <w:pPr>
        <w:spacing w:after="0" w:line="178" w:lineRule="exact"/>
        <w:rPr>
          <w:sz w:val="20"/>
          <w:szCs w:val="20"/>
          <w:color w:val="auto"/>
        </w:rPr>
      </w:pPr>
    </w:p>
    <w:p>
      <w:pPr>
        <w:ind w:right="260" w:firstLine="513"/>
        <w:spacing w:after="0" w:line="279" w:lineRule="auto"/>
        <w:rPr>
          <w:sz w:val="20"/>
          <w:szCs w:val="20"/>
          <w:color w:val="auto"/>
        </w:rPr>
      </w:pPr>
      <w:r>
        <w:rPr>
          <w:rFonts w:ascii="Arial" w:cs="Arial" w:eastAsia="Arial" w:hAnsi="Arial"/>
          <w:sz w:val="17"/>
          <w:szCs w:val="17"/>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believe we can best address these diseases by developing therapies that target primary and secondary resistance mechanisms.</w:t>
      </w:r>
    </w:p>
    <w:p>
      <w:pPr>
        <w:spacing w:after="0" w:line="171" w:lineRule="exact"/>
        <w:rPr>
          <w:sz w:val="20"/>
          <w:szCs w:val="20"/>
          <w:color w:val="auto"/>
        </w:rPr>
      </w:pPr>
    </w:p>
    <w:p>
      <w:pPr>
        <w:ind w:right="20" w:firstLine="513"/>
        <w:spacing w:after="0" w:line="268" w:lineRule="auto"/>
        <w:rPr>
          <w:sz w:val="20"/>
          <w:szCs w:val="20"/>
          <w:color w:val="auto"/>
        </w:rPr>
      </w:pPr>
      <w:r>
        <w:rPr>
          <w:rFonts w:ascii="Arial" w:cs="Arial" w:eastAsia="Arial" w:hAnsi="Arial"/>
          <w:sz w:val="17"/>
          <w:szCs w:val="17"/>
          <w:color w:val="auto"/>
        </w:rPr>
        <w:t>Our most advanced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PRT543, our first clinical candidate, is currently in a Phase 1 clinical trial in advanced solid tumors and select myeloid malignancies. As of an August 6, 2021 data cutoff date, the dose escalation portion of the ongoing Phase 1 trial of PRT543 enrolled a total of 49 patients across 18 unselected advanced solid tumors and lymphoma. Patients enrolled in the trial received an average of three prior lines of therapy. PRT543 demonstrated target engagement and inhibition of PRMT5 functional activity as evidenced by a 69% reduction in serum symmetric dimethylarginine, or sDMA, at a dose of 45 mg/5x per week. In addition, PRT543 demonstrated signs of preliminary clinical activity, including a durable complete response, or CR, maintained for over 18 months in a patient with HRD+ ovarian cancer who remains on treatment and prolonged stable disease, or SD, persisting for over six months in five patients, including four patients with ACC and one patient with uveal melanoma. A complete response is defined as the disappearance of all target lesions. PRT543 was generally well tolerated: the most common grade 3 or higher treatment-related adverse events, or AEs, occurring in at least 5% of patients were thrombocytopenia (27%) and anemia (12%), both of which were reversible upon treatment interruption. Patients were largely able to remain on therapy with few AE-related dose interruptions (27%), reductions (22%), or discontinuations (4%).</w:t>
      </w:r>
    </w:p>
    <w:p>
      <w:pPr>
        <w:spacing w:after="0" w:line="186" w:lineRule="exact"/>
        <w:rPr>
          <w:sz w:val="20"/>
          <w:szCs w:val="20"/>
          <w:color w:val="auto"/>
        </w:rPr>
      </w:pPr>
    </w:p>
    <w:p>
      <w:pPr>
        <w:ind w:right="200" w:firstLine="513"/>
        <w:spacing w:after="0" w:line="257" w:lineRule="auto"/>
        <w:rPr>
          <w:sz w:val="20"/>
          <w:szCs w:val="20"/>
          <w:color w:val="auto"/>
        </w:rPr>
      </w:pPr>
      <w:r>
        <w:rPr>
          <w:rFonts w:ascii="Arial" w:cs="Arial" w:eastAsia="Arial" w:hAnsi="Arial"/>
          <w:sz w:val="18"/>
          <w:szCs w:val="18"/>
          <w:color w:val="auto"/>
        </w:rPr>
        <w:t>We completed enrollment of certain dose expansion cohorts with PRT543 including adenoid cystic carcinoma (ACC) and HRD+ solid tumors and discontinued enrollment in select myeloid malignancy and lymphoma (DLBCL and MCL) cohorts with PRT543, in which patient enrollment has been challenging and sufficient evidence of clinical activity has yet to be obtained. We are continuing enrollment in select PRT543 dose expansion cohorts in those indications most likely to achieve proof-of-concept (“POC”) including splicing mutated solid tumors and myeloid malignancies. We anticipate presenting data from those expansion cohorts in the second half of 2022.</w:t>
      </w:r>
    </w:p>
    <w:p>
      <w:pPr>
        <w:spacing w:after="0" w:line="188" w:lineRule="exact"/>
        <w:rPr>
          <w:sz w:val="20"/>
          <w:szCs w:val="20"/>
          <w:color w:val="auto"/>
        </w:rPr>
      </w:pPr>
    </w:p>
    <w:p>
      <w:pPr>
        <w:ind w:right="20" w:firstLine="513"/>
        <w:spacing w:after="0" w:line="296" w:lineRule="auto"/>
        <w:rPr>
          <w:sz w:val="20"/>
          <w:szCs w:val="20"/>
          <w:color w:val="auto"/>
        </w:rPr>
      </w:pPr>
      <w:r>
        <w:rPr>
          <w:rFonts w:ascii="Arial" w:cs="Arial" w:eastAsia="Arial" w:hAnsi="Arial"/>
          <w:sz w:val="16"/>
          <w:szCs w:val="16"/>
          <w:color w:val="auto"/>
        </w:rPr>
        <w:t>PRT811, our second clinical candidate, is a PRMT5 inhibitor that we have optimized for high brain exposure. PRT811 is being studied in a Phase 1 clinical trial in unselected patients with solid tumors, including high-grade glioma. As of an August 13, 2021 data cutoff date, the dose escalation portion of the ongoing Phase 1 trial of PRT811 enrolled a total of 45 patients, including 27 patients across 16 unselected advanced solid tumors and 18 patients with high-grade gliomas, including 17 patients with glioblastoma multiforme. PRT811 demonstrated dose dependent inhibition of PRMT5 activity as evidenced by an 83% reduction in serum sDMA at a dose of 600 mg daily (QD). In addition, PRT811 demonstrated signs of preliminary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spacing w:after="0" w:line="254" w:lineRule="auto"/>
        <w:rPr>
          <w:sz w:val="20"/>
          <w:szCs w:val="20"/>
          <w:color w:val="auto"/>
        </w:rPr>
      </w:pPr>
      <w:r>
        <w:rPr>
          <w:rFonts w:ascii="Arial" w:cs="Arial" w:eastAsia="Arial" w:hAnsi="Arial"/>
          <w:sz w:val="18"/>
          <w:szCs w:val="18"/>
          <w:color w:val="auto"/>
        </w:rPr>
        <w:t>clinical activity, including an IDH1 mutated high grade glioma (glioblastoma (GBM)) patient who experienced a partial response, or PR, that evolved into a durable CR for more than 13 months. In addition, a patient with splicing-mutant, or SF3B1, uveal melanoma demonstrated SD for more than six months with a 25% tumor regression. At a post data-cutoff on September 20, 2021, one additional patient (receiving a dose of 800 mg QD) with SF3B1 uveal melanoma had an unconfirmed PR and 47% decrease in target lesion, and a patient with triple negative breast cancer (receiving a dose of 800 mg QD) demonstrated a 27% decrease in target lesions. PRT811 was generally well-tolerated; the most common grade 3 or higher treatment-related AE was thrombocytopenia (7%), which was reversible upon treatment interruption. Patients were largely able to remain on therapy with few AE-related dose interruptions (13%), reductions (4%), or discontinuations (3%).</w:t>
      </w:r>
    </w:p>
    <w:p>
      <w:pPr>
        <w:spacing w:after="0" w:line="195" w:lineRule="exact"/>
        <w:rPr>
          <w:sz w:val="20"/>
          <w:szCs w:val="20"/>
          <w:color w:val="auto"/>
        </w:rPr>
      </w:pPr>
    </w:p>
    <w:p>
      <w:pPr>
        <w:jc w:val="both"/>
        <w:ind w:right="100" w:firstLine="513"/>
        <w:spacing w:after="0" w:line="311" w:lineRule="auto"/>
        <w:rPr>
          <w:sz w:val="20"/>
          <w:szCs w:val="20"/>
          <w:color w:val="auto"/>
        </w:rPr>
      </w:pPr>
      <w:r>
        <w:rPr>
          <w:rFonts w:ascii="Arial" w:cs="Arial" w:eastAsia="Arial" w:hAnsi="Arial"/>
          <w:sz w:val="16"/>
          <w:szCs w:val="16"/>
          <w:color w:val="auto"/>
        </w:rPr>
        <w:t>Based on data from the ongoing Phase 1 dose expansion studies of both PRT543 and PRT811, we are concentrating our further development efforts on PRT811 in biomarker-selected patients in specific cancer types. While the Company believes that both PRT811 and PRT543 are high quality, clinically active compounds, PRT811 was selected based on its superior safety profile, higher level of target engagement, and unique brain penetrant properties.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we intend to:</w:t>
      </w:r>
    </w:p>
    <w:p>
      <w:pPr>
        <w:spacing w:after="0" w:line="23" w:lineRule="exact"/>
        <w:rPr>
          <w:sz w:val="20"/>
          <w:szCs w:val="20"/>
          <w:color w:val="auto"/>
        </w:rPr>
      </w:pPr>
    </w:p>
    <w:p>
      <w:pPr>
        <w:ind w:left="920" w:right="640" w:hanging="399"/>
        <w:spacing w:after="0" w:line="250" w:lineRule="auto"/>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Focus clinical development in select patient populations where clinical activity has been observed, including splicing mutated myeloid malignancies and solid tumors including uveal melanoma and IDH1 mutated high grade gliomas.</w:t>
      </w:r>
    </w:p>
    <w:p>
      <w:pPr>
        <w:ind w:left="920" w:hanging="399"/>
        <w:spacing w:after="0"/>
        <w:tabs>
          <w:tab w:leader="none" w:pos="9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Complete data analysis of the ongoing expansion cohort of adenoid cystic carcinoma (ACC) by mid-year to determine further development.</w:t>
      </w:r>
    </w:p>
    <w:p>
      <w:pPr>
        <w:spacing w:after="0" w:line="32" w:lineRule="exact"/>
        <w:rPr>
          <w:rFonts w:ascii="Arial" w:cs="Arial" w:eastAsia="Arial" w:hAnsi="Arial"/>
          <w:sz w:val="16"/>
          <w:szCs w:val="16"/>
          <w:color w:val="auto"/>
        </w:rPr>
      </w:pPr>
    </w:p>
    <w:p>
      <w:pPr>
        <w:ind w:left="920" w:hanging="399"/>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Report data from the ongoing dose expansion cohorts in the second half of 2022.</w:t>
      </w:r>
    </w:p>
    <w:p>
      <w:pPr>
        <w:spacing w:after="0" w:line="9" w:lineRule="exact"/>
        <w:rPr>
          <w:rFonts w:ascii="Arial" w:cs="Arial" w:eastAsia="Arial" w:hAnsi="Arial"/>
          <w:sz w:val="18"/>
          <w:szCs w:val="18"/>
          <w:color w:val="auto"/>
        </w:rPr>
      </w:pPr>
    </w:p>
    <w:p>
      <w:pPr>
        <w:ind w:left="920" w:hanging="399"/>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Determine appropriate development options for PRT811 based on emerging data from ongoing expansion cohorts.</w:t>
      </w:r>
    </w:p>
    <w:p>
      <w:pPr>
        <w:spacing w:after="0" w:line="211" w:lineRule="exact"/>
        <w:rPr>
          <w:sz w:val="20"/>
          <w:szCs w:val="20"/>
          <w:color w:val="auto"/>
        </w:rPr>
      </w:pPr>
    </w:p>
    <w:p>
      <w:pPr>
        <w:ind w:firstLine="513"/>
        <w:spacing w:after="0" w:line="293" w:lineRule="auto"/>
        <w:rPr>
          <w:sz w:val="20"/>
          <w:szCs w:val="20"/>
          <w:color w:val="auto"/>
        </w:rPr>
      </w:pPr>
      <w:r>
        <w:rPr>
          <w:rFonts w:ascii="Arial" w:cs="Arial" w:eastAsia="Arial" w:hAnsi="Arial"/>
          <w:sz w:val="16"/>
          <w:szCs w:val="16"/>
          <w:color w:val="auto"/>
        </w:rPr>
        <w:t>PRT1419, our third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Phase 1 clinical trial for the oral formulation of PRT1419. The dose escalation portion of the Phase 1 trial of both oral formulation and the IV formulation, which leverages the optimized physicochemical properties of PRT1419, are underway in patients with solid tumors and hematologic tumors.</w:t>
      </w:r>
    </w:p>
    <w:p>
      <w:pPr>
        <w:spacing w:after="0" w:line="164" w:lineRule="exact"/>
        <w:rPr>
          <w:sz w:val="20"/>
          <w:szCs w:val="20"/>
          <w:color w:val="auto"/>
        </w:rPr>
      </w:pPr>
    </w:p>
    <w:p>
      <w:pPr>
        <w:jc w:val="both"/>
        <w:ind w:firstLine="513"/>
        <w:spacing w:after="0" w:line="311" w:lineRule="auto"/>
        <w:rPr>
          <w:sz w:val="20"/>
          <w:szCs w:val="20"/>
          <w:color w:val="auto"/>
        </w:rPr>
      </w:pPr>
      <w:r>
        <w:rPr>
          <w:rFonts w:ascii="Arial" w:cs="Arial" w:eastAsia="Arial" w:hAnsi="Arial"/>
          <w:sz w:val="16"/>
          <w:szCs w:val="16"/>
          <w:color w:val="auto"/>
        </w:rPr>
        <w:t>Based on the data to date, we intend to prioritize development of the IV formulation of PRT1419 which demonstrated a desirable pharmacokinetic, pharmacodynamic and safety profile with potential for differentiation from competitor compounds. We intend to initiate a combination trial with venetoclax by mid-year, with the goal of establishing safety, clinical activity and a recommended Phase 2 dose in the second half of 2022.</w:t>
      </w:r>
    </w:p>
    <w:p>
      <w:pPr>
        <w:spacing w:after="0" w:line="149" w:lineRule="exact"/>
        <w:rPr>
          <w:sz w:val="20"/>
          <w:szCs w:val="20"/>
          <w:color w:val="auto"/>
        </w:rPr>
      </w:pPr>
    </w:p>
    <w:p>
      <w:pPr>
        <w:ind w:right="60" w:firstLine="513"/>
        <w:spacing w:after="0" w:line="290" w:lineRule="auto"/>
        <w:rPr>
          <w:sz w:val="20"/>
          <w:szCs w:val="20"/>
          <w:color w:val="auto"/>
        </w:rPr>
      </w:pPr>
      <w:r>
        <w:rPr>
          <w:rFonts w:ascii="Arial" w:cs="Arial" w:eastAsia="Arial" w:hAnsi="Arial"/>
          <w:sz w:val="16"/>
          <w:szCs w:val="16"/>
          <w:color w:val="auto"/>
        </w:rPr>
        <w:t>PRT2527, our fourth clinical candidate, is designed to be a potent and selective Cyclin-dependent kinase 9, or CDK9, inhibitor. In preclinical studies, PRT2527 was shown to reduce MCL1 and MYC protein levels and was highly active in preclinical models at well-tolerated doses. PRT2527 has demonstrated high potency and kinase selectivity which may offer improved efficacy and safety compared to less selective CDK9 inhibitors. 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A phase one trial is underway evaluating escalating IV doses of PRT2527 as a monotherapy in patients with selected solid tumors, including sarcoma, prostate cancer, lung cancer, and other cancers with genomic alterations that lead to MYC dependence. We anticipate completing enrollment in the Phase 1 dose escalation study of PRT2527 with the goal of identifying a recommended Phase 2 dose in the second half of 2022.</w:t>
      </w:r>
    </w:p>
    <w:p>
      <w:pPr>
        <w:spacing w:after="0" w:line="165" w:lineRule="exact"/>
        <w:rPr>
          <w:sz w:val="20"/>
          <w:szCs w:val="20"/>
          <w:color w:val="auto"/>
        </w:rPr>
      </w:pPr>
    </w:p>
    <w:p>
      <w:pPr>
        <w:ind w:right="20" w:firstLine="513"/>
        <w:spacing w:after="0" w:line="273" w:lineRule="auto"/>
        <w:rPr>
          <w:sz w:val="20"/>
          <w:szCs w:val="20"/>
          <w:color w:val="auto"/>
        </w:rPr>
      </w:pPr>
      <w:r>
        <w:rPr>
          <w:rFonts w:ascii="Arial" w:cs="Arial" w:eastAsia="Arial" w:hAnsi="Arial"/>
          <w:sz w:val="17"/>
          <w:szCs w:val="17"/>
          <w:color w:val="auto"/>
        </w:rPr>
        <w:t>In addition to our four clinical stage candidates, we are advancing two new preclinical programs. Our most advanced preclinical program has led to the identification of PRT3645, a brain penetrant molecule that potently and selectively targets CDK4/6. IND-enabling studies for PRT3645 are ongoing and we intend to complete IND-enabling studies, file an IND and initiate a Phase 1 clinical trial in the second half of 2022. Our second pre-clinical program targets Brahma homologue, or BRM, otherwise known as SMARCA2. We have identified SMARCA2 protein degraders that appear to be potent based on preclinical data demonstrating degradation of SMARCA2 at sub-nanomolar concentrations. Optimization of the lead compound, PRT-SCA2, is progressing, and we intend to complete IND-enabling studies and submit an IND application by year-end 2022.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ind w:right="80" w:firstLine="512"/>
        <w:spacing w:after="0" w:line="285" w:lineRule="auto"/>
        <w:rPr>
          <w:sz w:val="20"/>
          <w:szCs w:val="20"/>
          <w:color w:val="auto"/>
        </w:rPr>
      </w:pPr>
      <w:r>
        <w:rPr>
          <w:rFonts w:ascii="Arial" w:cs="Arial" w:eastAsia="Arial" w:hAnsi="Arial"/>
          <w:sz w:val="16"/>
          <w:szCs w:val="16"/>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$111.7 million and $56.9 million for the years ended December 31, 2021 and 2020, respectively. As of December 31, 2021, we had an accumulated deficit of</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$219.1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81" w:lineRule="exact"/>
        <w:rPr>
          <w:sz w:val="20"/>
          <w:szCs w:val="20"/>
          <w:color w:val="auto"/>
        </w:rPr>
      </w:pPr>
    </w:p>
    <w:p>
      <w:pPr>
        <w:ind w:right="40" w:firstLine="512"/>
        <w:spacing w:after="0" w:line="272" w:lineRule="auto"/>
        <w:rPr>
          <w:sz w:val="20"/>
          <w:szCs w:val="20"/>
          <w:color w:val="auto"/>
        </w:rPr>
      </w:pPr>
      <w:r>
        <w:rPr>
          <w:rFonts w:ascii="Arial" w:cs="Arial" w:eastAsia="Arial" w:hAnsi="Arial"/>
          <w:sz w:val="17"/>
          <w:szCs w:val="17"/>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77" w:lineRule="exact"/>
        <w:rPr>
          <w:sz w:val="20"/>
          <w:szCs w:val="20"/>
          <w:color w:val="auto"/>
        </w:rPr>
      </w:pPr>
    </w:p>
    <w:p>
      <w:pPr>
        <w:ind w:right="40" w:firstLine="512"/>
        <w:spacing w:after="0" w:line="308" w:lineRule="auto"/>
        <w:rPr>
          <w:sz w:val="20"/>
          <w:szCs w:val="20"/>
          <w:color w:val="auto"/>
        </w:rPr>
      </w:pPr>
      <w:r>
        <w:rPr>
          <w:rFonts w:ascii="Arial" w:cs="Arial" w:eastAsia="Arial" w:hAnsi="Arial"/>
          <w:sz w:val="17"/>
          <w:szCs w:val="17"/>
          <w:color w:val="auto"/>
        </w:rPr>
        <w:t>As of December 31, 2021, we had $291.2 million in cash, cash equivalents, and marketable securities. We expect our existing cash, cash equivalents and marketable securities will enable us to fund our operating expense and capital expenditures into the second half of 2024.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17" w:lineRule="exact"/>
        <w:rPr>
          <w:sz w:val="20"/>
          <w:szCs w:val="20"/>
          <w:color w:val="auto"/>
        </w:rPr>
      </w:pPr>
    </w:p>
    <w:p>
      <w:pPr>
        <w:ind w:right="260" w:firstLine="512"/>
        <w:spacing w:after="0" w:line="257" w:lineRule="auto"/>
        <w:rPr>
          <w:sz w:val="20"/>
          <w:szCs w:val="20"/>
          <w:color w:val="auto"/>
        </w:rPr>
      </w:pPr>
      <w:r>
        <w:rPr>
          <w:rFonts w:ascii="Arial" w:cs="Arial" w:eastAsia="Arial" w:hAnsi="Arial"/>
          <w:sz w:val="18"/>
          <w:szCs w:val="18"/>
          <w:color w:val="auto"/>
        </w:rPr>
        <w:t>We are continuing to proactively monitor and assess the COVID-19 pandemic. Since early March 2020 we have been monitoring the potential impact on our business that may result from this rapidly evolving crisis and to avoid any unnecessary potential delays to our programs. At this time, our lead programs and research activities remain on track. The safety and well-being of employees, patients and partners is our highest priority. See the Risk Factor “</w:t>
      </w:r>
      <w:r>
        <w:rPr>
          <w:rFonts w:ascii="Arial" w:cs="Arial" w:eastAsia="Arial" w:hAnsi="Arial"/>
          <w:sz w:val="18"/>
          <w:szCs w:val="18"/>
          <w:i w:val="1"/>
          <w:iCs w:val="1"/>
          <w:color w:val="auto"/>
        </w:rPr>
        <w:t>The COVID-19 pandemic could adversely impact our business, including our clinical trials and clinical trial operations</w:t>
      </w:r>
      <w:r>
        <w:rPr>
          <w:rFonts w:ascii="Arial" w:cs="Arial" w:eastAsia="Arial" w:hAnsi="Arial"/>
          <w:sz w:val="18"/>
          <w:szCs w:val="18"/>
          <w:color w:val="auto"/>
        </w:rPr>
        <w:t>” for additional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2"/>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40" w:firstLine="512"/>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including:</w:t>
      </w:r>
    </w:p>
    <w:p>
      <w:pPr>
        <w:spacing w:after="0" w:line="62" w:lineRule="exact"/>
        <w:rPr>
          <w:sz w:val="20"/>
          <w:szCs w:val="20"/>
          <w:color w:val="auto"/>
        </w:rPr>
      </w:pPr>
    </w:p>
    <w:p>
      <w:pPr>
        <w:ind w:left="1020" w:right="740" w:hanging="513"/>
        <w:spacing w:after="0" w:line="277"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expenses incurred to conduct the necessary discovery-stage laboratory work, preclinical studies and clinical trials required to obtain regulatory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ind w:left="1020" w:right="820" w:hanging="51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stock-based compensation expense for our employees engaged in research and development functions;</w:t>
      </w:r>
    </w:p>
    <w:p>
      <w:pPr>
        <w:spacing w:after="0" w:line="62" w:lineRule="exact"/>
        <w:rPr>
          <w:rFonts w:ascii="Arial" w:cs="Arial" w:eastAsia="Arial" w:hAnsi="Arial"/>
          <w:sz w:val="18"/>
          <w:szCs w:val="18"/>
          <w:color w:val="auto"/>
        </w:rPr>
      </w:pPr>
    </w:p>
    <w:p>
      <w:pPr>
        <w:ind w:left="1020" w:right="320" w:hanging="513"/>
        <w:spacing w:after="0" w:line="342"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15" w:lineRule="exact"/>
        <w:rPr>
          <w:rFonts w:ascii="Arial" w:cs="Arial" w:eastAsia="Arial" w:hAnsi="Arial"/>
          <w:sz w:val="16"/>
          <w:szCs w:val="16"/>
          <w:color w:val="auto"/>
        </w:rPr>
      </w:pPr>
    </w:p>
    <w:p>
      <w:pPr>
        <w:ind w:left="1020" w:right="240" w:hanging="51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62" w:lineRule="exact"/>
        <w:rPr>
          <w:rFonts w:ascii="Arial" w:cs="Arial" w:eastAsia="Arial" w:hAnsi="Arial"/>
          <w:sz w:val="18"/>
          <w:szCs w:val="18"/>
          <w:color w:val="auto"/>
        </w:rPr>
      </w:pPr>
    </w:p>
    <w:p>
      <w:pPr>
        <w:ind w:left="1020" w:hanging="51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fees paid to consultants who assist with research and development activities;</w:t>
      </w:r>
    </w:p>
    <w:p>
      <w:pPr>
        <w:spacing w:after="0" w:line="117" w:lineRule="exact"/>
        <w:rPr>
          <w:rFonts w:ascii="Arial" w:cs="Arial" w:eastAsia="Arial" w:hAnsi="Arial"/>
          <w:sz w:val="18"/>
          <w:szCs w:val="18"/>
          <w:color w:val="auto"/>
        </w:rPr>
      </w:pPr>
    </w:p>
    <w:p>
      <w:pPr>
        <w:ind w:left="1020" w:hanging="51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 and</w:t>
      </w:r>
    </w:p>
    <w:p>
      <w:pPr>
        <w:spacing w:after="0" w:line="117" w:lineRule="exact"/>
        <w:rPr>
          <w:rFonts w:ascii="Arial" w:cs="Arial" w:eastAsia="Arial" w:hAnsi="Arial"/>
          <w:sz w:val="18"/>
          <w:szCs w:val="18"/>
          <w:color w:val="auto"/>
        </w:rPr>
      </w:pPr>
    </w:p>
    <w:p>
      <w:pPr>
        <w:ind w:left="1020" w:hanging="51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depreciation and maintenance.</w:t>
      </w:r>
    </w:p>
    <w:p>
      <w:pPr>
        <w:spacing w:after="0" w:line="225" w:lineRule="exact"/>
        <w:rPr>
          <w:sz w:val="20"/>
          <w:szCs w:val="20"/>
          <w:color w:val="auto"/>
        </w:rPr>
      </w:pPr>
    </w:p>
    <w:p>
      <w:pPr>
        <w:ind w:firstLine="512"/>
        <w:spacing w:after="0" w:line="301" w:lineRule="auto"/>
        <w:rPr>
          <w:sz w:val="20"/>
          <w:szCs w:val="20"/>
          <w:color w:val="auto"/>
        </w:rPr>
      </w:pPr>
      <w:r>
        <w:rPr>
          <w:rFonts w:ascii="Arial" w:cs="Arial" w:eastAsia="Arial" w:hAnsi="Arial"/>
          <w:sz w:val="16"/>
          <w:szCs w:val="16"/>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57" w:lineRule="exact"/>
        <w:rPr>
          <w:sz w:val="20"/>
          <w:szCs w:val="20"/>
          <w:color w:val="auto"/>
        </w:rPr>
      </w:pPr>
    </w:p>
    <w:p>
      <w:pPr>
        <w:ind w:right="100" w:firstLine="512"/>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2"/>
        <w:spacing w:after="0" w:line="301" w:lineRule="auto"/>
        <w:rPr>
          <w:sz w:val="20"/>
          <w:szCs w:val="20"/>
          <w:color w:val="auto"/>
        </w:rPr>
      </w:pPr>
      <w:r>
        <w:rPr>
          <w:rFonts w:ascii="Arial" w:cs="Arial" w:eastAsia="Arial" w:hAnsi="Arial"/>
          <w:sz w:val="16"/>
          <w:szCs w:val="16"/>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57" w:lineRule="exact"/>
        <w:rPr>
          <w:sz w:val="20"/>
          <w:szCs w:val="20"/>
          <w:color w:val="auto"/>
        </w:rPr>
      </w:pPr>
    </w:p>
    <w:p>
      <w:pPr>
        <w:ind w:right="160" w:firstLine="512"/>
        <w:spacing w:after="0" w:line="293" w:lineRule="auto"/>
        <w:rPr>
          <w:sz w:val="20"/>
          <w:szCs w:val="20"/>
          <w:color w:val="auto"/>
        </w:rPr>
      </w:pPr>
      <w:r>
        <w:rPr>
          <w:rFonts w:ascii="Arial" w:cs="Arial" w:eastAsia="Arial" w:hAnsi="Arial"/>
          <w:sz w:val="16"/>
          <w:szCs w:val="16"/>
          <w:color w:val="auto"/>
        </w:rPr>
        <w:t>We expect that our general and administrative expense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anticipate increased costs associated with being a public company, including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firstLine="512"/>
        <w:spacing w:after="0" w:line="311" w:lineRule="auto"/>
        <w:rPr>
          <w:sz w:val="20"/>
          <w:szCs w:val="20"/>
          <w:color w:val="auto"/>
        </w:rPr>
      </w:pPr>
      <w:r>
        <w:rPr>
          <w:rFonts w:ascii="Arial" w:cs="Arial" w:eastAsia="Arial" w:hAnsi="Arial"/>
          <w:sz w:val="16"/>
          <w:szCs w:val="16"/>
          <w:color w:val="auto"/>
        </w:rPr>
        <w:t>Other income, net consists primarily of interest earned on our cash equivalents and marketable securities and grant income received from the State of Delaware. We anticipate re-applying for the grant from the State of Delaware from time to time as long as we maintain qualifying headcount levels in the State of Delaware. We expect our interest income, net to increase due to our investment of cash received from the sale of common stock.</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512"/>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years ended December 31,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7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640" w:type="dxa"/>
            <w:vAlign w:val="bottom"/>
            <w:gridSpan w:val="2"/>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86,778</w:t>
            </w:r>
          </w:p>
        </w:tc>
        <w:tc>
          <w:tcPr>
            <w:tcW w:w="2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48,177</w:t>
            </w:r>
          </w:p>
        </w:tc>
        <w:tc>
          <w:tcPr>
            <w:tcW w:w="160" w:type="dxa"/>
            <w:vAlign w:val="bottom"/>
          </w:tcPr>
          <w:p>
            <w:pPr>
              <w:spacing w:after="0"/>
              <w:rPr>
                <w:sz w:val="19"/>
                <w:szCs w:val="19"/>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113,735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(113,735)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512"/>
        <w:spacing w:after="0" w:line="272" w:lineRule="auto"/>
        <w:rPr>
          <w:sz w:val="20"/>
          <w:szCs w:val="20"/>
          <w:color w:val="auto"/>
        </w:rPr>
      </w:pPr>
      <w:r>
        <w:rPr>
          <w:rFonts w:ascii="Arial" w:cs="Arial" w:eastAsia="Arial" w:hAnsi="Arial"/>
          <w:sz w:val="17"/>
          <w:szCs w:val="17"/>
          <w:color w:val="auto"/>
        </w:rPr>
        <w:t>Research and development expenses increased by $38.6 million to $86.8 million for the year ended December 31, 2021 from $48.2 million for the year ended December 31, 2020. The increase was mainly due to increased clinical research costs to support the advancement of our clinical programs, as well as an increase in discovery-stage program expenses. We also incurred an increase in chemistry, manufacturing and other costs for the trials.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20" w:type="dxa"/>
            <w:vAlign w:val="bottom"/>
            <w:gridSpan w:val="6"/>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6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PRT543</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PRT811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PRT1419 (Oral and IV)</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Discovery programs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86,778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80" w:firstLine="512"/>
        <w:spacing w:after="0" w:line="259" w:lineRule="auto"/>
        <w:rPr>
          <w:sz w:val="20"/>
          <w:szCs w:val="20"/>
          <w:color w:val="auto"/>
        </w:rPr>
      </w:pPr>
      <w:r>
        <w:rPr>
          <w:rFonts w:ascii="Arial" w:cs="Arial" w:eastAsia="Arial" w:hAnsi="Arial"/>
          <w:sz w:val="18"/>
          <w:szCs w:val="18"/>
          <w:color w:val="auto"/>
        </w:rPr>
        <w:t>General and administrative expenses increased by $16.4 million to $27.0 million for the year ended December 31, 2021 from $10.6 million for the year ended December 31, 2020. The increase was primarily due to an increase in personnel related expense due to increases in employee headcount and an increase in our professional fees as we expanded our operations to support our research and development efforts and incurred additional costs as a result of being as a public company.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160" w:firstLine="512"/>
        <w:spacing w:after="0" w:line="263" w:lineRule="auto"/>
        <w:rPr>
          <w:sz w:val="20"/>
          <w:szCs w:val="20"/>
          <w:color w:val="auto"/>
        </w:rPr>
      </w:pPr>
      <w:r>
        <w:rPr>
          <w:rFonts w:ascii="Arial" w:cs="Arial" w:eastAsia="Arial" w:hAnsi="Arial"/>
          <w:sz w:val="18"/>
          <w:szCs w:val="18"/>
          <w:color w:val="auto"/>
        </w:rPr>
        <w:t>Other income, net increased by $0.2 million to $2.0 million for the year ended December 31, 2021 from $1.8 million for the year ended December 31, 2020. Other income, net comprises primarily research and development tax credits from the State of Delaware as well as additional interest earned on the investment of our cash proceeds.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20" w:firstLine="512"/>
        <w:spacing w:after="0" w:line="277" w:lineRule="auto"/>
        <w:rPr>
          <w:sz w:val="20"/>
          <w:szCs w:val="20"/>
          <w:color w:val="auto"/>
        </w:rPr>
      </w:pPr>
      <w:r>
        <w:rPr>
          <w:rFonts w:ascii="Arial" w:cs="Arial" w:eastAsia="Arial" w:hAnsi="Arial"/>
          <w:sz w:val="18"/>
          <w:szCs w:val="18"/>
          <w:color w:val="auto"/>
        </w:rPr>
        <w:t>Since our inception, we have not recognized any revenue and have incurred operating losses and negative cash flows from our operations. We have not yet commercialized any product and we do not expect to generate revenue from sales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spacing w:after="0" w:line="257" w:lineRule="auto"/>
        <w:rPr>
          <w:sz w:val="20"/>
          <w:szCs w:val="20"/>
          <w:color w:val="auto"/>
        </w:rPr>
      </w:pPr>
      <w:r>
        <w:rPr>
          <w:rFonts w:ascii="Arial" w:cs="Arial" w:eastAsia="Arial" w:hAnsi="Arial"/>
          <w:sz w:val="18"/>
          <w:szCs w:val="18"/>
          <w:color w:val="auto"/>
        </w:rPr>
        <w:t>any products for several years, if at all. Since our inception, we have funded our operations through the sale of convertible preferred stock and common stock. As of December 31, 2021, we had $291.2 million in cash, cash equivalents, and marketable securities and had an accumulated deficit of $219.1 million. We expect our existing cash, cash equivalents, and marketable securities will enable us to fund our operating expense and capital expenditures into the second half of 2024. We have based these estimates on assumptions that may prove to be imprecise, and we could utilize our available capital resources sooner than we expect.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20" w:firstLine="512"/>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right="40" w:firstLine="512"/>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1020" w:hanging="51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scope, timing, progress and results of discovery, preclinical development, laboratory testing and clinical trials for our product candidates;</w:t>
      </w:r>
    </w:p>
    <w:p>
      <w:pPr>
        <w:spacing w:after="0" w:line="140" w:lineRule="exact"/>
        <w:rPr>
          <w:rFonts w:ascii="Arial" w:cs="Arial" w:eastAsia="Arial" w:hAnsi="Arial"/>
          <w:sz w:val="16"/>
          <w:szCs w:val="16"/>
          <w:color w:val="auto"/>
        </w:rPr>
      </w:pPr>
    </w:p>
    <w:p>
      <w:pPr>
        <w:ind w:left="1020" w:hanging="513"/>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costs of manufacturing our product candidates for clinical trials and in preparation for marketing approval and commercialization;</w:t>
      </w:r>
    </w:p>
    <w:p>
      <w:pPr>
        <w:spacing w:after="0" w:line="128" w:lineRule="exact"/>
        <w:rPr>
          <w:rFonts w:ascii="Arial" w:cs="Arial" w:eastAsia="Arial" w:hAnsi="Arial"/>
          <w:sz w:val="17"/>
          <w:szCs w:val="17"/>
          <w:color w:val="auto"/>
        </w:rPr>
      </w:pPr>
    </w:p>
    <w:p>
      <w:pPr>
        <w:ind w:left="1020" w:right="320" w:hanging="513"/>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we enter into collaborations or other arrangements with additional third parties in order to further develop our product candidates;</w:t>
      </w:r>
    </w:p>
    <w:p>
      <w:pPr>
        <w:spacing w:after="0" w:line="62" w:lineRule="exact"/>
        <w:rPr>
          <w:rFonts w:ascii="Arial" w:cs="Arial" w:eastAsia="Arial" w:hAnsi="Arial"/>
          <w:sz w:val="18"/>
          <w:szCs w:val="18"/>
          <w:color w:val="auto"/>
        </w:rPr>
      </w:pPr>
    </w:p>
    <w:p>
      <w:pPr>
        <w:ind w:left="1020" w:right="300" w:hanging="513"/>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020" w:hanging="51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additional product candidates or technologies;</w:t>
      </w:r>
    </w:p>
    <w:p>
      <w:pPr>
        <w:spacing w:after="0" w:line="117" w:lineRule="exact"/>
        <w:rPr>
          <w:rFonts w:ascii="Arial" w:cs="Arial" w:eastAsia="Arial" w:hAnsi="Arial"/>
          <w:sz w:val="18"/>
          <w:szCs w:val="18"/>
          <w:color w:val="auto"/>
        </w:rPr>
      </w:pPr>
    </w:p>
    <w:p>
      <w:pPr>
        <w:ind w:left="1020" w:hanging="51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needed to attract and retain skilled personnel;</w:t>
      </w:r>
    </w:p>
    <w:p>
      <w:pPr>
        <w:spacing w:after="0" w:line="117" w:lineRule="exact"/>
        <w:rPr>
          <w:rFonts w:ascii="Arial" w:cs="Arial" w:eastAsia="Arial" w:hAnsi="Arial"/>
          <w:sz w:val="18"/>
          <w:szCs w:val="18"/>
          <w:color w:val="auto"/>
        </w:rPr>
      </w:pPr>
    </w:p>
    <w:p>
      <w:pPr>
        <w:ind w:left="1020" w:hanging="51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associated with being a public company;</w:t>
      </w:r>
    </w:p>
    <w:p>
      <w:pPr>
        <w:spacing w:after="0" w:line="117" w:lineRule="exact"/>
        <w:rPr>
          <w:rFonts w:ascii="Arial" w:cs="Arial" w:eastAsia="Arial" w:hAnsi="Arial"/>
          <w:sz w:val="18"/>
          <w:szCs w:val="18"/>
          <w:color w:val="auto"/>
        </w:rPr>
      </w:pPr>
    </w:p>
    <w:p>
      <w:pPr>
        <w:ind w:left="1020" w:hanging="51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required to scale up our clinical, regulatory and manufacturing capabilities;</w:t>
      </w:r>
    </w:p>
    <w:p>
      <w:pPr>
        <w:spacing w:after="0" w:line="117" w:lineRule="exact"/>
        <w:rPr>
          <w:rFonts w:ascii="Arial" w:cs="Arial" w:eastAsia="Arial" w:hAnsi="Arial"/>
          <w:sz w:val="18"/>
          <w:szCs w:val="18"/>
          <w:color w:val="auto"/>
        </w:rPr>
      </w:pPr>
    </w:p>
    <w:p>
      <w:pPr>
        <w:ind w:left="1020" w:right="240" w:hanging="513"/>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62" w:lineRule="exact"/>
        <w:rPr>
          <w:rFonts w:ascii="Arial" w:cs="Arial" w:eastAsia="Arial" w:hAnsi="Arial"/>
          <w:sz w:val="18"/>
          <w:szCs w:val="18"/>
          <w:color w:val="auto"/>
        </w:rPr>
      </w:pPr>
    </w:p>
    <w:p>
      <w:pPr>
        <w:ind w:left="1020" w:hanging="51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should any of our product candidates receive marketing approval.</w:t>
      </w:r>
    </w:p>
    <w:p>
      <w:pPr>
        <w:spacing w:after="0" w:line="248" w:lineRule="exact"/>
        <w:rPr>
          <w:sz w:val="20"/>
          <w:szCs w:val="20"/>
          <w:color w:val="auto"/>
        </w:rPr>
      </w:pPr>
    </w:p>
    <w:p>
      <w:pPr>
        <w:ind w:right="140" w:firstLine="512"/>
        <w:spacing w:after="0" w:line="259" w:lineRule="auto"/>
        <w:rPr>
          <w:sz w:val="20"/>
          <w:szCs w:val="20"/>
          <w:color w:val="auto"/>
        </w:rPr>
      </w:pPr>
      <w:r>
        <w:rPr>
          <w:rFonts w:ascii="Arial" w:cs="Arial" w:eastAsia="Arial" w:hAnsi="Arial"/>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7" w:lineRule="exact"/>
        <w:rPr>
          <w:sz w:val="20"/>
          <w:szCs w:val="20"/>
          <w:color w:val="auto"/>
        </w:rPr>
      </w:pPr>
    </w:p>
    <w:p>
      <w:pPr>
        <w:ind w:firstLine="512"/>
        <w:spacing w:after="0" w:line="289"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commercialization efforts, or grant rights to develop and market product candidates that we would otherwise prefer to develop and market ourselves.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(263,803)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(182,437)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00" w:firstLine="512"/>
        <w:spacing w:after="0" w:line="301" w:lineRule="auto"/>
        <w:rPr>
          <w:sz w:val="20"/>
          <w:szCs w:val="20"/>
          <w:color w:val="auto"/>
        </w:rPr>
      </w:pPr>
      <w:r>
        <w:rPr>
          <w:rFonts w:ascii="Arial" w:cs="Arial" w:eastAsia="Arial" w:hAnsi="Arial"/>
          <w:sz w:val="16"/>
          <w:szCs w:val="16"/>
          <w:color w:val="auto"/>
        </w:rPr>
        <w:t>During the year ended December 31, 2021, we used $83.5 million of cash in operating activities. Cash used in operating activities reflected our net loss of $111.7 million, offset by a $3.6 million net decrease in our operating assets and liabilities and noncash charges of $24.5 million, which consisted of $20.9 million in stock-based compensation, $1.4 million in amortization of premiums and discounts on marketable securities, $1.3 million noncash lease expense, and $0.9 million in depreciation. The primary use of cash was to fund our operations related to the development of our product candidates.</w:t>
      </w:r>
    </w:p>
    <w:p>
      <w:pPr>
        <w:spacing w:after="0" w:line="49" w:lineRule="exact"/>
        <w:rPr>
          <w:sz w:val="20"/>
          <w:szCs w:val="20"/>
          <w:color w:val="auto"/>
        </w:rPr>
      </w:pPr>
    </w:p>
    <w:p>
      <w:pPr>
        <w:ind w:right="100" w:firstLine="512"/>
        <w:spacing w:after="0" w:line="259" w:lineRule="auto"/>
        <w:rPr>
          <w:sz w:val="20"/>
          <w:szCs w:val="20"/>
          <w:color w:val="auto"/>
        </w:rPr>
      </w:pPr>
      <w:r>
        <w:rPr>
          <w:rFonts w:ascii="Arial" w:cs="Arial" w:eastAsia="Arial" w:hAnsi="Arial"/>
          <w:sz w:val="18"/>
          <w:szCs w:val="18"/>
          <w:color w:val="auto"/>
        </w:rPr>
        <w:t>During the year ended December 31, 2020, we used $46.2 million of cash in operating activities. Cash used in operating activities reflected our net loss of $56.9 million, offset by a $4.6 million net decrease in our operating assets and liabilities and noncash charges of $6.1 million, which consisted of $0.5 million in depreciation and amortization and $5.6 million in stock-based compensation. The primary use of cash was to fund our operations related to the development of our product candidates.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60" w:firstLine="512"/>
        <w:spacing w:after="0" w:line="342" w:lineRule="auto"/>
        <w:rPr>
          <w:sz w:val="20"/>
          <w:szCs w:val="20"/>
          <w:color w:val="auto"/>
        </w:rPr>
      </w:pPr>
      <w:r>
        <w:rPr>
          <w:rFonts w:ascii="Arial" w:cs="Arial" w:eastAsia="Arial" w:hAnsi="Arial"/>
          <w:sz w:val="16"/>
          <w:szCs w:val="16"/>
          <w:color w:val="auto"/>
        </w:rPr>
        <w:t>During the year ended December 31, 2021 we used $261.5 million of cash to purchase marketable securities and $2.3 million of cash for the purchase of property and equipment. During the year ended December 31, 2020 we used $0.6 million of cash for the purchase of property and equipment.</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20" w:firstLine="512"/>
        <w:spacing w:after="0" w:line="259" w:lineRule="auto"/>
        <w:rPr>
          <w:sz w:val="20"/>
          <w:szCs w:val="20"/>
          <w:color w:val="auto"/>
        </w:rPr>
      </w:pPr>
      <w:r>
        <w:rPr>
          <w:rFonts w:ascii="Arial" w:cs="Arial" w:eastAsia="Arial" w:hAnsi="Arial"/>
          <w:sz w:val="18"/>
          <w:szCs w:val="18"/>
          <w:color w:val="auto"/>
        </w:rPr>
        <w:t>During the year ended December 31, 2021, financing activities provided $164.9 million, which reflected the receipt of net cash of $161.4 million from the sale of common stock as well as the receipt of $3.8 million from the exercise of stock options and purchases of stock under the Employee Stock Purchase Plan. During the year ended December 31, 2021, we also paid $0.3 million in deferred offering costs in connection with the sale of common stock.</w:t>
      </w:r>
    </w:p>
    <w:p>
      <w:pPr>
        <w:spacing w:after="0" w:line="79" w:lineRule="exact"/>
        <w:rPr>
          <w:sz w:val="20"/>
          <w:szCs w:val="20"/>
          <w:color w:val="auto"/>
        </w:rPr>
      </w:pPr>
    </w:p>
    <w:p>
      <w:pPr>
        <w:ind w:firstLine="512"/>
        <w:spacing w:after="0" w:line="259" w:lineRule="auto"/>
        <w:rPr>
          <w:sz w:val="20"/>
          <w:szCs w:val="20"/>
          <w:color w:val="auto"/>
        </w:rPr>
      </w:pPr>
      <w:r>
        <w:rPr>
          <w:rFonts w:ascii="Arial" w:cs="Arial" w:eastAsia="Arial" w:hAnsi="Arial"/>
          <w:sz w:val="18"/>
          <w:szCs w:val="18"/>
          <w:color w:val="auto"/>
        </w:rPr>
        <w:t>During the year ended December 31, 2020, financing activities provided $246.2 million. During the year ended December 31, 2020, we completed our IPO and received net cash of $166.6 million. We also received $49.8 million from the sale of our Series C convertible preferred stock, $29.9 million from the sale of our Series B convertible preferred stock and $0.1 million from the exercise of stock options. During the year ended December 31, 2020, we made $0.3 million in payments for our capital lease obligation.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337" w:lineRule="exact"/>
        <w:rPr>
          <w:sz w:val="20"/>
          <w:szCs w:val="20"/>
          <w:color w:val="auto"/>
        </w:rPr>
      </w:pPr>
    </w:p>
    <w:p>
      <w:pPr>
        <w:ind w:right="200" w:firstLine="513"/>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2021 and the effects that such obligations are expected to have on our liquidity and cash flows in future periods: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2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Less than 1 year</w:t>
            </w:r>
          </w:p>
        </w:tc>
        <w:tc>
          <w:tcPr>
            <w:tcW w:w="340" w:type="dxa"/>
            <w:vAlign w:val="bottom"/>
          </w:tcPr>
          <w:p>
            <w:pPr>
              <w:spacing w:after="0"/>
              <w:rPr>
                <w:sz w:val="13"/>
                <w:szCs w:val="13"/>
                <w:color w:val="auto"/>
              </w:rPr>
            </w:pPr>
          </w:p>
        </w:tc>
        <w:tc>
          <w:tcPr>
            <w:tcW w:w="100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w w:val="95"/>
              </w:rPr>
              <w:t>1 to 3 years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jc w:val="center"/>
              <w:ind w:right="380"/>
              <w:spacing w:after="0" w:line="155" w:lineRule="exact"/>
              <w:rPr>
                <w:sz w:val="20"/>
                <w:szCs w:val="20"/>
                <w:color w:val="auto"/>
              </w:rPr>
            </w:pPr>
            <w:r>
              <w:rPr>
                <w:rFonts w:ascii="Arial" w:cs="Arial" w:eastAsia="Arial" w:hAnsi="Arial"/>
                <w:sz w:val="14"/>
                <w:szCs w:val="14"/>
                <w:b w:val="1"/>
                <w:bCs w:val="1"/>
                <w:color w:val="auto"/>
                <w:w w:val="90"/>
              </w:rPr>
              <w:t>3 to 5 years</w:t>
            </w:r>
          </w:p>
        </w:tc>
        <w:tc>
          <w:tcPr>
            <w:tcW w:w="13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More than 5 years</w:t>
            </w:r>
          </w:p>
        </w:tc>
        <w:tc>
          <w:tcPr>
            <w:tcW w:w="440" w:type="dxa"/>
            <w:vAlign w:val="bottom"/>
          </w:tcPr>
          <w:p>
            <w:pPr>
              <w:spacing w:after="0"/>
              <w:rPr>
                <w:sz w:val="13"/>
                <w:szCs w:val="13"/>
                <w:color w:val="auto"/>
              </w:rPr>
            </w:pPr>
          </w:p>
        </w:tc>
        <w:tc>
          <w:tcPr>
            <w:tcW w:w="92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5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26,098</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7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jc w:val="both"/>
        <w:ind w:right="200" w:firstLine="513"/>
        <w:spacing w:after="0" w:line="263" w:lineRule="auto"/>
        <w:rPr>
          <w:sz w:val="20"/>
          <w:szCs w:val="20"/>
          <w:color w:val="auto"/>
        </w:rPr>
      </w:pPr>
      <w:r>
        <w:rPr>
          <w:rFonts w:ascii="Arial" w:cs="Arial" w:eastAsia="Arial" w:hAnsi="Arial"/>
          <w:sz w:val="18"/>
          <w:szCs w:val="18"/>
          <w:color w:val="auto"/>
        </w:rPr>
        <w:t>The Company leases office and laboratory space in Wilmington, Delaware under a noncancelable lease (the “Lease”), which expires in December 2022. The Lease was amended during the third quarter of 2021 to include additional office and laboratory space to accommodate the Company’s growth. The Company has an option to renew the Lease for an additional 1-year period.</w:t>
      </w:r>
    </w:p>
    <w:p>
      <w:pPr>
        <w:spacing w:after="0" w:line="184" w:lineRule="exact"/>
        <w:rPr>
          <w:sz w:val="20"/>
          <w:szCs w:val="20"/>
          <w:color w:val="auto"/>
        </w:rPr>
      </w:pPr>
    </w:p>
    <w:p>
      <w:pPr>
        <w:ind w:firstLine="513"/>
        <w:spacing w:after="0" w:line="257" w:lineRule="auto"/>
        <w:rPr>
          <w:sz w:val="20"/>
          <w:szCs w:val="20"/>
          <w:color w:val="auto"/>
        </w:rPr>
      </w:pPr>
      <w:r>
        <w:rPr>
          <w:rFonts w:ascii="Arial" w:cs="Arial" w:eastAsia="Arial" w:hAnsi="Arial"/>
          <w:sz w:val="18"/>
          <w:szCs w:val="18"/>
          <w:color w:val="auto"/>
        </w:rPr>
        <w:t>In November 2021, we entered into a lease agreement (the “Chestnut Run Lease”) with a commencement date of the earlier of (i) the Landlord Work Substantial Completion Date (as such term is defined in the Chestnut Run Lease), or (ii) the date the Company takes possession of the premises for the conduct of the Company’s business. The Chestnut Run Lease has an initial term of 162 months with 3 five-year extension options and certain expansion rights. The aggregate estimated rent payments due over the initial term of the Chestnut Run Lease is approximately $33.8 million and are included in the table above.</w:t>
      </w:r>
    </w:p>
    <w:p>
      <w:pPr>
        <w:spacing w:after="0" w:line="188" w:lineRule="exact"/>
        <w:rPr>
          <w:sz w:val="20"/>
          <w:szCs w:val="20"/>
          <w:color w:val="auto"/>
        </w:rPr>
      </w:pPr>
    </w:p>
    <w:p>
      <w:pPr>
        <w:ind w:firstLine="513"/>
        <w:spacing w:after="0" w:line="277" w:lineRule="auto"/>
        <w:rPr>
          <w:sz w:val="20"/>
          <w:szCs w:val="20"/>
          <w:color w:val="auto"/>
        </w:rPr>
      </w:pPr>
      <w:r>
        <w:rPr>
          <w:rFonts w:ascii="Arial" w:cs="Arial" w:eastAsia="Arial" w:hAnsi="Arial"/>
          <w:sz w:val="18"/>
          <w:szCs w:val="18"/>
          <w:color w:val="auto"/>
        </w:rPr>
        <w:t>In June 2021, the Company entered into a 12-month noncancelable lease, which commenced on July 1, 2021 and will expire on June 30, 2022, and has remaining lease payments of approximately $0.2 million in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512"/>
        <w:spacing w:after="0" w:line="279" w:lineRule="auto"/>
        <w:rPr>
          <w:sz w:val="20"/>
          <w:szCs w:val="20"/>
          <w:color w:val="auto"/>
        </w:rPr>
      </w:pPr>
      <w:r>
        <w:rPr>
          <w:rFonts w:ascii="Arial" w:cs="Arial" w:eastAsia="Arial" w:hAnsi="Arial"/>
          <w:sz w:val="18"/>
          <w:szCs w:val="18"/>
          <w:color w:val="auto"/>
        </w:rPr>
        <w:t>While our significant accounting policies are described in more detail in Note 3 to our audited financial statements included elsewhere in this Annual Report on Form 10-K, we believe the following accounting policies are the most critical to the judgments and estimates used in the preparation of our financial statements.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firstLine="512"/>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development of our product candidates. We expense research and development costs as incurred.</w:t>
      </w:r>
    </w:p>
    <w:p>
      <w:pPr>
        <w:spacing w:after="0" w:line="170" w:lineRule="exact"/>
        <w:rPr>
          <w:sz w:val="20"/>
          <w:szCs w:val="20"/>
          <w:color w:val="auto"/>
        </w:rPr>
      </w:pPr>
    </w:p>
    <w:p>
      <w:pPr>
        <w:ind w:right="60" w:firstLine="513"/>
        <w:spacing w:after="0" w:line="257" w:lineRule="auto"/>
        <w:rPr>
          <w:sz w:val="20"/>
          <w:szCs w:val="20"/>
          <w:color w:val="auto"/>
        </w:rPr>
      </w:pPr>
      <w:r>
        <w:rPr>
          <w:rFonts w:ascii="Arial" w:cs="Arial" w:eastAsia="Arial" w:hAnsi="Arial"/>
          <w:sz w:val="18"/>
          <w:szCs w:val="18"/>
          <w:color w:val="auto"/>
        </w:rPr>
        <w:t>We accrue an expense for preclinical studies and clinical trial activities performed by our CROs and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88" w:lineRule="exact"/>
        <w:rPr>
          <w:sz w:val="20"/>
          <w:szCs w:val="20"/>
          <w:color w:val="auto"/>
        </w:rPr>
      </w:pPr>
    </w:p>
    <w:p>
      <w:pPr>
        <w:ind w:right="20" w:firstLine="512"/>
        <w:spacing w:after="0" w:line="257" w:lineRule="auto"/>
        <w:rPr>
          <w:sz w:val="20"/>
          <w:szCs w:val="20"/>
          <w:color w:val="auto"/>
        </w:rPr>
      </w:pPr>
      <w:r>
        <w:rPr>
          <w:rFonts w:ascii="Arial" w:cs="Arial" w:eastAsia="Arial" w:hAnsi="Arial"/>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1" w:lineRule="exact"/>
        <w:rPr>
          <w:sz w:val="20"/>
          <w:szCs w:val="20"/>
          <w:color w:val="auto"/>
        </w:rPr>
      </w:pPr>
    </w:p>
    <w:p>
      <w:pPr>
        <w:ind w:right="180" w:firstLine="512"/>
        <w:spacing w:after="0" w:line="279" w:lineRule="auto"/>
        <w:rPr>
          <w:sz w:val="20"/>
          <w:szCs w:val="20"/>
          <w:color w:val="auto"/>
        </w:rPr>
      </w:pPr>
      <w:r>
        <w:rPr>
          <w:rFonts w:ascii="Arial" w:cs="Arial" w:eastAsia="Arial" w:hAnsi="Arial"/>
          <w:sz w:val="17"/>
          <w:szCs w:val="17"/>
          <w:color w:val="auto"/>
        </w:rPr>
        <w:t>We recognize compensation costs related to share-based awards granted to employees and directors, including stock options and vesting restricted stock, based on the estimated fair value of the awards on the date of grant. We estimate the grant date fair value of stock options, and the resulting stock-based compensation, using the Black-Scholes option-pricing model. The grant date fair value of the stock-based awards is recognized on a straight-line basis over the requisite service period, which is generally the vesting period of the respective awards.</w:t>
      </w:r>
    </w:p>
    <w:p>
      <w:pPr>
        <w:spacing w:after="0" w:line="171" w:lineRule="exact"/>
        <w:rPr>
          <w:sz w:val="20"/>
          <w:szCs w:val="20"/>
          <w:color w:val="auto"/>
        </w:rPr>
      </w:pPr>
    </w:p>
    <w:p>
      <w:pPr>
        <w:ind w:right="160" w:firstLine="512"/>
        <w:spacing w:after="0" w:line="257" w:lineRule="auto"/>
        <w:rPr>
          <w:sz w:val="20"/>
          <w:szCs w:val="20"/>
          <w:color w:val="auto"/>
        </w:rPr>
      </w:pPr>
      <w:r>
        <w:rPr>
          <w:rFonts w:ascii="Arial" w:cs="Arial" w:eastAsia="Arial" w:hAnsi="Arial"/>
          <w:sz w:val="18"/>
          <w:szCs w:val="18"/>
          <w:color w:val="auto"/>
        </w:rPr>
        <w:t>We estimate the fair value of stock options using the Black-Scholes option-pricing model, which requires assumptions, including volatility, the expected term of our stock options, the risk-free interest rate for a period that approximates the expected term of our stock options, and our expected dividend yield. Certain assumptions used in our Black-Scholes option-pricing model represent management’s best estimates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94" w:name="page95"/>
    <w:bookmarkEnd w:id="94"/>
    <w:p>
      <w:pPr>
        <w:ind w:left="520"/>
        <w:spacing w:after="0"/>
        <w:rPr>
          <w:sz w:val="20"/>
          <w:szCs w:val="20"/>
          <w:color w:val="auto"/>
        </w:rPr>
      </w:pPr>
      <w:r>
        <w:rPr>
          <w:rFonts w:ascii="Arial" w:cs="Arial" w:eastAsia="Arial" w:hAnsi="Arial"/>
          <w:sz w:val="18"/>
          <w:szCs w:val="18"/>
          <w:color w:val="auto"/>
        </w:rPr>
        <w:t>These subjective assumptions are estimated as follows:</w:t>
      </w:r>
    </w:p>
    <w:p>
      <w:pPr>
        <w:spacing w:after="0" w:line="225" w:lineRule="exact"/>
        <w:rPr>
          <w:sz w:val="20"/>
          <w:szCs w:val="20"/>
          <w:color w:val="auto"/>
        </w:rPr>
      </w:pPr>
    </w:p>
    <w:p>
      <w:pPr>
        <w:ind w:right="40" w:firstLine="512"/>
        <w:spacing w:after="0" w:line="296"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—As a privately held company we did not have any trading history for our common stock; accordingly the expected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was estimated based on the average volatility for comparable publicly traded biotechnology companies over a period equal to the expected term of the stock option grants. The comparable companies were chosen based on their similar size, stage in the life cycle or area of specialty. As a public company we have computed the historical volatility of our own stock price and will continue to use the average volatility for comparable publicly traded biotechnology companies until we have ample trading history of our own stock commensurate with the estimated expected term of our options.</w:t>
      </w:r>
    </w:p>
    <w:p>
      <w:pPr>
        <w:spacing w:after="0" w:line="161" w:lineRule="exact"/>
        <w:rPr>
          <w:sz w:val="20"/>
          <w:szCs w:val="20"/>
          <w:color w:val="auto"/>
        </w:rPr>
      </w:pPr>
    </w:p>
    <w:p>
      <w:pPr>
        <w:jc w:val="both"/>
        <w:ind w:right="340" w:firstLine="512"/>
        <w:spacing w:after="0" w:line="263"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represents the period that stock-based awards are expected to be outstanding. The expected term for option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grants is determined using the simplified method. The simplified method deems the expected term to be the midpoint between the vesting date and the contractual life of the stock-based awards.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512"/>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84" w:lineRule="exact"/>
        <w:rPr>
          <w:sz w:val="20"/>
          <w:szCs w:val="20"/>
          <w:color w:val="auto"/>
        </w:rPr>
      </w:pPr>
    </w:p>
    <w:p>
      <w:pPr>
        <w:ind w:right="40" w:firstLine="512"/>
        <w:spacing w:after="0" w:line="259"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80" w:firstLine="512"/>
        <w:spacing w:after="0" w:line="259" w:lineRule="auto"/>
        <w:rPr>
          <w:sz w:val="20"/>
          <w:szCs w:val="20"/>
          <w:color w:val="auto"/>
        </w:rPr>
      </w:pPr>
      <w:r>
        <w:rPr>
          <w:rFonts w:ascii="Arial" w:cs="Arial" w:eastAsia="Arial" w:hAnsi="Arial"/>
          <w:sz w:val="18"/>
          <w:szCs w:val="18"/>
          <w:color w:val="auto"/>
        </w:rPr>
        <w:t>We will remain an emerging growth company until the earliest of (1) the last day of our first fiscal year (a) in which we have total annual gross revenues of at least $1.07 billion, or (b) in which we are deemed to be a large accelerated filer, which means the market value of our common stock that is held by non-affiliates exceeds $700.0 million as of the prior June 30</w:t>
      </w:r>
      <w:r>
        <w:rPr>
          <w:rFonts w:ascii="Arial" w:cs="Arial" w:eastAsia="Arial" w:hAnsi="Arial"/>
          <w:sz w:val="15"/>
          <w:szCs w:val="15"/>
          <w:color w:val="auto"/>
        </w:rPr>
        <w:t>th</w:t>
      </w:r>
      <w:r>
        <w:rPr>
          <w:rFonts w:ascii="Arial" w:cs="Arial" w:eastAsia="Arial" w:hAnsi="Arial"/>
          <w:sz w:val="18"/>
          <w:szCs w:val="18"/>
          <w:color w:val="auto"/>
        </w:rPr>
        <w:t>, (2) the date on which we have issued more than $1.0 billion in non-convertible debt securities during the prior three-year period and (3) December 31, 2025.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140" w:firstLine="512"/>
        <w:spacing w:after="0" w:line="277" w:lineRule="auto"/>
        <w:rPr>
          <w:sz w:val="20"/>
          <w:szCs w:val="20"/>
          <w:color w:val="auto"/>
        </w:rPr>
      </w:pPr>
      <w:r>
        <w:rPr>
          <w:rFonts w:ascii="Arial" w:cs="Arial" w:eastAsia="Arial" w:hAnsi="Arial"/>
          <w:sz w:val="18"/>
          <w:szCs w:val="18"/>
          <w:color w:val="auto"/>
        </w:rPr>
        <w:t>See Note 3 to our financial statements included elsewhere in this Annual Report on Form 10-K for a description of recent accounting pronouncements applicable to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512"/>
        <w:spacing w:after="0" w:line="254"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95" w:lineRule="exact"/>
        <w:rPr>
          <w:sz w:val="20"/>
          <w:szCs w:val="20"/>
          <w:color w:val="auto"/>
        </w:rPr>
      </w:pPr>
    </w:p>
    <w:p>
      <w:pPr>
        <w:ind w:right="40" w:firstLine="513"/>
        <w:spacing w:after="0" w:line="254" w:lineRule="auto"/>
        <w:rPr>
          <w:sz w:val="20"/>
          <w:szCs w:val="20"/>
          <w:color w:val="auto"/>
        </w:rPr>
      </w:pPr>
      <w:r>
        <w:rPr>
          <w:rFonts w:ascii="Arial" w:cs="Arial" w:eastAsia="Arial" w:hAnsi="Arial"/>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$1.07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5" w:name="page96"/>
    <w:bookmarkEnd w:id="95"/>
    <w:p>
      <w:pPr>
        <w:ind w:right="60" w:firstLine="512"/>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57" w:right="5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80" w:type="dxa"/>
            <w:vAlign w:val="bottom"/>
            <w:gridSpan w:val="4"/>
          </w:tcPr>
          <w:p>
            <w:pPr>
              <w:ind w:left="80"/>
              <w:spacing w:after="0"/>
              <w:rPr>
                <w:sz w:val="20"/>
                <w:szCs w:val="20"/>
                <w:color w:val="auto"/>
              </w:rPr>
            </w:pPr>
            <w:r>
              <w:rPr>
                <w:rFonts w:ascii="Arial" w:cs="Arial" w:eastAsia="Arial" w:hAnsi="Arial"/>
                <w:sz w:val="18"/>
                <w:szCs w:val="18"/>
                <w:b w:val="1"/>
                <w:bCs w:val="1"/>
                <w:color w:val="auto"/>
              </w:rPr>
              <w:t>INDEX TO FINANCIAL STATEMENTS</w:t>
            </w:r>
          </w:p>
        </w:tc>
        <w:tc>
          <w:tcPr>
            <w:tcW w:w="720" w:type="dxa"/>
            <w:vAlign w:val="bottom"/>
          </w:tcPr>
          <w:p>
            <w:pPr>
              <w:spacing w:after="0"/>
              <w:rPr>
                <w:sz w:val="20"/>
                <w:szCs w:val="20"/>
                <w:color w:val="auto"/>
              </w:rPr>
            </w:pPr>
          </w:p>
        </w:tc>
      </w:tr>
      <w:tr>
        <w:trPr>
          <w:trHeight w:val="405"/>
        </w:trPr>
        <w:tc>
          <w:tcPr>
            <w:tcW w:w="10500" w:type="dxa"/>
            <w:vAlign w:val="bottom"/>
            <w:gridSpan w:val="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44"/>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Balance Sheets as of December 31, 2021 and 2020</w:t>
              </w:r>
            </w:hyperlink>
          </w:p>
        </w:tc>
        <w:tc>
          <w:tcPr>
            <w:tcW w:w="628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4"/>
        </w:trPr>
        <w:tc>
          <w:tcPr>
            <w:tcW w:w="73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Statements of Operations and Comprehensive Loss for the Years ended December 31, 2021 and 2020</w:t>
              </w:r>
            </w:hyperlink>
          </w:p>
        </w:tc>
        <w:tc>
          <w:tcPr>
            <w:tcW w:w="32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44"/>
        </w:trPr>
        <w:tc>
          <w:tcPr>
            <w:tcW w:w="10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Statements of Changes in Convertible Preferred Stock and Stockholders’ Equity (Deficit) for the Years ended December 31, 2021 and 2020</w:t>
              </w:r>
            </w:hyperlink>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44"/>
        </w:trPr>
        <w:tc>
          <w:tcPr>
            <w:tcW w:w="55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Statements of Cash Flows for the Years ended December 31, 2021 and 2020</w:t>
              </w:r>
            </w:hyperlink>
          </w:p>
        </w:tc>
        <w:tc>
          <w:tcPr>
            <w:tcW w:w="500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45"/>
        </w:trPr>
        <w:tc>
          <w:tcPr>
            <w:tcW w:w="10500" w:type="dxa"/>
            <w:vAlign w:val="bottom"/>
            <w:gridSpan w:val="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Notes to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7" w:name="page98"/>
    <w:bookmarkEnd w:id="97"/>
    <w:p>
      <w:pPr>
        <w:ind w:right="2540" w:firstLine="2535"/>
        <w:spacing w:after="0" w:line="48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Prelude Therapeutics Incorporated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right="200" w:firstLine="512"/>
        <w:spacing w:after="0" w:line="275" w:lineRule="auto"/>
        <w:rPr>
          <w:sz w:val="20"/>
          <w:szCs w:val="20"/>
          <w:color w:val="auto"/>
        </w:rPr>
      </w:pPr>
      <w:r>
        <w:rPr>
          <w:rFonts w:ascii="Arial" w:cs="Arial" w:eastAsia="Arial" w:hAnsi="Arial"/>
          <w:sz w:val="17"/>
          <w:szCs w:val="17"/>
          <w:color w:val="auto"/>
        </w:rPr>
        <w:t>We have audited the accompanying balance sheets of Prelude Therapeutics Incorporated (the Company) as of December 31, 2021 and 2020, the related statements of operations and comprehensive loss, changes in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firstLine="512"/>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firstLine="512"/>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firstLine="512"/>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31,828</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259,405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295,115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305,098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7,840</w:t>
            </w:r>
          </w:p>
        </w:tc>
        <w:tc>
          <w:tcPr>
            <w:tcW w:w="280" w:type="dxa"/>
            <w:vAlign w:val="bottom"/>
          </w:tcPr>
          <w:p>
            <w:pPr>
              <w:spacing w:after="0"/>
              <w:rPr>
                <w:sz w:val="19"/>
                <w:szCs w:val="19"/>
                <w:color w:val="auto"/>
              </w:rPr>
            </w:pPr>
          </w:p>
        </w:tc>
        <w:tc>
          <w:tcPr>
            <w:tcW w:w="460" w:type="dxa"/>
            <w:vAlign w:val="bottom"/>
            <w:gridSpan w:val="2"/>
          </w:tcPr>
          <w:p>
            <w:pPr>
              <w:jc w:val="right"/>
              <w:ind w:right="329"/>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Commitments (note 8)</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Voting common stock, $0.0001 par value: 487,149,741 shares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w w:val="98"/>
              </w:rPr>
              <w:t>authorized; 36,200,299 and 32,595,301 shares issued and outstanding at December 31, 2021</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and 2020, respectively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Non-voting common stock, $0.0001 par value: 12,850,259 shares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11,402,037 and 11,110,371</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at December 31, 2021</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2020, respectively</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505,723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(711)</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(219,120)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(107,426)</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285,897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305,098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360" w:type="dxa"/>
            <w:vAlign w:val="bottom"/>
          </w:tcPr>
          <w:p>
            <w:pPr>
              <w:spacing w:after="0"/>
              <w:rPr>
                <w:sz w:val="14"/>
                <w:szCs w:val="14"/>
                <w:color w:val="auto"/>
              </w:rPr>
            </w:pPr>
          </w:p>
        </w:tc>
        <w:tc>
          <w:tcPr>
            <w:tcW w:w="31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86,778</w:t>
            </w:r>
          </w:p>
        </w:tc>
        <w:tc>
          <w:tcPr>
            <w:tcW w:w="280" w:type="dxa"/>
            <w:vAlign w:val="bottom"/>
          </w:tcPr>
          <w:p>
            <w:pPr>
              <w:spacing w:after="0"/>
              <w:rPr>
                <w:sz w:val="19"/>
                <w:szCs w:val="19"/>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113,735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Per share information:</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(2.43)</w:t>
            </w:r>
          </w:p>
        </w:tc>
        <w:tc>
          <w:tcPr>
            <w:tcW w:w="360" w:type="dxa"/>
            <w:vAlign w:val="bottom"/>
            <w:gridSpan w:val="2"/>
            <w:shd w:val="clear" w:color="auto" w:fill="CFF0FC"/>
          </w:tcPr>
          <w:p>
            <w:pPr>
              <w:jc w:val="right"/>
              <w:ind w:right="229"/>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46,049,763</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12,478,463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(111,694)</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(56,929)</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Unrealized gain (loss) on marketable securities, net of tax</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(112,405)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ind w:right="48"/>
              <w:spacing w:after="0"/>
              <w:rPr>
                <w:sz w:val="20"/>
                <w:szCs w:val="20"/>
                <w:color w:val="auto"/>
              </w:rPr>
            </w:pPr>
            <w:r>
              <w:rPr>
                <w:rFonts w:ascii="Arial" w:cs="Arial" w:eastAsia="Arial" w:hAnsi="Arial"/>
                <w:sz w:val="14"/>
                <w:szCs w:val="14"/>
                <w:b w:val="1"/>
                <w:bCs w:val="1"/>
                <w:color w:val="auto"/>
                <w:w w:val="93"/>
              </w:rPr>
              <w:t>Stockholders’ equity (deficit)</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11"/>
                <w:szCs w:val="11"/>
                <w:color w:val="auto"/>
              </w:rPr>
            </w:pPr>
          </w:p>
        </w:tc>
        <w:tc>
          <w:tcPr>
            <w:tcW w:w="110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4"/>
            <w:vMerge w:val="restart"/>
          </w:tcPr>
          <w:p>
            <w:pPr>
              <w:jc w:val="center"/>
              <w:ind w:left="65"/>
              <w:spacing w:after="0"/>
              <w:rPr>
                <w:sz w:val="20"/>
                <w:szCs w:val="20"/>
                <w:color w:val="auto"/>
              </w:rPr>
            </w:pPr>
            <w:r>
              <w:rPr>
                <w:rFonts w:ascii="Arial" w:cs="Arial" w:eastAsia="Arial" w:hAnsi="Arial"/>
                <w:sz w:val="14"/>
                <w:szCs w:val="14"/>
                <w:b w:val="1"/>
                <w:bCs w:val="1"/>
                <w:color w:val="auto"/>
                <w:w w:val="91"/>
              </w:rPr>
              <w:t>Non-voting common</w:t>
            </w: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8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Voting common stock</w:t>
            </w:r>
          </w:p>
        </w:tc>
        <w:tc>
          <w:tcPr>
            <w:tcW w:w="14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4"/>
              <w:spacing w:after="0" w:line="149" w:lineRule="exact"/>
              <w:rPr>
                <w:sz w:val="20"/>
                <w:szCs w:val="20"/>
                <w:color w:val="auto"/>
              </w:rPr>
            </w:pPr>
            <w:r>
              <w:rPr>
                <w:rFonts w:ascii="Arial" w:cs="Arial" w:eastAsia="Arial" w:hAnsi="Arial"/>
                <w:sz w:val="14"/>
                <w:szCs w:val="14"/>
                <w:b w:val="1"/>
                <w:bCs w:val="1"/>
                <w:color w:val="auto"/>
                <w:w w:val="95"/>
              </w:rPr>
              <w:t>paid-in</w:t>
            </w:r>
          </w:p>
        </w:tc>
        <w:tc>
          <w:tcPr>
            <w:tcW w:w="1360" w:type="dxa"/>
            <w:vAlign w:val="bottom"/>
            <w:gridSpan w:val="4"/>
          </w:tcPr>
          <w:p>
            <w:pPr>
              <w:jc w:val="center"/>
              <w:ind w:left="4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w:t>
            </w:r>
          </w:p>
        </w:tc>
        <w:tc>
          <w:tcPr>
            <w:tcW w:w="1840" w:type="dxa"/>
            <w:vAlign w:val="bottom"/>
            <w:gridSpan w:val="5"/>
            <w:vMerge w:val="continue"/>
          </w:tcPr>
          <w:p>
            <w:pPr>
              <w:spacing w:after="0"/>
              <w:rPr>
                <w:sz w:val="14"/>
                <w:szCs w:val="14"/>
                <w:color w:val="auto"/>
              </w:rPr>
            </w:pPr>
          </w:p>
        </w:tc>
        <w:tc>
          <w:tcPr>
            <w:tcW w:w="1000" w:type="dxa"/>
            <w:vAlign w:val="bottom"/>
            <w:gridSpan w:val="2"/>
          </w:tcPr>
          <w:p>
            <w:pPr>
              <w:jc w:val="center"/>
              <w:ind w:left="485"/>
              <w:spacing w:after="0"/>
              <w:rPr>
                <w:sz w:val="20"/>
                <w:szCs w:val="20"/>
                <w:color w:val="auto"/>
              </w:rPr>
            </w:pPr>
            <w:r>
              <w:rPr>
                <w:rFonts w:ascii="Arial" w:cs="Arial" w:eastAsia="Arial" w:hAnsi="Arial"/>
                <w:sz w:val="14"/>
                <w:szCs w:val="14"/>
                <w:b w:val="1"/>
                <w:bCs w:val="1"/>
                <w:color w:val="auto"/>
                <w:w w:val="87"/>
              </w:rPr>
              <w:t>stock</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64"/>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Borders>
              <w:bottom w:val="single" w:sz="8" w:color="CFF0FC"/>
            </w:tcBorders>
            <w:vMerge w:val="continue"/>
          </w:tcPr>
          <w:p>
            <w:pPr>
              <w:spacing w:after="0"/>
              <w:rPr>
                <w:sz w:val="13"/>
                <w:szCs w:val="13"/>
                <w:color w:val="auto"/>
              </w:rPr>
            </w:pPr>
          </w:p>
        </w:tc>
        <w:tc>
          <w:tcPr>
            <w:tcW w:w="820" w:type="dxa"/>
            <w:vAlign w:val="bottom"/>
            <w:tcBorders>
              <w:top w:val="single" w:sz="8" w:color="auto"/>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45"/>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2020</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32,595,301</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w:t>
            </w: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11,110,371</w:t>
            </w:r>
          </w:p>
        </w:tc>
        <w:tc>
          <w:tcPr>
            <w:tcW w:w="1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60"/>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w:t>
            </w:r>
          </w:p>
        </w:tc>
        <w:tc>
          <w:tcPr>
            <w:tcW w:w="340" w:type="dxa"/>
            <w:vAlign w:val="bottom"/>
            <w:gridSpan w:val="2"/>
            <w:shd w:val="clear" w:color="auto" w:fill="CFF0FC"/>
          </w:tcPr>
          <w:p>
            <w:pPr>
              <w:ind w:left="260"/>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9"/>
              </w:rPr>
              <w:t>319,605</w:t>
            </w:r>
          </w:p>
        </w:tc>
        <w:tc>
          <w:tcPr>
            <w:tcW w:w="440" w:type="dxa"/>
            <w:vAlign w:val="bottom"/>
            <w:gridSpan w:val="2"/>
            <w:shd w:val="clear" w:color="auto" w:fill="CFF0FC"/>
          </w:tcPr>
          <w:p>
            <w:pPr>
              <w:jc w:val="right"/>
              <w:ind w:right="28"/>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FF0FC"/>
          </w:tcPr>
          <w:p>
            <w:pPr>
              <w:ind w:left="12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(107,426)</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9"/>
              </w:rPr>
              <w:t>212,183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line="162" w:lineRule="exact"/>
              <w:rPr>
                <w:sz w:val="20"/>
                <w:szCs w:val="20"/>
                <w:color w:val="auto"/>
              </w:rPr>
            </w:pPr>
            <w:r>
              <w:rPr>
                <w:rFonts w:ascii="Arial" w:cs="Arial" w:eastAsia="Arial" w:hAnsi="Arial"/>
                <w:sz w:val="15"/>
                <w:szCs w:val="15"/>
                <w:color w:val="auto"/>
              </w:rPr>
              <w:t>Issuance of common stock upon exercise of stock</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20"/>
                <w:szCs w:val="20"/>
                <w:color w:val="auto"/>
              </w:rPr>
            </w:pPr>
            <w:r>
              <w:rPr>
                <w:rFonts w:ascii="Arial" w:cs="Arial" w:eastAsia="Arial" w:hAnsi="Arial"/>
                <w:sz w:val="15"/>
                <w:szCs w:val="15"/>
                <w:color w:val="auto"/>
              </w:rPr>
              <w:t>options</w:t>
            </w:r>
          </w:p>
        </w:tc>
        <w:tc>
          <w:tcPr>
            <w:tcW w:w="820" w:type="dxa"/>
            <w:vAlign w:val="bottom"/>
          </w:tcPr>
          <w:p>
            <w:pPr>
              <w:jc w:val="right"/>
              <w:spacing w:after="0"/>
              <w:rPr>
                <w:sz w:val="20"/>
                <w:szCs w:val="20"/>
                <w:color w:val="auto"/>
              </w:rPr>
            </w:pPr>
            <w:r>
              <w:rPr>
                <w:rFonts w:ascii="Arial" w:cs="Arial" w:eastAsia="Arial" w:hAnsi="Arial"/>
                <w:sz w:val="15"/>
                <w:szCs w:val="15"/>
                <w:color w:val="auto"/>
              </w:rPr>
              <w:t>995,950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3,504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spacing w:after="0"/>
              <w:rPr>
                <w:sz w:val="20"/>
                <w:szCs w:val="20"/>
                <w:color w:val="auto"/>
              </w:rPr>
            </w:pPr>
            <w:r>
              <w:rPr>
                <w:rFonts w:ascii="Arial" w:cs="Arial" w:eastAsia="Arial" w:hAnsi="Arial"/>
                <w:sz w:val="15"/>
                <w:szCs w:val="15"/>
                <w:color w:val="auto"/>
              </w:rPr>
              <w:t>Sale of common stock, net of offering costs of $739</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2,583,334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291,666</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9"/>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161,411</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161,412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20"/>
                <w:szCs w:val="20"/>
                <w:color w:val="auto"/>
              </w:rPr>
            </w:pPr>
            <w:r>
              <w:rPr>
                <w:rFonts w:ascii="Arial" w:cs="Arial" w:eastAsia="Arial" w:hAnsi="Arial"/>
                <w:sz w:val="15"/>
                <w:szCs w:val="15"/>
                <w:color w:val="auto"/>
              </w:rPr>
              <w:t>Issuance of common stock under ESPP</w:t>
            </w:r>
          </w:p>
        </w:tc>
        <w:tc>
          <w:tcPr>
            <w:tcW w:w="820" w:type="dxa"/>
            <w:vAlign w:val="bottom"/>
          </w:tcPr>
          <w:p>
            <w:pPr>
              <w:jc w:val="right"/>
              <w:spacing w:after="0"/>
              <w:rPr>
                <w:sz w:val="20"/>
                <w:szCs w:val="20"/>
                <w:color w:val="auto"/>
              </w:rPr>
            </w:pPr>
            <w:r>
              <w:rPr>
                <w:rFonts w:ascii="Arial" w:cs="Arial" w:eastAsia="Arial" w:hAnsi="Arial"/>
                <w:sz w:val="15"/>
                <w:szCs w:val="15"/>
                <w:color w:val="auto"/>
              </w:rPr>
              <w:t>25,714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w w:val="99"/>
              </w:rPr>
              <w:t>Unrealized gain (loss) on marketable securities, net of</w:t>
            </w: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spacing w:after="0"/>
              <w:rPr>
                <w:sz w:val="20"/>
                <w:szCs w:val="20"/>
                <w:color w:val="auto"/>
              </w:rPr>
            </w:pPr>
            <w:r>
              <w:rPr>
                <w:rFonts w:ascii="Arial" w:cs="Arial" w:eastAsia="Arial" w:hAnsi="Arial"/>
                <w:sz w:val="15"/>
                <w:szCs w:val="15"/>
                <w:color w:val="auto"/>
              </w:rPr>
              <w:t>tax</w:t>
            </w: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9"/>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(711)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(711)</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20,931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20,931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9"/>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(111,694)</w:t>
            </w:r>
          </w:p>
        </w:tc>
        <w:tc>
          <w:tcPr>
            <w:tcW w:w="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93"/>
              </w:rPr>
              <w:t>(111,694)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2021</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vMerge w:val="continue"/>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36,200,299</w:t>
            </w:r>
          </w:p>
        </w:tc>
        <w:tc>
          <w:tcPr>
            <w:tcW w:w="260" w:type="dxa"/>
            <w:vAlign w:val="bottom"/>
          </w:tcPr>
          <w:p>
            <w:pPr>
              <w:spacing w:after="0"/>
              <w:rPr>
                <w:sz w:val="14"/>
                <w:szCs w:val="14"/>
                <w:color w:val="auto"/>
              </w:rPr>
            </w:pPr>
          </w:p>
        </w:tc>
        <w:tc>
          <w:tcPr>
            <w:tcW w:w="20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30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c>
          <w:tcPr>
            <w:tcW w:w="26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11,402,037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c>
          <w:tcPr>
            <w:tcW w:w="340" w:type="dxa"/>
            <w:vAlign w:val="bottom"/>
            <w:gridSpan w:val="2"/>
          </w:tcPr>
          <w:p>
            <w:pPr>
              <w:ind w:left="260"/>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w w:val="99"/>
              </w:rPr>
              <w:t>505,723</w:t>
            </w:r>
          </w:p>
        </w:tc>
        <w:tc>
          <w:tcPr>
            <w:tcW w:w="440" w:type="dxa"/>
            <w:vAlign w:val="bottom"/>
            <w:gridSpan w:val="2"/>
          </w:tcPr>
          <w:p>
            <w:pPr>
              <w:jc w:val="right"/>
              <w:ind w:right="28"/>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(711)</w:t>
            </w:r>
          </w:p>
        </w:tc>
        <w:tc>
          <w:tcPr>
            <w:tcW w:w="26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(219,120)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w w:val="99"/>
              </w:rPr>
              <w:t>285,897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 (CONTUNIUED)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Convertible preferred stock</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8"/>
          </w:tcPr>
          <w:p>
            <w:pPr>
              <w:jc w:val="right"/>
              <w:ind w:right="44"/>
              <w:spacing w:after="0"/>
              <w:rPr>
                <w:sz w:val="20"/>
                <w:szCs w:val="20"/>
                <w:color w:val="auto"/>
              </w:rPr>
            </w:pPr>
            <w:r>
              <w:rPr>
                <w:rFonts w:ascii="Arial" w:cs="Arial" w:eastAsia="Arial" w:hAnsi="Arial"/>
                <w:sz w:val="14"/>
                <w:szCs w:val="14"/>
                <w:b w:val="1"/>
                <w:bCs w:val="1"/>
                <w:color w:val="auto"/>
              </w:rPr>
              <w:t>Stockholders’ equity (deficit)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8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rPr>
              <w:t>thousands,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Non-voting common</w:t>
            </w: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rPr>
              <w:t>except</w:t>
            </w: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Borders>
              <w:right w:val="single" w:sz="8" w:color="auto"/>
            </w:tcBorders>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Series C</w:t>
            </w:r>
          </w:p>
        </w:tc>
        <w:tc>
          <w:tcPr>
            <w:tcW w:w="40" w:type="dxa"/>
            <w:vAlign w:val="bottom"/>
          </w:tcPr>
          <w:p>
            <w:pPr>
              <w:spacing w:after="0"/>
              <w:rPr>
                <w:sz w:val="12"/>
                <w:szCs w:val="12"/>
                <w:color w:val="auto"/>
              </w:rPr>
            </w:pPr>
          </w:p>
        </w:tc>
        <w:tc>
          <w:tcPr>
            <w:tcW w:w="15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Voting common stock</w:t>
            </w:r>
          </w:p>
        </w:tc>
        <w:tc>
          <w:tcPr>
            <w:tcW w:w="14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44"/>
              <w:spacing w:after="0" w:line="149" w:lineRule="exact"/>
              <w:rPr>
                <w:sz w:val="20"/>
                <w:szCs w:val="20"/>
                <w:color w:val="auto"/>
              </w:rPr>
            </w:pPr>
            <w:r>
              <w:rPr>
                <w:rFonts w:ascii="Arial" w:cs="Arial" w:eastAsia="Arial" w:hAnsi="Arial"/>
                <w:sz w:val="14"/>
                <w:szCs w:val="14"/>
                <w:b w:val="1"/>
                <w:bCs w:val="1"/>
                <w:color w:val="auto"/>
                <w:w w:val="95"/>
              </w:rPr>
              <w:t>paid-in</w:t>
            </w:r>
          </w:p>
        </w:tc>
        <w:tc>
          <w:tcPr>
            <w:tcW w:w="10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right w:val="single" w:sz="8" w:color="auto"/>
            </w:tcBorders>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880" w:type="dxa"/>
            <w:vAlign w:val="bottom"/>
            <w:gridSpan w:val="2"/>
          </w:tcPr>
          <w:p>
            <w:pPr>
              <w:jc w:val="center"/>
              <w:ind w:left="445"/>
              <w:spacing w:after="0"/>
              <w:rPr>
                <w:sz w:val="20"/>
                <w:szCs w:val="20"/>
                <w:color w:val="auto"/>
              </w:rPr>
            </w:pPr>
            <w:r>
              <w:rPr>
                <w:rFonts w:ascii="Arial" w:cs="Arial" w:eastAsia="Arial" w:hAnsi="Arial"/>
                <w:sz w:val="14"/>
                <w:szCs w:val="14"/>
                <w:b w:val="1"/>
                <w:bCs w:val="1"/>
                <w:color w:val="auto"/>
                <w:w w:val="87"/>
              </w:rPr>
              <w:t>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4"/>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3"/>
                <w:szCs w:val="13"/>
                <w:color w:val="auto"/>
              </w:rPr>
            </w:pPr>
          </w:p>
        </w:tc>
        <w:tc>
          <w:tcPr>
            <w:tcW w:w="88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7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right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11,736,119</w:t>
            </w:r>
          </w:p>
        </w:tc>
        <w:tc>
          <w:tcPr>
            <w:tcW w:w="1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36,595</w:t>
            </w:r>
          </w:p>
        </w:tc>
        <w:tc>
          <w:tcPr>
            <w:tcW w:w="1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7,628,846</w:t>
            </w:r>
          </w:p>
        </w:tc>
        <w:tc>
          <w:tcPr>
            <w:tcW w:w="80" w:type="dxa"/>
            <w:vAlign w:val="bottom"/>
            <w:shd w:val="clear" w:color="auto" w:fill="CFF0FC"/>
          </w:tcPr>
          <w:p>
            <w:pPr>
              <w:spacing w:after="0"/>
              <w:rPr>
                <w:sz w:val="12"/>
                <w:szCs w:val="12"/>
                <w:color w:val="auto"/>
              </w:rPr>
            </w:pP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29,848</w:t>
            </w:r>
          </w:p>
        </w:tc>
        <w:tc>
          <w:tcPr>
            <w:tcW w:w="1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right w:val="single" w:sz="8" w:color="auto"/>
            </w:tcBorders>
            <w:gridSpan w:val="2"/>
            <w:vMerge w:val="restart"/>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3,161,653</w:t>
            </w:r>
          </w:p>
        </w:tc>
        <w:tc>
          <w:tcPr>
            <w:tcW w:w="10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gridSpan w:val="2"/>
            <w:vMerge w:val="restart"/>
            <w:shd w:val="clear" w:color="auto" w:fill="CFF0FC"/>
          </w:tcPr>
          <w:p>
            <w:pPr>
              <w:ind w:left="20"/>
              <w:spacing w:after="0"/>
              <w:rPr>
                <w:sz w:val="20"/>
                <w:szCs w:val="20"/>
                <w:color w:val="auto"/>
              </w:rPr>
            </w:pPr>
            <w:r>
              <w:rPr>
                <w:rFonts w:ascii="Arial" w:cs="Arial" w:eastAsia="Arial" w:hAnsi="Arial"/>
                <w:sz w:val="15"/>
                <w:szCs w:val="15"/>
                <w:color w:val="auto"/>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vMerge w:val="restart"/>
            <w:shd w:val="clear" w:color="auto" w:fill="CFF0FC"/>
          </w:tcPr>
          <w:p>
            <w:pPr>
              <w:ind w:left="120"/>
              <w:spacing w:after="0"/>
              <w:rPr>
                <w:sz w:val="20"/>
                <w:szCs w:val="20"/>
                <w:color w:val="auto"/>
              </w:rPr>
            </w:pPr>
            <w:r>
              <w:rPr>
                <w:rFonts w:ascii="Arial" w:cs="Arial" w:eastAsia="Arial" w:hAnsi="Arial"/>
                <w:sz w:val="15"/>
                <w:szCs w:val="15"/>
                <w:color w:val="auto"/>
                <w:w w:val="95"/>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1,085</w:t>
            </w:r>
          </w:p>
        </w:tc>
        <w:tc>
          <w:tcPr>
            <w:tcW w:w="280" w:type="dxa"/>
            <w:vAlign w:val="bottom"/>
            <w:gridSpan w:val="2"/>
            <w:vMerge w:val="restart"/>
            <w:shd w:val="clear" w:color="auto" w:fill="CFF0FC"/>
          </w:tcPr>
          <w:p>
            <w:pPr>
              <w:ind w:left="14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5"/>
                <w:szCs w:val="15"/>
                <w:color w:val="auto"/>
              </w:rPr>
              <w:t>(50,497)</w:t>
            </w:r>
          </w:p>
        </w:tc>
        <w:tc>
          <w:tcPr>
            <w:tcW w:w="74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5"/>
                <w:szCs w:val="15"/>
                <w:color w:val="auto"/>
              </w:rPr>
              <w:t>$ (49,412)</w:t>
            </w:r>
          </w:p>
        </w:tc>
        <w:tc>
          <w:tcPr>
            <w:tcW w:w="0" w:type="dxa"/>
            <w:vAlign w:val="bottom"/>
          </w:tcPr>
          <w:p>
            <w:pPr>
              <w:spacing w:after="0"/>
              <w:rPr>
                <w:sz w:val="1"/>
                <w:szCs w:val="1"/>
                <w:color w:val="auto"/>
              </w:rPr>
            </w:pPr>
          </w:p>
        </w:tc>
      </w:tr>
      <w:tr>
        <w:trPr>
          <w:trHeight w:val="171"/>
        </w:trPr>
        <w:tc>
          <w:tcPr>
            <w:tcW w:w="8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2020</w:t>
            </w: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580" w:type="dxa"/>
            <w:vAlign w:val="bottom"/>
            <w:tcBorders>
              <w:right w:val="single" w:sz="8" w:color="auto"/>
            </w:tcBorders>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740" w:type="dxa"/>
            <w:vAlign w:val="bottom"/>
            <w:gridSpan w:val="3"/>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Exercise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20"/>
                <w:szCs w:val="20"/>
                <w:color w:val="auto"/>
              </w:rPr>
            </w:pPr>
            <w:r>
              <w:rPr>
                <w:rFonts w:ascii="Arial" w:cs="Arial" w:eastAsia="Arial" w:hAnsi="Arial"/>
                <w:sz w:val="15"/>
                <w:szCs w:val="15"/>
                <w:color w:val="auto"/>
                <w:w w:val="98"/>
              </w:rPr>
              <w:t>stock options</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100,545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w w:val="92"/>
              </w:rPr>
              <w:t>Sale of Series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w w:val="99"/>
              </w:rPr>
              <w:t>B convertible</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preferred</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 net of</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issuance</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FF0FC"/>
          </w:tcPr>
          <w:p>
            <w:pPr>
              <w:spacing w:after="0"/>
              <w:rPr>
                <w:sz w:val="20"/>
                <w:szCs w:val="20"/>
                <w:color w:val="auto"/>
              </w:rPr>
            </w:pPr>
            <w:r>
              <w:rPr>
                <w:rFonts w:ascii="Arial" w:cs="Arial" w:eastAsia="Arial" w:hAnsi="Arial"/>
                <w:sz w:val="15"/>
                <w:szCs w:val="15"/>
                <w:color w:val="auto"/>
              </w:rPr>
              <w:t>costs of $58</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7,628,846</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29,942</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w w:val="92"/>
              </w:rPr>
              <w:t>Sale of Series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w w:val="98"/>
              </w:rPr>
              <w:t>C convertible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preferred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stock, net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issuance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20"/>
                <w:szCs w:val="20"/>
                <w:color w:val="auto"/>
              </w:rPr>
            </w:pPr>
            <w:r>
              <w:rPr>
                <w:rFonts w:ascii="Arial" w:cs="Arial" w:eastAsia="Arial" w:hAnsi="Arial"/>
                <w:sz w:val="15"/>
                <w:szCs w:val="15"/>
                <w:color w:val="auto"/>
                <w:w w:val="96"/>
              </w:rPr>
              <w:t>costs of $174</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3,443,612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49,826</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Conversion</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of</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convertible</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preferred</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 upon</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initial public</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FF0FC"/>
          </w:tcPr>
          <w:p>
            <w:pPr>
              <w:spacing w:after="0"/>
              <w:rPr>
                <w:sz w:val="20"/>
                <w:szCs w:val="20"/>
                <w:color w:val="auto"/>
              </w:rPr>
            </w:pPr>
            <w:r>
              <w:rPr>
                <w:rFonts w:ascii="Arial" w:cs="Arial" w:eastAsia="Arial" w:hAnsi="Arial"/>
                <w:sz w:val="15"/>
                <w:szCs w:val="15"/>
                <w:color w:val="auto"/>
              </w:rPr>
              <w:t>offering</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96"/>
              </w:rPr>
              <w:t>(11,736,119)</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93"/>
              </w:rPr>
              <w:t>(36,595)</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98"/>
              </w:rPr>
              <w:t>(15,257,692)</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96"/>
              </w:rPr>
              <w:t>(59,790)</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(3,443,612)</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93"/>
              </w:rPr>
              <w:t>(49,826)</w:t>
            </w: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19,327,052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11,110,371</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146,208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146,211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Sale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common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stock in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initial public</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offering, net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of issuance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line="162" w:lineRule="exact"/>
              <w:rPr>
                <w:sz w:val="20"/>
                <w:szCs w:val="20"/>
                <w:color w:val="auto"/>
              </w:rPr>
            </w:pPr>
            <w:r>
              <w:rPr>
                <w:rFonts w:ascii="Arial" w:cs="Arial" w:eastAsia="Arial" w:hAnsi="Arial"/>
                <w:sz w:val="15"/>
                <w:szCs w:val="15"/>
                <w:color w:val="auto"/>
              </w:rPr>
              <w:t>costs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20"/>
                <w:szCs w:val="20"/>
                <w:color w:val="auto"/>
              </w:rPr>
            </w:pPr>
            <w:r>
              <w:rPr>
                <w:rFonts w:ascii="Arial" w:cs="Arial" w:eastAsia="Arial" w:hAnsi="Arial"/>
                <w:sz w:val="15"/>
                <w:szCs w:val="15"/>
                <w:color w:val="auto"/>
              </w:rPr>
              <w:t>$2,538</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9,573,750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166,629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166,630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w w:val="92"/>
              </w:rPr>
              <w:t>compensation</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expense,</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including</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issuance of</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FF0FC"/>
          </w:tcPr>
          <w:p>
            <w:pPr>
              <w:spacing w:after="0"/>
              <w:rPr>
                <w:sz w:val="20"/>
                <w:szCs w:val="20"/>
                <w:color w:val="auto"/>
              </w:rPr>
            </w:pPr>
            <w:r>
              <w:rPr>
                <w:rFonts w:ascii="Arial" w:cs="Arial" w:eastAsia="Arial" w:hAnsi="Arial"/>
                <w:sz w:val="15"/>
                <w:szCs w:val="15"/>
                <w:color w:val="auto"/>
              </w:rPr>
              <w:t>RSAs</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432,301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5,583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20"/>
                <w:szCs w:val="20"/>
                <w:color w:val="auto"/>
              </w:rPr>
            </w:pPr>
            <w:r>
              <w:rPr>
                <w:rFonts w:ascii="Arial" w:cs="Arial" w:eastAsia="Arial" w:hAnsi="Arial"/>
                <w:sz w:val="15"/>
                <w:szCs w:val="15"/>
                <w:color w:val="auto"/>
              </w:rPr>
              <w:t>Net loss</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(56,929)</w:t>
            </w:r>
          </w:p>
        </w:tc>
        <w:tc>
          <w:tcPr>
            <w:tcW w:w="740" w:type="dxa"/>
            <w:vAlign w:val="bottom"/>
            <w:gridSpan w:val="3"/>
          </w:tcPr>
          <w:p>
            <w:pPr>
              <w:jc w:val="right"/>
              <w:ind w:right="20"/>
              <w:spacing w:after="0"/>
              <w:rPr>
                <w:sz w:val="20"/>
                <w:szCs w:val="20"/>
                <w:color w:val="auto"/>
              </w:rPr>
            </w:pPr>
            <w:r>
              <w:rPr>
                <w:rFonts w:ascii="Arial" w:cs="Arial" w:eastAsia="Arial" w:hAnsi="Arial"/>
                <w:sz w:val="15"/>
                <w:szCs w:val="15"/>
                <w:color w:val="auto"/>
              </w:rPr>
              <w:t>(56,929)</w:t>
            </w:r>
          </w:p>
        </w:tc>
        <w:tc>
          <w:tcPr>
            <w:tcW w:w="0" w:type="dxa"/>
            <w:vAlign w:val="bottom"/>
          </w:tcPr>
          <w:p>
            <w:pPr>
              <w:spacing w:after="0"/>
              <w:rPr>
                <w:sz w:val="1"/>
                <w:szCs w:val="1"/>
                <w:color w:val="auto"/>
              </w:rPr>
            </w:pPr>
          </w:p>
        </w:tc>
      </w:tr>
      <w:tr>
        <w:trPr>
          <w:trHeight w:val="133"/>
        </w:trPr>
        <w:tc>
          <w:tcPr>
            <w:tcW w:w="8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7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right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right w:val="single" w:sz="8" w:color="auto"/>
            </w:tcBorders>
            <w:gridSpan w:val="2"/>
            <w:vMerge w:val="restart"/>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95"/>
              </w:rPr>
              <w:t>32,595,301</w:t>
            </w:r>
          </w:p>
        </w:tc>
        <w:tc>
          <w:tcPr>
            <w:tcW w:w="10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98"/>
              </w:rPr>
              <w:t>11,110,371</w:t>
            </w:r>
          </w:p>
        </w:tc>
        <w:tc>
          <w:tcPr>
            <w:tcW w:w="120" w:type="dxa"/>
            <w:vAlign w:val="bottom"/>
            <w:shd w:val="clear" w:color="auto" w:fill="CFF0FC"/>
          </w:tcPr>
          <w:p>
            <w:pPr>
              <w:spacing w:after="0"/>
              <w:rPr>
                <w:sz w:val="12"/>
                <w:szCs w:val="12"/>
                <w:color w:val="auto"/>
              </w:rPr>
            </w:pPr>
          </w:p>
        </w:tc>
        <w:tc>
          <w:tcPr>
            <w:tcW w:w="240" w:type="dxa"/>
            <w:vAlign w:val="bottom"/>
            <w:gridSpan w:val="2"/>
            <w:vMerge w:val="restart"/>
            <w:shd w:val="clear" w:color="auto" w:fill="CFF0FC"/>
          </w:tcPr>
          <w:p>
            <w:pPr>
              <w:ind w:left="20"/>
              <w:spacing w:after="0"/>
              <w:rPr>
                <w:sz w:val="20"/>
                <w:szCs w:val="20"/>
                <w:color w:val="auto"/>
              </w:rPr>
            </w:pPr>
            <w:r>
              <w:rPr>
                <w:rFonts w:ascii="Arial" w:cs="Arial" w:eastAsia="Arial" w:hAnsi="Arial"/>
                <w:sz w:val="15"/>
                <w:szCs w:val="15"/>
                <w:color w:val="auto"/>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20" w:type="dxa"/>
            <w:vAlign w:val="bottom"/>
            <w:gridSpan w:val="2"/>
            <w:vMerge w:val="restart"/>
            <w:shd w:val="clear" w:color="auto" w:fill="CFF0FC"/>
          </w:tcPr>
          <w:p>
            <w:pPr>
              <w:ind w:left="120"/>
              <w:spacing w:after="0"/>
              <w:rPr>
                <w:sz w:val="20"/>
                <w:szCs w:val="20"/>
                <w:color w:val="auto"/>
              </w:rPr>
            </w:pPr>
            <w:r>
              <w:rPr>
                <w:rFonts w:ascii="Arial" w:cs="Arial" w:eastAsia="Arial" w:hAnsi="Arial"/>
                <w:sz w:val="15"/>
                <w:szCs w:val="15"/>
                <w:color w:val="auto"/>
                <w:w w:val="95"/>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319,605</w:t>
            </w:r>
          </w:p>
        </w:tc>
        <w:tc>
          <w:tcPr>
            <w:tcW w:w="280" w:type="dxa"/>
            <w:vAlign w:val="bottom"/>
            <w:gridSpan w:val="2"/>
            <w:vMerge w:val="restart"/>
            <w:shd w:val="clear" w:color="auto" w:fill="CFF0FC"/>
          </w:tcPr>
          <w:p>
            <w:pPr>
              <w:ind w:left="140"/>
              <w:spacing w:after="0"/>
              <w:rPr>
                <w:sz w:val="20"/>
                <w:szCs w:val="20"/>
                <w:color w:val="auto"/>
              </w:rPr>
            </w:pPr>
            <w:r>
              <w:rPr>
                <w:rFonts w:ascii="Arial" w:cs="Arial" w:eastAsia="Arial" w:hAnsi="Arial"/>
                <w:sz w:val="15"/>
                <w:szCs w:val="15"/>
                <w:color w:val="auto"/>
              </w:rPr>
              <w:t>$</w:t>
            </w:r>
          </w:p>
        </w:tc>
        <w:tc>
          <w:tcPr>
            <w:tcW w:w="1460" w:type="dxa"/>
            <w:vAlign w:val="bottom"/>
            <w:gridSpan w:val="4"/>
            <w:vMerge w:val="restart"/>
            <w:shd w:val="clear" w:color="auto" w:fill="CFF0FC"/>
          </w:tcPr>
          <w:p>
            <w:pPr>
              <w:jc w:val="right"/>
              <w:spacing w:after="0"/>
              <w:rPr>
                <w:sz w:val="20"/>
                <w:szCs w:val="20"/>
                <w:color w:val="auto"/>
              </w:rPr>
            </w:pPr>
            <w:r>
              <w:rPr>
                <w:rFonts w:ascii="Arial" w:cs="Arial" w:eastAsia="Arial" w:hAnsi="Arial"/>
                <w:sz w:val="15"/>
                <w:szCs w:val="15"/>
                <w:color w:val="auto"/>
              </w:rPr>
              <w:t>(107,426) $ 212,183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2020</w:t>
            </w:r>
          </w:p>
        </w:tc>
        <w:tc>
          <w:tcPr>
            <w:tcW w:w="90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580" w:type="dxa"/>
            <w:vAlign w:val="bottom"/>
            <w:tcBorders>
              <w:right w:val="single" w:sz="8" w:color="auto"/>
            </w:tcBorders>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60" w:type="dxa"/>
            <w:vAlign w:val="bottom"/>
            <w:gridSpan w:val="4"/>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operating activities: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(111,694)</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(56,929)</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premium and discount on marketable securities,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(261,480)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financing activities: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the sale of common stock, net of offering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161,424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issuance of common stock upon initial public offering, net of offering costs</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the sale of Series C convertible preferred stock, net of offering costs</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sale of Series B convertible preferred stock, net of offering costs</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Payment of offering costs</w:t>
            </w: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capital lease obligation</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in connection with the exercise of stock options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issuance of common stock under ESPP</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in accounts payable</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Unrealized gain (loss) on marketable securities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260"/>
              <w:spacing w:after="0"/>
              <w:rPr>
                <w:sz w:val="20"/>
                <w:szCs w:val="20"/>
                <w:color w:val="auto"/>
              </w:rPr>
            </w:pPr>
            <w:r>
              <w:rPr>
                <w:rFonts w:ascii="Arial" w:cs="Arial" w:eastAsia="Arial" w:hAnsi="Arial"/>
                <w:sz w:val="18"/>
                <w:szCs w:val="18"/>
                <w:color w:val="auto"/>
              </w:rPr>
              <w:t>Offering costs in accrued expenses</w:t>
            </w: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Offering costs in accounts payable</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3880"/>
              <w:spacing w:after="0"/>
              <w:rPr>
                <w:sz w:val="20"/>
                <w:szCs w:val="20"/>
                <w:color w:val="auto"/>
              </w:rPr>
            </w:pPr>
            <w:r>
              <w:rPr>
                <w:rFonts w:ascii="Arial" w:cs="Arial" w:eastAsia="Arial" w:hAnsi="Arial"/>
                <w:sz w:val="18"/>
                <w:szCs w:val="18"/>
                <w:color w:val="auto"/>
                <w:w w:val="98"/>
              </w:rPr>
              <w:t>See accompanying notes to financial statements.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7760" w:type="dxa"/>
            <w:vAlign w:val="bottom"/>
          </w:tcPr>
          <w:p>
            <w:pPr>
              <w:ind w:left="548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firstLine="513"/>
        <w:spacing w:after="0" w:line="259" w:lineRule="auto"/>
        <w:rPr>
          <w:sz w:val="20"/>
          <w:szCs w:val="20"/>
          <w:color w:val="auto"/>
        </w:rPr>
      </w:pPr>
      <w:r>
        <w:rPr>
          <w:rFonts w:ascii="Arial" w:cs="Arial" w:eastAsia="Arial" w:hAnsi="Arial"/>
          <w:sz w:val="18"/>
          <w:szCs w:val="18"/>
          <w:color w:val="auto"/>
        </w:rPr>
        <w:t>Prelude Therapeutics Incorporated (the “Company”) was incorporated in Delaware on February 5, 2016 and is a clinical-stage fully integrated oncology company built on a foundation of drug discovery excellence to deliver novel precision cancer medicines to underserved patients. Since beginning operations, the Company has devoted substantially all its efforts to research and development, conducting preclinical and clinical studies, recruiting management and technical staff, administration, and raising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121" w:lineRule="exact"/>
        <w:rPr>
          <w:sz w:val="20"/>
          <w:szCs w:val="20"/>
          <w:color w:val="auto"/>
        </w:rPr>
      </w:pPr>
    </w:p>
    <w:p>
      <w:pPr>
        <w:ind w:firstLine="512"/>
        <w:spacing w:after="0" w:line="269" w:lineRule="auto"/>
        <w:rPr>
          <w:sz w:val="20"/>
          <w:szCs w:val="20"/>
          <w:color w:val="auto"/>
        </w:rPr>
      </w:pPr>
      <w:r>
        <w:rPr>
          <w:rFonts w:ascii="Arial" w:cs="Arial" w:eastAsia="Arial" w:hAnsi="Arial"/>
          <w:sz w:val="17"/>
          <w:szCs w:val="17"/>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5" w:lineRule="exact"/>
        <w:rPr>
          <w:sz w:val="20"/>
          <w:szCs w:val="20"/>
          <w:color w:val="auto"/>
        </w:rPr>
      </w:pPr>
    </w:p>
    <w:p>
      <w:pPr>
        <w:ind w:right="60" w:firstLine="512"/>
        <w:spacing w:after="0" w:line="263" w:lineRule="auto"/>
        <w:rPr>
          <w:sz w:val="20"/>
          <w:szCs w:val="20"/>
          <w:color w:val="auto"/>
        </w:rPr>
      </w:pPr>
      <w:r>
        <w:rPr>
          <w:rFonts w:ascii="Arial" w:cs="Arial" w:eastAsia="Arial" w:hAnsi="Arial"/>
          <w:sz w:val="18"/>
          <w:szCs w:val="18"/>
          <w:color w:val="auto"/>
        </w:rPr>
        <w:t>Since its inception, the Company has incurred operating losses and had an accumulated deficit of $219.1 million at December 31, 2021.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84" w:lineRule="exact"/>
        <w:rPr>
          <w:sz w:val="20"/>
          <w:szCs w:val="20"/>
          <w:color w:val="auto"/>
        </w:rPr>
      </w:pPr>
    </w:p>
    <w:p>
      <w:pPr>
        <w:ind w:right="360" w:firstLine="512"/>
        <w:spacing w:after="0" w:line="277" w:lineRule="auto"/>
        <w:rPr>
          <w:sz w:val="20"/>
          <w:szCs w:val="20"/>
          <w:color w:val="auto"/>
        </w:rPr>
      </w:pPr>
      <w:r>
        <w:rPr>
          <w:rFonts w:ascii="Arial" w:cs="Arial" w:eastAsia="Arial" w:hAnsi="Arial"/>
          <w:sz w:val="18"/>
          <w:szCs w:val="18"/>
          <w:color w:val="auto"/>
        </w:rPr>
        <w:t>The Company believes that its cash, cash equivalents and marketable securities as of December 31, 2021 will be sufficient to fund its operating expenses and capital expenditure requirements into the second half of 2024.</w:t>
      </w:r>
    </w:p>
    <w:p>
      <w:pPr>
        <w:spacing w:after="0" w:line="170" w:lineRule="exact"/>
        <w:rPr>
          <w:sz w:val="20"/>
          <w:szCs w:val="20"/>
          <w:color w:val="auto"/>
        </w:rPr>
      </w:pPr>
    </w:p>
    <w:p>
      <w:pPr>
        <w:ind w:right="20" w:firstLine="512"/>
        <w:spacing w:after="0" w:line="255" w:lineRule="auto"/>
        <w:rPr>
          <w:sz w:val="20"/>
          <w:szCs w:val="20"/>
          <w:color w:val="auto"/>
        </w:rPr>
      </w:pPr>
      <w:r>
        <w:rPr>
          <w:rFonts w:ascii="Arial" w:cs="Arial" w:eastAsia="Arial" w:hAnsi="Arial"/>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92" w:lineRule="exact"/>
        <w:rPr>
          <w:sz w:val="20"/>
          <w:szCs w:val="20"/>
          <w:color w:val="auto"/>
        </w:rPr>
      </w:pPr>
    </w:p>
    <w:p>
      <w:pPr>
        <w:ind w:right="20" w:firstLine="512"/>
        <w:spacing w:after="0" w:line="272" w:lineRule="auto"/>
        <w:rPr>
          <w:sz w:val="20"/>
          <w:szCs w:val="20"/>
          <w:color w:val="auto"/>
        </w:rPr>
      </w:pPr>
      <w:r>
        <w:rPr>
          <w:rFonts w:ascii="Arial" w:cs="Arial" w:eastAsia="Arial" w:hAnsi="Arial"/>
          <w:sz w:val="17"/>
          <w:szCs w:val="17"/>
          <w:color w:val="auto"/>
        </w:rPr>
        <w:t>On March 10, 2020, the World Health Organization characterized the novel COVID-19 virus as a global pandemic. There is significant uncertainty as to the likely effects of this disease and emerging variants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ind w:left="520" w:right="7680" w:hanging="512"/>
        <w:spacing w:after="0" w:line="378" w:lineRule="auto"/>
        <w:tabs>
          <w:tab w:leader="none" w:pos="18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120" w:firstLine="512"/>
        <w:spacing w:after="0" w:line="263" w:lineRule="auto"/>
        <w:rPr>
          <w:sz w:val="20"/>
          <w:szCs w:val="20"/>
          <w:color w:val="auto"/>
        </w:rPr>
      </w:pPr>
      <w:r>
        <w:rPr>
          <w:rFonts w:ascii="Arial" w:cs="Arial" w:eastAsia="Arial" w:hAnsi="Arial"/>
          <w:sz w:val="18"/>
          <w:szCs w:val="18"/>
          <w:color w:val="auto"/>
        </w:rPr>
        <w:t>The accompanying financial statements have been prepared in accordance with generally accepted accounting principles (“GAAP”). Any reference in these notes to applicable guidance is meant to refer to GAAP as found in the Accounting Standards Codification (“ASC”) and Accounting Standards Updates (“ASU”) promulgated by the Financial Accounting Standards Board (“FASB”).</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12"/>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right="260" w:firstLine="512"/>
        <w:spacing w:after="0" w:line="277" w:lineRule="auto"/>
        <w:rPr>
          <w:sz w:val="20"/>
          <w:szCs w:val="20"/>
          <w:color w:val="auto"/>
        </w:rPr>
      </w:pPr>
      <w:r>
        <w:rPr>
          <w:rFonts w:ascii="Arial" w:cs="Arial" w:eastAsia="Arial" w:hAnsi="Arial"/>
          <w:sz w:val="18"/>
          <w:szCs w:val="18"/>
          <w:color w:val="auto"/>
        </w:rPr>
        <w:t>Estimates and assumptions are periodically reviewed and the effects of the revisions are reflected in the accompanying financial statements in the period they are determined to be necessary. The most significant estimate relates to accrued clinical trial expenses.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40" w:firstLine="512"/>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cash equivalents, and marketable securities. The Company maintains deposits in federally insured financial institutions in excess of federally insured limits. The Company has not experienced any losses in such accounts and believes it is not exposed to significant credit risk beyond the normal credit risk associated with commercial banking relationships.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300" w:firstLine="512"/>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and manages its operations as a single operating segment.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60" w:firstLine="512"/>
        <w:spacing w:after="0" w:line="277" w:lineRule="auto"/>
        <w:rPr>
          <w:sz w:val="20"/>
          <w:szCs w:val="20"/>
          <w:color w:val="auto"/>
        </w:rPr>
      </w:pPr>
      <w:r>
        <w:rPr>
          <w:rFonts w:ascii="Arial" w:cs="Arial" w:eastAsia="Arial" w:hAnsi="Arial"/>
          <w:sz w:val="18"/>
          <w:szCs w:val="18"/>
          <w:color w:val="auto"/>
        </w:rPr>
        <w:t>Management believes that the carrying amounts of the Company’s financial instruments, including cash, restricted cash, accounts payable, and accrued expenses, approximate fair value due to the short-term nature of these instruments.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180" w:firstLine="512"/>
        <w:spacing w:after="0" w:line="277" w:lineRule="auto"/>
        <w:rPr>
          <w:sz w:val="20"/>
          <w:szCs w:val="20"/>
          <w:color w:val="auto"/>
        </w:rPr>
      </w:pPr>
      <w:r>
        <w:rPr>
          <w:rFonts w:ascii="Arial" w:cs="Arial" w:eastAsia="Arial" w:hAnsi="Arial"/>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62" w:lineRule="exact"/>
        <w:rPr>
          <w:sz w:val="20"/>
          <w:szCs w:val="20"/>
          <w:color w:val="auto"/>
        </w:rPr>
      </w:pPr>
    </w:p>
    <w:p>
      <w:pPr>
        <w:ind w:right="60" w:firstLine="512"/>
        <w:spacing w:after="0" w:line="277" w:lineRule="auto"/>
        <w:rPr>
          <w:sz w:val="20"/>
          <w:szCs w:val="20"/>
          <w:color w:val="auto"/>
        </w:rPr>
      </w:pPr>
      <w:r>
        <w:rPr>
          <w:rFonts w:ascii="Arial" w:cs="Arial" w:eastAsia="Arial" w:hAnsi="Arial"/>
          <w:sz w:val="18"/>
          <w:szCs w:val="18"/>
          <w:color w:val="auto"/>
        </w:rPr>
        <w:t>Restricted cash comprises a letter of credit for the benefit of the landlord in connection with the Company’s new lease facility. See note 8 for further details.</w:t>
      </w:r>
    </w:p>
    <w:p>
      <w:pPr>
        <w:spacing w:after="0" w:line="62" w:lineRule="exact"/>
        <w:rPr>
          <w:sz w:val="20"/>
          <w:szCs w:val="20"/>
          <w:color w:val="auto"/>
        </w:rPr>
      </w:pPr>
    </w:p>
    <w:p>
      <w:pPr>
        <w:ind w:right="440" w:firstLine="512"/>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balance sheet that total to the amounts shown in the statement of 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60" w:type="dxa"/>
            <w:vAlign w:val="bottom"/>
            <w:tcBorders>
              <w:bottom w:val="single" w:sz="8" w:color="CFF0FC"/>
            </w:tcBorders>
            <w:vMerge w:val="continue"/>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31,828</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shown in statement of cash flows</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35,872</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060" w:type="dxa"/>
            <w:vAlign w:val="bottom"/>
          </w:tcPr>
          <w:p>
            <w:pPr>
              <w:ind w:left="5480"/>
              <w:spacing w:after="0"/>
              <w:rPr>
                <w:sz w:val="20"/>
                <w:szCs w:val="20"/>
                <w:color w:val="auto"/>
              </w:rPr>
            </w:pPr>
            <w:r>
              <w:rPr>
                <w:rFonts w:ascii="Arial" w:cs="Arial" w:eastAsia="Arial" w:hAnsi="Arial"/>
                <w:sz w:val="18"/>
                <w:szCs w:val="18"/>
                <w:color w:val="auto"/>
              </w:rPr>
              <w:t>104</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160" w:firstLine="513"/>
        <w:spacing w:after="0" w:line="257" w:lineRule="auto"/>
        <w:rPr>
          <w:sz w:val="20"/>
          <w:szCs w:val="20"/>
          <w:color w:val="auto"/>
        </w:rPr>
      </w:pPr>
      <w:r>
        <w:rPr>
          <w:rFonts w:ascii="Arial" w:cs="Arial" w:eastAsia="Arial" w:hAnsi="Arial"/>
          <w:sz w:val="18"/>
          <w:szCs w:val="18"/>
          <w:color w:val="auto"/>
        </w:rPr>
        <w:t>The Company’s marketable securities consist of investments in corporate debt securities and commercial paper that are classified as available-for-sale. The securities are carried at fair value with the unrealized gains and losses, net of tax, included in accumulated other comprehensive income (loss), a component of stockholders’ equity (deficit). Realized gains and losses and declines in value determined to be other than temporary are included in the Company’s statements of operations. The Company classifies marketable securities that are available for use in current operations as current assets on the balance sheets.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40" w:firstLine="512"/>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expense is recognized using the straight-line method over the estimated useful life of the asset, ranging from 5-7 years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Fixed Asset Type</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23"/>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7 years</w:t>
            </w:r>
          </w:p>
        </w:tc>
      </w:tr>
    </w:tbl>
    <w:p>
      <w:pPr>
        <w:spacing w:after="0" w:line="228" w:lineRule="exact"/>
        <w:rPr>
          <w:sz w:val="20"/>
          <w:szCs w:val="20"/>
          <w:color w:val="auto"/>
        </w:rPr>
      </w:pPr>
    </w:p>
    <w:p>
      <w:pPr>
        <w:ind w:right="260" w:firstLine="512"/>
        <w:spacing w:after="0" w:line="342" w:lineRule="auto"/>
        <w:rPr>
          <w:sz w:val="20"/>
          <w:szCs w:val="20"/>
          <w:color w:val="auto"/>
        </w:rPr>
      </w:pPr>
      <w:r>
        <w:rPr>
          <w:rFonts w:ascii="Arial" w:cs="Arial" w:eastAsia="Arial" w:hAnsi="Arial"/>
          <w:sz w:val="16"/>
          <w:szCs w:val="16"/>
          <w:color w:val="auto"/>
        </w:rPr>
        <w:t>Leasehold improvements are amortized over the shorter of the estimated useful life of the assets or the remaining lease term. Assets under capital leases are recorded in property and equipment, net on the balance sheets and depreciated in a manner similar to other property and equipment.</w:t>
      </w:r>
    </w:p>
    <w:p>
      <w:pPr>
        <w:spacing w:after="0" w:line="124" w:lineRule="exact"/>
        <w:rPr>
          <w:sz w:val="20"/>
          <w:szCs w:val="20"/>
          <w:color w:val="auto"/>
        </w:rPr>
      </w:pPr>
    </w:p>
    <w:p>
      <w:pPr>
        <w:ind w:right="140" w:firstLine="512"/>
        <w:spacing w:after="0" w:line="263" w:lineRule="auto"/>
        <w:rPr>
          <w:sz w:val="20"/>
          <w:szCs w:val="20"/>
          <w:color w:val="auto"/>
        </w:rPr>
      </w:pPr>
      <w:r>
        <w:rPr>
          <w:rFonts w:ascii="Arial" w:cs="Arial" w:eastAsia="Arial" w:hAnsi="Arial"/>
          <w:sz w:val="18"/>
          <w:szCs w:val="18"/>
          <w:color w:val="auto"/>
        </w:rPr>
        <w:t>Expenditures for repairs and maintenance of assets are charged to expense as incurred, while major betterments are capitalized. Upon retirement or sale, the cost and related accumulated depreciation of assets disposed of are removed from the accounts and any resulting gain or loss is included in the statements of operations.</w:t>
      </w:r>
    </w:p>
    <w:p>
      <w:pPr>
        <w:spacing w:after="0" w:line="184" w:lineRule="exact"/>
        <w:rPr>
          <w:sz w:val="20"/>
          <w:szCs w:val="20"/>
          <w:color w:val="auto"/>
        </w:rPr>
      </w:pPr>
    </w:p>
    <w:p>
      <w:pPr>
        <w:ind w:right="60" w:firstLine="512"/>
        <w:spacing w:after="0" w:line="257" w:lineRule="auto"/>
        <w:rPr>
          <w:sz w:val="20"/>
          <w:szCs w:val="20"/>
          <w:color w:val="auto"/>
        </w:rPr>
      </w:pPr>
      <w:r>
        <w:rPr>
          <w:rFonts w:ascii="Arial" w:cs="Arial" w:eastAsia="Arial" w:hAnsi="Arial"/>
          <w:sz w:val="18"/>
          <w:szCs w:val="18"/>
          <w:color w:val="auto"/>
        </w:rPr>
        <w:t>The Company reviews long-lived assets, such as property and equipment, for impairment when events or changes in circumstances indicate the carrying amount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then the asset is considered to be impaired and its carrying value is written down to fair value, based on the related estimated discounted future cash flows.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right="740" w:firstLine="513"/>
        <w:spacing w:after="0" w:line="263" w:lineRule="auto"/>
        <w:rPr>
          <w:sz w:val="20"/>
          <w:szCs w:val="20"/>
          <w:color w:val="auto"/>
        </w:rPr>
      </w:pPr>
      <w:r>
        <w:rPr>
          <w:rFonts w:ascii="Arial" w:cs="Arial" w:eastAsia="Arial" w:hAnsi="Arial"/>
          <w:sz w:val="18"/>
          <w:szCs w:val="18"/>
          <w:color w:val="auto"/>
        </w:rPr>
        <w:t>Comprehensive loss includes net loss and certain changes in stockholders’ equity (deficit) that are excluded from net loss. The Company’s comprehensive loss for the year ended December 31, 2021 comprised net loss and unrealized gain(loss) on marketable securities. The Company’s comprehensive loss was equal to net loss for the year ended December 31, 2020.</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13"/>
        <w:spacing w:after="0" w:line="277" w:lineRule="auto"/>
        <w:rPr>
          <w:sz w:val="20"/>
          <w:szCs w:val="20"/>
          <w:color w:val="auto"/>
        </w:rPr>
      </w:pPr>
      <w:r>
        <w:rPr>
          <w:rFonts w:ascii="Arial" w:cs="Arial" w:eastAsia="Arial" w:hAnsi="Arial"/>
          <w:sz w:val="18"/>
          <w:szCs w:val="18"/>
          <w:color w:val="auto"/>
        </w:rPr>
        <w:t>The Company measures share-based awards at their grant-date fair value and records compensation expense on a straight-line basis over the vesting period of the awards.</w:t>
      </w:r>
    </w:p>
    <w:p>
      <w:pPr>
        <w:spacing w:after="0" w:line="62" w:lineRule="exact"/>
        <w:rPr>
          <w:sz w:val="20"/>
          <w:szCs w:val="20"/>
          <w:color w:val="auto"/>
        </w:rPr>
      </w:pPr>
    </w:p>
    <w:p>
      <w:pPr>
        <w:ind w:firstLine="513"/>
        <w:spacing w:after="0" w:line="275" w:lineRule="auto"/>
        <w:rPr>
          <w:sz w:val="20"/>
          <w:szCs w:val="20"/>
          <w:color w:val="auto"/>
        </w:rPr>
      </w:pPr>
      <w:r>
        <w:rPr>
          <w:rFonts w:ascii="Arial" w:cs="Arial" w:eastAsia="Arial" w:hAnsi="Arial"/>
          <w:sz w:val="17"/>
          <w:szCs w:val="17"/>
          <w:color w:val="auto"/>
        </w:rPr>
        <w:t>Estimating the fair value of share-based awards requires the input of subjective assumptions, including, for stock options, the expected life of the options and stock price volatility. The Company accounts for forfeitures for stock option awards as they occur. The Company uses the Black-Scholes option pricing model to value its stock option awards. The assumptions used in estimating the fair value of share-based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176" w:lineRule="exact"/>
        <w:rPr>
          <w:sz w:val="20"/>
          <w:szCs w:val="20"/>
          <w:color w:val="auto"/>
        </w:rPr>
      </w:pPr>
    </w:p>
    <w:p>
      <w:pPr>
        <w:ind w:right="140" w:firstLine="513"/>
        <w:spacing w:after="0" w:line="259" w:lineRule="auto"/>
        <w:rPr>
          <w:sz w:val="20"/>
          <w:szCs w:val="20"/>
          <w:color w:val="auto"/>
        </w:rPr>
      </w:pPr>
      <w:r>
        <w:rPr>
          <w:rFonts w:ascii="Arial" w:cs="Arial" w:eastAsia="Arial" w:hAnsi="Arial"/>
          <w:sz w:val="18"/>
          <w:szCs w:val="18"/>
          <w:color w:val="auto"/>
        </w:rPr>
        <w:t>The expected life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expected volatility to calculate the fair value of option grants. The risk-free rate is based on the U.S. Treasury yield curve commensurate with the expected life of the option.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Income and Research and Development Tax Credits</w:t>
      </w:r>
    </w:p>
    <w:p>
      <w:pPr>
        <w:spacing w:after="0" w:line="117" w:lineRule="exact"/>
        <w:rPr>
          <w:sz w:val="20"/>
          <w:szCs w:val="20"/>
          <w:color w:val="auto"/>
        </w:rPr>
      </w:pPr>
    </w:p>
    <w:p>
      <w:pPr>
        <w:jc w:val="both"/>
        <w:ind w:right="60" w:firstLine="512"/>
        <w:spacing w:after="0" w:line="263" w:lineRule="auto"/>
        <w:rPr>
          <w:sz w:val="20"/>
          <w:szCs w:val="20"/>
          <w:color w:val="auto"/>
        </w:rPr>
      </w:pPr>
      <w:r>
        <w:rPr>
          <w:rFonts w:ascii="Arial" w:cs="Arial" w:eastAsia="Arial" w:hAnsi="Arial"/>
          <w:sz w:val="18"/>
          <w:szCs w:val="18"/>
          <w:color w:val="auto"/>
        </w:rPr>
        <w:t>The Company recognizes grant income and Delaware research and development tax credits, which are refundable irrespective of taxable income, in other income, net in the statements of operations when it is probable that the amounts will be received and the necessary qualifying conditions, as stated in the agreements, are met.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80" w:firstLine="512"/>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personnel costs, including salaries, stock-based compensation, and benefits of employees, and other operational costs related to the Company’s research and development activities, including allocated facility-related expenses and external costs of outside vendors, such as clinical research organizations and clinical manufacturing organizations, and other direct and indirect costs.</w:t>
      </w:r>
    </w:p>
    <w:p>
      <w:pPr>
        <w:spacing w:after="0" w:line="187" w:lineRule="exact"/>
        <w:rPr>
          <w:sz w:val="20"/>
          <w:szCs w:val="20"/>
          <w:color w:val="auto"/>
        </w:rPr>
      </w:pPr>
    </w:p>
    <w:p>
      <w:pPr>
        <w:ind w:right="20" w:firstLine="512"/>
        <w:spacing w:after="0" w:line="275" w:lineRule="auto"/>
        <w:rPr>
          <w:sz w:val="20"/>
          <w:szCs w:val="20"/>
          <w:color w:val="auto"/>
        </w:rPr>
      </w:pPr>
      <w:r>
        <w:rPr>
          <w:rFonts w:ascii="Arial" w:cs="Arial" w:eastAsia="Arial" w:hAnsi="Arial"/>
          <w:sz w:val="17"/>
          <w:szCs w:val="17"/>
          <w:color w:val="auto"/>
        </w:rPr>
        <w:t>Management makes estimates of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12"/>
        <w:spacing w:after="0" w:line="254" w:lineRule="auto"/>
        <w:rPr>
          <w:sz w:val="20"/>
          <w:szCs w:val="20"/>
          <w:color w:val="auto"/>
        </w:rPr>
      </w:pPr>
      <w:r>
        <w:rPr>
          <w:rFonts w:ascii="Arial" w:cs="Arial" w:eastAsia="Arial" w:hAnsi="Arial"/>
          <w:sz w:val="18"/>
          <w:szCs w:val="18"/>
          <w:color w:val="auto"/>
        </w:rPr>
        <w:t xml:space="preserve">Income taxes are accounted for under the asset-and-liability method as required by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95" w:lineRule="exact"/>
        <w:rPr>
          <w:sz w:val="20"/>
          <w:szCs w:val="20"/>
          <w:color w:val="auto"/>
        </w:rPr>
      </w:pPr>
    </w:p>
    <w:p>
      <w:pPr>
        <w:ind w:firstLine="513"/>
        <w:spacing w:after="0" w:line="277" w:lineRule="auto"/>
        <w:rPr>
          <w:sz w:val="20"/>
          <w:szCs w:val="20"/>
          <w:color w:val="auto"/>
        </w:rPr>
      </w:pPr>
      <w:r>
        <w:rPr>
          <w:rFonts w:ascii="Arial" w:cs="Arial" w:eastAsia="Arial" w:hAnsi="Arial"/>
          <w:sz w:val="17"/>
          <w:szCs w:val="17"/>
          <w:color w:val="auto"/>
        </w:rPr>
        <w:t xml:space="preserve">FASB ASC Subtopic 740-10, </w:t>
      </w:r>
      <w:r>
        <w:rPr>
          <w:rFonts w:ascii="Arial" w:cs="Arial" w:eastAsia="Arial" w:hAnsi="Arial"/>
          <w:sz w:val="17"/>
          <w:szCs w:val="17"/>
          <w:i w:val="1"/>
          <w:iCs w:val="1"/>
          <w:color w:val="auto"/>
        </w:rPr>
        <w:t>Accounting for Uncertainty of Income Taxes</w:t>
      </w:r>
      <w:r>
        <w:rPr>
          <w:rFonts w:ascii="Arial" w:cs="Arial" w:eastAsia="Arial" w:hAnsi="Arial"/>
          <w:sz w:val="17"/>
          <w:szCs w:val="17"/>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part of total interest expense and other expense, respectively.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60" w:firstLine="512"/>
        <w:spacing w:after="0" w:line="272" w:lineRule="auto"/>
        <w:rPr>
          <w:sz w:val="20"/>
          <w:szCs w:val="20"/>
          <w:color w:val="auto"/>
        </w:rPr>
      </w:pPr>
      <w:r>
        <w:rPr>
          <w:rFonts w:ascii="Arial" w:cs="Arial" w:eastAsia="Arial" w:hAnsi="Arial"/>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33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84" w:lineRule="exact"/>
        <w:rPr>
          <w:sz w:val="20"/>
          <w:szCs w:val="20"/>
          <w:color w:val="auto"/>
        </w:rPr>
      </w:pPr>
    </w:p>
    <w:p>
      <w:pPr>
        <w:ind w:right="640" w:firstLine="51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28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awards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611,608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1,214,767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54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7,179,482</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6,839,091</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7,811,090</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8,053,858</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in the above table reflect the common stock equivalents.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ind w:right="180" w:firstLine="512"/>
        <w:spacing w:after="0" w:line="29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100" w:firstLine="513"/>
        <w:spacing w:after="0" w:line="259" w:lineRule="auto"/>
        <w:rPr>
          <w:sz w:val="20"/>
          <w:szCs w:val="20"/>
          <w:color w:val="auto"/>
        </w:rPr>
      </w:pPr>
      <w:r>
        <w:rPr>
          <w:rFonts w:ascii="Arial" w:cs="Arial" w:eastAsia="Arial" w:hAnsi="Arial"/>
          <w:sz w:val="18"/>
          <w:szCs w:val="18"/>
          <w:color w:val="auto"/>
        </w:rPr>
        <w:t>On January 1, 2021, the Company adopted ASC 842 issued by the FASB in February 2016, which was subsequently supplemented by clarifying guidance to improve financial reporting of leasing transactions. The new lease accounting guidance requires lessees to recognize lease liabilities and right-of-use assets on the balance sheet for all leases with initial terms longer than 12 months and provides enhanced disclosures on key information of leasing arrangements.</w:t>
      </w:r>
    </w:p>
    <w:p>
      <w:pPr>
        <w:spacing w:after="0" w:line="214" w:lineRule="exact"/>
        <w:rPr>
          <w:sz w:val="20"/>
          <w:szCs w:val="20"/>
          <w:color w:val="auto"/>
        </w:rPr>
      </w:pPr>
    </w:p>
    <w:p>
      <w:pPr>
        <w:ind w:right="20" w:firstLine="513"/>
        <w:spacing w:after="0" w:line="291" w:lineRule="auto"/>
        <w:rPr>
          <w:sz w:val="20"/>
          <w:szCs w:val="20"/>
          <w:color w:val="auto"/>
        </w:rPr>
      </w:pPr>
      <w:r>
        <w:rPr>
          <w:rFonts w:ascii="Arial" w:cs="Arial" w:eastAsia="Arial" w:hAnsi="Arial"/>
          <w:sz w:val="16"/>
          <w:szCs w:val="16"/>
          <w:color w:val="auto"/>
        </w:rPr>
        <w:t>The Company adopted the new standard using the modified retrospective transition method utilizing the optional transition method and elected the package of practical expedients. Accordingly, prior periods were not restated to reflect the adopted standard. In accordance with the guidance in ASC 842, components of a lease should be split into three categories: lease components (e.g., land, building, etc.), non-lease components (e.g., common area maintenance, maintenance, consumables, etc.), and non-components (e.g., property taxes, insurance, etc.). The Company has elected the practical expedient to account for the lease and non-lease components of each of its operating leases as a single lease component and allocate all of the contract consideration to the lease component only. Upon adoption, the Company recorded a right of use asset of $2.5 million and corresponding operating lease liabilities of $2.5 million, with an offset to accrued expenses and other current liabilities of approximately $64,000 to eliminate deferred rent on the balance sheets.</w:t>
      </w:r>
    </w:p>
    <w:p>
      <w:pPr>
        <w:spacing w:after="0" w:line="207" w:lineRule="exact"/>
        <w:rPr>
          <w:sz w:val="20"/>
          <w:szCs w:val="20"/>
          <w:color w:val="auto"/>
        </w:rPr>
      </w:pPr>
    </w:p>
    <w:p>
      <w:pPr>
        <w:ind w:right="20" w:firstLine="513"/>
        <w:spacing w:after="0" w:line="254" w:lineRule="auto"/>
        <w:rPr>
          <w:sz w:val="20"/>
          <w:szCs w:val="20"/>
          <w:color w:val="auto"/>
        </w:rPr>
      </w:pPr>
      <w:r>
        <w:rPr>
          <w:rFonts w:ascii="Arial" w:cs="Arial" w:eastAsia="Arial" w:hAnsi="Arial"/>
          <w:sz w:val="18"/>
          <w:szCs w:val="18"/>
          <w:color w:val="auto"/>
        </w:rPr>
        <w:t>At lease commencement, the Company records a lease liability based on the present value of lease payments over the expected lease term including any options to extend the lease that the Company is reasonably certain to exercise. The Company calculates the present value of lease payments using an incremental borrowing rate as the Company’s leases do not provide an implicit interest rate. The Company’s incremental borrowing rate for a lease is the rate of interest it would have to pay on a collateralized basis to borrow an amount equal to the lease payments under similar terms. At the lease commencement date, the Company records a corresponding right-of-use lease asset based on the lease liability, adjusted for any lease incentives received and any initial direct costs paid to the lessor prior to the lease commencement date. The Company may enter into leases with an initial term of 12 months or less (“Short-Term Leases”). For Short-Term Leases, the Company records the rent expense on a straight-line basis and does not record the leases on the balance sheet.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entered into a short-term lease in June 2021 and elected the short-term lease exemption that allows the Company to record the rent expense on a straight-line basis and does not require the recognition of a right-of-use asset or corresponding operating lease liability. Refer to Note 8 for the Company’s lease disclosures.</w:t>
      </w:r>
    </w:p>
    <w:p>
      <w:pPr>
        <w:spacing w:after="0" w:line="184" w:lineRule="exact"/>
        <w:rPr>
          <w:sz w:val="20"/>
          <w:szCs w:val="20"/>
          <w:color w:val="auto"/>
        </w:rPr>
      </w:pPr>
    </w:p>
    <w:p>
      <w:pPr>
        <w:ind w:right="80" w:firstLine="513"/>
        <w:spacing w:after="0" w:line="275" w:lineRule="auto"/>
        <w:rPr>
          <w:sz w:val="20"/>
          <w:szCs w:val="20"/>
          <w:color w:val="auto"/>
        </w:rPr>
      </w:pPr>
      <w:r>
        <w:rPr>
          <w:rFonts w:ascii="Arial" w:cs="Arial" w:eastAsia="Arial" w:hAnsi="Arial"/>
          <w:sz w:val="17"/>
          <w:szCs w:val="17"/>
          <w:color w:val="auto"/>
        </w:rPr>
        <w:t>After lease commencement, the Company measures its leases as follows: (i) the lease liability based on the present value of the remaining lease payments using the discount rate determined at lease commencement and (ii) the right-of-use lease asset based on the re-measured lease liability, adjusted for any unamortized lease incentives received, any unamortized initial direct costs and the cumulative difference between rent expense and amounts paid under the lease agreement. Any lease incentives received, and any initial direct costs incurred are amortized on a straight-line basis over the expected lease term. Rent expense is recorded on a straight-line basis over the expected lease term.</w:t>
      </w:r>
    </w:p>
    <w:p>
      <w:pPr>
        <w:spacing w:after="0" w:line="176" w:lineRule="exact"/>
        <w:rPr>
          <w:sz w:val="20"/>
          <w:szCs w:val="20"/>
          <w:color w:val="auto"/>
        </w:rPr>
      </w:pPr>
    </w:p>
    <w:p>
      <w:pPr>
        <w:ind w:right="100" w:firstLine="513"/>
        <w:spacing w:after="0" w:line="277" w:lineRule="auto"/>
        <w:rPr>
          <w:sz w:val="20"/>
          <w:szCs w:val="20"/>
          <w:color w:val="auto"/>
        </w:rPr>
      </w:pPr>
      <w:r>
        <w:rPr>
          <w:rFonts w:ascii="Arial" w:cs="Arial" w:eastAsia="Arial" w:hAnsi="Arial"/>
          <w:sz w:val="18"/>
          <w:szCs w:val="18"/>
          <w:color w:val="auto"/>
        </w:rPr>
        <w:t>The adoption of the new lease accounting standard did not have a material impact on the Company’s results of operations or cash flows for the year ended December 31, 2021.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guidance not yet adopted</w:t>
      </w:r>
    </w:p>
    <w:p>
      <w:pPr>
        <w:spacing w:after="0" w:line="225" w:lineRule="exact"/>
        <w:rPr>
          <w:sz w:val="20"/>
          <w:szCs w:val="20"/>
          <w:color w:val="auto"/>
        </w:rPr>
      </w:pPr>
    </w:p>
    <w:p>
      <w:pPr>
        <w:ind w:right="120" w:firstLine="513"/>
        <w:spacing w:after="0" w:line="254" w:lineRule="auto"/>
        <w:rPr>
          <w:sz w:val="20"/>
          <w:szCs w:val="20"/>
          <w:color w:val="auto"/>
        </w:rPr>
      </w:pPr>
      <w:r>
        <w:rPr>
          <w:rFonts w:ascii="Arial" w:cs="Arial" w:eastAsia="Arial" w:hAnsi="Arial"/>
          <w:sz w:val="18"/>
          <w:szCs w:val="18"/>
          <w:color w:val="auto"/>
        </w:rPr>
        <w:t>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which has subsequently been amended by ASU No. 2019-04, ASU No. 2019-05, ASU No. 2019-10, ASU No. 2019-11, and ASU No. 2020-03 (“ASU 2016-03”). This guidance replaces the incurred loss impairment methodology under current U.S. GAAP with a methodology that reflects expected credit losses and requires consideration of a broader range of reasonable and supportable information to inform credit loss estimates. This guidance is effective for the Company for fiscal years, and interim periods within those fiscal years, beginning after December 15, 2022 and must be adopted using a modified retrospective approach, with certain exceptions. The Company is currently evaluating the impact of this standard on its financial statements and related disclosures.</w:t>
      </w:r>
    </w:p>
    <w:p>
      <w:pPr>
        <w:spacing w:after="0" w:line="195" w:lineRule="exact"/>
        <w:rPr>
          <w:sz w:val="20"/>
          <w:szCs w:val="20"/>
          <w:color w:val="auto"/>
        </w:rPr>
      </w:pPr>
    </w:p>
    <w:p>
      <w:pPr>
        <w:ind w:right="40" w:firstLine="513"/>
        <w:spacing w:after="0" w:line="272" w:lineRule="auto"/>
        <w:rPr>
          <w:sz w:val="20"/>
          <w:szCs w:val="20"/>
          <w:color w:val="auto"/>
        </w:rPr>
      </w:pPr>
      <w:r>
        <w:rPr>
          <w:rFonts w:ascii="Arial" w:cs="Arial" w:eastAsia="Arial" w:hAnsi="Arial"/>
          <w:sz w:val="17"/>
          <w:szCs w:val="17"/>
          <w:color w:val="auto"/>
        </w:rPr>
        <w:t xml:space="preserve">In November 2021, the FASB issued ASU No. 2021-10, </w:t>
      </w:r>
      <w:r>
        <w:rPr>
          <w:rFonts w:ascii="Arial" w:cs="Arial" w:eastAsia="Arial" w:hAnsi="Arial"/>
          <w:sz w:val="17"/>
          <w:szCs w:val="17"/>
          <w:i w:val="1"/>
          <w:iCs w:val="1"/>
          <w:color w:val="auto"/>
        </w:rPr>
        <w:t>“Government Assistance: Disclosures by Business Entities about Government Assistance”</w:t>
      </w:r>
      <w:r>
        <w:rPr>
          <w:rFonts w:ascii="Arial" w:cs="Arial" w:eastAsia="Arial" w:hAnsi="Arial"/>
          <w:sz w:val="17"/>
          <w:szCs w:val="17"/>
          <w:color w:val="auto"/>
        </w:rPr>
        <w:t>. The amendments in this Update improve financial reporting by requiring disclosures that increase the transparency of transactions with a government. The amendments require the following annual disclosures about transactions with a government that are accounted for by applying a grant or contribution accounting model by analogy (i) the type of transaction (ii) the accounting for the transaction, and (iii) the effect of the transaction on the entity’s financial statements. This guidance is effective for the Company for fiscal years, and interim periods within those fiscal years, beginning after December 15, 2021 with early adoption permitted. The Company is currently evaluating the impact of this standard but does not expect that it will have a material impact on its financial statements and related disclosures.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right="20" w:firstLine="513"/>
        <w:spacing w:after="0" w:line="277" w:lineRule="auto"/>
        <w:rPr>
          <w:sz w:val="20"/>
          <w:szCs w:val="20"/>
          <w:color w:val="auto"/>
        </w:rPr>
      </w:pPr>
      <w:r>
        <w:rPr>
          <w:rFonts w:ascii="Arial" w:cs="Arial" w:eastAsia="Arial" w:hAnsi="Arial"/>
          <w:sz w:val="18"/>
          <w:szCs w:val="18"/>
          <w:color w:val="auto"/>
        </w:rPr>
        <w:t>The following is a summary of the Company’s marketable securities as of December 31, 2021. The Company did not have any marketable securities as of December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unrealized gain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Gross unrealized loss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78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0"/>
        </w:trPr>
        <w:tc>
          <w:tcPr>
            <w:tcW w:w="28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9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193,798</w:t>
            </w:r>
          </w:p>
        </w:tc>
        <w:tc>
          <w:tcPr>
            <w:tcW w:w="10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(696)</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193,103</w:t>
            </w:r>
          </w:p>
        </w:tc>
        <w:tc>
          <w:tcPr>
            <w:tcW w:w="100" w:type="dxa"/>
            <w:vAlign w:val="bottom"/>
          </w:tcPr>
          <w:p>
            <w:pPr>
              <w:spacing w:after="0"/>
              <w:rPr>
                <w:sz w:val="19"/>
                <w:szCs w:val="19"/>
                <w:color w:val="auto"/>
              </w:rPr>
            </w:pPr>
          </w:p>
        </w:tc>
      </w:tr>
      <w:tr>
        <w:trPr>
          <w:trHeight w:val="230"/>
        </w:trPr>
        <w:tc>
          <w:tcPr>
            <w:tcW w:w="2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66,318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66,302</w:t>
            </w:r>
          </w:p>
        </w:tc>
        <w:tc>
          <w:tcPr>
            <w:tcW w:w="100" w:type="dxa"/>
            <w:vAlign w:val="bottom"/>
            <w:shd w:val="clear" w:color="auto" w:fill="CFF0FC"/>
          </w:tcPr>
          <w:p>
            <w:pPr>
              <w:spacing w:after="0"/>
              <w:rPr>
                <w:sz w:val="19"/>
                <w:szCs w:val="19"/>
                <w:color w:val="auto"/>
              </w:rPr>
            </w:pPr>
          </w:p>
        </w:tc>
      </w:tr>
      <w:tr>
        <w:trPr>
          <w:trHeight w:val="223"/>
        </w:trPr>
        <w:tc>
          <w:tcPr>
            <w:tcW w:w="2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260,116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259,405</w:t>
            </w:r>
          </w:p>
        </w:tc>
        <w:tc>
          <w:tcPr>
            <w:tcW w:w="100" w:type="dxa"/>
            <w:vAlign w:val="bottom"/>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Company’s marketable securities generally have contractual maturity dates of 18 months or less. As of December 31, 2021, the Company</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had 25 securities with a total fair market value of $221.8 million in an unrealized loss position. The Company believes that any unrealized losses associated with the decline in value of its securities is temporary and is primarily related to the change in market interest rates since purchase and believes that it is more likely than not that it will be able to hold its debt securities to maturity.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60" w:firstLine="512"/>
        <w:spacing w:after="0" w:line="273" w:lineRule="auto"/>
        <w:rPr>
          <w:sz w:val="20"/>
          <w:szCs w:val="20"/>
          <w:color w:val="auto"/>
        </w:rPr>
      </w:pPr>
      <w:r>
        <w:rPr>
          <w:rFonts w:ascii="Arial" w:cs="Arial" w:eastAsia="Arial" w:hAnsi="Arial"/>
          <w:sz w:val="17"/>
          <w:szCs w:val="17"/>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70" w:lineRule="exact"/>
        <w:rPr>
          <w:sz w:val="20"/>
          <w:szCs w:val="20"/>
          <w:color w:val="auto"/>
        </w:rPr>
      </w:pPr>
    </w:p>
    <w:p>
      <w:pPr>
        <w:ind w:left="1020" w:hanging="513"/>
        <w:spacing w:after="0"/>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40" w:lineRule="exact"/>
        <w:rPr>
          <w:rFonts w:ascii="Arial" w:cs="Arial" w:eastAsia="Arial" w:hAnsi="Arial"/>
          <w:sz w:val="16"/>
          <w:szCs w:val="16"/>
          <w:color w:val="auto"/>
        </w:rPr>
      </w:pPr>
    </w:p>
    <w:p>
      <w:pPr>
        <w:ind w:left="1020" w:right="340" w:hanging="513"/>
        <w:spacing w:after="0" w:line="277"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asset or liabilities.</w:t>
      </w:r>
    </w:p>
    <w:p>
      <w:pPr>
        <w:spacing w:after="0" w:line="62" w:lineRule="exact"/>
        <w:rPr>
          <w:rFonts w:ascii="Arial" w:cs="Arial" w:eastAsia="Arial" w:hAnsi="Arial"/>
          <w:sz w:val="18"/>
          <w:szCs w:val="18"/>
          <w:color w:val="auto"/>
        </w:rPr>
      </w:pPr>
    </w:p>
    <w:p>
      <w:pPr>
        <w:ind w:left="1020" w:right="840" w:hanging="513"/>
        <w:spacing w:after="0" w:line="277"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(i.e., supported by little or no market activity).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fair value hierarchy table presents information about the Company’s assets and liabilities measured at fair value on a recurring basis: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12"/>
          </w:tcPr>
          <w:p>
            <w:pPr>
              <w:jc w:val="center"/>
              <w:ind w:right="280"/>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w w:val="91"/>
              </w:rPr>
              <w:t>Quoted prices</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jc w:val="center"/>
              <w:ind w:right="50"/>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7"/>
              </w:rPr>
              <w:t>other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identical</w:t>
            </w: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89"/>
              </w:rPr>
              <w:t>observable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2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2021:</w:t>
            </w:r>
          </w:p>
        </w:tc>
        <w:tc>
          <w:tcPr>
            <w:tcW w:w="1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Assets: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equivalents (Money Market Funds)</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30,520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193,103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66,302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30,520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259,405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Assets: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equivalents (Money Market Funds)</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217,072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486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tcPr>
          <w:p>
            <w:pPr>
              <w:ind w:left="520"/>
              <w:spacing w:after="0"/>
              <w:rPr>
                <w:sz w:val="20"/>
                <w:szCs w:val="20"/>
                <w:color w:val="auto"/>
              </w:rPr>
            </w:pPr>
            <w:r>
              <w:rPr>
                <w:rFonts w:ascii="Arial" w:cs="Arial" w:eastAsia="Arial" w:hAnsi="Arial"/>
                <w:sz w:val="18"/>
                <w:szCs w:val="18"/>
                <w:color w:val="auto"/>
              </w:rPr>
              <w:t>Property and equipment consisted of the following:</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60" w:type="dxa"/>
            <w:vAlign w:val="bottom"/>
            <w:tcBorders>
              <w:bottom w:val="single" w:sz="8" w:color="CFF0FC"/>
            </w:tcBorders>
            <w:vMerge w:val="continue"/>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5,927</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(1,998)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780" w:type="dxa"/>
            <w:vAlign w:val="bottom"/>
            <w:vMerge w:val="restart"/>
          </w:tcPr>
          <w:p>
            <w:pPr>
              <w:jc w:val="right"/>
              <w:ind w:right="79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8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firstLine="512"/>
        <w:spacing w:after="0" w:line="263" w:lineRule="auto"/>
        <w:rPr>
          <w:sz w:val="20"/>
          <w:szCs w:val="20"/>
          <w:color w:val="auto"/>
        </w:rPr>
      </w:pPr>
      <w:r>
        <w:rPr>
          <w:rFonts w:ascii="Arial" w:cs="Arial" w:eastAsia="Arial" w:hAnsi="Arial"/>
          <w:sz w:val="18"/>
          <w:szCs w:val="18"/>
          <w:color w:val="auto"/>
        </w:rPr>
        <w:t>In September 2019, the Company signed a 12-month capital lease for $0.4 million of lab equipment with an effective interest rate of 9.67%. At December 31, 2020, the Company had $0.1 million of accumulated amortization related to the capital lease. At December 31, 2020, the Company had no further lease payments under the capital lease.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right="9960" w:hanging="512"/>
        <w:spacing w:after="0" w:line="425" w:lineRule="auto"/>
        <w:tabs>
          <w:tab w:leader="none" w:pos="188"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b w:val="1"/>
          <w:bCs w:val="1"/>
          <w:i w:val="1"/>
          <w:iCs w:val="1"/>
          <w:color w:val="auto"/>
        </w:rPr>
        <w:t>Leases</w:t>
      </w:r>
    </w:p>
    <w:p>
      <w:pPr>
        <w:ind w:right="220" w:firstLine="513"/>
        <w:spacing w:after="0" w:line="275" w:lineRule="auto"/>
        <w:rPr>
          <w:sz w:val="20"/>
          <w:szCs w:val="20"/>
          <w:color w:val="auto"/>
        </w:rPr>
      </w:pPr>
      <w:r>
        <w:rPr>
          <w:rFonts w:ascii="Arial" w:cs="Arial" w:eastAsia="Arial" w:hAnsi="Arial"/>
          <w:sz w:val="17"/>
          <w:szCs w:val="17"/>
          <w:color w:val="auto"/>
        </w:rPr>
        <w:t>The Company leases office and laboratory space in Wilmington, Delaware under a noncancelable lease (the “Lease”), which expires in December 2022. The Lease was amended during the third quarter of 2021 to include additional office and laboratory space to accommodate the Company’s growth. The Company has an option to renew the Lease for an additional 1-year period. This option to extend was not recognized as part of the Company’s measurement of the right-of-use asset and operating lease liability as of December 31, 2021. The discount rate used to account for the Company’s operating lease under ASC 842 is the Company’s estimated incremental borrowing rate of 10.0%.</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future minimum lease payments under the Lease at December 31, 2021 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78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120" w:type="dxa"/>
            <w:vAlign w:val="bottom"/>
            <w:shd w:val="clear" w:color="auto" w:fill="CFF0FC"/>
          </w:tcPr>
          <w:p>
            <w:pPr>
              <w:spacing w:after="0"/>
              <w:rPr>
                <w:sz w:val="19"/>
                <w:szCs w:val="19"/>
                <w:color w:val="auto"/>
              </w:rPr>
            </w:pPr>
          </w:p>
        </w:tc>
      </w:tr>
      <w:tr>
        <w:trPr>
          <w:trHeight w:val="223"/>
        </w:trPr>
        <w:tc>
          <w:tcPr>
            <w:tcW w:w="8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undiscounted lease payments</w:t>
            </w: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CFF0FC"/>
            </w:tcBorders>
          </w:tcPr>
          <w:p>
            <w:pPr>
              <w:spacing w:after="0"/>
              <w:rPr>
                <w:sz w:val="19"/>
                <w:szCs w:val="19"/>
                <w:color w:val="auto"/>
              </w:rPr>
            </w:pPr>
          </w:p>
        </w:tc>
      </w:tr>
      <w:tr>
        <w:trPr>
          <w:trHeight w:val="223"/>
        </w:trPr>
        <w:tc>
          <w:tcPr>
            <w:tcW w:w="8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0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Current lease liability</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513"/>
        <w:spacing w:after="0" w:line="271" w:lineRule="auto"/>
        <w:rPr>
          <w:sz w:val="20"/>
          <w:szCs w:val="20"/>
          <w:color w:val="auto"/>
        </w:rPr>
      </w:pPr>
      <w:r>
        <w:rPr>
          <w:rFonts w:ascii="Arial" w:cs="Arial" w:eastAsia="Arial" w:hAnsi="Arial"/>
          <w:sz w:val="17"/>
          <w:szCs w:val="17"/>
          <w:color w:val="auto"/>
        </w:rPr>
        <w:t>During the fourth quarter of 2021, the Company entered into a lease agreement (the Chestnut Run Lease) with a commencement date of the earlier of (i) the Landlord Work Substantial Completion Date (as such term is defined in the Chestnut Run Lease), or (ii) the date the Company takes possession of the premises for the conduct of the Company’s business (the Commencement Date). The Chestnut Run Lease premises includes approximately 81,000 square feet, located at Chestnut Run Plaza in Wilmington, Delaware (the Premises). The Premises contains both office and lab space the Company intends to use for administrative, research and development and other activities. Upon the Chestnut Run Lease commencement, the Company will recognize a right-of-use asset and operating lease liability in accordance with ASC 842. The Chestnut Run Lease has an initial term of 162 months with 3 five-year extension options and certain expansion rights. The aggregate estimated rent payments due over the initial term of the Chestnut Run Lease is approximately $33.8 million. The estimated rent payments due over the next five years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6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3"/>
        </w:trPr>
        <w:tc>
          <w:tcPr>
            <w:tcW w:w="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300" w:type="dxa"/>
            <w:vAlign w:val="bottom"/>
            <w:shd w:val="clear" w:color="auto" w:fill="CFF0FC"/>
          </w:tcPr>
          <w:p>
            <w:pPr>
              <w:spacing w:after="0"/>
              <w:rPr>
                <w:sz w:val="19"/>
                <w:szCs w:val="19"/>
                <w:color w:val="auto"/>
              </w:rPr>
            </w:pPr>
          </w:p>
        </w:tc>
        <w:tc>
          <w:tcPr>
            <w:tcW w:w="66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2023</w:t>
            </w:r>
          </w:p>
        </w:tc>
        <w:tc>
          <w:tcPr>
            <w:tcW w:w="23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840</w:t>
            </w:r>
          </w:p>
        </w:tc>
      </w:tr>
      <w:tr>
        <w:trPr>
          <w:trHeight w:val="229"/>
        </w:trPr>
        <w:tc>
          <w:tcPr>
            <w:tcW w:w="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300" w:type="dxa"/>
            <w:vAlign w:val="bottom"/>
            <w:shd w:val="clear" w:color="auto" w:fill="CFF0FC"/>
          </w:tcPr>
          <w:p>
            <w:pPr>
              <w:spacing w:after="0"/>
              <w:rPr>
                <w:sz w:val="19"/>
                <w:szCs w:val="19"/>
                <w:color w:val="auto"/>
              </w:rPr>
            </w:pPr>
          </w:p>
        </w:tc>
        <w:tc>
          <w:tcPr>
            <w:tcW w:w="66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2,141</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2025</w:t>
            </w:r>
          </w:p>
        </w:tc>
        <w:tc>
          <w:tcPr>
            <w:tcW w:w="23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2,350</w:t>
            </w:r>
          </w:p>
        </w:tc>
      </w:tr>
      <w:tr>
        <w:trPr>
          <w:trHeight w:val="230"/>
        </w:trPr>
        <w:tc>
          <w:tcPr>
            <w:tcW w:w="8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300" w:type="dxa"/>
            <w:vAlign w:val="bottom"/>
            <w:shd w:val="clear" w:color="auto" w:fill="CFF0FC"/>
          </w:tcPr>
          <w:p>
            <w:pPr>
              <w:spacing w:after="0"/>
              <w:rPr>
                <w:sz w:val="19"/>
                <w:szCs w:val="19"/>
                <w:color w:val="auto"/>
              </w:rPr>
            </w:pPr>
          </w:p>
        </w:tc>
        <w:tc>
          <w:tcPr>
            <w:tcW w:w="66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2,409</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66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26,098</w:t>
            </w:r>
          </w:p>
        </w:tc>
      </w:tr>
      <w:tr>
        <w:trPr>
          <w:trHeight w:val="431"/>
        </w:trPr>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60" w:type="dxa"/>
            <w:vAlign w:val="bottom"/>
          </w:tcPr>
          <w:p>
            <w:pPr>
              <w:jc w:val="right"/>
              <w:ind w:right="3990"/>
              <w:spacing w:after="0"/>
              <w:rPr>
                <w:sz w:val="20"/>
                <w:szCs w:val="20"/>
                <w:color w:val="auto"/>
              </w:rPr>
            </w:pPr>
            <w:r>
              <w:rPr>
                <w:rFonts w:ascii="Arial" w:cs="Arial" w:eastAsia="Arial" w:hAnsi="Arial"/>
                <w:sz w:val="18"/>
                <w:szCs w:val="18"/>
                <w:color w:val="auto"/>
              </w:rPr>
              <w:t>110</w:t>
            </w:r>
          </w:p>
        </w:tc>
        <w:tc>
          <w:tcPr>
            <w:tcW w:w="140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66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53" w:lineRule="exact"/>
        <w:rPr>
          <w:sz w:val="20"/>
          <w:szCs w:val="20"/>
          <w:color w:val="auto"/>
        </w:rPr>
      </w:pPr>
    </w:p>
    <w:p>
      <w:pPr>
        <w:ind w:right="240" w:firstLine="513"/>
        <w:spacing w:after="0" w:line="308" w:lineRule="auto"/>
        <w:rPr>
          <w:sz w:val="20"/>
          <w:szCs w:val="20"/>
          <w:color w:val="auto"/>
        </w:rPr>
      </w:pPr>
      <w:r>
        <w:rPr>
          <w:rFonts w:ascii="Arial" w:cs="Arial" w:eastAsia="Arial" w:hAnsi="Arial"/>
          <w:sz w:val="17"/>
          <w:szCs w:val="17"/>
          <w:color w:val="auto"/>
        </w:rPr>
        <w:t>The Company paid a security deposit in the form of a letter of credit of $4.0 million which is included in the balance sheet as restricted cash as of December 31, 2021. The security deposit may be reduced to $0.5 million over time in accordance with the terms of the Chestnut Run Lease.</w:t>
      </w:r>
    </w:p>
    <w:p>
      <w:pPr>
        <w:spacing w:after="0" w:line="38" w:lineRule="exact"/>
        <w:rPr>
          <w:sz w:val="20"/>
          <w:szCs w:val="20"/>
          <w:color w:val="auto"/>
        </w:rPr>
      </w:pPr>
    </w:p>
    <w:p>
      <w:pPr>
        <w:ind w:firstLine="513"/>
        <w:spacing w:after="0" w:line="263" w:lineRule="auto"/>
        <w:rPr>
          <w:sz w:val="20"/>
          <w:szCs w:val="20"/>
          <w:color w:val="auto"/>
        </w:rPr>
      </w:pPr>
      <w:r>
        <w:rPr>
          <w:rFonts w:ascii="Arial" w:cs="Arial" w:eastAsia="Arial" w:hAnsi="Arial"/>
          <w:sz w:val="18"/>
          <w:szCs w:val="18"/>
          <w:color w:val="auto"/>
        </w:rPr>
        <w:t>In June 2021, the Company entered into a 12-month noncancelable lease, which commenced on July 1, 2021 and will expire on June 30, 2022, and has remaining lease payments of approximately $0.2 million in 2022. The Company adopted the short-term lease election as afforded by ASC 842 and did not recognize a right-of-use asset and operating lease liability related to this short-term lease.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for the years ended December 31, 2021 and 2020 was $1.8 million and $1.2 million, respectively.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420" w:firstLine="512"/>
        <w:spacing w:after="0" w:line="277" w:lineRule="auto"/>
        <w:rPr>
          <w:sz w:val="20"/>
          <w:szCs w:val="20"/>
          <w:color w:val="auto"/>
        </w:rPr>
      </w:pPr>
      <w:r>
        <w:rPr>
          <w:rFonts w:ascii="Arial" w:cs="Arial" w:eastAsia="Arial" w:hAnsi="Arial"/>
          <w:sz w:val="18"/>
          <w:szCs w:val="18"/>
          <w:color w:val="auto"/>
        </w:rPr>
        <w:t>The Company entered into employment agreements with key personnel providing for compensation and severance in certain circumstances, as defined in the respective employment agreements.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401(k) Defined Contribution Plan</w:t>
      </w:r>
    </w:p>
    <w:p>
      <w:pPr>
        <w:spacing w:after="0" w:line="117" w:lineRule="exact"/>
        <w:rPr>
          <w:sz w:val="20"/>
          <w:szCs w:val="20"/>
          <w:color w:val="auto"/>
        </w:rPr>
      </w:pPr>
    </w:p>
    <w:p>
      <w:pPr>
        <w:ind w:right="100" w:firstLine="513"/>
        <w:spacing w:after="0" w:line="220" w:lineRule="exact"/>
        <w:rPr>
          <w:sz w:val="20"/>
          <w:szCs w:val="20"/>
          <w:color w:val="auto"/>
        </w:rPr>
      </w:pPr>
      <w:r>
        <w:rPr>
          <w:rFonts w:ascii="Arial" w:cs="Arial" w:eastAsia="Arial" w:hAnsi="Arial"/>
          <w:sz w:val="18"/>
          <w:szCs w:val="18"/>
          <w:color w:val="auto"/>
        </w:rPr>
        <w:t>The Company sponsors a 401(k) defined</w:t>
      </w:r>
      <w:r>
        <w:rPr>
          <w:rFonts w:ascii="MS PGothic" w:cs="MS PGothic" w:eastAsia="MS PGothic" w:hAnsi="MS PGothic"/>
          <w:sz w:val="18"/>
          <w:szCs w:val="18"/>
          <w:color w:val="auto"/>
        </w:rPr>
        <w:t>‑</w:t>
      </w:r>
      <w:r>
        <w:rPr>
          <w:rFonts w:ascii="Arial" w:cs="Arial" w:eastAsia="Arial" w:hAnsi="Arial"/>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safe harbor match with a maximum amount of 3% of the participant’s compensation. During 2021 the Company made matching contributions of $0.5 million. The Company did not make any matching contributions in 2020.</w:t>
      </w:r>
    </w:p>
    <w:p>
      <w:pPr>
        <w:spacing w:after="0" w:line="31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In September 2021, the Company entered into a research collaboration agreement estimated to last for approximately one year (the “Darwin Health Agreement”) with Darwin Health, Inc. (“DarwinHealth”). Under the terms of the Darwin Health Agreement, DarwinHealth will utilize their drug discovery technologies and certified methodologies in precision oncology to advance and accelerate clinical development for certain of the Company’s programs across a broad range of tumor subtypes. The Company will pay DarwinHealth a total of $3.0 million in three equal installments over the one-year term (the “Research Term”) to fund the research and, if the Company adopts any of DarwinHealth’s development ideas, the Company will be responsible for the development, manufacturing, and commercialization of any such products. For the year ended December 31, 2021, research and development expense related to this agreement recognized in the statement of operations was $1.0 million. In addition to research funding, DarwinHealth is eligible to receive future research, development and regulatory milestones of up to $3.0 million for each product candidate and is also eligible to receive tiered royalties in the low single digits on net sales of each product developed using DarwinHealth’s development technologies or methods. However, within eighteen-months following the Research Term, the Company, in its sole discretion, may notify DarwinHealth that it will not utilize its development ideas and will be entitled to receive a refund of $0.5 million.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Research and Development Arrangements</w:t>
      </w:r>
    </w:p>
    <w:p>
      <w:pPr>
        <w:spacing w:after="0" w:line="117" w:lineRule="exact"/>
        <w:rPr>
          <w:sz w:val="20"/>
          <w:szCs w:val="20"/>
          <w:color w:val="auto"/>
        </w:rPr>
      </w:pPr>
    </w:p>
    <w:p>
      <w:pPr>
        <w:ind w:right="460" w:firstLine="512"/>
        <w:spacing w:after="0" w:line="277" w:lineRule="auto"/>
        <w:rPr>
          <w:sz w:val="20"/>
          <w:szCs w:val="20"/>
          <w:color w:val="auto"/>
        </w:rPr>
      </w:pPr>
      <w:r>
        <w:rPr>
          <w:rFonts w:ascii="Arial" w:cs="Arial" w:eastAsia="Arial" w:hAnsi="Arial"/>
          <w:sz w:val="18"/>
          <w:szCs w:val="18"/>
          <w:color w:val="auto"/>
        </w:rPr>
        <w:t>The Company enters into agreements with contract research organizations (“CROs”) to assist in the performance of research and development activities. Expenditures to CROs will represent a significant cost in clinical development for the Company.</w:t>
      </w:r>
    </w:p>
    <w:p>
      <w:pPr>
        <w:spacing w:after="0" w:line="274" w:lineRule="exact"/>
        <w:rPr>
          <w:sz w:val="20"/>
          <w:szCs w:val="20"/>
          <w:color w:val="auto"/>
        </w:rPr>
      </w:pPr>
    </w:p>
    <w:p>
      <w:pPr>
        <w:ind w:left="520" w:right="7300" w:hanging="512"/>
        <w:spacing w:after="0" w:line="407" w:lineRule="auto"/>
        <w:tabs>
          <w:tab w:leader="none" w:pos="188"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Stock and Common Stock </w:t>
      </w:r>
      <w:r>
        <w:rPr>
          <w:rFonts w:ascii="Arial" w:cs="Arial" w:eastAsia="Arial" w:hAnsi="Arial"/>
          <w:sz w:val="18"/>
          <w:szCs w:val="18"/>
          <w:b w:val="1"/>
          <w:bCs w:val="1"/>
          <w:i w:val="1"/>
          <w:iCs w:val="1"/>
          <w:color w:val="auto"/>
        </w:rPr>
        <w:t>Preferred Stock Financings</w:t>
      </w:r>
    </w:p>
    <w:p>
      <w:pPr>
        <w:spacing w:after="0" w:line="58" w:lineRule="exact"/>
        <w:rPr>
          <w:sz w:val="20"/>
          <w:szCs w:val="20"/>
          <w:color w:val="auto"/>
        </w:rPr>
      </w:pPr>
    </w:p>
    <w:p>
      <w:pPr>
        <w:ind w:right="380" w:firstLine="512"/>
        <w:spacing w:after="0" w:line="277" w:lineRule="auto"/>
        <w:rPr>
          <w:sz w:val="20"/>
          <w:szCs w:val="20"/>
          <w:color w:val="auto"/>
        </w:rPr>
      </w:pPr>
      <w:r>
        <w:rPr>
          <w:rFonts w:ascii="Arial" w:cs="Arial" w:eastAsia="Arial" w:hAnsi="Arial"/>
          <w:sz w:val="18"/>
          <w:szCs w:val="18"/>
          <w:color w:val="auto"/>
        </w:rPr>
        <w:t>In May 2019, the Company issued an aggregate of 7,628,846 shares of Series B convertible preferred stock (“Series B”) to existing investors at $3.9325 per share for aggregate net proceeds of $29.8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45" w:lineRule="exact"/>
        <w:rPr>
          <w:sz w:val="20"/>
          <w:szCs w:val="20"/>
          <w:color w:val="auto"/>
        </w:rPr>
      </w:pPr>
    </w:p>
    <w:p>
      <w:pPr>
        <w:ind w:firstLine="512"/>
        <w:spacing w:after="0" w:line="255" w:lineRule="auto"/>
        <w:rPr>
          <w:sz w:val="20"/>
          <w:szCs w:val="20"/>
          <w:color w:val="auto"/>
        </w:rPr>
      </w:pPr>
      <w:r>
        <w:rPr>
          <w:rFonts w:ascii="Arial" w:cs="Arial" w:eastAsia="Arial" w:hAnsi="Arial"/>
          <w:sz w:val="18"/>
          <w:szCs w:val="18"/>
          <w:color w:val="auto"/>
        </w:rPr>
        <w:t>Pursuant to the Series B Stock Purchase Agreement, the Series B investors could elect to purchase an aggregate of 7,628,846 additional shares of the Company’s Series B at a fixed purchase price of $3.9325 per share (the “Series B Future Tranche Right”). The Company determined that the Series B Future Tranche Right did not meet the definition of a freestanding financial instrument as it was not legally detachable. The Series B Future Tranche Right was also evaluated as an embedded derivative and the Company determined it did not meet the definition of a derivative instrument for which bifurcation would be required. In March 2020, the Company’s Series B investors exercised their Future Tranche Right and purchased 7,628,846 shares of Series B for net proceeds of approximately $29.9 million.</w:t>
      </w:r>
    </w:p>
    <w:p>
      <w:pPr>
        <w:spacing w:after="0" w:line="84" w:lineRule="exact"/>
        <w:rPr>
          <w:sz w:val="20"/>
          <w:szCs w:val="20"/>
          <w:color w:val="auto"/>
        </w:rPr>
      </w:pPr>
    </w:p>
    <w:p>
      <w:pPr>
        <w:ind w:right="40" w:firstLine="512"/>
        <w:spacing w:after="0" w:line="277" w:lineRule="auto"/>
        <w:rPr>
          <w:sz w:val="20"/>
          <w:szCs w:val="20"/>
          <w:color w:val="auto"/>
        </w:rPr>
      </w:pPr>
      <w:r>
        <w:rPr>
          <w:rFonts w:ascii="Arial" w:cs="Arial" w:eastAsia="Arial" w:hAnsi="Arial"/>
          <w:sz w:val="18"/>
          <w:szCs w:val="18"/>
          <w:color w:val="auto"/>
        </w:rPr>
        <w:t>In August 2020, the Company’s existing Convertible Preferred Stock investors as well as a new investor purchased 3,443,612 shares of Series C at a price of $14.5197 per share for net proceeds of approximately $49.8 million.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40" w:firstLine="513"/>
        <w:spacing w:after="0" w:line="255" w:lineRule="auto"/>
        <w:rPr>
          <w:sz w:val="20"/>
          <w:szCs w:val="20"/>
          <w:color w:val="auto"/>
        </w:rPr>
      </w:pPr>
      <w:r>
        <w:rPr>
          <w:rFonts w:ascii="Arial" w:cs="Arial" w:eastAsia="Arial" w:hAnsi="Arial"/>
          <w:sz w:val="18"/>
          <w:szCs w:val="18"/>
          <w:color w:val="auto"/>
        </w:rPr>
        <w:t>In September 2020, the Company completed its IPO in which the Company sold 9,573,750 shares of its common stock at a public offering price of $19.00 per share. The Company received net proceeds of $166.6 million after deducting underwriting discounts, commissions, and other offering expenses paid by the Company. In addition, immediately prior to the closing of the IPO on September 29, 2020, (i) all of the Company’s outstanding shares of convertible preferred stock converted into an aggregate of 30,437,423 shares of common stock (of which, 11,110,371 shares are non-voting common stock) and (ii) the Company filed an amended and restated certificate of incorporation to, among other things, increase the number of authorized shares of common stock to 500,000,000.</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ind w:right="100" w:firstLine="513"/>
        <w:spacing w:after="0" w:line="308" w:lineRule="auto"/>
        <w:rPr>
          <w:sz w:val="20"/>
          <w:szCs w:val="20"/>
          <w:color w:val="auto"/>
        </w:rPr>
      </w:pPr>
      <w:r>
        <w:rPr>
          <w:rFonts w:ascii="Arial" w:cs="Arial" w:eastAsia="Arial" w:hAnsi="Arial"/>
          <w:sz w:val="17"/>
          <w:szCs w:val="17"/>
          <w:color w:val="auto"/>
        </w:rPr>
        <w:t>In January 2021, the Company sold 2,875,000 shares of its common stock at a public offering price of $60.00 per share. The Company received net proceeds of $161.4 million after deducting underwriting discounts, commissions, and other offering expenses paid by the Company.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 w:firstLine="513"/>
        <w:spacing w:after="0" w:line="269" w:lineRule="auto"/>
        <w:rPr>
          <w:sz w:val="20"/>
          <w:szCs w:val="20"/>
          <w:color w:val="auto"/>
        </w:rPr>
      </w:pPr>
      <w:r>
        <w:rPr>
          <w:rFonts w:ascii="Arial" w:cs="Arial" w:eastAsia="Arial" w:hAnsi="Arial"/>
          <w:sz w:val="17"/>
          <w:szCs w:val="17"/>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20" w:firstLine="512"/>
        <w:spacing w:after="0" w:line="290" w:lineRule="auto"/>
        <w:rPr>
          <w:sz w:val="20"/>
          <w:szCs w:val="20"/>
          <w:color w:val="auto"/>
        </w:rPr>
      </w:pPr>
      <w:r>
        <w:rPr>
          <w:rFonts w:ascii="Arial" w:cs="Arial" w:eastAsia="Arial" w:hAnsi="Arial"/>
          <w:sz w:val="16"/>
          <w:szCs w:val="16"/>
          <w:color w:val="auto"/>
        </w:rPr>
        <w:t>The Company has two equity incentive plans: the 2016 Equity Incentive Plan, as amended, and the 2020 Equity Incentive Plan. New awards can only be granted under the 2020 Equity Incentive Plan (the “Plan”). The total number of shares initially authorized under the Plan was 4,680,000, which was increased on January 1, 2021 and will automatically increase on January 1st of each year,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At December 31, 2021, 5,314,849 shares were available for future grants and on January 1, 2022, 2,380,116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agreement, generally over four-year periods with 25% of options vesting after 1 year and then monthly thereafter, and have a term of ten years.</w:t>
      </w:r>
    </w:p>
    <w:p>
      <w:pPr>
        <w:spacing w:after="0" w:line="237" w:lineRule="exact"/>
        <w:rPr>
          <w:sz w:val="20"/>
          <w:szCs w:val="20"/>
          <w:color w:val="auto"/>
        </w:rPr>
      </w:pPr>
    </w:p>
    <w:p>
      <w:pPr>
        <w:ind w:right="60" w:firstLine="512"/>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center"/>
              <w:ind w:left="456"/>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left="456"/>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60" w:type="dxa"/>
            <w:vAlign w:val="bottom"/>
            <w:tcBorders>
              <w:bottom w:val="single" w:sz="8" w:color="CFF0FC"/>
            </w:tcBorders>
            <w:gridSpan w:val="2"/>
            <w:vMerge w:val="continue"/>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20,931</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ind w:left="520"/>
              <w:spacing w:after="0"/>
              <w:rPr>
                <w:sz w:val="20"/>
                <w:szCs w:val="20"/>
                <w:color w:val="auto"/>
              </w:rPr>
            </w:pPr>
            <w:r>
              <w:rPr>
                <w:rFonts w:ascii="Arial" w:cs="Arial" w:eastAsia="Arial" w:hAnsi="Arial"/>
                <w:sz w:val="18"/>
                <w:szCs w:val="18"/>
                <w:b w:val="1"/>
                <w:bCs w:val="1"/>
                <w:i w:val="1"/>
                <w:iCs w:val="1"/>
                <w:color w:val="auto"/>
              </w:rPr>
              <w:t>Stock Options</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9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60" w:type="dxa"/>
            <w:vAlign w:val="bottom"/>
            <w:gridSpan w:val="2"/>
          </w:tcPr>
          <w:p>
            <w:pPr>
              <w:ind w:left="520"/>
              <w:spacing w:after="0"/>
              <w:rPr>
                <w:sz w:val="20"/>
                <w:szCs w:val="20"/>
                <w:color w:val="auto"/>
              </w:rPr>
            </w:pPr>
            <w:r>
              <w:rPr>
                <w:rFonts w:ascii="Arial" w:cs="Arial" w:eastAsia="Arial" w:hAnsi="Arial"/>
                <w:sz w:val="18"/>
                <w:szCs w:val="18"/>
                <w:color w:val="auto"/>
                <w:w w:val="92"/>
              </w:rPr>
              <w:t>The following table summarizes stock option activity for the Plan in the years indicated:</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9"/>
              </w:rPr>
              <w:t>of shares</w:t>
            </w:r>
          </w:p>
        </w:tc>
        <w:tc>
          <w:tcPr>
            <w:tcW w:w="12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per 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term (years)</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2020</w:t>
            </w: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2,269,742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4,785,630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(100,545)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(115,736)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6,839,091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tcPr>
          <w:p>
            <w:pPr>
              <w:ind w:left="260"/>
              <w:spacing w:after="0"/>
              <w:rPr>
                <w:sz w:val="20"/>
                <w:szCs w:val="20"/>
                <w:color w:val="auto"/>
              </w:rPr>
            </w:pPr>
            <w:r>
              <w:rPr>
                <w:rFonts w:ascii="Arial" w:cs="Arial" w:eastAsia="Arial" w:hAnsi="Arial"/>
                <w:sz w:val="18"/>
                <w:szCs w:val="18"/>
                <w:color w:val="auto"/>
              </w:rPr>
              <w:t>Granted</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2,600,231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(995,950)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(1,263,890)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7,179,482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color w:val="auto"/>
              </w:rPr>
              <w:t>Exercisable at December 31, 2021</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2,057,975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60" w:firstLine="512"/>
        <w:spacing w:after="0" w:line="277" w:lineRule="auto"/>
        <w:rPr>
          <w:sz w:val="20"/>
          <w:szCs w:val="20"/>
          <w:color w:val="auto"/>
        </w:rPr>
      </w:pPr>
      <w:r>
        <w:rPr>
          <w:rFonts w:ascii="Arial" w:cs="Arial" w:eastAsia="Arial" w:hAnsi="Arial"/>
          <w:sz w:val="18"/>
          <w:szCs w:val="18"/>
          <w:color w:val="auto"/>
        </w:rPr>
        <w:t>At December 31, 2021, the aggregate intrinsic value of outstanding options and exercisable options was $25.1 million and $13.2 million,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2021 under the Plan: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Options Outstanding</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4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760" w:type="dxa"/>
            <w:vAlign w:val="bottom"/>
            <w:vMerge w:val="continue"/>
          </w:tcPr>
          <w:p>
            <w:pPr>
              <w:spacing w:after="0"/>
              <w:rPr>
                <w:sz w:val="14"/>
                <w:szCs w:val="14"/>
                <w:color w:val="auto"/>
              </w:rPr>
            </w:pPr>
          </w:p>
        </w:tc>
        <w:tc>
          <w:tcPr>
            <w:tcW w:w="1440" w:type="dxa"/>
            <w:vAlign w:val="bottom"/>
          </w:tcPr>
          <w:p>
            <w:pPr>
              <w:jc w:val="right"/>
              <w:ind w:right="255"/>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Pr>
          <w:p>
            <w:pPr>
              <w:jc w:val="right"/>
              <w:ind w:right="317"/>
              <w:spacing w:after="0"/>
              <w:rPr>
                <w:sz w:val="20"/>
                <w:szCs w:val="20"/>
                <w:color w:val="auto"/>
              </w:rPr>
            </w:pPr>
            <w:r>
              <w:rPr>
                <w:rFonts w:ascii="Arial" w:cs="Arial" w:eastAsia="Arial" w:hAnsi="Arial"/>
                <w:sz w:val="14"/>
                <w:szCs w:val="14"/>
                <w:b w:val="1"/>
                <w:bCs w:val="1"/>
                <w:color w:val="auto"/>
              </w:rPr>
              <w:t>Exercisable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$0.31 - $7.37</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2,352,647</w:t>
            </w:r>
          </w:p>
        </w:tc>
        <w:tc>
          <w:tcPr>
            <w:tcW w:w="2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1,233,638</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$7.38 - $13.08</w:t>
            </w:r>
          </w:p>
        </w:tc>
        <w:tc>
          <w:tcPr>
            <w:tcW w:w="1440" w:type="dxa"/>
            <w:vAlign w:val="bottom"/>
          </w:tcPr>
          <w:p>
            <w:pPr>
              <w:jc w:val="right"/>
              <w:spacing w:after="0"/>
              <w:rPr>
                <w:sz w:val="20"/>
                <w:szCs w:val="20"/>
                <w:color w:val="auto"/>
              </w:rPr>
            </w:pPr>
            <w:r>
              <w:rPr>
                <w:rFonts w:ascii="Arial" w:cs="Arial" w:eastAsia="Arial" w:hAnsi="Arial"/>
                <w:sz w:val="18"/>
                <w:szCs w:val="18"/>
                <w:color w:val="auto"/>
              </w:rPr>
              <w:t>2,465,488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777,587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$13.09 - $31.30</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1,760,632</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$31.31 - $88.98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600,715</w:t>
            </w:r>
          </w:p>
        </w:tc>
        <w:tc>
          <w:tcPr>
            <w:tcW w:w="17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9.35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43.02</w:t>
            </w:r>
          </w:p>
        </w:tc>
        <w:tc>
          <w:tcPr>
            <w:tcW w:w="28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7,179,482</w:t>
            </w:r>
          </w:p>
        </w:tc>
        <w:tc>
          <w:tcPr>
            <w:tcW w:w="2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2,057,975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2"/>
        <w:spacing w:after="0" w:line="277" w:lineRule="auto"/>
        <w:rPr>
          <w:sz w:val="20"/>
          <w:szCs w:val="20"/>
          <w:color w:val="auto"/>
        </w:rPr>
      </w:pPr>
      <w:r>
        <w:rPr>
          <w:rFonts w:ascii="Arial" w:cs="Arial" w:eastAsia="Arial" w:hAnsi="Arial"/>
          <w:sz w:val="18"/>
          <w:szCs w:val="18"/>
          <w:color w:val="auto"/>
        </w:rPr>
        <w:t>The weighted-average grant date fair value of options granted was $22.80 and $10.12 per share for the years ended December 31, 2021 and 2020, respectively. The aggregate intrinsic value of options exercised was $26.9 million for the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ended December 31, 2021. The Company recorded stock-based compensation expense of $19.9 million and $4.8 million for the years ended December 31, 2021 and 2020, respectively, related to stock options. As of December 31, 2021, the total unrecognized compensation expense related to unvested stock option awards was $68.4 million, which the Company expects to recognize over a weighted-average period of 3.03 years.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each option was estimated on the date of grant using the weighted average assumptions in the table below:</w:t>
      </w:r>
    </w:p>
    <w:p>
      <w:pPr>
        <w:spacing w:after="0" w:line="257"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Year Ended</w:t>
      </w:r>
    </w:p>
    <w:p>
      <w:pPr>
        <w:jc w:val="center"/>
        <w:ind w:left="7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764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87.46%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115.17%</w:t>
            </w:r>
          </w:p>
        </w:tc>
      </w:tr>
      <w:tr>
        <w:trPr>
          <w:trHeight w:val="229"/>
        </w:trPr>
        <w:tc>
          <w:tcPr>
            <w:tcW w:w="86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0.94%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r>
      <w:tr>
        <w:trPr>
          <w:trHeight w:val="230"/>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FF0FC"/>
          </w:tcPr>
          <w:p>
            <w:pPr>
              <w:spacing w:after="0"/>
              <w:rPr>
                <w:sz w:val="19"/>
                <w:szCs w:val="19"/>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Awards and Units</w:t>
      </w:r>
    </w:p>
    <w:p>
      <w:pPr>
        <w:spacing w:after="0" w:line="117" w:lineRule="exact"/>
        <w:rPr>
          <w:sz w:val="20"/>
          <w:szCs w:val="20"/>
          <w:color w:val="auto"/>
        </w:rPr>
      </w:pPr>
    </w:p>
    <w:p>
      <w:pPr>
        <w:jc w:val="both"/>
        <w:ind w:right="220" w:firstLine="512"/>
        <w:spacing w:after="0" w:line="311" w:lineRule="auto"/>
        <w:rPr>
          <w:sz w:val="20"/>
          <w:szCs w:val="20"/>
          <w:color w:val="auto"/>
        </w:rPr>
      </w:pPr>
      <w:r>
        <w:rPr>
          <w:rFonts w:ascii="Arial" w:cs="Arial" w:eastAsia="Arial" w:hAnsi="Arial"/>
          <w:sz w:val="16"/>
          <w:szCs w:val="16"/>
          <w:color w:val="auto"/>
        </w:rPr>
        <w:t>The Company issues restricted stock awards (“RSA”) to employees that generally vest over a four-year period with 25% of awards vesting after 1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activity related to RSA stock-based payment awards: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7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January 1, 2020</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1,335,349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432,301</w:t>
            </w:r>
          </w:p>
        </w:tc>
        <w:tc>
          <w:tcPr>
            <w:tcW w:w="160" w:type="dxa"/>
            <w:vAlign w:val="bottom"/>
          </w:tcPr>
          <w:p>
            <w:pPr>
              <w:spacing w:after="0"/>
              <w:rPr>
                <w:sz w:val="19"/>
                <w:szCs w:val="19"/>
                <w:color w:val="auto"/>
              </w:rPr>
            </w:pP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(552,883)</w:t>
            </w: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balance at December 31, 2020</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1,214,767</w:t>
            </w:r>
          </w:p>
        </w:tc>
        <w:tc>
          <w:tcPr>
            <w:tcW w:w="16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gridSpan w:val="2"/>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(603,159)</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Unvested balance at December 31, 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611,608</w:t>
            </w:r>
          </w:p>
        </w:tc>
        <w:tc>
          <w:tcPr>
            <w:tcW w:w="160" w:type="dxa"/>
            <w:vAlign w:val="bottom"/>
          </w:tcPr>
          <w:p>
            <w:pPr>
              <w:spacing w:after="0"/>
              <w:rPr>
                <w:sz w:val="19"/>
                <w:szCs w:val="19"/>
                <w:color w:val="auto"/>
              </w:rPr>
            </w:pP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2"/>
        <w:spacing w:after="0" w:line="263" w:lineRule="auto"/>
        <w:rPr>
          <w:sz w:val="20"/>
          <w:szCs w:val="20"/>
          <w:color w:val="auto"/>
        </w:rPr>
      </w:pPr>
      <w:r>
        <w:rPr>
          <w:rFonts w:ascii="Arial" w:cs="Arial" w:eastAsia="Arial" w:hAnsi="Arial"/>
          <w:sz w:val="18"/>
          <w:szCs w:val="18"/>
          <w:color w:val="auto"/>
        </w:rPr>
        <w:t>The Company recorded stock-based compensation expense of $0.9 million and $0.8 million for the years ended December 31, 2021 and 2020, respectively, related to RSAs. As of December 31, 2021, the total unrecognized expense related to all RSAs was $1.3 million, which the Company expects to recognize over a weighted-average period of 1.83 years.</w:t>
      </w:r>
    </w:p>
    <w:p>
      <w:pPr>
        <w:spacing w:after="0" w:line="76" w:lineRule="exact"/>
        <w:rPr>
          <w:sz w:val="20"/>
          <w:szCs w:val="20"/>
          <w:color w:val="auto"/>
        </w:rPr>
      </w:pPr>
    </w:p>
    <w:p>
      <w:pPr>
        <w:ind w:right="20" w:firstLine="512"/>
        <w:spacing w:after="0" w:line="277" w:lineRule="auto"/>
        <w:rPr>
          <w:sz w:val="20"/>
          <w:szCs w:val="20"/>
          <w:color w:val="auto"/>
        </w:rPr>
      </w:pPr>
      <w:r>
        <w:rPr>
          <w:rFonts w:ascii="Arial" w:cs="Arial" w:eastAsia="Arial" w:hAnsi="Arial"/>
          <w:sz w:val="18"/>
          <w:szCs w:val="18"/>
          <w:color w:val="auto"/>
        </w:rPr>
        <w:t>The Company issues restricted stock units (“RSU”) to employees that generally vest over a four-year period with 25% of awards vesting after 1 year and then quarterly thereafter. Any unvested shares will be forfeited upon termination of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activity related to RSU stock-based payment awards: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37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Granted</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54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(25,000)</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Outstanding at December 31, 2021</w:t>
            </w:r>
          </w:p>
        </w:tc>
        <w:tc>
          <w:tcPr>
            <w:tcW w:w="376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760" w:type="dxa"/>
            <w:vAlign w:val="bottom"/>
            <w:vMerge w:val="restart"/>
          </w:tcPr>
          <w:p>
            <w:pPr>
              <w:jc w:val="right"/>
              <w:ind w:right="1910"/>
              <w:spacing w:after="0"/>
              <w:rPr>
                <w:sz w:val="20"/>
                <w:szCs w:val="20"/>
                <w:color w:val="auto"/>
              </w:rPr>
            </w:pPr>
            <w:r>
              <w:rPr>
                <w:rFonts w:ascii="Arial" w:cs="Arial" w:eastAsia="Arial" w:hAnsi="Arial"/>
                <w:sz w:val="18"/>
                <w:szCs w:val="18"/>
                <w:color w:val="auto"/>
              </w:rPr>
              <w:t>114</w:t>
            </w: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45" w:lineRule="exact"/>
        <w:rPr>
          <w:sz w:val="20"/>
          <w:szCs w:val="20"/>
          <w:color w:val="auto"/>
        </w:rPr>
      </w:pPr>
    </w:p>
    <w:p>
      <w:pPr>
        <w:ind w:right="200" w:firstLine="512"/>
        <w:spacing w:after="0" w:line="342" w:lineRule="auto"/>
        <w:rPr>
          <w:sz w:val="20"/>
          <w:szCs w:val="20"/>
          <w:color w:val="auto"/>
        </w:rPr>
      </w:pPr>
      <w:r>
        <w:rPr>
          <w:rFonts w:ascii="Arial" w:cs="Arial" w:eastAsia="Arial" w:hAnsi="Arial"/>
          <w:sz w:val="16"/>
          <w:szCs w:val="16"/>
          <w:color w:val="auto"/>
        </w:rPr>
        <w:t>The Company recorded stock-based compensation expense of $20 thousand for the year ended December 31, 2021 related to RSUs. At December 31, 2021 the total unrecognized expense related to the RSUs was $0.3 million, which the Company expects to recognize over 3.76 years.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20" w:firstLine="513"/>
        <w:spacing w:after="0" w:line="273" w:lineRule="auto"/>
        <w:rPr>
          <w:sz w:val="20"/>
          <w:szCs w:val="20"/>
          <w:color w:val="auto"/>
        </w:rPr>
      </w:pPr>
      <w:r>
        <w:rPr>
          <w:rFonts w:ascii="Arial" w:cs="Arial" w:eastAsia="Arial" w:hAnsi="Arial"/>
          <w:sz w:val="17"/>
          <w:szCs w:val="17"/>
          <w:color w:val="auto"/>
        </w:rPr>
        <w:t>The Company has an Employee Stock Purchase Plan (the “ESPP”), which as of December 31, 2021 had 931,342 shares of common stock reserved for future issuance. The Company issued 25,714 shares under the ESPP in 2021.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board of directors or compensation committee to determine a lesser number of shares shall be added for such year. As such, on January 1, 2022, 476,023 shares were added to the ESPP.</w:t>
      </w:r>
    </w:p>
    <w:p>
      <w:pPr>
        <w:spacing w:after="0" w:line="178" w:lineRule="exact"/>
        <w:rPr>
          <w:sz w:val="20"/>
          <w:szCs w:val="20"/>
          <w:color w:val="auto"/>
        </w:rPr>
      </w:pPr>
    </w:p>
    <w:p>
      <w:pPr>
        <w:ind w:right="160" w:firstLine="513"/>
        <w:spacing w:after="0" w:line="257" w:lineRule="auto"/>
        <w:rPr>
          <w:sz w:val="20"/>
          <w:szCs w:val="20"/>
          <w:color w:val="auto"/>
        </w:rPr>
      </w:pPr>
      <w:r>
        <w:rPr>
          <w:rFonts w:ascii="Arial" w:cs="Arial" w:eastAsia="Arial" w:hAnsi="Arial"/>
          <w:sz w:val="18"/>
          <w:szCs w:val="18"/>
          <w:color w:val="auto"/>
        </w:rPr>
        <w:t>Under the ESPP, eligible employees can purchase the Company’s common stock through accumulated payroll deductions at such times as are established by the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8" w:lineRule="exact"/>
        <w:rPr>
          <w:sz w:val="20"/>
          <w:szCs w:val="20"/>
          <w:color w:val="auto"/>
        </w:rPr>
      </w:pPr>
    </w:p>
    <w:p>
      <w:pPr>
        <w:ind w:right="80" w:firstLine="513"/>
        <w:spacing w:after="0" w:line="311" w:lineRule="auto"/>
        <w:rPr>
          <w:sz w:val="20"/>
          <w:szCs w:val="20"/>
          <w:color w:val="auto"/>
        </w:rPr>
      </w:pPr>
      <w:r>
        <w:rPr>
          <w:rFonts w:ascii="Arial" w:cs="Arial" w:eastAsia="Arial" w:hAnsi="Arial"/>
          <w:sz w:val="16"/>
          <w:szCs w:val="16"/>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$0.2 million for the year ended December 31, 2021 related to the ESPP.</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tax effects of temporary differences that gave rise to significant portions of the deferred tax assets and liabilities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60,495</w:t>
            </w:r>
          </w:p>
        </w:tc>
        <w:tc>
          <w:tcPr>
            <w:tcW w:w="280" w:type="dxa"/>
            <w:vAlign w:val="bottom"/>
          </w:tcPr>
          <w:p>
            <w:pPr>
              <w:spacing w:after="0"/>
              <w:rPr>
                <w:sz w:val="19"/>
                <w:szCs w:val="19"/>
                <w:color w:val="auto"/>
              </w:rPr>
            </w:pPr>
          </w:p>
        </w:tc>
        <w:tc>
          <w:tcPr>
            <w:tcW w:w="460" w:type="dxa"/>
            <w:vAlign w:val="bottom"/>
            <w:gridSpan w:val="2"/>
          </w:tcPr>
          <w:p>
            <w:pPr>
              <w:jc w:val="right"/>
              <w:ind w:right="329"/>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75,958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(75,371)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(32,899)</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deferred tax asset</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assets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2"/>
        <w:spacing w:after="0" w:line="259" w:lineRule="auto"/>
        <w:rPr>
          <w:sz w:val="20"/>
          <w:szCs w:val="20"/>
          <w:color w:val="auto"/>
        </w:rPr>
      </w:pPr>
      <w:r>
        <w:rPr>
          <w:rFonts w:ascii="Arial" w:cs="Arial" w:eastAsia="Arial" w:hAnsi="Arial"/>
          <w:sz w:val="18"/>
          <w:szCs w:val="18"/>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full valuation allowance has been recorded against the Company’s net deferred tax assets as of December 31, 2021 and December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31, 2020. The valuation allowance increased by $42.5 million and $17.5 million during the years ended December 31, 2021 and 2020, respectively.</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5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Year ended</w:t>
      </w:r>
    </w:p>
    <w:p>
      <w:pPr>
        <w:jc w:val="center"/>
        <w:ind w:left="7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756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Federal tax benefit at statutory rate</w:t>
            </w:r>
          </w:p>
        </w:tc>
        <w:tc>
          <w:tcPr>
            <w:tcW w:w="1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(3.5)</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38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FF0FC"/>
          </w:tcPr>
          <w:p>
            <w:pPr>
              <w:spacing w:after="0"/>
              <w:rPr>
                <w:sz w:val="19"/>
                <w:szCs w:val="19"/>
                <w:color w:val="auto"/>
              </w:rPr>
            </w:pPr>
          </w:p>
        </w:tc>
      </w:tr>
      <w:tr>
        <w:trPr>
          <w:trHeight w:val="223"/>
        </w:trPr>
        <w:tc>
          <w:tcPr>
            <w:tcW w:w="7560" w:type="dxa"/>
            <w:vAlign w:val="bottom"/>
          </w:tcPr>
          <w:p>
            <w:pPr>
              <w:spacing w:after="0"/>
              <w:rPr>
                <w:sz w:val="19"/>
                <w:szCs w:val="19"/>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75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carryforwards of federal and state net operating losses (“NOL”) and research tax credits: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NOL carryforwards - Federal</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217,038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NOL carryforwards - State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217,038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Research tax credits - Federal</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Research tax credits - State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2"/>
        <w:spacing w:after="0" w:line="259" w:lineRule="auto"/>
        <w:rPr>
          <w:sz w:val="20"/>
          <w:szCs w:val="20"/>
          <w:color w:val="auto"/>
        </w:rPr>
      </w:pPr>
      <w:r>
        <w:rPr>
          <w:rFonts w:ascii="Arial" w:cs="Arial" w:eastAsia="Arial" w:hAnsi="Arial"/>
          <w:sz w:val="18"/>
          <w:szCs w:val="18"/>
          <w:color w:val="auto"/>
        </w:rPr>
        <w:t>The NOL carryforwards begin expiring in 2036 for federal and Delaware state income tax purposes, however; all federal and Delaware state NOL carryforwards generated subsequent to January 1, 2018, are able to be carried forward indefinitely. As of December 31, 2021, the Company also had federal and Delaware research and development tax credit carryforwards of $11.2 million and $43 thousand, respectively, that will begin to expire in 2036 and 2031, respectively, unless previously utilized.</w:t>
      </w:r>
    </w:p>
    <w:p>
      <w:pPr>
        <w:spacing w:after="0" w:line="187" w:lineRule="exact"/>
        <w:rPr>
          <w:sz w:val="20"/>
          <w:szCs w:val="20"/>
          <w:color w:val="auto"/>
        </w:rPr>
      </w:pPr>
    </w:p>
    <w:p>
      <w:pPr>
        <w:ind w:right="80" w:firstLine="512"/>
        <w:spacing w:after="0" w:line="272" w:lineRule="auto"/>
        <w:rPr>
          <w:sz w:val="20"/>
          <w:szCs w:val="20"/>
          <w:color w:val="auto"/>
        </w:rPr>
      </w:pPr>
      <w:r>
        <w:rPr>
          <w:rFonts w:ascii="Arial" w:cs="Arial" w:eastAsia="Arial" w:hAnsi="Arial"/>
          <w:sz w:val="17"/>
          <w:szCs w:val="17"/>
          <w:color w:val="auto"/>
        </w:rPr>
        <w:t>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 Delaware state NOLs may also be limited.</w:t>
      </w:r>
    </w:p>
    <w:p>
      <w:pPr>
        <w:spacing w:after="0" w:line="177" w:lineRule="exact"/>
        <w:rPr>
          <w:sz w:val="20"/>
          <w:szCs w:val="20"/>
          <w:color w:val="auto"/>
        </w:rPr>
      </w:pPr>
    </w:p>
    <w:p>
      <w:pPr>
        <w:ind w:right="40" w:firstLine="512"/>
        <w:spacing w:after="0" w:line="286" w:lineRule="auto"/>
        <w:rPr>
          <w:sz w:val="20"/>
          <w:szCs w:val="20"/>
          <w:color w:val="auto"/>
        </w:rPr>
      </w:pPr>
      <w:r>
        <w:rPr>
          <w:rFonts w:ascii="Arial" w:cs="Arial" w:eastAsia="Arial" w:hAnsi="Arial"/>
          <w:sz w:val="17"/>
          <w:szCs w:val="17"/>
          <w:color w:val="auto"/>
        </w:rPr>
        <w:t>As of December 31, 2021, the Company had no accrued interest or penalties related to uncertain tax positions and no amounts have been recognized in the Company’s statement of operations. Due to NOL and tax credit carry forwards that remain unutilized, income tax returns for all tax years remain subject to examination by the taxing jurisdictions. The NOL carryforwards remain subject to review until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w:t>
      </w:r>
    </w:p>
    <w:p>
      <w:pPr>
        <w:spacing w:after="0" w:line="121" w:lineRule="exact"/>
        <w:rPr>
          <w:sz w:val="20"/>
          <w:szCs w:val="20"/>
          <w:color w:val="auto"/>
        </w:rPr>
      </w:pPr>
    </w:p>
    <w:p>
      <w:pPr>
        <w:ind w:firstLine="513"/>
        <w:spacing w:after="0" w:line="268"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(Our principal executive officer) and our Chief Financial Officer (Our principal accounting officer), we evaluated the effectiveness of the design and operation of our disclosure controls and procedures (as defined in Rules 13a-15(e) and 15d-15(e) under the Exchange Act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management’s evaluation (with the participation of our Chief Executive Officer and our Chief Financial Officer), as of the end of the period covered by this report, our Chief Executive Officer and our Chief Financial Officer have concluded that our disclosure controls and procedures were effective at the reasonable assurance level.</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337" w:lineRule="exact"/>
        <w:rPr>
          <w:sz w:val="20"/>
          <w:szCs w:val="20"/>
          <w:color w:val="auto"/>
        </w:rPr>
      </w:pPr>
    </w:p>
    <w:p>
      <w:pPr>
        <w:ind w:firstLine="513"/>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promulgated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spacing w:after="0" w:line="195" w:lineRule="exact"/>
        <w:rPr>
          <w:sz w:val="20"/>
          <w:szCs w:val="20"/>
          <w:color w:val="auto"/>
        </w:rPr>
      </w:pPr>
    </w:p>
    <w:p>
      <w:pPr>
        <w:jc w:val="both"/>
        <w:ind w:right="640" w:firstLine="401"/>
        <w:spacing w:after="0" w:line="286" w:lineRule="auto"/>
        <w:rPr>
          <w:sz w:val="20"/>
          <w:szCs w:val="20"/>
          <w:color w:val="auto"/>
        </w:rPr>
      </w:pPr>
      <w:r>
        <w:rPr>
          <w:rFonts w:ascii="Arial" w:cs="Arial" w:eastAsia="Arial" w:hAnsi="Arial"/>
          <w:sz w:val="17"/>
          <w:szCs w:val="17"/>
          <w:color w:val="auto"/>
        </w:rPr>
        <w:t>Our management conducted an assessment of our internal control over financial reporting based on the framework established in 2013 by the Committee of Sponsoring Organizations of the Treadway Commission in Internal Control-Integrated Framework (2013). Based on the assessment, management concluded that our internal control over financial reporting was effective as of December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180" w:firstLine="513"/>
        <w:spacing w:after="0" w:line="220" w:lineRule="exact"/>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w:t>
      </w:r>
      <w:r>
        <w:rPr>
          <w:rFonts w:ascii="MS PGothic" w:cs="MS PGothic" w:eastAsia="MS PGothic" w:hAnsi="MS PGothic"/>
          <w:sz w:val="18"/>
          <w:szCs w:val="18"/>
          <w:color w:val="auto"/>
        </w:rPr>
        <w:t>‑</w:t>
      </w:r>
      <w:r>
        <w:rPr>
          <w:rFonts w:ascii="Arial" w:cs="Arial" w:eastAsia="Arial" w:hAnsi="Arial"/>
          <w:sz w:val="18"/>
          <w:szCs w:val="18"/>
          <w:color w:val="auto"/>
        </w:rPr>
        <w:t>15(d) and 15d</w:t>
      </w:r>
      <w:r>
        <w:rPr>
          <w:rFonts w:ascii="MS PGothic" w:cs="MS PGothic" w:eastAsia="MS PGothic" w:hAnsi="MS PGothic"/>
          <w:sz w:val="18"/>
          <w:szCs w:val="18"/>
          <w:color w:val="auto"/>
        </w:rPr>
        <w:t>‑</w:t>
      </w:r>
      <w:r>
        <w:rPr>
          <w:rFonts w:ascii="Arial" w:cs="Arial" w:eastAsia="Arial" w:hAnsi="Arial"/>
          <w:sz w:val="18"/>
          <w:szCs w:val="18"/>
          <w:color w:val="auto"/>
        </w:rPr>
        <w:t>15(d) of the Exchange Act that occurred during the quarter ended December 31, 2021 that have materially affected, or are reasonably likely to materially affect, our internal controls over financial reporting.</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8" w:name="page119"/>
    <w:bookmarkEnd w:id="118"/>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13"/>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13"/>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13"/>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13"/>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13"/>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2022 Annual Meeting of Stockholders to be filed with the SEC within 120 days of the end of the fiscal year covered by this Annual Report on Form 10-K.</w:t>
      </w:r>
    </w:p>
    <w:p>
      <w:pPr>
        <w:spacing w:after="0" w:line="14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337" w:right="87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880" w:hanging="386"/>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52" w:lineRule="exact"/>
        <w:rPr>
          <w:sz w:val="20"/>
          <w:szCs w:val="20"/>
          <w:color w:val="auto"/>
        </w:rPr>
      </w:pPr>
    </w:p>
    <w:p>
      <w:pPr>
        <w:ind w:right="580" w:firstLine="496"/>
        <w:spacing w:after="0" w:line="277" w:lineRule="auto"/>
        <w:rPr>
          <w:sz w:val="20"/>
          <w:szCs w:val="20"/>
          <w:color w:val="auto"/>
        </w:rPr>
      </w:pPr>
      <w:r>
        <w:rPr>
          <w:rFonts w:ascii="Arial" w:cs="Arial" w:eastAsia="Arial" w:hAnsi="Arial"/>
          <w:sz w:val="18"/>
          <w:szCs w:val="18"/>
          <w:color w:val="auto"/>
        </w:rPr>
        <w:t>The financial statements required by Item 15(a) are filed as part of this Annual Report on Form 10-K under Item 8 “Financial Statements and Supplementary Data.”</w:t>
      </w:r>
    </w:p>
    <w:p>
      <w:pPr>
        <w:spacing w:after="0" w:line="170" w:lineRule="exact"/>
        <w:rPr>
          <w:sz w:val="20"/>
          <w:szCs w:val="20"/>
          <w:color w:val="auto"/>
        </w:rPr>
      </w:pPr>
    </w:p>
    <w:p>
      <w:pPr>
        <w:ind w:left="760" w:hanging="256"/>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380" w:firstLine="496"/>
        <w:spacing w:after="0" w:line="277" w:lineRule="auto"/>
        <w:rPr>
          <w:sz w:val="20"/>
          <w:szCs w:val="20"/>
          <w:color w:val="auto"/>
        </w:rPr>
      </w:pPr>
      <w:r>
        <w:rPr>
          <w:rFonts w:ascii="Arial" w:cs="Arial" w:eastAsia="Arial" w:hAnsi="Arial"/>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170" w:lineRule="exact"/>
        <w:rPr>
          <w:sz w:val="20"/>
          <w:szCs w:val="20"/>
          <w:color w:val="auto"/>
        </w:rPr>
      </w:pPr>
    </w:p>
    <w:p>
      <w:pPr>
        <w:ind w:left="760" w:hanging="256"/>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Incorporated by Reference</w:t>
            </w:r>
          </w:p>
        </w:tc>
        <w:tc>
          <w:tcPr>
            <w:tcW w:w="1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10"/>
          </w:tcPr>
          <w:p>
            <w:pPr>
              <w:ind w:left="640"/>
              <w:spacing w:after="0" w:line="142" w:lineRule="exact"/>
              <w:rPr>
                <w:sz w:val="20"/>
                <w:szCs w:val="20"/>
                <w:color w:val="auto"/>
              </w:rPr>
            </w:pPr>
            <w:r>
              <w:rPr>
                <w:rFonts w:ascii="Arial" w:cs="Arial" w:eastAsia="Arial" w:hAnsi="Arial"/>
                <w:sz w:val="14"/>
                <w:szCs w:val="14"/>
                <w:b w:val="1"/>
                <w:bCs w:val="1"/>
                <w:color w:val="auto"/>
              </w:rPr>
              <w:t>Exhibit Title</w:t>
            </w:r>
          </w:p>
        </w:tc>
        <w:tc>
          <w:tcPr>
            <w:tcW w:w="118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color w:val="auto"/>
                <w:w w:val="97"/>
              </w:rPr>
              <w:t>Form</w:t>
            </w:r>
          </w:p>
        </w:tc>
        <w:tc>
          <w:tcPr>
            <w:tcW w:w="1560" w:type="dxa"/>
            <w:vAlign w:val="bottom"/>
            <w:tcBorders>
              <w:bottom w:val="single" w:sz="8" w:color="auto"/>
            </w:tcBorders>
          </w:tcPr>
          <w:p>
            <w:pPr>
              <w:ind w:left="580"/>
              <w:spacing w:after="0" w:line="142" w:lineRule="exact"/>
              <w:rPr>
                <w:sz w:val="20"/>
                <w:szCs w:val="20"/>
                <w:color w:val="auto"/>
              </w:rPr>
            </w:pPr>
            <w:r>
              <w:rPr>
                <w:rFonts w:ascii="Arial" w:cs="Arial" w:eastAsia="Arial" w:hAnsi="Arial"/>
                <w:sz w:val="14"/>
                <w:szCs w:val="14"/>
                <w:color w:val="auto"/>
              </w:rPr>
              <w:t>File No.</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Exhibit</w:t>
            </w:r>
          </w:p>
        </w:tc>
        <w:tc>
          <w:tcPr>
            <w:tcW w:w="180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color w:val="auto"/>
                <w:w w:val="98"/>
              </w:rPr>
              <w:t>Filing Date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468"/>
              <w:spacing w:after="0"/>
              <w:rPr>
                <w:sz w:val="20"/>
                <w:szCs w:val="20"/>
                <w:color w:val="auto"/>
              </w:rPr>
            </w:pPr>
            <w:r>
              <w:rPr>
                <w:rFonts w:ascii="Arial" w:cs="Arial" w:eastAsia="Arial" w:hAnsi="Arial"/>
                <w:sz w:val="14"/>
                <w:szCs w:val="14"/>
                <w:color w:val="auto"/>
                <w:w w:val="81"/>
              </w:rPr>
              <w:t>3.1</w:t>
            </w:r>
          </w:p>
        </w:tc>
        <w:tc>
          <w:tcPr>
            <w:tcW w:w="120" w:type="dxa"/>
            <w:vAlign w:val="bottom"/>
          </w:tcPr>
          <w:p>
            <w:pPr>
              <w:spacing w:after="0"/>
              <w:rPr>
                <w:sz w:val="24"/>
                <w:szCs w:val="24"/>
                <w:color w:val="auto"/>
              </w:rPr>
            </w:pPr>
          </w:p>
        </w:tc>
        <w:tc>
          <w:tcPr>
            <w:tcW w:w="3520" w:type="dxa"/>
            <w:vAlign w:val="bottom"/>
            <w:gridSpan w:val="11"/>
          </w:tcPr>
          <w:p>
            <w:pPr>
              <w:spacing w:after="0"/>
              <w:rPr>
                <w:rFonts w:ascii="Arial" w:cs="Arial" w:eastAsia="Arial" w:hAnsi="Arial"/>
                <w:sz w:val="14"/>
                <w:szCs w:val="14"/>
                <w:color w:val="0000EE"/>
              </w:rPr>
            </w:pPr>
            <w:hyperlink r:id="rId146">
              <w:r>
                <w:rPr>
                  <w:rFonts w:ascii="Arial" w:cs="Arial" w:eastAsia="Arial" w:hAnsi="Arial"/>
                  <w:sz w:val="14"/>
                  <w:szCs w:val="14"/>
                  <w:color w:val="0000EE"/>
                </w:rPr>
                <w:t>Restated Certificate of Incorporation of Prelude</w:t>
              </w:r>
            </w:hyperlink>
          </w:p>
        </w:tc>
        <w:tc>
          <w:tcPr>
            <w:tcW w:w="1180" w:type="dxa"/>
            <w:vAlign w:val="bottom"/>
          </w:tcPr>
          <w:p>
            <w:pPr>
              <w:jc w:val="center"/>
              <w:ind w:right="28"/>
              <w:spacing w:after="0"/>
              <w:rPr>
                <w:sz w:val="20"/>
                <w:szCs w:val="20"/>
                <w:color w:val="auto"/>
              </w:rPr>
            </w:pPr>
            <w:r>
              <w:rPr>
                <w:rFonts w:ascii="Arial" w:cs="Arial" w:eastAsia="Arial" w:hAnsi="Arial"/>
                <w:sz w:val="14"/>
                <w:szCs w:val="14"/>
                <w:color w:val="auto"/>
                <w:w w:val="89"/>
              </w:rPr>
              <w:t>10-Q</w:t>
            </w: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001-39527</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2920" w:type="dxa"/>
            <w:vAlign w:val="bottom"/>
            <w:gridSpan w:val="2"/>
          </w:tcPr>
          <w:p>
            <w:pPr>
              <w:jc w:val="center"/>
              <w:ind w:right="1148"/>
              <w:spacing w:after="0"/>
              <w:rPr>
                <w:sz w:val="20"/>
                <w:szCs w:val="20"/>
                <w:color w:val="auto"/>
              </w:rPr>
            </w:pPr>
            <w:r>
              <w:rPr>
                <w:rFonts w:ascii="Arial" w:cs="Arial" w:eastAsia="Arial" w:hAnsi="Arial"/>
                <w:sz w:val="14"/>
                <w:szCs w:val="14"/>
                <w:color w:val="auto"/>
                <w:w w:val="92"/>
              </w:rPr>
              <w:t>November 10, 2020</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tcBorders>
              <w:top w:val="single" w:sz="8" w:color="0000EE"/>
            </w:tcBorders>
            <w:gridSpan w:val="5"/>
          </w:tcPr>
          <w:p>
            <w:pPr>
              <w:spacing w:after="0" w:line="129" w:lineRule="exact"/>
              <w:rPr>
                <w:rFonts w:ascii="Arial" w:cs="Arial" w:eastAsia="Arial" w:hAnsi="Arial"/>
                <w:sz w:val="14"/>
                <w:szCs w:val="14"/>
                <w:color w:val="0000EE"/>
              </w:rPr>
            </w:pPr>
            <w:hyperlink r:id="rId146">
              <w:r>
                <w:rPr>
                  <w:rFonts w:ascii="Arial" w:cs="Arial" w:eastAsia="Arial" w:hAnsi="Arial"/>
                  <w:sz w:val="14"/>
                  <w:szCs w:val="14"/>
                  <w:color w:val="0000EE"/>
                </w:rPr>
                <w:t>Therapeutics Incorporated</w:t>
              </w:r>
              <w:r>
                <w:rPr>
                  <w:rFonts w:ascii="Arial" w:cs="Arial" w:eastAsia="Arial" w:hAnsi="Arial"/>
                  <w:sz w:val="14"/>
                  <w:szCs w:val="14"/>
                  <w:u w:val="single" w:color="auto"/>
                  <w:color w:val="000000"/>
                </w:rPr>
                <w:t>.</w:t>
              </w:r>
            </w:hyperlink>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w w:val="89"/>
              </w:rPr>
              <w:t>10-Q</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2"/>
              </w:rPr>
              <w:t>001-39527</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3.2</w:t>
            </w:r>
          </w:p>
        </w:tc>
        <w:tc>
          <w:tcPr>
            <w:tcW w:w="2920" w:type="dxa"/>
            <w:vAlign w:val="bottom"/>
            <w:gridSpan w:val="2"/>
            <w:vMerge w:val="restart"/>
          </w:tcPr>
          <w:p>
            <w:pPr>
              <w:jc w:val="center"/>
              <w:ind w:right="1148"/>
              <w:spacing w:after="0"/>
              <w:rPr>
                <w:sz w:val="20"/>
                <w:szCs w:val="20"/>
                <w:color w:val="auto"/>
              </w:rPr>
            </w:pPr>
            <w:r>
              <w:rPr>
                <w:rFonts w:ascii="Arial" w:cs="Arial" w:eastAsia="Arial" w:hAnsi="Arial"/>
                <w:sz w:val="14"/>
                <w:szCs w:val="14"/>
                <w:color w:val="auto"/>
                <w:w w:val="92"/>
              </w:rPr>
              <w:t>November 10, 2020</w:t>
            </w: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468"/>
              <w:spacing w:after="0"/>
              <w:rPr>
                <w:sz w:val="20"/>
                <w:szCs w:val="20"/>
                <w:color w:val="auto"/>
              </w:rPr>
            </w:pPr>
            <w:r>
              <w:rPr>
                <w:rFonts w:ascii="Arial" w:cs="Arial" w:eastAsia="Arial" w:hAnsi="Arial"/>
                <w:sz w:val="14"/>
                <w:szCs w:val="14"/>
                <w:color w:val="auto"/>
                <w:w w:val="81"/>
              </w:rPr>
              <w:t>3.2</w:t>
            </w:r>
          </w:p>
        </w:tc>
        <w:tc>
          <w:tcPr>
            <w:tcW w:w="120" w:type="dxa"/>
            <w:vAlign w:val="bottom"/>
          </w:tcPr>
          <w:p>
            <w:pPr>
              <w:spacing w:after="0"/>
              <w:rPr>
                <w:sz w:val="24"/>
                <w:szCs w:val="24"/>
                <w:color w:val="auto"/>
              </w:rPr>
            </w:pPr>
          </w:p>
        </w:tc>
        <w:tc>
          <w:tcPr>
            <w:tcW w:w="3520" w:type="dxa"/>
            <w:vAlign w:val="bottom"/>
            <w:gridSpan w:val="11"/>
          </w:tcPr>
          <w:p>
            <w:pPr>
              <w:spacing w:after="0"/>
              <w:rPr>
                <w:rFonts w:ascii="Arial" w:cs="Arial" w:eastAsia="Arial" w:hAnsi="Arial"/>
                <w:sz w:val="14"/>
                <w:szCs w:val="14"/>
                <w:color w:val="0000EE"/>
              </w:rPr>
            </w:pPr>
            <w:hyperlink r:id="rId147">
              <w:r>
                <w:rPr>
                  <w:rFonts w:ascii="Arial" w:cs="Arial" w:eastAsia="Arial" w:hAnsi="Arial"/>
                  <w:sz w:val="14"/>
                  <w:szCs w:val="14"/>
                  <w:color w:val="0000EE"/>
                </w:rPr>
                <w:t>Restated Bylaws of Prelude Therapeutics Incorporated</w:t>
              </w:r>
            </w:hyperlink>
            <w:r>
              <w:rPr>
                <w:rFonts w:ascii="Arial" w:cs="Arial" w:eastAsia="Arial" w:hAnsi="Arial"/>
                <w:sz w:val="14"/>
                <w:szCs w:val="14"/>
                <w:u w:val="single" w:color="auto"/>
                <w:color w:val="000000"/>
              </w:rPr>
              <w:t>.</w:t>
            </w:r>
          </w:p>
        </w:tc>
        <w:tc>
          <w:tcPr>
            <w:tcW w:w="1180" w:type="dxa"/>
            <w:vAlign w:val="bottom"/>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468"/>
              <w:spacing w:after="0"/>
              <w:rPr>
                <w:sz w:val="20"/>
                <w:szCs w:val="20"/>
                <w:color w:val="auto"/>
              </w:rPr>
            </w:pPr>
            <w:r>
              <w:rPr>
                <w:rFonts w:ascii="Arial" w:cs="Arial" w:eastAsia="Arial" w:hAnsi="Arial"/>
                <w:sz w:val="14"/>
                <w:szCs w:val="14"/>
                <w:color w:val="auto"/>
                <w:w w:val="81"/>
              </w:rPr>
              <w:t>4.1</w:t>
            </w:r>
          </w:p>
        </w:tc>
        <w:tc>
          <w:tcPr>
            <w:tcW w:w="120" w:type="dxa"/>
            <w:vAlign w:val="bottom"/>
          </w:tcPr>
          <w:p>
            <w:pPr>
              <w:spacing w:after="0"/>
              <w:rPr>
                <w:sz w:val="24"/>
                <w:szCs w:val="24"/>
                <w:color w:val="auto"/>
              </w:rPr>
            </w:pPr>
          </w:p>
        </w:tc>
        <w:tc>
          <w:tcPr>
            <w:tcW w:w="3140" w:type="dxa"/>
            <w:vAlign w:val="bottom"/>
            <w:tcBorders>
              <w:top w:val="single" w:sz="8" w:color="0000EE"/>
            </w:tcBorders>
            <w:gridSpan w:val="8"/>
          </w:tcPr>
          <w:p>
            <w:pPr>
              <w:spacing w:after="0"/>
              <w:rPr>
                <w:rFonts w:ascii="Arial" w:cs="Arial" w:eastAsia="Arial" w:hAnsi="Arial"/>
                <w:sz w:val="14"/>
                <w:szCs w:val="14"/>
                <w:color w:val="0000EE"/>
              </w:rPr>
            </w:pPr>
            <w:hyperlink r:id="rId148">
              <w:r>
                <w:rPr>
                  <w:rFonts w:ascii="Arial" w:cs="Arial" w:eastAsia="Arial" w:hAnsi="Arial"/>
                  <w:sz w:val="14"/>
                  <w:szCs w:val="14"/>
                  <w:color w:val="0000EE"/>
                </w:rPr>
                <w:t>Form of Common Stock Certificate</w:t>
              </w:r>
            </w:hyperlink>
            <w:r>
              <w:rPr>
                <w:rFonts w:ascii="Arial" w:cs="Arial" w:eastAsia="Arial" w:hAnsi="Arial"/>
                <w:sz w:val="14"/>
                <w:szCs w:val="14"/>
                <w:u w:val="single" w:color="auto"/>
                <w:color w:val="000000"/>
              </w:rPr>
              <w:t>.</w:t>
            </w:r>
          </w:p>
        </w:tc>
        <w:tc>
          <w:tcPr>
            <w:tcW w:w="380" w:type="dxa"/>
            <w:vAlign w:val="bottom"/>
            <w:gridSpan w:val="3"/>
          </w:tcPr>
          <w:p>
            <w:pPr>
              <w:spacing w:after="0"/>
              <w:rPr>
                <w:sz w:val="24"/>
                <w:szCs w:val="24"/>
                <w:color w:val="auto"/>
              </w:rPr>
            </w:pP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S-1/A</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2920" w:type="dxa"/>
            <w:vAlign w:val="bottom"/>
            <w:gridSpan w:val="2"/>
          </w:tcPr>
          <w:p>
            <w:pPr>
              <w:jc w:val="center"/>
              <w:ind w:right="1148"/>
              <w:spacing w:after="0"/>
              <w:rPr>
                <w:sz w:val="20"/>
                <w:szCs w:val="20"/>
                <w:color w:val="auto"/>
              </w:rPr>
            </w:pPr>
            <w:r>
              <w:rPr>
                <w:rFonts w:ascii="Arial" w:cs="Arial" w:eastAsia="Arial" w:hAnsi="Arial"/>
                <w:sz w:val="14"/>
                <w:szCs w:val="14"/>
                <w:color w:val="auto"/>
                <w:w w:val="89"/>
              </w:rPr>
              <w:t>September 16, 2020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S-1/A</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3"/>
              </w:rPr>
              <w:t>333-248628</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4.2</w:t>
            </w:r>
          </w:p>
        </w:tc>
        <w:tc>
          <w:tcPr>
            <w:tcW w:w="2920" w:type="dxa"/>
            <w:vAlign w:val="bottom"/>
            <w:gridSpan w:val="2"/>
            <w:vMerge w:val="restart"/>
          </w:tcPr>
          <w:p>
            <w:pPr>
              <w:jc w:val="center"/>
              <w:ind w:right="1148"/>
              <w:spacing w:after="0"/>
              <w:rPr>
                <w:sz w:val="20"/>
                <w:szCs w:val="20"/>
                <w:color w:val="auto"/>
              </w:rPr>
            </w:pPr>
            <w:r>
              <w:rPr>
                <w:rFonts w:ascii="Arial" w:cs="Arial" w:eastAsia="Arial" w:hAnsi="Arial"/>
                <w:sz w:val="14"/>
                <w:szCs w:val="14"/>
                <w:color w:val="auto"/>
                <w:w w:val="89"/>
              </w:rPr>
              <w:t>September 16, 2020</w:t>
            </w: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468"/>
              <w:spacing w:after="0"/>
              <w:rPr>
                <w:sz w:val="20"/>
                <w:szCs w:val="20"/>
                <w:color w:val="auto"/>
              </w:rPr>
            </w:pPr>
            <w:r>
              <w:rPr>
                <w:rFonts w:ascii="Arial" w:cs="Arial" w:eastAsia="Arial" w:hAnsi="Arial"/>
                <w:sz w:val="14"/>
                <w:szCs w:val="14"/>
                <w:color w:val="auto"/>
                <w:w w:val="81"/>
              </w:rPr>
              <w:t>4.2</w:t>
            </w:r>
          </w:p>
        </w:tc>
        <w:tc>
          <w:tcPr>
            <w:tcW w:w="120" w:type="dxa"/>
            <w:vAlign w:val="bottom"/>
          </w:tcPr>
          <w:p>
            <w:pPr>
              <w:spacing w:after="0"/>
              <w:rPr>
                <w:sz w:val="24"/>
                <w:szCs w:val="24"/>
                <w:color w:val="auto"/>
              </w:rPr>
            </w:pPr>
          </w:p>
        </w:tc>
        <w:tc>
          <w:tcPr>
            <w:tcW w:w="3520" w:type="dxa"/>
            <w:vAlign w:val="bottom"/>
            <w:gridSpan w:val="11"/>
          </w:tcPr>
          <w:p>
            <w:pPr>
              <w:spacing w:after="0"/>
              <w:rPr>
                <w:rFonts w:ascii="Arial" w:cs="Arial" w:eastAsia="Arial" w:hAnsi="Arial"/>
                <w:sz w:val="14"/>
                <w:szCs w:val="14"/>
                <w:color w:val="0000EE"/>
                <w:w w:val="94"/>
              </w:rPr>
            </w:pPr>
            <w:hyperlink r:id="rId149">
              <w:r>
                <w:rPr>
                  <w:rFonts w:ascii="Arial" w:cs="Arial" w:eastAsia="Arial" w:hAnsi="Arial"/>
                  <w:sz w:val="14"/>
                  <w:szCs w:val="14"/>
                  <w:color w:val="0000EE"/>
                  <w:w w:val="94"/>
                </w:rPr>
                <w:t>Amended and Restated Investors’ Rights Agreement, dated</w:t>
              </w:r>
            </w:hyperlink>
          </w:p>
        </w:tc>
        <w:tc>
          <w:tcPr>
            <w:tcW w:w="1180" w:type="dxa"/>
            <w:vAlign w:val="bottom"/>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r:id="rId149">
              <w:r>
                <w:rPr>
                  <w:rFonts w:ascii="Arial" w:cs="Arial" w:eastAsia="Arial" w:hAnsi="Arial"/>
                  <w:sz w:val="14"/>
                  <w:szCs w:val="14"/>
                  <w:color w:val="0000EE"/>
                </w:rPr>
                <w:t>August 21, 2020, by and among Prelude Therapeutics</w:t>
              </w:r>
            </w:hyperlink>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r:id="rId149">
              <w:r>
                <w:rPr>
                  <w:rFonts w:ascii="Arial" w:cs="Arial" w:eastAsia="Arial" w:hAnsi="Arial"/>
                  <w:sz w:val="14"/>
                  <w:szCs w:val="14"/>
                  <w:color w:val="0000EE"/>
                </w:rPr>
                <w:t>Incorporated and certain of its stockholders</w:t>
              </w:r>
              <w:r>
                <w:rPr>
                  <w:rFonts w:ascii="Arial" w:cs="Arial" w:eastAsia="Arial" w:hAnsi="Arial"/>
                  <w:sz w:val="14"/>
                  <w:szCs w:val="14"/>
                  <w:u w:val="single" w:color="auto"/>
                  <w:color w:val="000000"/>
                </w:rPr>
                <w:t>.</w:t>
              </w:r>
            </w:hyperlink>
          </w:p>
        </w:tc>
        <w:tc>
          <w:tcPr>
            <w:tcW w:w="100" w:type="dxa"/>
            <w:vAlign w:val="bottom"/>
            <w:gridSpan w:val="2"/>
          </w:tcPr>
          <w:p>
            <w:pPr>
              <w:spacing w:after="0"/>
              <w:rPr>
                <w:sz w:val="11"/>
                <w:szCs w:val="11"/>
                <w:color w:val="auto"/>
              </w:rPr>
            </w:pPr>
          </w:p>
        </w:tc>
        <w:tc>
          <w:tcPr>
            <w:tcW w:w="34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w w:val="91"/>
              </w:rPr>
              <w:t>S-1</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3"/>
              </w:rPr>
              <w:t>333-251874</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4.3</w:t>
            </w:r>
          </w:p>
        </w:tc>
        <w:tc>
          <w:tcPr>
            <w:tcW w:w="2920" w:type="dxa"/>
            <w:vAlign w:val="bottom"/>
            <w:gridSpan w:val="2"/>
            <w:vMerge w:val="restart"/>
          </w:tcPr>
          <w:p>
            <w:pPr>
              <w:jc w:val="center"/>
              <w:ind w:right="1148"/>
              <w:spacing w:after="0"/>
              <w:rPr>
                <w:sz w:val="20"/>
                <w:szCs w:val="20"/>
                <w:color w:val="auto"/>
              </w:rPr>
            </w:pPr>
            <w:r>
              <w:rPr>
                <w:rFonts w:ascii="Arial" w:cs="Arial" w:eastAsia="Arial" w:hAnsi="Arial"/>
                <w:sz w:val="14"/>
                <w:szCs w:val="14"/>
                <w:color w:val="auto"/>
                <w:w w:val="89"/>
              </w:rPr>
              <w:t>January 4, 2021</w:t>
            </w: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468"/>
              <w:spacing w:after="0"/>
              <w:rPr>
                <w:sz w:val="20"/>
                <w:szCs w:val="20"/>
                <w:color w:val="auto"/>
              </w:rPr>
            </w:pPr>
            <w:r>
              <w:rPr>
                <w:rFonts w:ascii="Arial" w:cs="Arial" w:eastAsia="Arial" w:hAnsi="Arial"/>
                <w:sz w:val="14"/>
                <w:szCs w:val="14"/>
                <w:color w:val="auto"/>
                <w:w w:val="81"/>
              </w:rPr>
              <w:t>4.3</w:t>
            </w:r>
          </w:p>
        </w:tc>
        <w:tc>
          <w:tcPr>
            <w:tcW w:w="120" w:type="dxa"/>
            <w:vAlign w:val="bottom"/>
          </w:tcPr>
          <w:p>
            <w:pPr>
              <w:spacing w:after="0"/>
              <w:rPr>
                <w:sz w:val="24"/>
                <w:szCs w:val="24"/>
                <w:color w:val="auto"/>
              </w:rPr>
            </w:pPr>
          </w:p>
        </w:tc>
        <w:tc>
          <w:tcPr>
            <w:tcW w:w="3520" w:type="dxa"/>
            <w:vAlign w:val="bottom"/>
            <w:gridSpan w:val="11"/>
          </w:tcPr>
          <w:p>
            <w:pPr>
              <w:spacing w:after="0"/>
              <w:rPr>
                <w:rFonts w:ascii="Arial" w:cs="Arial" w:eastAsia="Arial" w:hAnsi="Arial"/>
                <w:sz w:val="14"/>
                <w:szCs w:val="14"/>
                <w:color w:val="0000EE"/>
              </w:rPr>
            </w:pPr>
            <w:hyperlink r:id="rId150">
              <w:r>
                <w:rPr>
                  <w:rFonts w:ascii="Arial" w:cs="Arial" w:eastAsia="Arial" w:hAnsi="Arial"/>
                  <w:sz w:val="14"/>
                  <w:szCs w:val="14"/>
                  <w:color w:val="0000EE"/>
                </w:rPr>
                <w:t>Form of Registration Rights Agreement, by and among</w:t>
              </w:r>
            </w:hyperlink>
          </w:p>
        </w:tc>
        <w:tc>
          <w:tcPr>
            <w:tcW w:w="1180" w:type="dxa"/>
            <w:vAlign w:val="bottom"/>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80" w:type="dxa"/>
            <w:vAlign w:val="bottom"/>
            <w:tcBorders>
              <w:top w:val="single" w:sz="8" w:color="0000EE"/>
            </w:tcBorders>
            <w:gridSpan w:val="9"/>
          </w:tcPr>
          <w:p>
            <w:pPr>
              <w:spacing w:after="0" w:line="129" w:lineRule="exact"/>
              <w:rPr>
                <w:rFonts w:ascii="Arial" w:cs="Arial" w:eastAsia="Arial" w:hAnsi="Arial"/>
                <w:sz w:val="14"/>
                <w:szCs w:val="14"/>
                <w:color w:val="0000EE"/>
                <w:w w:val="98"/>
              </w:rPr>
            </w:pPr>
            <w:hyperlink r:id="rId150">
              <w:r>
                <w:rPr>
                  <w:rFonts w:ascii="Arial" w:cs="Arial" w:eastAsia="Arial" w:hAnsi="Arial"/>
                  <w:sz w:val="14"/>
                  <w:szCs w:val="14"/>
                  <w:color w:val="0000EE"/>
                  <w:w w:val="98"/>
                </w:rPr>
                <w:t>Prelude Therapeutics Incorporated and certain of its</w:t>
              </w:r>
            </w:hyperlink>
          </w:p>
        </w:tc>
        <w:tc>
          <w:tcPr>
            <w:tcW w:w="34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8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r:id="rId150">
              <w:r>
                <w:rPr>
                  <w:rFonts w:ascii="Arial" w:cs="Arial" w:eastAsia="Arial" w:hAnsi="Arial"/>
                  <w:sz w:val="14"/>
                  <w:szCs w:val="14"/>
                  <w:color w:val="0000EE"/>
                </w:rPr>
                <w:t>stockholders</w:t>
              </w:r>
              <w:r>
                <w:rPr>
                  <w:rFonts w:ascii="Arial" w:cs="Arial" w:eastAsia="Arial" w:hAnsi="Arial"/>
                  <w:sz w:val="14"/>
                  <w:szCs w:val="14"/>
                  <w:u w:val="single" w:color="auto"/>
                  <w:color w:val="000000"/>
                </w:rPr>
                <w:t>.</w:t>
              </w:r>
            </w:hyperlink>
          </w:p>
        </w:tc>
        <w:tc>
          <w:tcPr>
            <w:tcW w:w="540" w:type="dxa"/>
            <w:vAlign w:val="bottom"/>
            <w:gridSpan w:val="5"/>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1">
            <w:col w:w="11260"/>
          </w:cols>
          <w:pgMar w:left="320" w:top="337" w:right="319" w:bottom="1440" w:gutter="0" w:footer="0" w:header="0"/>
        </w:sect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color w:val="auto"/>
              </w:rPr>
              <w:t>4.4*</w:t>
            </w:r>
          </w:p>
        </w:tc>
        <w:tc>
          <w:tcPr>
            <w:tcW w:w="3520" w:type="dxa"/>
            <w:vAlign w:val="bottom"/>
            <w:gridSpan w:val="17"/>
          </w:tcPr>
          <w:p>
            <w:pPr>
              <w:spacing w:after="0"/>
              <w:rPr>
                <w:rFonts w:ascii="Arial" w:cs="Arial" w:eastAsia="Arial" w:hAnsi="Arial"/>
                <w:sz w:val="14"/>
                <w:szCs w:val="14"/>
                <w:color w:val="0000EE"/>
              </w:rPr>
            </w:pPr>
            <w:hyperlink w:anchor="page124">
              <w:r>
                <w:rPr>
                  <w:rFonts w:ascii="Arial" w:cs="Arial" w:eastAsia="Arial" w:hAnsi="Arial"/>
                  <w:sz w:val="14"/>
                  <w:szCs w:val="14"/>
                  <w:color w:val="0000EE"/>
                </w:rPr>
                <w:t>Description of Voting Common Stock Registered Under</w:t>
              </w:r>
            </w:hyperlink>
          </w:p>
        </w:tc>
      </w:tr>
      <w:tr>
        <w:trPr>
          <w:trHeight w:val="128"/>
        </w:trPr>
        <w:tc>
          <w:tcPr>
            <w:tcW w:w="840" w:type="dxa"/>
            <w:vAlign w:val="bottom"/>
          </w:tcPr>
          <w:p>
            <w:pPr>
              <w:spacing w:after="0"/>
              <w:rPr>
                <w:sz w:val="11"/>
                <w:szCs w:val="11"/>
                <w:color w:val="auto"/>
              </w:rPr>
            </w:pPr>
          </w:p>
        </w:tc>
        <w:tc>
          <w:tcPr>
            <w:tcW w:w="3220" w:type="dxa"/>
            <w:vAlign w:val="bottom"/>
            <w:tcBorders>
              <w:top w:val="single" w:sz="8" w:color="0000EE"/>
            </w:tcBorders>
            <w:gridSpan w:val="8"/>
          </w:tcPr>
          <w:p>
            <w:pPr>
              <w:spacing w:after="0" w:line="129" w:lineRule="exact"/>
              <w:rPr>
                <w:rFonts w:ascii="Arial" w:cs="Arial" w:eastAsia="Arial" w:hAnsi="Arial"/>
                <w:sz w:val="14"/>
                <w:szCs w:val="14"/>
                <w:color w:val="0000EE"/>
                <w:w w:val="95"/>
              </w:rPr>
            </w:pPr>
            <w:hyperlink w:anchor="page124">
              <w:r>
                <w:rPr>
                  <w:rFonts w:ascii="Arial" w:cs="Arial" w:eastAsia="Arial" w:hAnsi="Arial"/>
                  <w:sz w:val="14"/>
                  <w:szCs w:val="14"/>
                  <w:color w:val="0000EE"/>
                  <w:w w:val="95"/>
                </w:rPr>
                <w:t>Section 12 of the Securities Exchange Act of 1943,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9"/>
        </w:trPr>
        <w:tc>
          <w:tcPr>
            <w:tcW w:w="840" w:type="dxa"/>
            <w:vAlign w:val="bottom"/>
          </w:tcPr>
          <w:p>
            <w:pPr>
              <w:spacing w:after="0"/>
              <w:rPr>
                <w:sz w:val="14"/>
                <w:szCs w:val="14"/>
                <w:color w:val="auto"/>
              </w:rPr>
            </w:pPr>
          </w:p>
        </w:tc>
        <w:tc>
          <w:tcPr>
            <w:tcW w:w="560" w:type="dxa"/>
            <w:vAlign w:val="bottom"/>
            <w:tcBorders>
              <w:top w:val="single" w:sz="8" w:color="0000EE"/>
              <w:bottom w:val="single" w:sz="8" w:color="0000EE"/>
            </w:tcBorders>
            <w:gridSpan w:val="2"/>
          </w:tcPr>
          <w:p>
            <w:pPr>
              <w:spacing w:after="0" w:line="169" w:lineRule="exact"/>
              <w:rPr>
                <w:rFonts w:ascii="Arial" w:cs="Arial" w:eastAsia="Arial" w:hAnsi="Arial"/>
                <w:sz w:val="14"/>
                <w:szCs w:val="14"/>
                <w:color w:val="0000EE"/>
                <w:w w:val="85"/>
              </w:rPr>
            </w:pPr>
            <w:hyperlink w:anchor="page124">
              <w:r>
                <w:rPr>
                  <w:rFonts w:ascii="Arial" w:cs="Arial" w:eastAsia="Arial" w:hAnsi="Arial"/>
                  <w:sz w:val="14"/>
                  <w:szCs w:val="14"/>
                  <w:color w:val="0000EE"/>
                  <w:w w:val="85"/>
                </w:rPr>
                <w:t>amended</w:t>
              </w:r>
              <w:r>
                <w:rPr>
                  <w:rFonts w:ascii="Arial" w:cs="Arial" w:eastAsia="Arial" w:hAnsi="Arial"/>
                  <w:sz w:val="17"/>
                  <w:szCs w:val="17"/>
                  <w:color w:val="0000EE"/>
                  <w:w w:val="85"/>
                </w:rPr>
                <w:t>.</w:t>
              </w:r>
            </w:hyperlink>
          </w:p>
        </w:tc>
        <w:tc>
          <w:tcPr>
            <w:tcW w:w="254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4"/>
                <w:szCs w:val="14"/>
                <w:color w:val="auto"/>
              </w:rPr>
              <w:t>10.1</w:t>
            </w:r>
          </w:p>
        </w:tc>
        <w:tc>
          <w:tcPr>
            <w:tcW w:w="3520" w:type="dxa"/>
            <w:vAlign w:val="bottom"/>
            <w:gridSpan w:val="17"/>
          </w:tcPr>
          <w:p>
            <w:pPr>
              <w:spacing w:after="0"/>
              <w:rPr>
                <w:rFonts w:ascii="Arial" w:cs="Arial" w:eastAsia="Arial" w:hAnsi="Arial"/>
                <w:sz w:val="14"/>
                <w:szCs w:val="14"/>
                <w:color w:val="0000EE"/>
              </w:rPr>
            </w:pPr>
            <w:hyperlink r:id="rId151">
              <w:r>
                <w:rPr>
                  <w:rFonts w:ascii="Arial" w:cs="Arial" w:eastAsia="Arial" w:hAnsi="Arial"/>
                  <w:sz w:val="14"/>
                  <w:szCs w:val="14"/>
                  <w:color w:val="0000EE"/>
                </w:rPr>
                <w:t>Form of Indemnification Agreement with directors and</w:t>
              </w:r>
            </w:hyperlink>
          </w:p>
        </w:tc>
      </w:tr>
      <w:tr>
        <w:trPr>
          <w:trHeight w:val="128"/>
        </w:trPr>
        <w:tc>
          <w:tcPr>
            <w:tcW w:w="840" w:type="dxa"/>
            <w:vAlign w:val="bottom"/>
          </w:tcPr>
          <w:p>
            <w:pPr>
              <w:spacing w:after="0"/>
              <w:rPr>
                <w:sz w:val="11"/>
                <w:szCs w:val="11"/>
                <w:color w:val="auto"/>
              </w:rPr>
            </w:pPr>
          </w:p>
        </w:tc>
        <w:tc>
          <w:tcPr>
            <w:tcW w:w="316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r:id="rId151">
              <w:r>
                <w:rPr>
                  <w:rFonts w:ascii="Arial" w:cs="Arial" w:eastAsia="Arial" w:hAnsi="Arial"/>
                  <w:sz w:val="14"/>
                  <w:szCs w:val="14"/>
                  <w:color w:val="0000EE"/>
                </w:rPr>
                <w:t>officers</w:t>
              </w:r>
              <w:r>
                <w:rPr>
                  <w:rFonts w:ascii="Arial" w:cs="Arial" w:eastAsia="Arial" w:hAnsi="Arial"/>
                  <w:sz w:val="14"/>
                  <w:szCs w:val="14"/>
                  <w:u w:val="single" w:color="auto"/>
                  <w:color w:val="000000"/>
                </w:rPr>
                <w:t>.</w:t>
              </w:r>
            </w:hyperlink>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10.2</w:t>
            </w:r>
          </w:p>
        </w:tc>
        <w:tc>
          <w:tcPr>
            <w:tcW w:w="3520" w:type="dxa"/>
            <w:vAlign w:val="bottom"/>
            <w:gridSpan w:val="17"/>
          </w:tcPr>
          <w:p>
            <w:pPr>
              <w:spacing w:after="0"/>
              <w:rPr>
                <w:rFonts w:ascii="Arial" w:cs="Arial" w:eastAsia="Arial" w:hAnsi="Arial"/>
                <w:sz w:val="14"/>
                <w:szCs w:val="14"/>
                <w:color w:val="0000EE"/>
                <w:w w:val="93"/>
              </w:rPr>
            </w:pPr>
            <w:hyperlink r:id="rId152">
              <w:r>
                <w:rPr>
                  <w:rFonts w:ascii="Arial" w:cs="Arial" w:eastAsia="Arial" w:hAnsi="Arial"/>
                  <w:sz w:val="14"/>
                  <w:szCs w:val="14"/>
                  <w:color w:val="0000EE"/>
                  <w:w w:val="93"/>
                </w:rPr>
                <w:t>2016 Stock Incentive Plan, as amended, and forms of award</w:t>
              </w:r>
            </w:hyperlink>
          </w:p>
        </w:tc>
      </w:tr>
      <w:tr>
        <w:trPr>
          <w:trHeight w:val="128"/>
        </w:trPr>
        <w:tc>
          <w:tcPr>
            <w:tcW w:w="840" w:type="dxa"/>
            <w:vAlign w:val="bottom"/>
          </w:tcPr>
          <w:p>
            <w:pPr>
              <w:spacing w:after="0"/>
              <w:rPr>
                <w:sz w:val="11"/>
                <w:szCs w:val="11"/>
                <w:color w:val="auto"/>
              </w:rPr>
            </w:pPr>
          </w:p>
        </w:tc>
        <w:tc>
          <w:tcPr>
            <w:tcW w:w="346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r:id="rId152">
              <w:r>
                <w:rPr>
                  <w:rFonts w:ascii="Arial" w:cs="Arial" w:eastAsia="Arial" w:hAnsi="Arial"/>
                  <w:sz w:val="14"/>
                  <w:szCs w:val="14"/>
                  <w:color w:val="0000EE"/>
                </w:rPr>
                <w:t>agreements</w:t>
              </w:r>
              <w:r>
                <w:rPr>
                  <w:rFonts w:ascii="Arial" w:cs="Arial" w:eastAsia="Arial" w:hAnsi="Arial"/>
                  <w:sz w:val="14"/>
                  <w:szCs w:val="14"/>
                  <w:u w:val="single" w:color="auto"/>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10.3</w:t>
            </w:r>
          </w:p>
        </w:tc>
        <w:tc>
          <w:tcPr>
            <w:tcW w:w="3520" w:type="dxa"/>
            <w:vAlign w:val="bottom"/>
            <w:gridSpan w:val="17"/>
          </w:tcPr>
          <w:p>
            <w:pPr>
              <w:spacing w:after="0"/>
              <w:rPr>
                <w:rFonts w:ascii="Arial" w:cs="Arial" w:eastAsia="Arial" w:hAnsi="Arial"/>
                <w:sz w:val="14"/>
                <w:szCs w:val="14"/>
                <w:color w:val="0000EE"/>
                <w:w w:val="94"/>
              </w:rPr>
            </w:pPr>
            <w:hyperlink r:id="rId153">
              <w:r>
                <w:rPr>
                  <w:rFonts w:ascii="Arial" w:cs="Arial" w:eastAsia="Arial" w:hAnsi="Arial"/>
                  <w:sz w:val="14"/>
                  <w:szCs w:val="14"/>
                  <w:color w:val="0000EE"/>
                  <w:w w:val="94"/>
                </w:rPr>
                <w:t>2020 Equity Incentive Plan and forms of award agreements</w:t>
              </w:r>
            </w:hyperlink>
            <w:r>
              <w:rPr>
                <w:rFonts w:ascii="Arial" w:cs="Arial" w:eastAsia="Arial" w:hAnsi="Arial"/>
                <w:sz w:val="14"/>
                <w:szCs w:val="14"/>
                <w:u w:val="single" w:color="auto"/>
                <w:color w:val="000000"/>
                <w:w w:val="94"/>
              </w:rPr>
              <w:t>.</w:t>
            </w: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10.4</w:t>
            </w:r>
          </w:p>
        </w:tc>
        <w:tc>
          <w:tcPr>
            <w:tcW w:w="3420" w:type="dxa"/>
            <w:vAlign w:val="bottom"/>
            <w:tcBorders>
              <w:top w:val="single" w:sz="8" w:color="0000EE"/>
            </w:tcBorders>
            <w:gridSpan w:val="12"/>
          </w:tcPr>
          <w:p>
            <w:pPr>
              <w:spacing w:after="0"/>
              <w:rPr>
                <w:rFonts w:ascii="Arial" w:cs="Arial" w:eastAsia="Arial" w:hAnsi="Arial"/>
                <w:sz w:val="14"/>
                <w:szCs w:val="14"/>
                <w:color w:val="0000EE"/>
                <w:w w:val="95"/>
              </w:rPr>
            </w:pPr>
            <w:hyperlink r:id="rId154">
              <w:r>
                <w:rPr>
                  <w:rFonts w:ascii="Arial" w:cs="Arial" w:eastAsia="Arial" w:hAnsi="Arial"/>
                  <w:sz w:val="14"/>
                  <w:szCs w:val="14"/>
                  <w:color w:val="0000EE"/>
                  <w:w w:val="95"/>
                </w:rPr>
                <w:t>2020 Employee Stock Purchase Plan and forms of award</w:t>
              </w:r>
            </w:hyperlink>
          </w:p>
        </w:tc>
        <w:tc>
          <w:tcPr>
            <w:tcW w:w="100" w:type="dxa"/>
            <w:vAlign w:val="bottom"/>
            <w:gridSpan w:val="5"/>
          </w:tcPr>
          <w:p>
            <w:pPr>
              <w:spacing w:after="0"/>
              <w:rPr>
                <w:sz w:val="24"/>
                <w:szCs w:val="24"/>
                <w:color w:val="auto"/>
              </w:rPr>
            </w:pPr>
          </w:p>
        </w:tc>
      </w:tr>
      <w:tr>
        <w:trPr>
          <w:trHeight w:val="129"/>
        </w:trPr>
        <w:tc>
          <w:tcPr>
            <w:tcW w:w="840" w:type="dxa"/>
            <w:vAlign w:val="bottom"/>
          </w:tcPr>
          <w:p>
            <w:pPr>
              <w:spacing w:after="0"/>
              <w:rPr>
                <w:sz w:val="11"/>
                <w:szCs w:val="11"/>
                <w:color w:val="auto"/>
              </w:rPr>
            </w:pPr>
          </w:p>
        </w:tc>
        <w:tc>
          <w:tcPr>
            <w:tcW w:w="328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r:id="rId154">
              <w:r>
                <w:rPr>
                  <w:rFonts w:ascii="Arial" w:cs="Arial" w:eastAsia="Arial" w:hAnsi="Arial"/>
                  <w:sz w:val="14"/>
                  <w:szCs w:val="14"/>
                  <w:color w:val="0000EE"/>
                </w:rPr>
                <w:t>agreements</w:t>
              </w:r>
              <w:r>
                <w:rPr>
                  <w:rFonts w:ascii="Arial" w:cs="Arial" w:eastAsia="Arial" w:hAnsi="Arial"/>
                  <w:sz w:val="14"/>
                  <w:szCs w:val="14"/>
                  <w:u w:val="single" w:color="auto"/>
                  <w:color w:val="000000"/>
                </w:rPr>
                <w:t>.</w:t>
              </w:r>
            </w:hyperlink>
          </w:p>
        </w:tc>
        <w:tc>
          <w:tcPr>
            <w:tcW w:w="1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10.5</w:t>
            </w:r>
          </w:p>
        </w:tc>
        <w:tc>
          <w:tcPr>
            <w:tcW w:w="3520" w:type="dxa"/>
            <w:vAlign w:val="bottom"/>
            <w:gridSpan w:val="17"/>
          </w:tcPr>
          <w:p>
            <w:pPr>
              <w:spacing w:after="0"/>
              <w:rPr>
                <w:rFonts w:ascii="Arial" w:cs="Arial" w:eastAsia="Arial" w:hAnsi="Arial"/>
                <w:sz w:val="14"/>
                <w:szCs w:val="14"/>
                <w:color w:val="0000EE"/>
                <w:w w:val="93"/>
              </w:rPr>
            </w:pPr>
            <w:hyperlink r:id="rId155">
              <w:r>
                <w:rPr>
                  <w:rFonts w:ascii="Arial" w:cs="Arial" w:eastAsia="Arial" w:hAnsi="Arial"/>
                  <w:sz w:val="14"/>
                  <w:szCs w:val="14"/>
                  <w:color w:val="0000EE"/>
                  <w:w w:val="93"/>
                </w:rPr>
                <w:t>Second Amended and Restated Entrepreneur Client License</w:t>
              </w:r>
            </w:hyperlink>
          </w:p>
        </w:tc>
      </w:tr>
      <w:tr>
        <w:trPr>
          <w:trHeight w:val="128"/>
        </w:trPr>
        <w:tc>
          <w:tcPr>
            <w:tcW w:w="840" w:type="dxa"/>
            <w:vAlign w:val="bottom"/>
          </w:tcPr>
          <w:p>
            <w:pPr>
              <w:spacing w:after="0"/>
              <w:rPr>
                <w:sz w:val="11"/>
                <w:szCs w:val="11"/>
                <w:color w:val="auto"/>
              </w:rPr>
            </w:pPr>
          </w:p>
        </w:tc>
        <w:tc>
          <w:tcPr>
            <w:tcW w:w="312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w w:val="91"/>
              </w:rPr>
            </w:pPr>
            <w:hyperlink r:id="rId155">
              <w:r>
                <w:rPr>
                  <w:rFonts w:ascii="Arial" w:cs="Arial" w:eastAsia="Arial" w:hAnsi="Arial"/>
                  <w:sz w:val="14"/>
                  <w:szCs w:val="14"/>
                  <w:color w:val="0000EE"/>
                  <w:w w:val="91"/>
                </w:rPr>
                <w:t>Agreement, dated November 1, 2020, by and between</w:t>
              </w:r>
            </w:hyperlink>
          </w:p>
        </w:tc>
        <w:tc>
          <w:tcPr>
            <w:tcW w:w="320" w:type="dxa"/>
            <w:vAlign w:val="bottom"/>
            <w:tcBorders>
              <w:top w:val="single" w:sz="8" w:color="0000EE"/>
            </w:tcBorders>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840" w:type="dxa"/>
            <w:vAlign w:val="bottom"/>
          </w:tcPr>
          <w:p>
            <w:pPr>
              <w:spacing w:after="0"/>
              <w:rPr>
                <w:sz w:val="11"/>
                <w:szCs w:val="11"/>
                <w:color w:val="auto"/>
              </w:rPr>
            </w:pPr>
          </w:p>
        </w:tc>
        <w:tc>
          <w:tcPr>
            <w:tcW w:w="3520" w:type="dxa"/>
            <w:vAlign w:val="bottom"/>
            <w:gridSpan w:val="17"/>
          </w:tcPr>
          <w:p>
            <w:pPr>
              <w:spacing w:after="0" w:line="129" w:lineRule="exact"/>
              <w:rPr>
                <w:rFonts w:ascii="Arial" w:cs="Arial" w:eastAsia="Arial" w:hAnsi="Arial"/>
                <w:sz w:val="14"/>
                <w:szCs w:val="14"/>
                <w:color w:val="0000EE"/>
                <w:w w:val="93"/>
              </w:rPr>
            </w:pPr>
            <w:hyperlink r:id="rId155">
              <w:r>
                <w:rPr>
                  <w:rFonts w:ascii="Arial" w:cs="Arial" w:eastAsia="Arial" w:hAnsi="Arial"/>
                  <w:sz w:val="14"/>
                  <w:szCs w:val="14"/>
                  <w:color w:val="0000EE"/>
                  <w:w w:val="93"/>
                </w:rPr>
                <w:t>Prelude Therapeutics Incorporated and Delaware Innovation</w:t>
              </w:r>
            </w:hyperlink>
          </w:p>
        </w:tc>
      </w:tr>
      <w:tr>
        <w:trPr>
          <w:trHeight w:val="128"/>
        </w:trPr>
        <w:tc>
          <w:tcPr>
            <w:tcW w:w="840" w:type="dxa"/>
            <w:vAlign w:val="bottom"/>
          </w:tcPr>
          <w:p>
            <w:pPr>
              <w:spacing w:after="0"/>
              <w:rPr>
                <w:sz w:val="11"/>
                <w:szCs w:val="11"/>
                <w:color w:val="auto"/>
              </w:rPr>
            </w:pPr>
          </w:p>
        </w:tc>
        <w:tc>
          <w:tcPr>
            <w:tcW w:w="348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r:id="rId155">
              <w:r>
                <w:rPr>
                  <w:rFonts w:ascii="Arial" w:cs="Arial" w:eastAsia="Arial" w:hAnsi="Arial"/>
                  <w:sz w:val="14"/>
                  <w:szCs w:val="14"/>
                  <w:color w:val="0000EE"/>
                </w:rPr>
                <w:t>Space, Inc.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10.6</w:t>
            </w:r>
          </w:p>
        </w:tc>
        <w:tc>
          <w:tcPr>
            <w:tcW w:w="3260" w:type="dxa"/>
            <w:vAlign w:val="bottom"/>
            <w:tcBorders>
              <w:bottom w:val="single" w:sz="8" w:color="0000EE"/>
            </w:tcBorders>
            <w:gridSpan w:val="10"/>
          </w:tcPr>
          <w:p>
            <w:pPr>
              <w:spacing w:after="0"/>
              <w:rPr>
                <w:rFonts w:ascii="Arial" w:cs="Arial" w:eastAsia="Arial" w:hAnsi="Arial"/>
                <w:sz w:val="14"/>
                <w:szCs w:val="14"/>
                <w:color w:val="0000EE"/>
                <w:w w:val="92"/>
              </w:rPr>
            </w:pPr>
            <w:hyperlink r:id="rId156">
              <w:r>
                <w:rPr>
                  <w:rFonts w:ascii="Arial" w:cs="Arial" w:eastAsia="Arial" w:hAnsi="Arial"/>
                  <w:sz w:val="14"/>
                  <w:szCs w:val="14"/>
                  <w:color w:val="0000EE"/>
                  <w:w w:val="92"/>
                </w:rPr>
                <w:t>Executive Employment Agreement, dated December 30,</w:t>
              </w:r>
            </w:hyperlink>
          </w:p>
        </w:tc>
        <w:tc>
          <w:tcPr>
            <w:tcW w:w="260" w:type="dxa"/>
            <w:vAlign w:val="bottom"/>
            <w:gridSpan w:val="7"/>
          </w:tcPr>
          <w:p>
            <w:pPr>
              <w:spacing w:after="0"/>
              <w:rPr>
                <w:sz w:val="24"/>
                <w:szCs w:val="24"/>
                <w:color w:val="auto"/>
              </w:rPr>
            </w:pPr>
          </w:p>
        </w:tc>
      </w:tr>
      <w:tr>
        <w:trPr>
          <w:trHeight w:val="128"/>
        </w:trPr>
        <w:tc>
          <w:tcPr>
            <w:tcW w:w="840" w:type="dxa"/>
            <w:vAlign w:val="bottom"/>
          </w:tcPr>
          <w:p>
            <w:pPr>
              <w:spacing w:after="0"/>
              <w:rPr>
                <w:sz w:val="11"/>
                <w:szCs w:val="11"/>
                <w:color w:val="auto"/>
              </w:rPr>
            </w:pPr>
          </w:p>
        </w:tc>
        <w:tc>
          <w:tcPr>
            <w:tcW w:w="3520" w:type="dxa"/>
            <w:vAlign w:val="bottom"/>
            <w:gridSpan w:val="17"/>
          </w:tcPr>
          <w:p>
            <w:pPr>
              <w:spacing w:after="0" w:line="129" w:lineRule="exact"/>
              <w:rPr>
                <w:rFonts w:ascii="Arial" w:cs="Arial" w:eastAsia="Arial" w:hAnsi="Arial"/>
                <w:sz w:val="14"/>
                <w:szCs w:val="14"/>
                <w:color w:val="0000EE"/>
                <w:w w:val="91"/>
              </w:rPr>
            </w:pPr>
            <w:hyperlink r:id="rId156">
              <w:r>
                <w:rPr>
                  <w:rFonts w:ascii="Arial" w:cs="Arial" w:eastAsia="Arial" w:hAnsi="Arial"/>
                  <w:sz w:val="14"/>
                  <w:szCs w:val="14"/>
                  <w:color w:val="0000EE"/>
                  <w:w w:val="91"/>
                </w:rPr>
                <w:t>2020, by and between the Prelude Therapeutics Incorporated</w:t>
              </w:r>
            </w:hyperlink>
          </w:p>
        </w:tc>
      </w:tr>
      <w:tr>
        <w:trPr>
          <w:trHeight w:val="128"/>
        </w:trPr>
        <w:tc>
          <w:tcPr>
            <w:tcW w:w="840" w:type="dxa"/>
            <w:vAlign w:val="bottom"/>
          </w:tcPr>
          <w:p>
            <w:pPr>
              <w:spacing w:after="0"/>
              <w:rPr>
                <w:sz w:val="11"/>
                <w:szCs w:val="11"/>
                <w:color w:val="auto"/>
              </w:rPr>
            </w:pPr>
          </w:p>
        </w:tc>
        <w:tc>
          <w:tcPr>
            <w:tcW w:w="350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r:id="rId156">
              <w:r>
                <w:rPr>
                  <w:rFonts w:ascii="Arial" w:cs="Arial" w:eastAsia="Arial" w:hAnsi="Arial"/>
                  <w:sz w:val="14"/>
                  <w:szCs w:val="14"/>
                  <w:color w:val="0000EE"/>
                </w:rPr>
                <w:t>and Krishna Vaddi</w:t>
              </w:r>
              <w:r>
                <w:rPr>
                  <w:rFonts w:ascii="Arial" w:cs="Arial" w:eastAsia="Arial" w:hAnsi="Arial"/>
                  <w:sz w:val="14"/>
                  <w:szCs w:val="14"/>
                  <w:u w:val="single" w:color="auto"/>
                  <w:color w:val="000000"/>
                </w:rPr>
                <w:t>.</w:t>
              </w:r>
            </w:hyperlink>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10.7*</w:t>
            </w:r>
          </w:p>
        </w:tc>
        <w:tc>
          <w:tcPr>
            <w:tcW w:w="3520" w:type="dxa"/>
            <w:vAlign w:val="bottom"/>
            <w:gridSpan w:val="17"/>
          </w:tcPr>
          <w:p>
            <w:pPr>
              <w:spacing w:after="0"/>
              <w:rPr>
                <w:rFonts w:ascii="Arial" w:cs="Arial" w:eastAsia="Arial" w:hAnsi="Arial"/>
                <w:sz w:val="14"/>
                <w:szCs w:val="14"/>
                <w:color w:val="0000EE"/>
              </w:rPr>
            </w:pPr>
            <w:hyperlink w:anchor="page130">
              <w:r>
                <w:rPr>
                  <w:rFonts w:ascii="Arial" w:cs="Arial" w:eastAsia="Arial" w:hAnsi="Arial"/>
                  <w:sz w:val="14"/>
                  <w:szCs w:val="14"/>
                  <w:color w:val="0000EE"/>
                </w:rPr>
                <w:t>Executive Employment Agreement, dated December 19,</w:t>
              </w:r>
            </w:hyperlink>
          </w:p>
        </w:tc>
      </w:tr>
      <w:tr>
        <w:trPr>
          <w:trHeight w:val="128"/>
        </w:trPr>
        <w:tc>
          <w:tcPr>
            <w:tcW w:w="840" w:type="dxa"/>
            <w:vAlign w:val="bottom"/>
          </w:tcPr>
          <w:p>
            <w:pPr>
              <w:spacing w:after="0"/>
              <w:rPr>
                <w:sz w:val="11"/>
                <w:szCs w:val="11"/>
                <w:color w:val="auto"/>
              </w:rPr>
            </w:pPr>
          </w:p>
        </w:tc>
        <w:tc>
          <w:tcPr>
            <w:tcW w:w="3240" w:type="dxa"/>
            <w:vAlign w:val="bottom"/>
            <w:tcBorders>
              <w:top w:val="single" w:sz="8" w:color="0000EE"/>
              <w:bottom w:val="single" w:sz="8" w:color="0000EE"/>
            </w:tcBorders>
            <w:gridSpan w:val="9"/>
          </w:tcPr>
          <w:p>
            <w:pPr>
              <w:spacing w:after="0" w:line="129" w:lineRule="exact"/>
              <w:rPr>
                <w:rFonts w:ascii="Arial" w:cs="Arial" w:eastAsia="Arial" w:hAnsi="Arial"/>
                <w:sz w:val="14"/>
                <w:szCs w:val="14"/>
                <w:color w:val="0000EE"/>
                <w:w w:val="90"/>
              </w:rPr>
            </w:pPr>
            <w:hyperlink w:anchor="page130">
              <w:r>
                <w:rPr>
                  <w:rFonts w:ascii="Arial" w:cs="Arial" w:eastAsia="Arial" w:hAnsi="Arial"/>
                  <w:sz w:val="14"/>
                  <w:szCs w:val="14"/>
                  <w:color w:val="0000EE"/>
                  <w:w w:val="90"/>
                </w:rPr>
                <w:t>2020, by and between the Registrant and Peggy Scherle.</w:t>
              </w:r>
            </w:hyperlink>
          </w:p>
        </w:tc>
        <w:tc>
          <w:tcPr>
            <w:tcW w:w="280" w:type="dxa"/>
            <w:vAlign w:val="bottom"/>
            <w:gridSpan w:val="8"/>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X</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 w:type="dxa"/>
            <w:vAlign w:val="bottom"/>
          </w:tcPr>
          <w:p>
            <w:pPr>
              <w:jc w:val="center"/>
              <w:ind w:right="388"/>
              <w:spacing w:after="0"/>
              <w:rPr>
                <w:sz w:val="20"/>
                <w:szCs w:val="20"/>
                <w:color w:val="auto"/>
              </w:rPr>
            </w:pPr>
            <w:r>
              <w:rPr>
                <w:rFonts w:ascii="Arial" w:cs="Arial" w:eastAsia="Arial" w:hAnsi="Arial"/>
                <w:sz w:val="14"/>
                <w:szCs w:val="14"/>
                <w:color w:val="auto"/>
                <w:w w:val="91"/>
              </w:rPr>
              <w:t>S-1</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10.1</w:t>
            </w:r>
          </w:p>
        </w:tc>
        <w:tc>
          <w:tcPr>
            <w:tcW w:w="1520" w:type="dxa"/>
            <w:vAlign w:val="bottom"/>
          </w:tcPr>
          <w:p>
            <w:pPr>
              <w:jc w:val="center"/>
              <w:ind w:left="288"/>
              <w:spacing w:after="0"/>
              <w:rPr>
                <w:sz w:val="20"/>
                <w:szCs w:val="20"/>
                <w:color w:val="auto"/>
              </w:rPr>
            </w:pPr>
            <w:r>
              <w:rPr>
                <w:rFonts w:ascii="Arial" w:cs="Arial" w:eastAsia="Arial" w:hAnsi="Arial"/>
                <w:sz w:val="14"/>
                <w:szCs w:val="14"/>
                <w:color w:val="auto"/>
                <w:w w:val="90"/>
              </w:rPr>
              <w:t>September 4, 2020</w:t>
            </w:r>
          </w:p>
        </w:tc>
      </w:tr>
      <w:tr>
        <w:trPr>
          <w:trHeight w:val="473"/>
        </w:trPr>
        <w:tc>
          <w:tcPr>
            <w:tcW w:w="820" w:type="dxa"/>
            <w:vAlign w:val="bottom"/>
          </w:tcPr>
          <w:p>
            <w:pPr>
              <w:jc w:val="center"/>
              <w:ind w:right="388"/>
              <w:spacing w:after="0"/>
              <w:rPr>
                <w:sz w:val="20"/>
                <w:szCs w:val="20"/>
                <w:color w:val="auto"/>
              </w:rPr>
            </w:pPr>
            <w:r>
              <w:rPr>
                <w:rFonts w:ascii="Arial" w:cs="Arial" w:eastAsia="Arial" w:hAnsi="Arial"/>
                <w:sz w:val="14"/>
                <w:szCs w:val="14"/>
                <w:color w:val="auto"/>
                <w:w w:val="91"/>
              </w:rPr>
              <w:t>S-1</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10.2</w:t>
            </w:r>
          </w:p>
        </w:tc>
        <w:tc>
          <w:tcPr>
            <w:tcW w:w="1520" w:type="dxa"/>
            <w:vAlign w:val="bottom"/>
          </w:tcPr>
          <w:p>
            <w:pPr>
              <w:jc w:val="center"/>
              <w:ind w:left="288"/>
              <w:spacing w:after="0"/>
              <w:rPr>
                <w:sz w:val="20"/>
                <w:szCs w:val="20"/>
                <w:color w:val="auto"/>
              </w:rPr>
            </w:pPr>
            <w:r>
              <w:rPr>
                <w:rFonts w:ascii="Arial" w:cs="Arial" w:eastAsia="Arial" w:hAnsi="Arial"/>
                <w:sz w:val="14"/>
                <w:szCs w:val="14"/>
                <w:color w:val="auto"/>
                <w:w w:val="90"/>
              </w:rPr>
              <w:t>September 4, 2020</w:t>
            </w:r>
          </w:p>
        </w:tc>
      </w:tr>
      <w:tr>
        <w:trPr>
          <w:trHeight w:val="473"/>
        </w:trPr>
        <w:tc>
          <w:tcPr>
            <w:tcW w:w="820" w:type="dxa"/>
            <w:vAlign w:val="bottom"/>
          </w:tcPr>
          <w:p>
            <w:pPr>
              <w:jc w:val="center"/>
              <w:ind w:right="388"/>
              <w:spacing w:after="0"/>
              <w:rPr>
                <w:sz w:val="20"/>
                <w:szCs w:val="20"/>
                <w:color w:val="auto"/>
              </w:rPr>
            </w:pPr>
            <w:r>
              <w:rPr>
                <w:rFonts w:ascii="Arial" w:cs="Arial" w:eastAsia="Arial" w:hAnsi="Arial"/>
                <w:sz w:val="14"/>
                <w:szCs w:val="14"/>
                <w:color w:val="auto"/>
              </w:rPr>
              <w:t>S-1/A</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10.3</w:t>
            </w: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89"/>
              </w:rPr>
              <w:t>September 21, 2020</w:t>
            </w:r>
          </w:p>
        </w:tc>
      </w:tr>
      <w:tr>
        <w:trPr>
          <w:trHeight w:val="324"/>
        </w:trPr>
        <w:tc>
          <w:tcPr>
            <w:tcW w:w="820" w:type="dxa"/>
            <w:vAlign w:val="bottom"/>
          </w:tcPr>
          <w:p>
            <w:pPr>
              <w:jc w:val="center"/>
              <w:ind w:right="388"/>
              <w:spacing w:after="0"/>
              <w:rPr>
                <w:sz w:val="20"/>
                <w:szCs w:val="20"/>
                <w:color w:val="auto"/>
              </w:rPr>
            </w:pPr>
            <w:r>
              <w:rPr>
                <w:rFonts w:ascii="Arial" w:cs="Arial" w:eastAsia="Arial" w:hAnsi="Arial"/>
                <w:sz w:val="14"/>
                <w:szCs w:val="14"/>
                <w:color w:val="auto"/>
              </w:rPr>
              <w:t>S-1/A</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333-248628</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10.4</w:t>
            </w: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89"/>
              </w:rPr>
              <w:t>September 21, 2020</w:t>
            </w:r>
          </w:p>
        </w:tc>
      </w:tr>
      <w:tr>
        <w:trPr>
          <w:trHeight w:val="473"/>
        </w:trPr>
        <w:tc>
          <w:tcPr>
            <w:tcW w:w="820" w:type="dxa"/>
            <w:vAlign w:val="bottom"/>
          </w:tcPr>
          <w:p>
            <w:pPr>
              <w:jc w:val="center"/>
              <w:ind w:right="368"/>
              <w:spacing w:after="0"/>
              <w:rPr>
                <w:sz w:val="20"/>
                <w:szCs w:val="20"/>
                <w:color w:val="auto"/>
              </w:rPr>
            </w:pPr>
            <w:r>
              <w:rPr>
                <w:rFonts w:ascii="Arial" w:cs="Arial" w:eastAsia="Arial" w:hAnsi="Arial"/>
                <w:sz w:val="14"/>
                <w:szCs w:val="14"/>
                <w:color w:val="auto"/>
              </w:rPr>
              <w:t>8-K</w:t>
            </w:r>
          </w:p>
        </w:tc>
        <w:tc>
          <w:tcPr>
            <w:tcW w:w="1620" w:type="dxa"/>
            <w:vAlign w:val="bottom"/>
          </w:tcPr>
          <w:p>
            <w:pPr>
              <w:jc w:val="center"/>
              <w:spacing w:after="0"/>
              <w:rPr>
                <w:sz w:val="20"/>
                <w:szCs w:val="20"/>
                <w:color w:val="auto"/>
              </w:rPr>
            </w:pPr>
            <w:r>
              <w:rPr>
                <w:rFonts w:ascii="Arial" w:cs="Arial" w:eastAsia="Arial" w:hAnsi="Arial"/>
                <w:sz w:val="14"/>
                <w:szCs w:val="14"/>
                <w:color w:val="auto"/>
                <w:w w:val="92"/>
              </w:rPr>
              <w:t>001-39527</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10.1</w:t>
            </w: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92"/>
              </w:rPr>
              <w:t>November 4, 2020</w:t>
            </w:r>
          </w:p>
        </w:tc>
      </w:tr>
      <w:tr>
        <w:trPr>
          <w:trHeight w:val="770"/>
        </w:trPr>
        <w:tc>
          <w:tcPr>
            <w:tcW w:w="820" w:type="dxa"/>
            <w:vAlign w:val="bottom"/>
          </w:tcPr>
          <w:p>
            <w:pPr>
              <w:jc w:val="center"/>
              <w:ind w:right="388"/>
              <w:spacing w:after="0"/>
              <w:rPr>
                <w:sz w:val="20"/>
                <w:szCs w:val="20"/>
                <w:color w:val="auto"/>
              </w:rPr>
            </w:pPr>
            <w:r>
              <w:rPr>
                <w:rFonts w:ascii="Arial" w:cs="Arial" w:eastAsia="Arial" w:hAnsi="Arial"/>
                <w:sz w:val="14"/>
                <w:szCs w:val="14"/>
                <w:color w:val="auto"/>
                <w:w w:val="91"/>
              </w:rPr>
              <w:t>S-1</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333-251874</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10.6</w:t>
            </w:r>
          </w:p>
        </w:tc>
        <w:tc>
          <w:tcPr>
            <w:tcW w:w="1520" w:type="dxa"/>
            <w:vAlign w:val="bottom"/>
          </w:tcPr>
          <w:p>
            <w:pPr>
              <w:jc w:val="center"/>
              <w:ind w:left="308"/>
              <w:spacing w:after="0"/>
              <w:rPr>
                <w:sz w:val="20"/>
                <w:szCs w:val="20"/>
                <w:color w:val="auto"/>
              </w:rPr>
            </w:pPr>
            <w:r>
              <w:rPr>
                <w:rFonts w:ascii="Arial" w:cs="Arial" w:eastAsia="Arial" w:hAnsi="Arial"/>
                <w:sz w:val="14"/>
                <w:szCs w:val="14"/>
                <w:color w:val="auto"/>
                <w:w w:val="89"/>
              </w:rPr>
              <w:t>January 4, 2021</w:t>
            </w:r>
          </w:p>
        </w:tc>
      </w:tr>
    </w:tbl>
    <w:p>
      <w:pPr>
        <w:spacing w:after="0" w:line="200" w:lineRule="exact"/>
        <w:rPr>
          <w:sz w:val="20"/>
          <w:szCs w:val="20"/>
          <w:color w:val="auto"/>
        </w:rPr>
      </w:pPr>
    </w:p>
    <w:p>
      <w:pPr>
        <w:spacing w:after="0" w:line="239"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X</w:t>
      </w:r>
    </w:p>
    <w:p>
      <w:pPr>
        <w:spacing w:after="0" w:line="368" w:lineRule="exact"/>
        <w:rPr>
          <w:sz w:val="20"/>
          <w:szCs w:val="20"/>
          <w:color w:val="auto"/>
        </w:rPr>
      </w:pPr>
    </w:p>
    <w:p>
      <w:pPr>
        <w:sectPr>
          <w:pgSz w:w="11900" w:h="16838" w:orient="portrait"/>
          <w:cols w:equalWidth="0" w:num="2">
            <w:col w:w="4340" w:space="380"/>
            <w:col w:w="6540"/>
          </w:cols>
          <w:pgMar w:left="320" w:top="337" w:right="31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20" w:name="page121"/>
    <w:bookmarkEnd w:id="120"/>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23"/>
            <w:vMerge w:val="restart"/>
          </w:tcPr>
          <w:p>
            <w:pPr>
              <w:ind w:left="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6"/>
        </w:trPr>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Number</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840" w:type="dxa"/>
            <w:vAlign w:val="bottom"/>
          </w:tcPr>
          <w:p>
            <w:pPr>
              <w:spacing w:after="0"/>
              <w:rPr>
                <w:sz w:val="20"/>
                <w:szCs w:val="20"/>
                <w:color w:val="auto"/>
              </w:rPr>
            </w:pPr>
            <w:r>
              <w:rPr>
                <w:rFonts w:ascii="Arial" w:cs="Arial" w:eastAsia="Arial" w:hAnsi="Arial"/>
                <w:sz w:val="14"/>
                <w:szCs w:val="14"/>
                <w:color w:val="auto"/>
              </w:rPr>
              <w:t>10.8*</w:t>
            </w:r>
          </w:p>
        </w:tc>
        <w:tc>
          <w:tcPr>
            <w:tcW w:w="3520" w:type="dxa"/>
            <w:vAlign w:val="bottom"/>
            <w:gridSpan w:val="25"/>
          </w:tcPr>
          <w:p>
            <w:pPr>
              <w:spacing w:after="0"/>
              <w:rPr>
                <w:rFonts w:ascii="Arial" w:cs="Arial" w:eastAsia="Arial" w:hAnsi="Arial"/>
                <w:sz w:val="14"/>
                <w:szCs w:val="14"/>
                <w:color w:val="0000EE"/>
              </w:rPr>
            </w:pPr>
            <w:hyperlink w:anchor="page142">
              <w:r>
                <w:rPr>
                  <w:rFonts w:ascii="Arial" w:cs="Arial" w:eastAsia="Arial" w:hAnsi="Arial"/>
                  <w:sz w:val="14"/>
                  <w:szCs w:val="14"/>
                  <w:color w:val="0000EE"/>
                </w:rPr>
                <w:t>Executive Employment Agreement, dated December 19,</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260" w:type="dxa"/>
            <w:vAlign w:val="bottom"/>
            <w:tcBorders>
              <w:top w:val="single" w:sz="8" w:color="0000EE"/>
              <w:bottom w:val="single" w:sz="8" w:color="0000EE"/>
            </w:tcBorders>
            <w:gridSpan w:val="15"/>
          </w:tcPr>
          <w:p>
            <w:pPr>
              <w:spacing w:after="0" w:line="129" w:lineRule="exact"/>
              <w:rPr>
                <w:rFonts w:ascii="Arial" w:cs="Arial" w:eastAsia="Arial" w:hAnsi="Arial"/>
                <w:sz w:val="14"/>
                <w:szCs w:val="14"/>
                <w:color w:val="0000EE"/>
                <w:w w:val="90"/>
              </w:rPr>
            </w:pPr>
            <w:hyperlink w:anchor="page142">
              <w:r>
                <w:rPr>
                  <w:rFonts w:ascii="Arial" w:cs="Arial" w:eastAsia="Arial" w:hAnsi="Arial"/>
                  <w:sz w:val="14"/>
                  <w:szCs w:val="14"/>
                  <w:color w:val="0000EE"/>
                  <w:w w:val="90"/>
                </w:rPr>
                <w:t>2020, by and between the Registrant and Andrew Combs.</w:t>
              </w:r>
            </w:hyperlink>
          </w:p>
        </w:tc>
        <w:tc>
          <w:tcPr>
            <w:tcW w:w="60" w:type="dxa"/>
            <w:vAlign w:val="bottom"/>
            <w:tcBorders>
              <w:bottom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10.9*</w:t>
            </w:r>
          </w:p>
        </w:tc>
        <w:tc>
          <w:tcPr>
            <w:tcW w:w="3520" w:type="dxa"/>
            <w:vAlign w:val="bottom"/>
            <w:gridSpan w:val="25"/>
          </w:tcPr>
          <w:p>
            <w:pPr>
              <w:spacing w:after="0"/>
              <w:rPr>
                <w:rFonts w:ascii="Arial" w:cs="Arial" w:eastAsia="Arial" w:hAnsi="Arial"/>
                <w:sz w:val="14"/>
                <w:szCs w:val="14"/>
                <w:color w:val="0000EE"/>
              </w:rPr>
            </w:pPr>
            <w:hyperlink w:anchor="page154">
              <w:r>
                <w:rPr>
                  <w:rFonts w:ascii="Arial" w:cs="Arial" w:eastAsia="Arial" w:hAnsi="Arial"/>
                  <w:sz w:val="14"/>
                  <w:szCs w:val="14"/>
                  <w:color w:val="0000EE"/>
                </w:rPr>
                <w:t>Executive Employment Agreement, dated November 5,</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200" w:type="dxa"/>
            <w:vAlign w:val="bottom"/>
            <w:tcBorders>
              <w:top w:val="single" w:sz="8" w:color="0000EE"/>
              <w:bottom w:val="single" w:sz="8" w:color="0000EE"/>
            </w:tcBorders>
            <w:gridSpan w:val="12"/>
          </w:tcPr>
          <w:p>
            <w:pPr>
              <w:spacing w:after="0" w:line="129" w:lineRule="exact"/>
              <w:rPr>
                <w:rFonts w:ascii="Arial" w:cs="Arial" w:eastAsia="Arial" w:hAnsi="Arial"/>
                <w:sz w:val="14"/>
                <w:szCs w:val="14"/>
                <w:color w:val="0000EE"/>
                <w:w w:val="87"/>
              </w:rPr>
            </w:pPr>
            <w:hyperlink w:anchor="page154">
              <w:r>
                <w:rPr>
                  <w:rFonts w:ascii="Arial" w:cs="Arial" w:eastAsia="Arial" w:hAnsi="Arial"/>
                  <w:sz w:val="14"/>
                  <w:szCs w:val="14"/>
                  <w:color w:val="0000EE"/>
                  <w:w w:val="87"/>
                </w:rPr>
                <w:t>2021, by and between Registrant and Laurent Chardonnet.</w:t>
              </w:r>
            </w:hyperlink>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80" w:type="dxa"/>
            <w:vAlign w:val="bottom"/>
            <w:tcBorders>
              <w:bottom w:val="single" w:sz="8" w:color="0000EE"/>
            </w:tcBorders>
            <w:gridSpan w:val="2"/>
          </w:tcPr>
          <w:p>
            <w:pPr>
              <w:spacing w:after="0"/>
              <w:rPr>
                <w:sz w:val="11"/>
                <w:szCs w:val="11"/>
                <w:color w:val="auto"/>
              </w:rPr>
            </w:pPr>
          </w:p>
        </w:tc>
        <w:tc>
          <w:tcPr>
            <w:tcW w:w="4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10.10*</w:t>
            </w:r>
          </w:p>
        </w:tc>
        <w:tc>
          <w:tcPr>
            <w:tcW w:w="3520" w:type="dxa"/>
            <w:vAlign w:val="bottom"/>
            <w:gridSpan w:val="25"/>
          </w:tcPr>
          <w:p>
            <w:pPr>
              <w:spacing w:after="0"/>
              <w:rPr>
                <w:rFonts w:ascii="Arial" w:cs="Arial" w:eastAsia="Arial" w:hAnsi="Arial"/>
                <w:sz w:val="14"/>
                <w:szCs w:val="14"/>
                <w:color w:val="0000EE"/>
              </w:rPr>
            </w:pPr>
            <w:hyperlink w:anchor="page166">
              <w:r>
                <w:rPr>
                  <w:rFonts w:ascii="Arial" w:cs="Arial" w:eastAsia="Arial" w:hAnsi="Arial"/>
                  <w:sz w:val="14"/>
                  <w:szCs w:val="14"/>
                  <w:color w:val="0000EE"/>
                </w:rPr>
                <w:t>Executive Employment Agreement, dated December 19,</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060" w:type="dxa"/>
            <w:vAlign w:val="bottom"/>
            <w:tcBorders>
              <w:top w:val="single" w:sz="8" w:color="0000EE"/>
              <w:bottom w:val="single" w:sz="8" w:color="0000EE"/>
            </w:tcBorders>
            <w:gridSpan w:val="9"/>
          </w:tcPr>
          <w:p>
            <w:pPr>
              <w:spacing w:after="0" w:line="129" w:lineRule="exact"/>
              <w:rPr>
                <w:rFonts w:ascii="Arial" w:cs="Arial" w:eastAsia="Arial" w:hAnsi="Arial"/>
                <w:sz w:val="14"/>
                <w:szCs w:val="14"/>
                <w:color w:val="0000EE"/>
                <w:w w:val="91"/>
              </w:rPr>
            </w:pPr>
            <w:hyperlink w:anchor="page166">
              <w:r>
                <w:rPr>
                  <w:rFonts w:ascii="Arial" w:cs="Arial" w:eastAsia="Arial" w:hAnsi="Arial"/>
                  <w:sz w:val="14"/>
                  <w:szCs w:val="14"/>
                  <w:color w:val="0000EE"/>
                  <w:w w:val="91"/>
                </w:rPr>
                <w:t>2020, by and between the Registrant and Brian Piper.</w:t>
              </w:r>
            </w:hyperlink>
          </w:p>
        </w:tc>
        <w:tc>
          <w:tcPr>
            <w:tcW w:w="180" w:type="dxa"/>
            <w:vAlign w:val="bottom"/>
            <w:tcBorders>
              <w:top w:val="single" w:sz="8" w:color="0000EE"/>
            </w:tcBorders>
            <w:gridSpan w:val="5"/>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10.11*</w:t>
            </w:r>
          </w:p>
        </w:tc>
        <w:tc>
          <w:tcPr>
            <w:tcW w:w="3520" w:type="dxa"/>
            <w:vAlign w:val="bottom"/>
            <w:gridSpan w:val="25"/>
          </w:tcPr>
          <w:p>
            <w:pPr>
              <w:spacing w:after="0"/>
              <w:rPr>
                <w:rFonts w:ascii="Arial" w:cs="Arial" w:eastAsia="Arial" w:hAnsi="Arial"/>
                <w:sz w:val="14"/>
                <w:szCs w:val="14"/>
                <w:color w:val="0000EE"/>
                <w:w w:val="95"/>
              </w:rPr>
            </w:pPr>
            <w:hyperlink w:anchor="page178">
              <w:r>
                <w:rPr>
                  <w:rFonts w:ascii="Arial" w:cs="Arial" w:eastAsia="Arial" w:hAnsi="Arial"/>
                  <w:sz w:val="14"/>
                  <w:szCs w:val="14"/>
                  <w:color w:val="0000EE"/>
                  <w:w w:val="95"/>
                </w:rPr>
                <w:t>Single-Tenant Triple Net Lease, dated November 30, 2021,</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220" w:type="dxa"/>
            <w:vAlign w:val="bottom"/>
            <w:tcBorders>
              <w:top w:val="single" w:sz="8" w:color="0000EE"/>
              <w:bottom w:val="single" w:sz="8" w:color="0000EE"/>
            </w:tcBorders>
            <w:gridSpan w:val="13"/>
          </w:tcPr>
          <w:p>
            <w:pPr>
              <w:spacing w:after="0" w:line="129" w:lineRule="exact"/>
              <w:rPr>
                <w:rFonts w:ascii="Arial" w:cs="Arial" w:eastAsia="Arial" w:hAnsi="Arial"/>
                <w:sz w:val="14"/>
                <w:szCs w:val="14"/>
                <w:color w:val="0000EE"/>
                <w:w w:val="91"/>
              </w:rPr>
            </w:pPr>
            <w:hyperlink w:anchor="page178">
              <w:r>
                <w:rPr>
                  <w:rFonts w:ascii="Arial" w:cs="Arial" w:eastAsia="Arial" w:hAnsi="Arial"/>
                  <w:sz w:val="14"/>
                  <w:szCs w:val="14"/>
                  <w:color w:val="0000EE"/>
                  <w:w w:val="91"/>
                </w:rPr>
                <w:t>by and between the Registrant and Crisp Partners, LLC.</w:t>
              </w:r>
            </w:hyperlink>
          </w:p>
        </w:tc>
        <w:tc>
          <w:tcPr>
            <w:tcW w:w="180" w:type="dxa"/>
            <w:vAlign w:val="bottom"/>
            <w:tcBorders>
              <w:top w:val="single" w:sz="8" w:color="0000EE"/>
            </w:tcBorders>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840" w:type="dxa"/>
            <w:vAlign w:val="bottom"/>
          </w:tcPr>
          <w:p>
            <w:pPr>
              <w:spacing w:after="0"/>
              <w:rPr>
                <w:sz w:val="20"/>
                <w:szCs w:val="20"/>
                <w:color w:val="auto"/>
              </w:rPr>
            </w:pPr>
            <w:r>
              <w:rPr>
                <w:rFonts w:ascii="Arial" w:cs="Arial" w:eastAsia="Arial" w:hAnsi="Arial"/>
                <w:sz w:val="14"/>
                <w:szCs w:val="14"/>
                <w:color w:val="auto"/>
              </w:rPr>
              <w:t>10.12*</w:t>
            </w:r>
          </w:p>
        </w:tc>
        <w:tc>
          <w:tcPr>
            <w:tcW w:w="3520" w:type="dxa"/>
            <w:vAlign w:val="bottom"/>
            <w:gridSpan w:val="25"/>
          </w:tcPr>
          <w:p>
            <w:pPr>
              <w:spacing w:after="0"/>
              <w:rPr>
                <w:rFonts w:ascii="Arial" w:cs="Arial" w:eastAsia="Arial" w:hAnsi="Arial"/>
                <w:sz w:val="14"/>
                <w:szCs w:val="14"/>
                <w:color w:val="0000EE"/>
                <w:w w:val="96"/>
              </w:rPr>
            </w:pPr>
            <w:hyperlink w:anchor="page286">
              <w:r>
                <w:rPr>
                  <w:rFonts w:ascii="Arial" w:cs="Arial" w:eastAsia="Arial" w:hAnsi="Arial"/>
                  <w:sz w:val="14"/>
                  <w:szCs w:val="14"/>
                  <w:color w:val="0000EE"/>
                  <w:w w:val="96"/>
                </w:rPr>
                <w:t>First Amendment to Single-Tenant Triple Net Lease, dated</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380" w:type="dxa"/>
            <w:vAlign w:val="bottom"/>
            <w:tcBorders>
              <w:top w:val="single" w:sz="8" w:color="0000EE"/>
            </w:tcBorders>
            <w:gridSpan w:val="18"/>
          </w:tcPr>
          <w:p>
            <w:pPr>
              <w:spacing w:after="0" w:line="129" w:lineRule="exact"/>
              <w:rPr>
                <w:rFonts w:ascii="Arial" w:cs="Arial" w:eastAsia="Arial" w:hAnsi="Arial"/>
                <w:sz w:val="14"/>
                <w:szCs w:val="14"/>
                <w:color w:val="0000EE"/>
                <w:w w:val="97"/>
              </w:rPr>
            </w:pPr>
            <w:hyperlink w:anchor="page286">
              <w:r>
                <w:rPr>
                  <w:rFonts w:ascii="Arial" w:cs="Arial" w:eastAsia="Arial" w:hAnsi="Arial"/>
                  <w:sz w:val="14"/>
                  <w:szCs w:val="14"/>
                  <w:color w:val="0000EE"/>
                  <w:w w:val="97"/>
                </w:rPr>
                <w:t>November 15, 2021 by and between the Registrant and</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6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w:anchor="page286">
              <w:r>
                <w:rPr>
                  <w:rFonts w:ascii="Arial" w:cs="Arial" w:eastAsia="Arial" w:hAnsi="Arial"/>
                  <w:sz w:val="14"/>
                  <w:szCs w:val="14"/>
                  <w:color w:val="0000EE"/>
                </w:rPr>
                <w:t>Crisp Partners, LLC</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140" w:type="dxa"/>
            <w:vAlign w:val="bottom"/>
            <w:gridSpan w:val="5"/>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21.1</w:t>
            </w:r>
          </w:p>
        </w:tc>
        <w:tc>
          <w:tcPr>
            <w:tcW w:w="3520" w:type="dxa"/>
            <w:vAlign w:val="bottom"/>
            <w:gridSpan w:val="25"/>
          </w:tcPr>
          <w:p>
            <w:pPr>
              <w:spacing w:after="0"/>
              <w:rPr>
                <w:rFonts w:ascii="Arial" w:cs="Arial" w:eastAsia="Arial" w:hAnsi="Arial"/>
                <w:sz w:val="14"/>
                <w:szCs w:val="14"/>
                <w:color w:val="0000EE"/>
              </w:rPr>
            </w:pPr>
            <w:hyperlink r:id="rId158">
              <w:r>
                <w:rPr>
                  <w:rFonts w:ascii="Arial" w:cs="Arial" w:eastAsia="Arial" w:hAnsi="Arial"/>
                  <w:sz w:val="14"/>
                  <w:szCs w:val="14"/>
                  <w:color w:val="0000EE"/>
                </w:rPr>
                <w:t>Subsidiaries of Prelude Therapeutics Incorporated</w:t>
              </w:r>
            </w:hyperlink>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0" w:type="dxa"/>
            <w:vAlign w:val="bottom"/>
          </w:tcPr>
          <w:p>
            <w:pPr>
              <w:spacing w:after="0"/>
              <w:rPr>
                <w:sz w:val="20"/>
                <w:szCs w:val="20"/>
                <w:color w:val="auto"/>
              </w:rPr>
            </w:pPr>
            <w:r>
              <w:rPr>
                <w:rFonts w:ascii="Arial" w:cs="Arial" w:eastAsia="Arial" w:hAnsi="Arial"/>
                <w:sz w:val="14"/>
                <w:szCs w:val="14"/>
                <w:color w:val="auto"/>
              </w:rPr>
              <w:t>23.1*</w:t>
            </w:r>
          </w:p>
        </w:tc>
        <w:tc>
          <w:tcPr>
            <w:tcW w:w="3520" w:type="dxa"/>
            <w:vAlign w:val="bottom"/>
            <w:gridSpan w:val="25"/>
          </w:tcPr>
          <w:p>
            <w:pPr>
              <w:spacing w:after="0"/>
              <w:rPr>
                <w:rFonts w:ascii="Arial" w:cs="Arial" w:eastAsia="Arial" w:hAnsi="Arial"/>
                <w:sz w:val="14"/>
                <w:szCs w:val="14"/>
                <w:color w:val="0000EE"/>
                <w:w w:val="93"/>
              </w:rPr>
            </w:pPr>
            <w:hyperlink w:anchor="page288">
              <w:r>
                <w:rPr>
                  <w:rFonts w:ascii="Arial" w:cs="Arial" w:eastAsia="Arial" w:hAnsi="Arial"/>
                  <w:sz w:val="14"/>
                  <w:szCs w:val="14"/>
                  <w:color w:val="0000EE"/>
                  <w:w w:val="93"/>
                </w:rPr>
                <w:t>Consent of Ernst and Young LLP, an independent registered</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3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4"/>
              </w:rPr>
            </w:pPr>
            <w:hyperlink w:anchor="page288">
              <w:r>
                <w:rPr>
                  <w:rFonts w:ascii="Arial" w:cs="Arial" w:eastAsia="Arial" w:hAnsi="Arial"/>
                  <w:sz w:val="14"/>
                  <w:szCs w:val="14"/>
                  <w:color w:val="0000EE"/>
                  <w:w w:val="94"/>
                </w:rPr>
                <w:t>public accounting firm.</w:t>
              </w:r>
            </w:hyperlink>
          </w:p>
        </w:tc>
        <w:tc>
          <w:tcPr>
            <w:tcW w:w="2120" w:type="dxa"/>
            <w:vAlign w:val="bottom"/>
            <w:tcBorders>
              <w:top w:val="single" w:sz="8" w:color="0000EE"/>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31.1*</w:t>
            </w:r>
          </w:p>
        </w:tc>
        <w:tc>
          <w:tcPr>
            <w:tcW w:w="3520" w:type="dxa"/>
            <w:vAlign w:val="bottom"/>
            <w:gridSpan w:val="25"/>
          </w:tcPr>
          <w:p>
            <w:pPr>
              <w:spacing w:after="0"/>
              <w:rPr>
                <w:rFonts w:ascii="Arial" w:cs="Arial" w:eastAsia="Arial" w:hAnsi="Arial"/>
                <w:sz w:val="14"/>
                <w:szCs w:val="14"/>
                <w:color w:val="0000EE"/>
              </w:rPr>
            </w:pPr>
            <w:hyperlink w:anchor="page289">
              <w:r>
                <w:rPr>
                  <w:rFonts w:ascii="Arial" w:cs="Arial" w:eastAsia="Arial" w:hAnsi="Arial"/>
                  <w:sz w:val="14"/>
                  <w:szCs w:val="14"/>
                  <w:color w:val="0000EE"/>
                </w:rPr>
                <w:t>Certification of Principal Executive Officer Pursuant to</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960" w:type="dxa"/>
            <w:vAlign w:val="bottom"/>
            <w:tcBorders>
              <w:top w:val="single" w:sz="8" w:color="0000EE"/>
              <w:bottom w:val="single" w:sz="8" w:color="0000EE"/>
            </w:tcBorders>
            <w:gridSpan w:val="8"/>
          </w:tcPr>
          <w:p>
            <w:pPr>
              <w:spacing w:after="0" w:line="129" w:lineRule="exact"/>
              <w:rPr>
                <w:rFonts w:ascii="Arial" w:cs="Arial" w:eastAsia="Arial" w:hAnsi="Arial"/>
                <w:sz w:val="14"/>
                <w:szCs w:val="14"/>
                <w:color w:val="0000EE"/>
                <w:w w:val="91"/>
              </w:rPr>
            </w:pPr>
            <w:hyperlink w:anchor="page289">
              <w:r>
                <w:rPr>
                  <w:rFonts w:ascii="Arial" w:cs="Arial" w:eastAsia="Arial" w:hAnsi="Arial"/>
                  <w:sz w:val="14"/>
                  <w:szCs w:val="14"/>
                  <w:color w:val="0000EE"/>
                  <w:w w:val="91"/>
                </w:rPr>
                <w:t>Rules 13a-14(a) and 15d-14(a) under the Securities</w:t>
              </w:r>
            </w:hyperlink>
          </w:p>
        </w:tc>
        <w:tc>
          <w:tcPr>
            <w:tcW w:w="220" w:type="dxa"/>
            <w:vAlign w:val="bottom"/>
            <w:tcBorders>
              <w:top w:val="single" w:sz="8" w:color="0000EE"/>
            </w:tcBorders>
            <w:gridSpan w:val="3"/>
          </w:tcPr>
          <w:p>
            <w:pPr>
              <w:spacing w:after="0"/>
              <w:rPr>
                <w:sz w:val="11"/>
                <w:szCs w:val="11"/>
                <w:color w:val="auto"/>
              </w:rPr>
            </w:pPr>
          </w:p>
        </w:tc>
        <w:tc>
          <w:tcPr>
            <w:tcW w:w="140" w:type="dxa"/>
            <w:vAlign w:val="bottom"/>
            <w:gridSpan w:val="5"/>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520" w:type="dxa"/>
            <w:vAlign w:val="bottom"/>
            <w:gridSpan w:val="25"/>
          </w:tcPr>
          <w:p>
            <w:pPr>
              <w:spacing w:after="0" w:line="129" w:lineRule="exact"/>
              <w:rPr>
                <w:rFonts w:ascii="Arial" w:cs="Arial" w:eastAsia="Arial" w:hAnsi="Arial"/>
                <w:sz w:val="14"/>
                <w:szCs w:val="14"/>
                <w:color w:val="0000EE"/>
                <w:w w:val="94"/>
              </w:rPr>
            </w:pPr>
            <w:hyperlink w:anchor="page289">
              <w:r>
                <w:rPr>
                  <w:rFonts w:ascii="Arial" w:cs="Arial" w:eastAsia="Arial" w:hAnsi="Arial"/>
                  <w:sz w:val="14"/>
                  <w:szCs w:val="14"/>
                  <w:color w:val="0000EE"/>
                  <w:w w:val="94"/>
                </w:rPr>
                <w:t>Exchange Act of 1934, as Adopted Pursuant to Section 302</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04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92"/>
              </w:rPr>
            </w:pPr>
            <w:hyperlink w:anchor="page289">
              <w:r>
                <w:rPr>
                  <w:rFonts w:ascii="Arial" w:cs="Arial" w:eastAsia="Arial" w:hAnsi="Arial"/>
                  <w:sz w:val="14"/>
                  <w:szCs w:val="14"/>
                  <w:color w:val="0000EE"/>
                  <w:w w:val="92"/>
                </w:rPr>
                <w:t>of the Sarbanes-Oxley Act of 2002.</w:t>
              </w:r>
            </w:hyperlink>
          </w:p>
        </w:tc>
        <w:tc>
          <w:tcPr>
            <w:tcW w:w="1380" w:type="dxa"/>
            <w:vAlign w:val="bottom"/>
            <w:tcBorders>
              <w:top w:val="single" w:sz="8" w:color="0000EE"/>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31.2*</w:t>
            </w:r>
          </w:p>
        </w:tc>
        <w:tc>
          <w:tcPr>
            <w:tcW w:w="3520" w:type="dxa"/>
            <w:vAlign w:val="bottom"/>
            <w:gridSpan w:val="25"/>
          </w:tcPr>
          <w:p>
            <w:pPr>
              <w:spacing w:after="0"/>
              <w:rPr>
                <w:rFonts w:ascii="Arial" w:cs="Arial" w:eastAsia="Arial" w:hAnsi="Arial"/>
                <w:sz w:val="14"/>
                <w:szCs w:val="14"/>
                <w:color w:val="0000EE"/>
                <w:w w:val="95"/>
              </w:rPr>
            </w:pPr>
            <w:hyperlink w:anchor="page290">
              <w:r>
                <w:rPr>
                  <w:rFonts w:ascii="Arial" w:cs="Arial" w:eastAsia="Arial" w:hAnsi="Arial"/>
                  <w:sz w:val="14"/>
                  <w:szCs w:val="14"/>
                  <w:color w:val="0000EE"/>
                  <w:w w:val="95"/>
                </w:rPr>
                <w:t>Certification of Principal Financial Officer Pursuant to Rules</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500" w:type="dxa"/>
            <w:vAlign w:val="bottom"/>
            <w:tcBorders>
              <w:top w:val="single" w:sz="8" w:color="0000EE"/>
            </w:tcBorders>
            <w:gridSpan w:val="24"/>
          </w:tcPr>
          <w:p>
            <w:pPr>
              <w:spacing w:after="0" w:line="129" w:lineRule="exact"/>
              <w:rPr>
                <w:rFonts w:ascii="Arial" w:cs="Arial" w:eastAsia="Arial" w:hAnsi="Arial"/>
                <w:sz w:val="14"/>
                <w:szCs w:val="14"/>
                <w:color w:val="0000EE"/>
                <w:w w:val="93"/>
              </w:rPr>
            </w:pPr>
            <w:hyperlink w:anchor="page290">
              <w:r>
                <w:rPr>
                  <w:rFonts w:ascii="Arial" w:cs="Arial" w:eastAsia="Arial" w:hAnsi="Arial"/>
                  <w:sz w:val="14"/>
                  <w:szCs w:val="14"/>
                  <w:color w:val="0000EE"/>
                  <w:w w:val="93"/>
                </w:rPr>
                <w:t>13a-14(a) and 15d-14(a) under the Securities Exchange Act</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44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290">
              <w:r>
                <w:rPr>
                  <w:rFonts w:ascii="Arial" w:cs="Arial" w:eastAsia="Arial" w:hAnsi="Arial"/>
                  <w:sz w:val="14"/>
                  <w:szCs w:val="14"/>
                  <w:color w:val="0000EE"/>
                </w:rPr>
                <w:t>of 1934, as Adopted Pursuant to Section 302 of the</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94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290">
              <w:r>
                <w:rPr>
                  <w:rFonts w:ascii="Arial" w:cs="Arial" w:eastAsia="Arial" w:hAnsi="Arial"/>
                  <w:sz w:val="14"/>
                  <w:szCs w:val="14"/>
                  <w:color w:val="0000EE"/>
                </w:rPr>
                <w:t>Sarbanes-Oxley Act of 2002.</w:t>
              </w:r>
            </w:hyperlink>
          </w:p>
        </w:tc>
        <w:tc>
          <w:tcPr>
            <w:tcW w:w="380" w:type="dxa"/>
            <w:vAlign w:val="bottom"/>
            <w:gridSpan w:val="9"/>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32.1*</w:t>
            </w:r>
          </w:p>
        </w:tc>
        <w:tc>
          <w:tcPr>
            <w:tcW w:w="3520" w:type="dxa"/>
            <w:vAlign w:val="bottom"/>
            <w:gridSpan w:val="25"/>
          </w:tcPr>
          <w:p>
            <w:pPr>
              <w:spacing w:after="0"/>
              <w:rPr>
                <w:rFonts w:ascii="Arial" w:cs="Arial" w:eastAsia="Arial" w:hAnsi="Arial"/>
                <w:sz w:val="14"/>
                <w:szCs w:val="14"/>
                <w:color w:val="0000EE"/>
                <w:w w:val="99"/>
              </w:rPr>
            </w:pPr>
            <w:hyperlink w:anchor="page291">
              <w:r>
                <w:rPr>
                  <w:rFonts w:ascii="Arial" w:cs="Arial" w:eastAsia="Arial" w:hAnsi="Arial"/>
                  <w:sz w:val="14"/>
                  <w:szCs w:val="14"/>
                  <w:color w:val="0000EE"/>
                  <w:w w:val="99"/>
                </w:rPr>
                <w:t>Certification of Principal Executive Officer Pursuant to 18</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360" w:type="dxa"/>
            <w:vAlign w:val="bottom"/>
            <w:tcBorders>
              <w:top w:val="single" w:sz="8" w:color="0000EE"/>
            </w:tcBorders>
            <w:gridSpan w:val="17"/>
          </w:tcPr>
          <w:p>
            <w:pPr>
              <w:spacing w:after="0" w:line="129" w:lineRule="exact"/>
              <w:rPr>
                <w:rFonts w:ascii="Arial" w:cs="Arial" w:eastAsia="Arial" w:hAnsi="Arial"/>
                <w:sz w:val="14"/>
                <w:szCs w:val="14"/>
                <w:color w:val="0000EE"/>
                <w:w w:val="93"/>
              </w:rPr>
            </w:pPr>
            <w:hyperlink w:anchor="page291">
              <w:r>
                <w:rPr>
                  <w:rFonts w:ascii="Arial" w:cs="Arial" w:eastAsia="Arial" w:hAnsi="Arial"/>
                  <w:sz w:val="14"/>
                  <w:szCs w:val="14"/>
                  <w:color w:val="0000EE"/>
                  <w:w w:val="93"/>
                </w:rPr>
                <w:t>U.S.C. Section 1350, as Adopted Pursuant to Section 906</w:t>
              </w:r>
            </w:hyperlink>
          </w:p>
        </w:tc>
        <w:tc>
          <w:tcPr>
            <w:tcW w:w="160" w:type="dxa"/>
            <w:vAlign w:val="bottom"/>
            <w:gridSpan w:val="8"/>
          </w:tcPr>
          <w:p>
            <w:pPr>
              <w:jc w:val="right"/>
              <w:ind w:right="60"/>
              <w:spacing w:after="0" w:line="129" w:lineRule="exact"/>
              <w:rPr>
                <w:rFonts w:ascii="Arial" w:cs="Arial" w:eastAsia="Arial" w:hAnsi="Arial"/>
                <w:sz w:val="13"/>
                <w:szCs w:val="13"/>
                <w:color w:val="0000EE"/>
                <w:w w:val="73"/>
              </w:rPr>
            </w:pPr>
            <w:hyperlink w:anchor="page291">
              <w:r>
                <w:rPr>
                  <w:rFonts w:ascii="Arial" w:cs="Arial" w:eastAsia="Arial" w:hAnsi="Arial"/>
                  <w:sz w:val="13"/>
                  <w:szCs w:val="13"/>
                  <w:color w:val="0000EE"/>
                  <w:w w:val="73"/>
                </w:rPr>
                <w:t>of</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480" w:type="dxa"/>
            <w:vAlign w:val="bottom"/>
            <w:tcBorders>
              <w:top w:val="single" w:sz="8" w:color="0000EE"/>
            </w:tcBorders>
            <w:gridSpan w:val="23"/>
          </w:tcPr>
          <w:p>
            <w:pPr>
              <w:spacing w:after="0" w:line="129" w:lineRule="exact"/>
              <w:rPr>
                <w:rFonts w:ascii="Arial" w:cs="Arial" w:eastAsia="Arial" w:hAnsi="Arial"/>
                <w:sz w:val="14"/>
                <w:szCs w:val="14"/>
                <w:color w:val="0000EE"/>
              </w:rPr>
            </w:pPr>
            <w:hyperlink w:anchor="page291">
              <w:r>
                <w:rPr>
                  <w:rFonts w:ascii="Arial" w:cs="Arial" w:eastAsia="Arial" w:hAnsi="Arial"/>
                  <w:sz w:val="14"/>
                  <w:szCs w:val="14"/>
                  <w:color w:val="0000EE"/>
                </w:rPr>
                <w:t>the Sarbanes-Oxley Act of 2002.</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4"/>
                <w:szCs w:val="14"/>
                <w:color w:val="auto"/>
              </w:rPr>
              <w:t>32.2*</w:t>
            </w:r>
          </w:p>
        </w:tc>
        <w:tc>
          <w:tcPr>
            <w:tcW w:w="3520" w:type="dxa"/>
            <w:vAlign w:val="bottom"/>
            <w:gridSpan w:val="25"/>
          </w:tcPr>
          <w:p>
            <w:pPr>
              <w:spacing w:after="0"/>
              <w:rPr>
                <w:rFonts w:ascii="Arial" w:cs="Arial" w:eastAsia="Arial" w:hAnsi="Arial"/>
                <w:sz w:val="14"/>
                <w:szCs w:val="14"/>
                <w:color w:val="0000EE"/>
              </w:rPr>
            </w:pPr>
            <w:hyperlink w:anchor="page292">
              <w:r>
                <w:rPr>
                  <w:rFonts w:ascii="Arial" w:cs="Arial" w:eastAsia="Arial" w:hAnsi="Arial"/>
                  <w:sz w:val="14"/>
                  <w:szCs w:val="14"/>
                  <w:color w:val="0000EE"/>
                </w:rPr>
                <w:t>Certification of Principal Financial Officer Pursuant to 18</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320" w:type="dxa"/>
            <w:vAlign w:val="bottom"/>
            <w:tcBorders>
              <w:top w:val="single" w:sz="8" w:color="0000EE"/>
            </w:tcBorders>
            <w:gridSpan w:val="16"/>
          </w:tcPr>
          <w:p>
            <w:pPr>
              <w:spacing w:after="0" w:line="129" w:lineRule="exact"/>
              <w:rPr>
                <w:rFonts w:ascii="Arial" w:cs="Arial" w:eastAsia="Arial" w:hAnsi="Arial"/>
                <w:sz w:val="14"/>
                <w:szCs w:val="14"/>
                <w:color w:val="0000EE"/>
                <w:w w:val="91"/>
              </w:rPr>
            </w:pPr>
            <w:hyperlink w:anchor="page292">
              <w:r>
                <w:rPr>
                  <w:rFonts w:ascii="Arial" w:cs="Arial" w:eastAsia="Arial" w:hAnsi="Arial"/>
                  <w:sz w:val="14"/>
                  <w:szCs w:val="14"/>
                  <w:color w:val="0000EE"/>
                  <w:w w:val="91"/>
                </w:rPr>
                <w:t>U.S.C. Section 1350, as Adopted Pursuant to Section 906</w:t>
              </w:r>
            </w:hyperlink>
          </w:p>
        </w:tc>
        <w:tc>
          <w:tcPr>
            <w:tcW w:w="200" w:type="dxa"/>
            <w:vAlign w:val="bottom"/>
            <w:gridSpan w:val="9"/>
          </w:tcPr>
          <w:p>
            <w:pPr>
              <w:jc w:val="right"/>
              <w:ind w:right="60"/>
              <w:spacing w:after="0" w:line="129" w:lineRule="exact"/>
              <w:rPr>
                <w:rFonts w:ascii="Arial" w:cs="Arial" w:eastAsia="Arial" w:hAnsi="Arial"/>
                <w:sz w:val="14"/>
                <w:szCs w:val="14"/>
                <w:color w:val="0000EE"/>
              </w:rPr>
            </w:pPr>
            <w:hyperlink w:anchor="page292">
              <w:r>
                <w:rPr>
                  <w:rFonts w:ascii="Arial" w:cs="Arial" w:eastAsia="Arial" w:hAnsi="Arial"/>
                  <w:sz w:val="14"/>
                  <w:szCs w:val="14"/>
                  <w:color w:val="0000EE"/>
                </w:rPr>
                <w:t>of</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480" w:type="dxa"/>
            <w:vAlign w:val="bottom"/>
            <w:tcBorders>
              <w:top w:val="single" w:sz="8" w:color="0000EE"/>
            </w:tcBorders>
            <w:gridSpan w:val="23"/>
          </w:tcPr>
          <w:p>
            <w:pPr>
              <w:spacing w:after="0" w:line="129" w:lineRule="exact"/>
              <w:rPr>
                <w:rFonts w:ascii="Arial" w:cs="Arial" w:eastAsia="Arial" w:hAnsi="Arial"/>
                <w:sz w:val="14"/>
                <w:szCs w:val="14"/>
                <w:color w:val="0000EE"/>
              </w:rPr>
            </w:pPr>
            <w:hyperlink w:anchor="page292">
              <w:r>
                <w:rPr>
                  <w:rFonts w:ascii="Arial" w:cs="Arial" w:eastAsia="Arial" w:hAnsi="Arial"/>
                  <w:sz w:val="14"/>
                  <w:szCs w:val="14"/>
                  <w:color w:val="0000EE"/>
                </w:rPr>
                <w:t>the Sarbanes-Oxley Act of 2002.</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6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40" w:type="dxa"/>
            <w:vAlign w:val="bottom"/>
          </w:tcPr>
          <w:p>
            <w:pPr>
              <w:spacing w:after="0"/>
              <w:rPr>
                <w:sz w:val="20"/>
                <w:szCs w:val="20"/>
                <w:color w:val="auto"/>
              </w:rPr>
            </w:pPr>
            <w:r>
              <w:rPr>
                <w:rFonts w:ascii="Arial" w:cs="Arial" w:eastAsia="Arial" w:hAnsi="Arial"/>
                <w:sz w:val="14"/>
                <w:szCs w:val="14"/>
                <w:color w:val="auto"/>
              </w:rPr>
              <w:t>101.INS</w:t>
            </w:r>
          </w:p>
        </w:tc>
        <w:tc>
          <w:tcPr>
            <w:tcW w:w="3520" w:type="dxa"/>
            <w:vAlign w:val="bottom"/>
            <w:gridSpan w:val="25"/>
          </w:tcPr>
          <w:p>
            <w:pPr>
              <w:spacing w:after="0"/>
              <w:rPr>
                <w:sz w:val="20"/>
                <w:szCs w:val="20"/>
                <w:color w:val="auto"/>
              </w:rPr>
            </w:pPr>
            <w:r>
              <w:rPr>
                <w:rFonts w:ascii="Arial" w:cs="Arial" w:eastAsia="Arial" w:hAnsi="Arial"/>
                <w:sz w:val="14"/>
                <w:szCs w:val="14"/>
                <w:color w:val="auto"/>
              </w:rPr>
              <w:t>Inline XBRL Instance Document</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4"/>
                <w:szCs w:val="14"/>
                <w:color w:val="auto"/>
              </w:rPr>
              <w:t>101.SCH</w:t>
            </w:r>
          </w:p>
        </w:tc>
        <w:tc>
          <w:tcPr>
            <w:tcW w:w="3520" w:type="dxa"/>
            <w:vAlign w:val="bottom"/>
            <w:gridSpan w:val="25"/>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101.CAL</w:t>
            </w:r>
          </w:p>
        </w:tc>
        <w:tc>
          <w:tcPr>
            <w:tcW w:w="3520" w:type="dxa"/>
            <w:vAlign w:val="bottom"/>
            <w:gridSpan w:val="25"/>
          </w:tcPr>
          <w:p>
            <w:pPr>
              <w:spacing w:after="0"/>
              <w:rPr>
                <w:sz w:val="20"/>
                <w:szCs w:val="20"/>
                <w:color w:val="auto"/>
              </w:rPr>
            </w:pPr>
            <w:r>
              <w:rPr>
                <w:rFonts w:ascii="Arial" w:cs="Arial" w:eastAsia="Arial" w:hAnsi="Arial"/>
                <w:sz w:val="14"/>
                <w:szCs w:val="14"/>
                <w:color w:val="auto"/>
              </w:rPr>
              <w:t>Inline XBRL Taxonomy Extension Calculation Linkbase</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520" w:type="dxa"/>
            <w:vAlign w:val="bottom"/>
            <w:gridSpan w:val="25"/>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101.DEF</w:t>
            </w:r>
          </w:p>
        </w:tc>
        <w:tc>
          <w:tcPr>
            <w:tcW w:w="3520" w:type="dxa"/>
            <w:vAlign w:val="bottom"/>
            <w:gridSpan w:val="25"/>
          </w:tcPr>
          <w:p>
            <w:pPr>
              <w:spacing w:after="0"/>
              <w:rPr>
                <w:sz w:val="20"/>
                <w:szCs w:val="20"/>
                <w:color w:val="auto"/>
              </w:rPr>
            </w:pPr>
            <w:r>
              <w:rPr>
                <w:rFonts w:ascii="Arial" w:cs="Arial" w:eastAsia="Arial" w:hAnsi="Arial"/>
                <w:sz w:val="14"/>
                <w:szCs w:val="14"/>
                <w:color w:val="auto"/>
              </w:rPr>
              <w:t>Inline XBRL Taxonomy Extension Definition Linkbase</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520" w:type="dxa"/>
            <w:vAlign w:val="bottom"/>
            <w:gridSpan w:val="25"/>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101.LAB</w:t>
            </w:r>
          </w:p>
        </w:tc>
        <w:tc>
          <w:tcPr>
            <w:tcW w:w="3520" w:type="dxa"/>
            <w:vAlign w:val="bottom"/>
            <w:gridSpan w:val="25"/>
          </w:tcPr>
          <w:p>
            <w:pPr>
              <w:spacing w:after="0"/>
              <w:rPr>
                <w:sz w:val="20"/>
                <w:szCs w:val="20"/>
                <w:color w:val="auto"/>
              </w:rPr>
            </w:pPr>
            <w:r>
              <w:rPr>
                <w:rFonts w:ascii="Arial" w:cs="Arial" w:eastAsia="Arial" w:hAnsi="Arial"/>
                <w:sz w:val="14"/>
                <w:szCs w:val="14"/>
                <w:color w:val="auto"/>
              </w:rPr>
              <w:t>Inline XBRL Taxonomy Extension Label Linkbase</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520" w:type="dxa"/>
            <w:vAlign w:val="bottom"/>
            <w:gridSpan w:val="25"/>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4"/>
                <w:szCs w:val="14"/>
                <w:color w:val="auto"/>
              </w:rPr>
              <w:t>101.PRE</w:t>
            </w:r>
          </w:p>
        </w:tc>
        <w:tc>
          <w:tcPr>
            <w:tcW w:w="3520" w:type="dxa"/>
            <w:vAlign w:val="bottom"/>
            <w:gridSpan w:val="25"/>
          </w:tcPr>
          <w:p>
            <w:pPr>
              <w:spacing w:after="0"/>
              <w:rPr>
                <w:sz w:val="20"/>
                <w:szCs w:val="20"/>
                <w:color w:val="auto"/>
              </w:rPr>
            </w:pPr>
            <w:r>
              <w:rPr>
                <w:rFonts w:ascii="Arial" w:cs="Arial" w:eastAsia="Arial" w:hAnsi="Arial"/>
                <w:sz w:val="14"/>
                <w:szCs w:val="14"/>
                <w:color w:val="auto"/>
                <w:w w:val="99"/>
              </w:rPr>
              <w:t>Inline XBRL Taxonomy Extension Presentation Linkbase</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520" w:type="dxa"/>
            <w:vAlign w:val="bottom"/>
            <w:gridSpan w:val="25"/>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4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7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2"/>
            <w:vMerge w:val="continue"/>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42"/>
        </w:trPr>
        <w:tc>
          <w:tcPr>
            <w:tcW w:w="1160" w:type="dxa"/>
            <w:vAlign w:val="bottom"/>
          </w:tcPr>
          <w:p>
            <w:pPr>
              <w:jc w:val="center"/>
              <w:ind w:right="8"/>
              <w:spacing w:after="0" w:line="142" w:lineRule="exact"/>
              <w:rPr>
                <w:sz w:val="20"/>
                <w:szCs w:val="20"/>
                <w:color w:val="auto"/>
              </w:rPr>
            </w:pPr>
            <w:r>
              <w:rPr>
                <w:rFonts w:ascii="Arial" w:cs="Arial" w:eastAsia="Arial" w:hAnsi="Arial"/>
                <w:sz w:val="14"/>
                <w:szCs w:val="14"/>
                <w:color w:val="auto"/>
                <w:w w:val="97"/>
              </w:rPr>
              <w:t>Form</w:t>
            </w:r>
          </w:p>
        </w:tc>
        <w:tc>
          <w:tcPr>
            <w:tcW w:w="1580" w:type="dxa"/>
            <w:vAlign w:val="bottom"/>
          </w:tcPr>
          <w:p>
            <w:pPr>
              <w:jc w:val="center"/>
              <w:ind w:left="8"/>
              <w:spacing w:after="0" w:line="142" w:lineRule="exact"/>
              <w:rPr>
                <w:sz w:val="20"/>
                <w:szCs w:val="20"/>
                <w:color w:val="auto"/>
              </w:rPr>
            </w:pPr>
            <w:r>
              <w:rPr>
                <w:rFonts w:ascii="Arial" w:cs="Arial" w:eastAsia="Arial" w:hAnsi="Arial"/>
                <w:sz w:val="14"/>
                <w:szCs w:val="14"/>
                <w:color w:val="auto"/>
                <w:w w:val="95"/>
              </w:rPr>
              <w:t>File No.</w:t>
            </w:r>
          </w:p>
        </w:tc>
        <w:tc>
          <w:tcPr>
            <w:tcW w:w="1260" w:type="dxa"/>
            <w:vAlign w:val="bottom"/>
          </w:tcPr>
          <w:p>
            <w:pPr>
              <w:jc w:val="center"/>
              <w:spacing w:after="0" w:line="142" w:lineRule="exact"/>
              <w:rPr>
                <w:sz w:val="20"/>
                <w:szCs w:val="20"/>
                <w:color w:val="auto"/>
              </w:rPr>
            </w:pPr>
            <w:r>
              <w:rPr>
                <w:rFonts w:ascii="Arial" w:cs="Arial" w:eastAsia="Arial" w:hAnsi="Arial"/>
                <w:sz w:val="14"/>
                <w:szCs w:val="14"/>
                <w:color w:val="auto"/>
                <w:w w:val="99"/>
              </w:rPr>
              <w:t>Exhibit</w:t>
            </w:r>
          </w:p>
        </w:tc>
        <w:tc>
          <w:tcPr>
            <w:tcW w:w="2900" w:type="dxa"/>
            <w:vAlign w:val="bottom"/>
            <w:gridSpan w:val="2"/>
          </w:tcPr>
          <w:p>
            <w:pPr>
              <w:jc w:val="center"/>
              <w:ind w:right="1168"/>
              <w:spacing w:after="0" w:line="142" w:lineRule="exact"/>
              <w:rPr>
                <w:sz w:val="20"/>
                <w:szCs w:val="20"/>
                <w:color w:val="auto"/>
              </w:rPr>
            </w:pPr>
            <w:r>
              <w:rPr>
                <w:rFonts w:ascii="Arial" w:cs="Arial" w:eastAsia="Arial" w:hAnsi="Arial"/>
                <w:sz w:val="14"/>
                <w:szCs w:val="14"/>
                <w:color w:val="auto"/>
                <w:w w:val="98"/>
              </w:rPr>
              <w:t>Filing Date</w:t>
            </w:r>
          </w:p>
        </w:tc>
        <w:tc>
          <w:tcPr>
            <w:tcW w:w="0" w:type="dxa"/>
            <w:vAlign w:val="bottom"/>
          </w:tcPr>
          <w:p>
            <w:pPr>
              <w:spacing w:after="0"/>
              <w:rPr>
                <w:sz w:val="1"/>
                <w:szCs w:val="1"/>
                <w:color w:val="auto"/>
              </w:rPr>
            </w:pPr>
          </w:p>
        </w:tc>
      </w:tr>
      <w:tr>
        <w:trPr>
          <w:trHeight w:val="305"/>
        </w:trPr>
        <w:tc>
          <w:tcPr>
            <w:tcW w:w="11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621"/>
        </w:trPr>
        <w:tc>
          <w:tcPr>
            <w:tcW w:w="1160" w:type="dxa"/>
            <w:vAlign w:val="bottom"/>
          </w:tcPr>
          <w:p>
            <w:pPr>
              <w:jc w:val="center"/>
              <w:ind w:right="8"/>
              <w:spacing w:after="0"/>
              <w:rPr>
                <w:sz w:val="20"/>
                <w:szCs w:val="20"/>
                <w:color w:val="auto"/>
              </w:rPr>
            </w:pPr>
            <w:r>
              <w:rPr>
                <w:rFonts w:ascii="Arial" w:cs="Arial" w:eastAsia="Arial" w:hAnsi="Arial"/>
                <w:sz w:val="14"/>
                <w:szCs w:val="14"/>
                <w:color w:val="auto"/>
                <w:w w:val="91"/>
              </w:rPr>
              <w:t>S-1</w:t>
            </w:r>
          </w:p>
        </w:tc>
        <w:tc>
          <w:tcPr>
            <w:tcW w:w="1580" w:type="dxa"/>
            <w:vAlign w:val="bottom"/>
          </w:tcPr>
          <w:p>
            <w:pPr>
              <w:jc w:val="right"/>
              <w:ind w:right="328"/>
              <w:spacing w:after="0"/>
              <w:rPr>
                <w:sz w:val="20"/>
                <w:szCs w:val="20"/>
                <w:color w:val="auto"/>
              </w:rPr>
            </w:pPr>
            <w:r>
              <w:rPr>
                <w:rFonts w:ascii="Arial" w:cs="Arial" w:eastAsia="Arial" w:hAnsi="Arial"/>
                <w:sz w:val="14"/>
                <w:szCs w:val="14"/>
                <w:color w:val="auto"/>
              </w:rPr>
              <w:t>333-248628</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21.1</w:t>
            </w:r>
          </w:p>
        </w:tc>
        <w:tc>
          <w:tcPr>
            <w:tcW w:w="2900" w:type="dxa"/>
            <w:vAlign w:val="bottom"/>
            <w:gridSpan w:val="2"/>
          </w:tcPr>
          <w:p>
            <w:pPr>
              <w:jc w:val="center"/>
              <w:ind w:right="1188"/>
              <w:spacing w:after="0"/>
              <w:rPr>
                <w:sz w:val="20"/>
                <w:szCs w:val="20"/>
                <w:color w:val="auto"/>
              </w:rPr>
            </w:pPr>
            <w:r>
              <w:rPr>
                <w:rFonts w:ascii="Arial" w:cs="Arial" w:eastAsia="Arial" w:hAnsi="Arial"/>
                <w:sz w:val="14"/>
                <w:szCs w:val="14"/>
                <w:color w:val="auto"/>
                <w:w w:val="90"/>
              </w:rPr>
              <w:t>September 4, 2020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340" w:space="20"/>
            <w:col w:w="6900"/>
          </w:cols>
          <w:pgMar w:left="320" w:top="320" w:right="319" w:bottom="1440" w:gutter="0" w:footer="0" w:header="0"/>
        </w:sectPr>
      </w:pPr>
    </w:p>
    <w:bookmarkStart w:id="121" w:name="page122"/>
    <w:bookmarkEnd w:id="121"/>
    <w:tbl>
      <w:tblPr>
        <w:tblLayout w:type="fixed"/>
        <w:tblInd w:w="10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0" w:type="dxa"/>
            <w:vAlign w:val="bottom"/>
          </w:tcPr>
          <w:p>
            <w:pPr>
              <w:jc w:val="center"/>
              <w:ind w:left="1608"/>
              <w:spacing w:after="0"/>
              <w:rPr>
                <w:sz w:val="20"/>
                <w:szCs w:val="20"/>
                <w:color w:val="auto"/>
              </w:rPr>
            </w:pPr>
            <w:r>
              <w:rPr>
                <w:rFonts w:ascii="Arial" w:cs="Arial" w:eastAsia="Arial" w:hAnsi="Arial"/>
                <w:sz w:val="14"/>
                <w:szCs w:val="14"/>
                <w:b w:val="1"/>
                <w:bCs w:val="1"/>
                <w:color w:val="auto"/>
                <w:w w:val="97"/>
              </w:rPr>
              <w:t>Filed</w:t>
            </w:r>
          </w:p>
        </w:tc>
      </w:tr>
      <w:tr>
        <w:trPr>
          <w:trHeight w:val="171"/>
        </w:trPr>
        <w:tc>
          <w:tcPr>
            <w:tcW w:w="1300" w:type="dxa"/>
            <w:vAlign w:val="bottom"/>
          </w:tcPr>
          <w:p>
            <w:pPr>
              <w:jc w:val="center"/>
              <w:ind w:right="708"/>
              <w:spacing w:after="0"/>
              <w:rPr>
                <w:sz w:val="20"/>
                <w:szCs w:val="20"/>
                <w:color w:val="auto"/>
              </w:rPr>
            </w:pPr>
            <w:r>
              <w:rPr>
                <w:rFonts w:ascii="Arial" w:cs="Arial" w:eastAsia="Arial" w:hAnsi="Arial"/>
                <w:sz w:val="14"/>
                <w:szCs w:val="14"/>
                <w:b w:val="1"/>
                <w:bCs w:val="1"/>
                <w:color w:val="auto"/>
                <w:w w:val="94"/>
              </w:rPr>
              <w:t>Exhibit</w:t>
            </w:r>
          </w:p>
        </w:tc>
        <w:tc>
          <w:tcPr>
            <w:tcW w:w="29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Incorporated by Reference</w:t>
            </w:r>
          </w:p>
        </w:tc>
        <w:tc>
          <w:tcPr>
            <w:tcW w:w="2800" w:type="dxa"/>
            <w:vAlign w:val="bottom"/>
            <w:tcBorders>
              <w:bottom w:val="single" w:sz="8" w:color="auto"/>
            </w:tcBorders>
          </w:tcPr>
          <w:p>
            <w:pPr>
              <w:jc w:val="center"/>
              <w:ind w:left="1608"/>
              <w:spacing w:after="0"/>
              <w:rPr>
                <w:sz w:val="20"/>
                <w:szCs w:val="20"/>
                <w:color w:val="auto"/>
              </w:rPr>
            </w:pPr>
            <w:r>
              <w:rPr>
                <w:rFonts w:ascii="Arial" w:cs="Arial" w:eastAsia="Arial" w:hAnsi="Arial"/>
                <w:sz w:val="14"/>
                <w:szCs w:val="14"/>
                <w:b w:val="1"/>
                <w:bCs w:val="1"/>
                <w:color w:val="auto"/>
                <w:w w:val="94"/>
              </w:rPr>
              <w:t>Herewith</w:t>
            </w:r>
          </w:p>
        </w:tc>
      </w:tr>
      <w:tr>
        <w:trPr>
          <w:trHeight w:val="149"/>
        </w:trPr>
        <w:tc>
          <w:tcPr>
            <w:tcW w:w="130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8"/>
              </w:rPr>
              <w:t>Number</w:t>
            </w:r>
          </w:p>
        </w:tc>
        <w:tc>
          <w:tcPr>
            <w:tcW w:w="2960" w:type="dxa"/>
            <w:vAlign w:val="bottom"/>
          </w:tcPr>
          <w:p>
            <w:pPr>
              <w:ind w:left="800"/>
              <w:spacing w:after="0" w:line="149" w:lineRule="exact"/>
              <w:rPr>
                <w:sz w:val="20"/>
                <w:szCs w:val="20"/>
                <w:color w:val="auto"/>
              </w:rPr>
            </w:pPr>
            <w:r>
              <w:rPr>
                <w:rFonts w:ascii="Arial" w:cs="Arial" w:eastAsia="Arial" w:hAnsi="Arial"/>
                <w:sz w:val="14"/>
                <w:szCs w:val="14"/>
                <w:b w:val="1"/>
                <w:bCs w:val="1"/>
                <w:color w:val="auto"/>
              </w:rPr>
              <w:t>Exhibit Title</w:t>
            </w: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Form</w:t>
            </w:r>
          </w:p>
        </w:tc>
        <w:tc>
          <w:tcPr>
            <w:tcW w:w="1480" w:type="dxa"/>
            <w:vAlign w:val="bottom"/>
          </w:tcPr>
          <w:p>
            <w:pPr>
              <w:ind w:left="540"/>
              <w:spacing w:after="0" w:line="149" w:lineRule="exact"/>
              <w:rPr>
                <w:sz w:val="20"/>
                <w:szCs w:val="20"/>
                <w:color w:val="auto"/>
              </w:rPr>
            </w:pPr>
            <w:r>
              <w:rPr>
                <w:rFonts w:ascii="Arial" w:cs="Arial" w:eastAsia="Arial" w:hAnsi="Arial"/>
                <w:sz w:val="14"/>
                <w:szCs w:val="14"/>
                <w:color w:val="auto"/>
              </w:rPr>
              <w:t>File No.</w:t>
            </w:r>
          </w:p>
        </w:tc>
        <w:tc>
          <w:tcPr>
            <w:tcW w:w="1400" w:type="dxa"/>
            <w:vAlign w:val="bottom"/>
          </w:tcPr>
          <w:p>
            <w:pPr>
              <w:ind w:left="460"/>
              <w:spacing w:after="0" w:line="149" w:lineRule="exact"/>
              <w:rPr>
                <w:sz w:val="20"/>
                <w:szCs w:val="20"/>
                <w:color w:val="auto"/>
              </w:rPr>
            </w:pPr>
            <w:r>
              <w:rPr>
                <w:rFonts w:ascii="Arial" w:cs="Arial" w:eastAsia="Arial" w:hAnsi="Arial"/>
                <w:sz w:val="14"/>
                <w:szCs w:val="14"/>
                <w:color w:val="auto"/>
              </w:rPr>
              <w:t>Exhibit</w:t>
            </w:r>
          </w:p>
        </w:tc>
        <w:tc>
          <w:tcPr>
            <w:tcW w:w="2800" w:type="dxa"/>
            <w:vAlign w:val="bottom"/>
          </w:tcPr>
          <w:p>
            <w:pPr>
              <w:ind w:left="400"/>
              <w:spacing w:after="0" w:line="149" w:lineRule="exact"/>
              <w:rPr>
                <w:sz w:val="20"/>
                <w:szCs w:val="20"/>
                <w:color w:val="auto"/>
              </w:rPr>
            </w:pPr>
            <w:r>
              <w:rPr>
                <w:rFonts w:ascii="Arial" w:cs="Arial" w:eastAsia="Arial" w:hAnsi="Arial"/>
                <w:sz w:val="14"/>
                <w:szCs w:val="14"/>
                <w:color w:val="auto"/>
              </w:rPr>
              <w:t>Filing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-3810</wp:posOffset>
            </wp:positionV>
            <wp:extent cx="36772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ind w:left="840" w:right="6960" w:hanging="832"/>
        <w:spacing w:after="0" w:line="237" w:lineRule="auto"/>
        <w:tabs>
          <w:tab w:leader="none" w:pos="8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054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302"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122" w:name="page123"/>
    <w:bookmarkEnd w:id="12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51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PRELUDE THERAPEUTICS INCORPORATED</w:t>
      </w:r>
    </w:p>
    <w:p>
      <w:pPr>
        <w:sectPr>
          <w:pgSz w:w="11900" w:h="16838" w:orient="portrait"/>
          <w:cols w:equalWidth="0" w:num="1">
            <w:col w:w="11140"/>
          </w:cols>
          <w:pgMar w:left="320" w:top="553"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Date: March 17, 2022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1960"/>
        <w:spacing w:after="0"/>
        <w:rPr>
          <w:sz w:val="20"/>
          <w:szCs w:val="20"/>
          <w:color w:val="auto"/>
        </w:rPr>
      </w:pPr>
      <w:r>
        <w:rPr>
          <w:rFonts w:ascii="Arial" w:cs="Arial" w:eastAsia="Arial" w:hAnsi="Arial"/>
          <w:sz w:val="16"/>
          <w:szCs w:val="16"/>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29210</wp:posOffset>
            </wp:positionV>
            <wp:extent cx="34118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4860" w:space="720"/>
            <w:col w:w="1620" w:space="720"/>
            <w:col w:w="3220"/>
          </w:cols>
          <w:pgMar w:left="320" w:top="553" w:right="439" w:bottom="1440" w:gutter="0" w:footer="0" w:header="0"/>
          <w:type w:val="continuous"/>
        </w:sectPr>
      </w:pPr>
    </w:p>
    <w:p>
      <w:pPr>
        <w:jc w:val="center"/>
        <w:ind w:left="5840"/>
        <w:spacing w:after="0"/>
        <w:rPr>
          <w:sz w:val="20"/>
          <w:szCs w:val="20"/>
          <w:color w:val="auto"/>
        </w:rPr>
      </w:pPr>
      <w:r>
        <w:rPr>
          <w:rFonts w:ascii="Arial" w:cs="Arial" w:eastAsia="Arial" w:hAnsi="Arial"/>
          <w:sz w:val="18"/>
          <w:szCs w:val="18"/>
          <w:color w:val="auto"/>
        </w:rPr>
        <w:t>Krishna Vaddi, Ph.D</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Chief Executive Officer</w:t>
      </w:r>
    </w:p>
    <w:p>
      <w:pPr>
        <w:spacing w:after="0" w:line="251" w:lineRule="exact"/>
        <w:rPr>
          <w:sz w:val="20"/>
          <w:szCs w:val="20"/>
          <w:color w:val="auto"/>
        </w:rPr>
      </w:pPr>
    </w:p>
    <w:p>
      <w:pPr>
        <w:ind w:right="140" w:firstLine="51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214370" cy="22459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321437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00" w:type="dxa"/>
            <w:vAlign w:val="bottom"/>
          </w:tcPr>
          <w:p>
            <w:pPr>
              <w:jc w:val="center"/>
              <w:ind w:left="372"/>
              <w:spacing w:after="0"/>
              <w:rPr>
                <w:sz w:val="20"/>
                <w:szCs w:val="20"/>
                <w:color w:val="auto"/>
              </w:rPr>
            </w:pPr>
            <w:r>
              <w:rPr>
                <w:rFonts w:ascii="Arial" w:cs="Arial" w:eastAsia="Arial" w:hAnsi="Arial"/>
                <w:sz w:val="14"/>
                <w:szCs w:val="14"/>
                <w:b w:val="1"/>
                <w:bCs w:val="1"/>
                <w:color w:val="auto"/>
                <w:w w:val="98"/>
              </w:rPr>
              <w:t>Date</w:t>
            </w: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Krishna Vaddi</w:t>
            </w:r>
          </w:p>
        </w:tc>
        <w:tc>
          <w:tcPr>
            <w:tcW w:w="418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17, 2022</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Krishna Vaddi, Ph.D.</w:t>
            </w: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1600" w:type="dxa"/>
            <w:vAlign w:val="bottom"/>
          </w:tcPr>
          <w:p>
            <w:pPr>
              <w:spacing w:after="0"/>
              <w:rPr>
                <w:sz w:val="19"/>
                <w:szCs w:val="19"/>
                <w:color w:val="auto"/>
              </w:rPr>
            </w:pPr>
          </w:p>
        </w:tc>
      </w:tr>
      <w:tr>
        <w:trPr>
          <w:trHeight w:val="64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Laurent Chardonnet</w:t>
            </w: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17, 2022</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Laurent Chardonnet</w:t>
            </w: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1600" w:type="dxa"/>
            <w:vAlign w:val="bottom"/>
          </w:tcPr>
          <w:p>
            <w:pPr>
              <w:spacing w:after="0"/>
              <w:rPr>
                <w:sz w:val="19"/>
                <w:szCs w:val="19"/>
                <w:color w:val="auto"/>
              </w:rPr>
            </w:pPr>
          </w:p>
        </w:tc>
      </w:tr>
      <w:tr>
        <w:trPr>
          <w:trHeight w:val="64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Paul A. Friedman</w:t>
            </w:r>
          </w:p>
        </w:tc>
        <w:tc>
          <w:tcPr>
            <w:tcW w:w="4180" w:type="dxa"/>
            <w:vAlign w:val="bottom"/>
          </w:tcPr>
          <w:p>
            <w:pPr>
              <w:jc w:val="center"/>
              <w:spacing w:after="0"/>
              <w:rPr>
                <w:sz w:val="20"/>
                <w:szCs w:val="20"/>
                <w:color w:val="auto"/>
              </w:rPr>
            </w:pPr>
            <w:r>
              <w:rPr>
                <w:rFonts w:ascii="Arial" w:cs="Arial" w:eastAsia="Arial" w:hAnsi="Arial"/>
                <w:sz w:val="18"/>
                <w:szCs w:val="18"/>
                <w:color w:val="auto"/>
                <w:w w:val="91"/>
              </w:rPr>
              <w:t>Chairman and 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17, 2022</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Paul A. Friedman, M.D.</w:t>
            </w:r>
          </w:p>
        </w:tc>
        <w:tc>
          <w:tcPr>
            <w:tcW w:w="4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Martin Babler</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17, 2022</w:t>
            </w:r>
          </w:p>
        </w:tc>
      </w:tr>
      <w:tr>
        <w:trPr>
          <w:trHeight w:val="439"/>
        </w:trPr>
        <w:tc>
          <w:tcPr>
            <w:tcW w:w="5080" w:type="dxa"/>
            <w:vAlign w:val="bottom"/>
          </w:tcPr>
          <w:p>
            <w:pPr>
              <w:jc w:val="center"/>
              <w:spacing w:after="0"/>
              <w:rPr>
                <w:sz w:val="20"/>
                <w:szCs w:val="20"/>
                <w:color w:val="auto"/>
              </w:rPr>
            </w:pPr>
            <w:r>
              <w:rPr>
                <w:rFonts w:ascii="Arial" w:cs="Arial" w:eastAsia="Arial" w:hAnsi="Arial"/>
                <w:sz w:val="18"/>
                <w:szCs w:val="18"/>
                <w:color w:val="auto"/>
                <w:w w:val="93"/>
              </w:rPr>
              <w:t>Martin Babler</w:t>
            </w:r>
          </w:p>
        </w:tc>
        <w:tc>
          <w:tcPr>
            <w:tcW w:w="4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Julian Baker</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17, 2022</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Julian Baker</w:t>
            </w:r>
          </w:p>
        </w:tc>
        <w:tc>
          <w:tcPr>
            <w:tcW w:w="4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Bonita</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17, 2022</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David Bonita, M.D.</w:t>
            </w:r>
          </w:p>
        </w:tc>
        <w:tc>
          <w:tcPr>
            <w:tcW w:w="4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Mardi C. Dier</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17, 2022</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Mardi C. Dier</w:t>
            </w:r>
          </w:p>
        </w:tc>
        <w:tc>
          <w:tcPr>
            <w:tcW w:w="4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64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Victor Sandor</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372"/>
              <w:spacing w:after="0"/>
              <w:rPr>
                <w:sz w:val="20"/>
                <w:szCs w:val="20"/>
                <w:color w:val="auto"/>
              </w:rPr>
            </w:pPr>
            <w:r>
              <w:rPr>
                <w:rFonts w:ascii="Arial" w:cs="Arial" w:eastAsia="Arial" w:hAnsi="Arial"/>
                <w:sz w:val="18"/>
                <w:szCs w:val="18"/>
                <w:color w:val="auto"/>
                <w:w w:val="91"/>
              </w:rPr>
              <w:t>March 17, 2022</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Victor Sandor, M.D.C.M.</w:t>
            </w:r>
          </w:p>
        </w:tc>
        <w:tc>
          <w:tcPr>
            <w:tcW w:w="418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-4080510</wp:posOffset>
            </wp:positionV>
            <wp:extent cx="3917315" cy="1800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391731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553" w:right="43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December 31, 2021, Prelude Therapeutics Incorporated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t>
      </w:r>
      <w:r>
        <w:rPr>
          <w:rFonts w:ascii="Arial" w:cs="Arial" w:eastAsia="Arial" w:hAnsi="Arial"/>
          <w:sz w:val="17"/>
          <w:szCs w:val="17"/>
          <w:b w:val="1"/>
          <w:bCs w:val="1"/>
          <w:i w:val="1"/>
          <w:iCs w:val="1"/>
          <w:color w:val="auto"/>
        </w:rPr>
        <w:t>we</w:t>
      </w:r>
      <w:r>
        <w:rPr>
          <w:rFonts w:ascii="Arial" w:cs="Arial" w:eastAsia="Arial" w:hAnsi="Arial"/>
          <w:sz w:val="17"/>
          <w:szCs w:val="17"/>
          <w:color w:val="auto"/>
        </w:rPr>
        <w:t>” or “</w:t>
      </w:r>
      <w:r>
        <w:rPr>
          <w:rFonts w:ascii="Arial" w:cs="Arial" w:eastAsia="Arial" w:hAnsi="Arial"/>
          <w:sz w:val="17"/>
          <w:szCs w:val="17"/>
          <w:b w:val="1"/>
          <w:bCs w:val="1"/>
          <w:i w:val="1"/>
          <w:iCs w:val="1"/>
          <w:color w:val="auto"/>
        </w:rPr>
        <w:t>our</w:t>
      </w:r>
      <w:r>
        <w:rPr>
          <w:rFonts w:ascii="Arial" w:cs="Arial" w:eastAsia="Arial" w:hAnsi="Arial"/>
          <w:sz w:val="17"/>
          <w:szCs w:val="17"/>
          <w:color w:val="auto"/>
        </w:rPr>
        <w:t>”) had one class of securities registered under Section 12 of the Securities Exchange Act of 1934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our common stock, $0.0001 par value per share. Our non-voting common stock are not registered under Section 12 of the Exchange Act. The following summary describes the material terms of our capital stock. The description of capital stock is qualified by reference to our certificate of incorporation, our bylaws and our investors rights agreement (the “</w:t>
      </w:r>
      <w:r>
        <w:rPr>
          <w:rFonts w:ascii="Arial" w:cs="Arial" w:eastAsia="Arial" w:hAnsi="Arial"/>
          <w:sz w:val="17"/>
          <w:szCs w:val="17"/>
          <w:b w:val="1"/>
          <w:bCs w:val="1"/>
          <w:i w:val="1"/>
          <w:iCs w:val="1"/>
          <w:color w:val="auto"/>
        </w:rPr>
        <w:t>IRA</w:t>
      </w:r>
      <w:r>
        <w:rPr>
          <w:rFonts w:ascii="Arial" w:cs="Arial" w:eastAsia="Arial" w:hAnsi="Arial"/>
          <w:sz w:val="17"/>
          <w:szCs w:val="17"/>
          <w:color w:val="auto"/>
        </w:rPr>
        <w:t>”), our registration rights agreement (the “</w:t>
      </w:r>
      <w:r>
        <w:rPr>
          <w:rFonts w:ascii="Arial" w:cs="Arial" w:eastAsia="Arial" w:hAnsi="Arial"/>
          <w:sz w:val="17"/>
          <w:szCs w:val="17"/>
          <w:b w:val="1"/>
          <w:bCs w:val="1"/>
          <w:i w:val="1"/>
          <w:iCs w:val="1"/>
          <w:color w:val="auto"/>
        </w:rPr>
        <w:t>Post-IPO RRA</w:t>
      </w:r>
      <w:r>
        <w:rPr>
          <w:rFonts w:ascii="Arial" w:cs="Arial" w:eastAsia="Arial" w:hAnsi="Arial"/>
          <w:sz w:val="17"/>
          <w:szCs w:val="17"/>
          <w:color w:val="auto"/>
        </w:rPr>
        <w:t>”) with certain of our stockholders (the “</w:t>
      </w:r>
      <w:r>
        <w:rPr>
          <w:rFonts w:ascii="Arial" w:cs="Arial" w:eastAsia="Arial" w:hAnsi="Arial"/>
          <w:sz w:val="17"/>
          <w:szCs w:val="17"/>
          <w:b w:val="1"/>
          <w:bCs w:val="1"/>
          <w:i w:val="1"/>
          <w:iCs w:val="1"/>
          <w:color w:val="auto"/>
        </w:rPr>
        <w:t>RRA Investors</w:t>
      </w:r>
      <w:r>
        <w:rPr>
          <w:rFonts w:ascii="Arial" w:cs="Arial" w:eastAsia="Arial" w:hAnsi="Arial"/>
          <w:sz w:val="17"/>
          <w:szCs w:val="17"/>
          <w:color w:val="auto"/>
        </w:rPr>
        <w:t>”) which are included as exhibits to our most recent Annual Report on Form 10-K and to the applicable provisions of the Delaware General Corporation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Non-Voting Common Stock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Holders of our common stock have no conversion rights, while holders of our non-voting common stock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restated certificate of incorporation. However, this ownership limitation may be increased (not to exceed 19.99%) or decreased to any other percentage designated by such holder of non-voting common stock upon 61 days’ notice to us.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and our non-voting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Except as otherwise expressly provided in our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We have not provided for cumulative voting for the election of directors in our restated certificate of incorporation, which means that holders of a majority of the shares of our common stock are able to elect all of our directors. Our restated certificate of incorporation established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Neither our common stock nor our non-voting common stock is entitled to preemptive rights, and neither is subject to conversion, redemption or sinking fund provisions.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our non-voting common stock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ind w:right="40"/>
        <w:spacing w:after="0" w:line="277" w:lineRule="auto"/>
        <w:rPr>
          <w:sz w:val="20"/>
          <w:szCs w:val="20"/>
          <w:color w:val="auto"/>
        </w:rPr>
      </w:pPr>
      <w:r>
        <w:rPr>
          <w:rFonts w:ascii="Arial" w:cs="Arial" w:eastAsia="Arial" w:hAnsi="Arial"/>
          <w:sz w:val="18"/>
          <w:szCs w:val="18"/>
          <w:color w:val="auto"/>
        </w:rPr>
        <w:t>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holders of shares of our common stock and non-voting common stock are entitled to rights with respect to the registration of these shares (or, in the case of the non-voting common stock, the shares of common stock into which such shares are convertible) under the Securities Act as described below. We refer to these shares collectively as registrable securities. These rights are provided under the terms of the IRA between us and the holders of these shares, which was entered into in connection with our redeemable convertible preferred stock financings prior to our IPO and under the terms of the Post-IPO RRA between us and the RRA Investors.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Beginning from March 23, 2021, if the holders of not less than 50% of the then-outstanding registrable securities may request the registration under the Securities Act of any registrable securities, if the anticipated aggregate offering price, net of selling expenses, would exceed $10.0 million, we are obligated to provide notice of such request to all holders of registration rights and, as soon as practicable and in any event within 60 days,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holders of at least 25% of the then-outstanding registrable securities can request that we register all or part of their shares on Form S-3 if we are eligible to file a registration statement on Form S-3 and if the aggregate price to the public of the shares offered, net of selling expenses, is at least $5.0 million. The stockholders may only require us to effect two registration statements on Form S-3 in a 12-month period.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register any of our securities for public sale in cash, holders of then-outstanding registrable securities or their permitted transferees will have the right to include their registrable securities in the registration statement. However, this right does not apply to a registration relating to any of our employee benefit plans, a corporate reorganization or transaction under Rule 145 of the Securities Act, a registration that requires information that is not substantially the same as the information required to be included in a registration statement covering the sale of the registrable securities, or a registration in which the only common stock being registered is common stock issuable upon conversion of debt securities that are also being registered or issuable upon the exercise of warrants. In an underwritten offering, if the total number of securities requested by stockholders to be included in the offering exceeds the number of securities to be sold (other than by us) that the underwriters determine in their reasonable discretion is compatible with the success of the offering, then we will be required to include only that number of securities that the underwriters and us, in our sole discretion, determine will not jeopardize the success of the offering. If the underwriters determine that less than all the registrable securities requested to be registered can be included in the offering, the number of registrable shares to be registered will be allocated (i) first, among holders of our preferred stock, in proportion to the amount of common stock issued or issuable upon conversion of the preferred stock owned by each such holder to be included in such offering, and (ii) second, among all other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5" w:name="page126"/>
    <w:bookmarkEnd w:id="125"/>
    <w:p>
      <w:pPr>
        <w:spacing w:after="0" w:line="293" w:lineRule="auto"/>
        <w:rPr>
          <w:sz w:val="20"/>
          <w:szCs w:val="20"/>
          <w:color w:val="auto"/>
        </w:rPr>
      </w:pPr>
      <w:r>
        <w:rPr>
          <w:rFonts w:ascii="Arial" w:cs="Arial" w:eastAsia="Arial" w:hAnsi="Arial"/>
          <w:sz w:val="16"/>
          <w:szCs w:val="16"/>
          <w:color w:val="auto"/>
        </w:rPr>
        <w:t>of our registrable securities, in proportion to the amount of other registrable securities owned by each such holder. However, (i) the number of shares issued or issuable upon conversion of the preferred stock, to be registered by the holders of our preferred stock, cannot be reduced unless all other securities (other than as offered by us) are first excluded entirely, and (ii) the number of shares to be registered by holders of all other registrable securities cannot be reduced unless all other securities (other than as offered by us and the shares of common stock issued or issuable on conversion of our preferred stock) are first entirely excluded. The number of registrable securities included in the offering may not be reduced below 25% of the total number of securities included in such offering, except for in connection with an initial public offering, in which case the underwriters may exclude these holders entirely.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1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generally will pay all expenses, other than underwriting discounts and selling commissions incurred in connection with each of the registrations described above, including the reasonable fees and disbursements, not to exceed $15,000, of one counsel for the selling 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earliest to occur of (a) at such time that all of the holder’s registrable securities can be sold without limitation in any three-month period without registration in compliance with Rule 144 or a similar exemption under the Securities Act and (b) at such time that our common stock is trading on a national securities exchange and all of the holder’s registrable securities can be sold during a three-month period without registration.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Post-IPO RRA between us and each of Baker Brothers and its affiliates, OrbiMed and its affiliates and Kris Vaddi, the RRA Investors are entitled to rights with respect to the registration of their shares under the Securities Act that supersede such rights as described above held by the RRA Investors under the IRA. These registration rights include the right to demand that we file with the SEC a Form S-3 registration statement (except if we are not then eligible to register for resale the registrable securities on Form S-3, in which case, such registration shall be on another appropriate form in accordance with the Securities Act) covering the registration of their registrable securities for resale, subject to certain conditions, as well as rights to be permitted an aggregate of five underwritten public offerings between the RRA Investors during the term of the Post-IPO RRA, subject to a limitation of an aggregate of two underwritten public offerings per calendar year, to effect the sale of their common stock for sale. The RRA Investors also have piggy-back rights to participate in registrations demanded by any of the other RRA Investors. The Post-IPO RRA requires us to pay expenses relating to such registrations and indemnify these holders against certain liabilities. Our registration obligations under this registration rights agreement would continue in effect until the earliest of (i) December 20, 2030, (ii) when the applicable registrable securities have been resold by the holders pursuant to an effective registration statement, (iii) when the applicable registrable securities have been resold pursuant to Rule 144 or (iv) when the applicable registrable securities may be resold pursuant to Rule 144 without limitations as to volume or manner of sale.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The provisions of Delaware General Corporation Law, or DGCL,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6" w:name="page127"/>
    <w:bookmarkEnd w:id="126"/>
    <w:p>
      <w:pPr>
        <w:ind w:right="60"/>
        <w:spacing w:after="0" w:line="263"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184" w:lineRule="exact"/>
        <w:rPr>
          <w:sz w:val="20"/>
          <w:szCs w:val="20"/>
          <w:color w:val="auto"/>
        </w:rPr>
      </w:pPr>
    </w:p>
    <w:p>
      <w:pPr>
        <w:ind w:left="1020" w:right="440" w:hanging="557"/>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1020" w:hanging="557"/>
        <w:spacing w:after="0" w:line="291"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1020" w:right="60"/>
        <w:spacing w:after="0" w:line="255" w:lineRule="auto"/>
        <w:rPr>
          <w:rFonts w:ascii="Arial" w:cs="Arial" w:eastAsia="Arial" w:hAnsi="Arial"/>
          <w:sz w:val="16"/>
          <w:szCs w:val="16"/>
          <w:color w:val="auto"/>
        </w:rPr>
      </w:pPr>
      <w:r>
        <w:rPr>
          <w:rFonts w:ascii="Arial" w:cs="Arial" w:eastAsia="Arial" w:hAnsi="Arial"/>
          <w:sz w:val="18"/>
          <w:szCs w:val="18"/>
          <w:color w:val="auto"/>
        </w:rPr>
        <w:t>(i)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89" w:lineRule="exact"/>
        <w:rPr>
          <w:rFonts w:ascii="Arial" w:cs="Arial" w:eastAsia="Arial" w:hAnsi="Arial"/>
          <w:sz w:val="16"/>
          <w:szCs w:val="16"/>
          <w:color w:val="auto"/>
        </w:rPr>
      </w:pPr>
    </w:p>
    <w:p>
      <w:pPr>
        <w:ind w:left="1020" w:right="460" w:hanging="557"/>
        <w:spacing w:after="0" w:line="263"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Effects of Certain Provisions of Our Restated Certificate of Incorporation and Restated Bylaw</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could deter hostile takeovers or delay or prevent changes in control of our company, including the following:</w:t>
      </w:r>
    </w:p>
    <w:p>
      <w:pPr>
        <w:spacing w:after="0" w:line="170" w:lineRule="exact"/>
        <w:rPr>
          <w:sz w:val="20"/>
          <w:szCs w:val="20"/>
          <w:color w:val="auto"/>
        </w:rPr>
      </w:pPr>
    </w:p>
    <w:p>
      <w:pPr>
        <w:ind w:left="1020" w:right="80" w:hanging="557"/>
        <w:spacing w:after="0" w:line="296"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Board of Directors Vacancies</w:t>
      </w:r>
      <w:r>
        <w:rPr>
          <w:rFonts w:ascii="Arial" w:cs="Arial" w:eastAsia="Arial" w:hAnsi="Arial"/>
          <w:sz w:val="16"/>
          <w:szCs w:val="16"/>
          <w:color w:val="auto"/>
        </w:rPr>
        <w:t>. Our restated certificate of incorporation and restated bylaws authorizes only our board of directors to fill</w:t>
      </w:r>
      <w:r>
        <w:rPr>
          <w:rFonts w:ascii="Arial" w:cs="Arial" w:eastAsia="Arial" w:hAnsi="Arial"/>
          <w:sz w:val="16"/>
          <w:szCs w:val="16"/>
          <w:i w:val="1"/>
          <w:iCs w:val="1"/>
          <w:color w:val="auto"/>
        </w:rPr>
        <w:t xml:space="preserve"> </w:t>
      </w:r>
      <w:r>
        <w:rPr>
          <w:rFonts w:ascii="Arial" w:cs="Arial" w:eastAsia="Arial" w:hAnsi="Arial"/>
          <w:sz w:val="16"/>
          <w:szCs w:val="16"/>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61" w:lineRule="exact"/>
        <w:rPr>
          <w:rFonts w:ascii="Arial" w:cs="Arial" w:eastAsia="Arial" w:hAnsi="Arial"/>
          <w:sz w:val="16"/>
          <w:szCs w:val="16"/>
          <w:color w:val="auto"/>
        </w:rPr>
      </w:pPr>
    </w:p>
    <w:p>
      <w:pPr>
        <w:ind w:left="1020" w:right="420" w:hanging="557"/>
        <w:spacing w:after="0" w:line="259"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restated certificate of incorporation and restated bylaws provide that our board of directors is classified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7" w:name="page128"/>
    <w:bookmarkEnd w:id="127"/>
    <w:p>
      <w:pPr>
        <w:ind w:left="557" w:right="40" w:hanging="557"/>
        <w:spacing w:after="0" w:line="254" w:lineRule="auto"/>
        <w:tabs>
          <w:tab w:leader="none" w:pos="557"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Meetings of Stockholders</w:t>
      </w:r>
      <w:r>
        <w:rPr>
          <w:rFonts w:ascii="Arial" w:cs="Arial" w:eastAsia="Arial" w:hAnsi="Arial"/>
          <w:sz w:val="18"/>
          <w:szCs w:val="18"/>
          <w:color w:val="auto"/>
        </w:rPr>
        <w:t>. Our restated certificate of incorporation provide that our stockholders may not take</w:t>
      </w:r>
      <w:r>
        <w:rPr>
          <w:rFonts w:ascii="Arial" w:cs="Arial" w:eastAsia="Arial" w:hAnsi="Arial"/>
          <w:sz w:val="18"/>
          <w:szCs w:val="18"/>
          <w:i w:val="1"/>
          <w:iCs w:val="1"/>
          <w:color w:val="auto"/>
        </w:rPr>
        <w:t xml:space="preserve"> </w:t>
      </w:r>
      <w:r>
        <w:rPr>
          <w:rFonts w:ascii="Arial" w:cs="Arial" w:eastAsia="Arial" w:hAnsi="Arial"/>
          <w:sz w:val="18"/>
          <w:szCs w:val="18"/>
          <w:color w:val="auto"/>
        </w:rPr>
        <w:t>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91" w:lineRule="exact"/>
        <w:rPr>
          <w:rFonts w:ascii="Arial" w:cs="Arial" w:eastAsia="Arial" w:hAnsi="Arial"/>
          <w:sz w:val="18"/>
          <w:szCs w:val="18"/>
          <w:color w:val="auto"/>
        </w:rPr>
      </w:pPr>
    </w:p>
    <w:p>
      <w:pPr>
        <w:ind w:left="557" w:hanging="557"/>
        <w:spacing w:after="0" w:line="272" w:lineRule="auto"/>
        <w:tabs>
          <w:tab w:leader="none" w:pos="557"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restated bylaws provide advance notice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7" w:lineRule="exact"/>
        <w:rPr>
          <w:rFonts w:ascii="Arial" w:cs="Arial" w:eastAsia="Arial" w:hAnsi="Arial"/>
          <w:sz w:val="17"/>
          <w:szCs w:val="17"/>
          <w:color w:val="auto"/>
        </w:rPr>
      </w:pPr>
    </w:p>
    <w:p>
      <w:pPr>
        <w:ind w:left="557" w:right="80" w:hanging="557"/>
        <w:spacing w:after="0" w:line="263" w:lineRule="auto"/>
        <w:tabs>
          <w:tab w:leader="none" w:pos="557"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a corporation’s certificate of incorporation provides otherwise. Our restated certificate of incorporation and restated bylaws do not provide for cumulative voting.</w:t>
      </w:r>
    </w:p>
    <w:p>
      <w:pPr>
        <w:spacing w:after="0" w:line="183" w:lineRule="exact"/>
        <w:rPr>
          <w:rFonts w:ascii="Arial" w:cs="Arial" w:eastAsia="Arial" w:hAnsi="Arial"/>
          <w:sz w:val="18"/>
          <w:szCs w:val="18"/>
          <w:color w:val="auto"/>
        </w:rPr>
      </w:pPr>
    </w:p>
    <w:p>
      <w:pPr>
        <w:ind w:left="557" w:right="120" w:hanging="557"/>
        <w:spacing w:after="0" w:line="277" w:lineRule="auto"/>
        <w:tabs>
          <w:tab w:leader="none" w:pos="557"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restated certificate of incorporation provides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170" w:lineRule="exact"/>
        <w:rPr>
          <w:rFonts w:ascii="Arial" w:cs="Arial" w:eastAsia="Arial" w:hAnsi="Arial"/>
          <w:sz w:val="18"/>
          <w:szCs w:val="18"/>
          <w:color w:val="auto"/>
        </w:rPr>
      </w:pPr>
    </w:p>
    <w:p>
      <w:pPr>
        <w:ind w:left="557" w:right="640" w:hanging="557"/>
        <w:spacing w:after="0" w:line="277" w:lineRule="auto"/>
        <w:tabs>
          <w:tab w:leader="none" w:pos="557"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170" w:lineRule="exact"/>
        <w:rPr>
          <w:rFonts w:ascii="Arial" w:cs="Arial" w:eastAsia="Arial" w:hAnsi="Arial"/>
          <w:sz w:val="18"/>
          <w:szCs w:val="18"/>
          <w:color w:val="auto"/>
        </w:rPr>
      </w:pPr>
    </w:p>
    <w:p>
      <w:pPr>
        <w:ind w:left="557" w:right="100" w:hanging="557"/>
        <w:spacing w:after="0" w:line="301" w:lineRule="auto"/>
        <w:tabs>
          <w:tab w:leader="none" w:pos="557"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has the authority, without further action by the stockholders, to issue up to</w:t>
      </w:r>
      <w:r>
        <w:rPr>
          <w:rFonts w:ascii="Arial" w:cs="Arial" w:eastAsia="Arial" w:hAnsi="Arial"/>
          <w:sz w:val="16"/>
          <w:szCs w:val="16"/>
          <w:i w:val="1"/>
          <w:iCs w:val="1"/>
          <w:color w:val="auto"/>
        </w:rPr>
        <w:t xml:space="preserve"> </w:t>
      </w:r>
      <w:r>
        <w:rPr>
          <w:rFonts w:ascii="Arial" w:cs="Arial" w:eastAsia="Arial" w:hAnsi="Arial"/>
          <w:sz w:val="16"/>
          <w:szCs w:val="16"/>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438785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57"/>
          </w:cols>
          <w:pgMar w:left="783" w:top="557" w:right="359" w:bottom="1440" w:gutter="0" w:footer="0" w:header="0"/>
        </w:sectPr>
      </w:pPr>
    </w:p>
    <w:bookmarkStart w:id="128" w:name="page129"/>
    <w:bookmarkEnd w:id="128"/>
    <w:p>
      <w:pPr>
        <w:ind w:left="1020" w:hanging="557"/>
        <w:spacing w:after="0" w:line="284"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Choice of Forum</w:t>
      </w:r>
      <w:r>
        <w:rPr>
          <w:rFonts w:ascii="Arial" w:cs="Arial" w:eastAsia="Arial" w:hAnsi="Arial"/>
          <w:sz w:val="16"/>
          <w:szCs w:val="16"/>
          <w:color w:val="auto"/>
        </w:rPr>
        <w:t>. Our restated certificate of incorporation provides that, to the fullest extent permitted by law, the Court of Chancery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restated bylaws also provide that the federal district courts of the United States of America will,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and non-voting common stock is Computershare Trust Company, N.A.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Select Market Listing</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“PRLD.” The non-voting common stock is not listed for trading on any securities exchange and we do not plan to list the non-voting common stock on any securities exchange.</w:t>
      </w:r>
    </w:p>
    <w:p>
      <w:pPr>
        <w:sectPr>
          <w:pgSz w:w="11900" w:h="16838" w:orient="portrait"/>
          <w:cols w:equalWidth="0" w:num="1">
            <w:col w:w="11220"/>
          </w:cols>
          <w:pgMar w:left="320" w:top="557" w:right="35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made between Prelude Therapeutics Incorporated,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Peggy Scherle (“</w:t>
      </w:r>
      <w:r>
        <w:rPr>
          <w:rFonts w:ascii="Arial" w:cs="Arial" w:eastAsia="Arial" w:hAnsi="Arial"/>
          <w:sz w:val="22"/>
          <w:szCs w:val="22"/>
          <w:b w:val="1"/>
          <w:bCs w:val="1"/>
          <w:color w:val="auto"/>
        </w:rPr>
        <w:t>Executive</w:t>
      </w:r>
      <w:r>
        <w:rPr>
          <w:rFonts w:ascii="Arial" w:cs="Arial" w:eastAsia="Arial" w:hAnsi="Arial"/>
          <w:sz w:val="22"/>
          <w:szCs w:val="22"/>
          <w:color w:val="auto"/>
        </w:rPr>
        <w:t>” and, collectively with the Company, the “</w:t>
      </w:r>
      <w:r>
        <w:rPr>
          <w:rFonts w:ascii="Arial" w:cs="Arial" w:eastAsia="Arial" w:hAnsi="Arial"/>
          <w:sz w:val="22"/>
          <w:szCs w:val="22"/>
          <w:b w:val="1"/>
          <w:bCs w:val="1"/>
          <w:color w:val="auto"/>
        </w:rPr>
        <w:t>Parties</w:t>
      </w:r>
      <w:r>
        <w:rPr>
          <w:rFonts w:ascii="Arial" w:cs="Arial" w:eastAsia="Arial" w:hAnsi="Arial"/>
          <w:sz w:val="22"/>
          <w:szCs w:val="22"/>
          <w:color w:val="auto"/>
        </w:rPr>
        <w:t>”), is entered into as of December 19, 2020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306"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desires to continue to employ Executive as the Company’s Chief Scientific Officer, and</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desires to continue to serve in such capacity, pursuant to the terms and conditions set forth in this Agreement.</w:t>
      </w:r>
    </w:p>
    <w:p>
      <w:pPr>
        <w:spacing w:after="0" w:line="116" w:lineRule="exact"/>
        <w:rPr>
          <w:sz w:val="20"/>
          <w:szCs w:val="20"/>
          <w:color w:val="auto"/>
        </w:rPr>
      </w:pPr>
    </w:p>
    <w:p>
      <w:pPr>
        <w:jc w:val="both"/>
        <w:ind w:right="20" w:firstLine="864"/>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mutual promises and covenants contained herein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is hereby acknowledged, the Parties hereto agree as follows:</w:t>
      </w:r>
    </w:p>
    <w:p>
      <w:pPr>
        <w:spacing w:after="0" w:line="116" w:lineRule="exact"/>
        <w:rPr>
          <w:sz w:val="20"/>
          <w:szCs w:val="20"/>
          <w:color w:val="auto"/>
        </w:rPr>
      </w:pPr>
    </w:p>
    <w:p>
      <w:pPr>
        <w:ind w:left="1680" w:hanging="808"/>
        <w:spacing w:after="0"/>
        <w:tabs>
          <w:tab w:leader="none" w:pos="1680" w:val="left"/>
        </w:tabs>
        <w:numPr>
          <w:ilvl w:val="0"/>
          <w:numId w:val="75"/>
        </w:numPr>
        <w:rPr>
          <w:rFonts w:ascii="Arial" w:cs="Arial" w:eastAsia="Arial" w:hAnsi="Arial"/>
          <w:sz w:val="22"/>
          <w:szCs w:val="22"/>
          <w:b w:val="1"/>
          <w:bCs w:val="1"/>
          <w:color w:val="010000"/>
        </w:rPr>
      </w:pPr>
      <w:r>
        <w:rPr>
          <w:rFonts w:ascii="Arial" w:cs="Arial" w:eastAsia="Arial" w:hAnsi="Arial"/>
          <w:sz w:val="22"/>
          <w:szCs w:val="22"/>
          <w:b w:val="1"/>
          <w:bCs w:val="1"/>
          <w:color w:val="auto"/>
        </w:rPr>
        <w:t>Employment by the Company.</w:t>
      </w:r>
    </w:p>
    <w:p>
      <w:pPr>
        <w:spacing w:after="0" w:line="206"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010000"/>
        </w:rPr>
        <w:t xml:space="preserve">1.1 </w:t>
      </w:r>
      <w:r>
        <w:rPr>
          <w:rFonts w:ascii="Arial" w:cs="Arial" w:eastAsia="Arial" w:hAnsi="Arial"/>
          <w:sz w:val="22"/>
          <w:szCs w:val="22"/>
          <w:b w:val="1"/>
          <w:bCs w:val="1"/>
          <w:color w:val="000000"/>
        </w:rPr>
        <w:t>Employment.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shall govern the terms of Executive’s employment with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Company, effective as of the Effective Date.</w:t>
      </w:r>
    </w:p>
    <w:p>
      <w:pPr>
        <w:spacing w:after="0" w:line="162" w:lineRule="exact"/>
        <w:rPr>
          <w:sz w:val="20"/>
          <w:szCs w:val="20"/>
          <w:color w:val="auto"/>
        </w:rPr>
      </w:pPr>
    </w:p>
    <w:p>
      <w:pPr>
        <w:jc w:val="both"/>
        <w:ind w:right="20" w:firstLine="1727"/>
        <w:spacing w:after="0" w:line="300" w:lineRule="auto"/>
        <w:rPr>
          <w:sz w:val="20"/>
          <w:szCs w:val="20"/>
          <w:color w:val="auto"/>
        </w:rPr>
      </w:pPr>
      <w:r>
        <w:rPr>
          <w:rFonts w:ascii="Arial" w:cs="Arial" w:eastAsia="Arial" w:hAnsi="Arial"/>
          <w:sz w:val="19"/>
          <w:szCs w:val="19"/>
          <w:b w:val="1"/>
          <w:bCs w:val="1"/>
          <w:color w:val="010000"/>
        </w:rPr>
        <w:t xml:space="preserve">1.2 </w:t>
      </w:r>
      <w:r>
        <w:rPr>
          <w:rFonts w:ascii="Arial" w:cs="Arial" w:eastAsia="Arial" w:hAnsi="Arial"/>
          <w:sz w:val="19"/>
          <w:szCs w:val="19"/>
          <w:b w:val="1"/>
          <w:bCs w:val="1"/>
          <w:color w:val="000000"/>
        </w:rPr>
        <w:t>Position.</w:t>
      </w:r>
      <w:r>
        <w:rPr>
          <w:rFonts w:ascii="Arial" w:cs="Arial" w:eastAsia="Arial" w:hAnsi="Arial"/>
          <w:sz w:val="19"/>
          <w:szCs w:val="19"/>
          <w:b w:val="1"/>
          <w:bCs w:val="1"/>
          <w:color w:val="010000"/>
        </w:rPr>
        <w:t xml:space="preserve"> </w:t>
      </w:r>
      <w:r>
        <w:rPr>
          <w:rFonts w:ascii="Arial" w:cs="Arial" w:eastAsia="Arial" w:hAnsi="Arial"/>
          <w:sz w:val="19"/>
          <w:szCs w:val="19"/>
          <w:color w:val="000000"/>
        </w:rPr>
        <w:t>Executive shall continue to serve as the Company’s Chief Scientific Officer. During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term of Executive’s employment with the Company hereunder, Executive will devote Executive’s best efforts and substantially all of Executive’s business time and attention to the business of the Company, except as otherwise set forth in Section 11.1.</w:t>
      </w:r>
    </w:p>
    <w:p>
      <w:pPr>
        <w:spacing w:after="0" w:line="12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 </w:t>
      </w:r>
      <w:r>
        <w:rPr>
          <w:rFonts w:ascii="Arial" w:cs="Arial" w:eastAsia="Arial" w:hAnsi="Arial"/>
          <w:sz w:val="22"/>
          <w:szCs w:val="22"/>
          <w:b w:val="1"/>
          <w:bCs w:val="1"/>
          <w:color w:val="000000"/>
        </w:rPr>
        <w:t>Duties and Location.</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shall perform such duties as are typically performed by a Chief</w:t>
      </w:r>
      <w:r>
        <w:rPr>
          <w:rFonts w:ascii="Arial" w:cs="Arial" w:eastAsia="Arial" w:hAnsi="Arial"/>
          <w:sz w:val="22"/>
          <w:szCs w:val="22"/>
          <w:b w:val="1"/>
          <w:bCs w:val="1"/>
          <w:color w:val="010000"/>
        </w:rPr>
        <w:t xml:space="preserve"> </w:t>
      </w:r>
      <w:r>
        <w:rPr>
          <w:rFonts w:ascii="Arial" w:cs="Arial" w:eastAsia="Arial" w:hAnsi="Arial"/>
          <w:sz w:val="22"/>
          <w:szCs w:val="22"/>
          <w:color w:val="000000"/>
        </w:rPr>
        <w:t>Scientific Officer. Executive will report to the Company’s Chief Executive Officer. Executive’s primary office location shall be the Company’s office located in Wilmington, Delaware.</w:t>
      </w:r>
    </w:p>
    <w:p>
      <w:pPr>
        <w:spacing w:after="0" w:line="177"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1"/>
          <w:szCs w:val="21"/>
          <w:b w:val="1"/>
          <w:bCs w:val="1"/>
          <w:color w:val="010000"/>
        </w:rPr>
        <w:t xml:space="preserve">1.4 </w:t>
      </w:r>
      <w:r>
        <w:rPr>
          <w:rFonts w:ascii="Arial" w:cs="Arial" w:eastAsia="Arial" w:hAnsi="Arial"/>
          <w:sz w:val="21"/>
          <w:szCs w:val="21"/>
          <w:b w:val="1"/>
          <w:bCs w:val="1"/>
          <w:color w:val="000000"/>
        </w:rPr>
        <w:t>Policies and Procedures.</w:t>
      </w:r>
      <w:r>
        <w:rPr>
          <w:rFonts w:ascii="Arial" w:cs="Arial" w:eastAsia="Arial" w:hAnsi="Arial"/>
          <w:sz w:val="21"/>
          <w:szCs w:val="21"/>
          <w:b w:val="1"/>
          <w:bCs w:val="1"/>
          <w:color w:val="010000"/>
        </w:rPr>
        <w:t xml:space="preserve"> </w:t>
      </w:r>
      <w:r>
        <w:rPr>
          <w:rFonts w:ascii="Arial" w:cs="Arial" w:eastAsia="Arial" w:hAnsi="Arial"/>
          <w:sz w:val="21"/>
          <w:szCs w:val="21"/>
          <w:color w:val="000000"/>
        </w:rPr>
        <w:t>The employment relationship between the Parties shall be governed by</w:t>
      </w:r>
      <w:r>
        <w:rPr>
          <w:rFonts w:ascii="Arial" w:cs="Arial" w:eastAsia="Arial" w:hAnsi="Arial"/>
          <w:sz w:val="21"/>
          <w:szCs w:val="21"/>
          <w:b w:val="1"/>
          <w:bCs w:val="1"/>
          <w:color w:val="010000"/>
        </w:rPr>
        <w:t xml:space="preserve"> </w:t>
      </w:r>
      <w:r>
        <w:rPr>
          <w:rFonts w:ascii="Arial" w:cs="Arial" w:eastAsia="Arial" w:hAnsi="Arial"/>
          <w:sz w:val="21"/>
          <w:szCs w:val="21"/>
          <w:color w:val="000000"/>
        </w:rPr>
        <w:t>the general employment policies and practices of the Company, except that when the terms of this Agreement differ from or are in conflict with the Company’s general employment policies or practices, this Agreement shall control.</w:t>
      </w:r>
    </w:p>
    <w:p>
      <w:pPr>
        <w:spacing w:after="0" w:line="160" w:lineRule="exact"/>
        <w:rPr>
          <w:sz w:val="20"/>
          <w:szCs w:val="20"/>
          <w:color w:val="auto"/>
        </w:rPr>
      </w:pPr>
    </w:p>
    <w:p>
      <w:pPr>
        <w:ind w:left="1680" w:hanging="808"/>
        <w:spacing w:after="0"/>
        <w:tabs>
          <w:tab w:leader="none" w:pos="1680" w:val="left"/>
        </w:tabs>
        <w:numPr>
          <w:ilvl w:val="0"/>
          <w:numId w:val="76"/>
        </w:numPr>
        <w:rPr>
          <w:rFonts w:ascii="Arial" w:cs="Arial" w:eastAsia="Arial" w:hAnsi="Arial"/>
          <w:sz w:val="22"/>
          <w:szCs w:val="22"/>
          <w:b w:val="1"/>
          <w:bCs w:val="1"/>
          <w:color w:val="010000"/>
        </w:rPr>
      </w:pPr>
      <w:r>
        <w:rPr>
          <w:rFonts w:ascii="Arial" w:cs="Arial" w:eastAsia="Arial" w:hAnsi="Arial"/>
          <w:sz w:val="22"/>
          <w:szCs w:val="22"/>
          <w:b w:val="1"/>
          <w:bCs w:val="1"/>
          <w:color w:val="auto"/>
        </w:rPr>
        <w:t>Compensation.</w:t>
      </w:r>
    </w:p>
    <w:p>
      <w:pPr>
        <w:spacing w:after="0" w:line="20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010000"/>
        </w:rPr>
        <w:t xml:space="preserve">2.1 </w:t>
      </w:r>
      <w:r>
        <w:rPr>
          <w:rFonts w:ascii="Arial" w:cs="Arial" w:eastAsia="Arial" w:hAnsi="Arial"/>
          <w:sz w:val="22"/>
          <w:szCs w:val="22"/>
          <w:b w:val="1"/>
          <w:bCs w:val="1"/>
          <w:color w:val="000000"/>
        </w:rPr>
        <w:t>Salary.</w:t>
      </w:r>
      <w:r>
        <w:rPr>
          <w:rFonts w:ascii="Arial" w:cs="Arial" w:eastAsia="Arial" w:hAnsi="Arial"/>
          <w:sz w:val="22"/>
          <w:szCs w:val="22"/>
          <w:b w:val="1"/>
          <w:bCs w:val="1"/>
          <w:color w:val="010000"/>
        </w:rPr>
        <w:t xml:space="preserve"> </w:t>
      </w:r>
      <w:r>
        <w:rPr>
          <w:rFonts w:ascii="Arial" w:cs="Arial" w:eastAsia="Arial" w:hAnsi="Arial"/>
          <w:sz w:val="22"/>
          <w:szCs w:val="22"/>
          <w:color w:val="000000"/>
        </w:rPr>
        <w:t>For services to be rendered hereunder, Executive shall receive a base salary at the rate of</w:t>
      </w:r>
      <w:r>
        <w:rPr>
          <w:rFonts w:ascii="Arial" w:cs="Arial" w:eastAsia="Arial" w:hAnsi="Arial"/>
          <w:sz w:val="22"/>
          <w:szCs w:val="22"/>
          <w:b w:val="1"/>
          <w:bCs w:val="1"/>
          <w:color w:val="010000"/>
        </w:rPr>
        <w:t xml:space="preserve"> </w:t>
      </w:r>
      <w:r>
        <w:rPr>
          <w:rFonts w:ascii="Arial" w:cs="Arial" w:eastAsia="Arial" w:hAnsi="Arial"/>
          <w:sz w:val="22"/>
          <w:szCs w:val="22"/>
          <w:color w:val="000000"/>
        </w:rPr>
        <w:t>three hundred seventy-eight thousand U.S. Dollars ($378,000) per year (such base salary, as in effect from time to time, the “</w:t>
      </w:r>
      <w:r>
        <w:rPr>
          <w:rFonts w:ascii="Arial" w:cs="Arial" w:eastAsia="Arial" w:hAnsi="Arial"/>
          <w:sz w:val="22"/>
          <w:szCs w:val="22"/>
          <w:b w:val="1"/>
          <w:bCs w:val="1"/>
          <w:color w:val="000000"/>
        </w:rPr>
        <w:t>Base</w:t>
      </w:r>
      <w:r>
        <w:rPr>
          <w:rFonts w:ascii="Arial" w:cs="Arial" w:eastAsia="Arial" w:hAnsi="Arial"/>
          <w:sz w:val="22"/>
          <w:szCs w:val="22"/>
          <w:color w:val="000000"/>
        </w:rPr>
        <w:t xml:space="preserve"> </w:t>
      </w:r>
      <w:r>
        <w:rPr>
          <w:rFonts w:ascii="Arial" w:cs="Arial" w:eastAsia="Arial" w:hAnsi="Arial"/>
          <w:sz w:val="22"/>
          <w:szCs w:val="22"/>
          <w:b w:val="1"/>
          <w:bCs w:val="1"/>
          <w:color w:val="000000"/>
        </w:rPr>
        <w:t>Salary</w:t>
      </w:r>
      <w:r>
        <w:rPr>
          <w:rFonts w:ascii="Arial" w:cs="Arial" w:eastAsia="Arial" w:hAnsi="Arial"/>
          <w:sz w:val="22"/>
          <w:szCs w:val="22"/>
          <w:color w:val="000000"/>
        </w:rPr>
        <w:t>”), subject to standard payroll deductions and withholdings and payable in accordance with the Company’s regular payroll</w:t>
      </w:r>
      <w:r>
        <w:rPr>
          <w:rFonts w:ascii="Arial" w:cs="Arial" w:eastAsia="Arial" w:hAnsi="Arial"/>
          <w:sz w:val="22"/>
          <w:szCs w:val="22"/>
          <w:b w:val="1"/>
          <w:bCs w:val="1"/>
          <w:color w:val="000000"/>
        </w:rPr>
        <w:t xml:space="preserve"> </w:t>
      </w:r>
      <w:r>
        <w:rPr>
          <w:rFonts w:ascii="Arial" w:cs="Arial" w:eastAsia="Arial" w:hAnsi="Arial"/>
          <w:sz w:val="22"/>
          <w:szCs w:val="22"/>
          <w:color w:val="000000"/>
        </w:rPr>
        <w:t>schedule.</w:t>
      </w:r>
    </w:p>
    <w:p>
      <w:pPr>
        <w:spacing w:after="0" w:line="180" w:lineRule="exact"/>
        <w:rPr>
          <w:sz w:val="20"/>
          <w:szCs w:val="20"/>
          <w:color w:val="auto"/>
        </w:rPr>
      </w:pPr>
    </w:p>
    <w:p>
      <w:pPr>
        <w:jc w:val="both"/>
        <w:ind w:firstLine="1727"/>
        <w:spacing w:after="0" w:line="254" w:lineRule="auto"/>
        <w:rPr>
          <w:sz w:val="20"/>
          <w:szCs w:val="20"/>
          <w:color w:val="auto"/>
        </w:rPr>
      </w:pPr>
      <w:r>
        <w:rPr>
          <w:rFonts w:ascii="Arial" w:cs="Arial" w:eastAsia="Arial" w:hAnsi="Arial"/>
          <w:sz w:val="21"/>
          <w:szCs w:val="21"/>
          <w:b w:val="1"/>
          <w:bCs w:val="1"/>
          <w:color w:val="010000"/>
        </w:rPr>
        <w:t xml:space="preserve">2.2 </w:t>
      </w:r>
      <w:r>
        <w:rPr>
          <w:rFonts w:ascii="Arial" w:cs="Arial" w:eastAsia="Arial" w:hAnsi="Arial"/>
          <w:sz w:val="21"/>
          <w:szCs w:val="21"/>
          <w:b w:val="1"/>
          <w:bCs w:val="1"/>
          <w:color w:val="000000"/>
        </w:rPr>
        <w:t>Bonus.</w:t>
      </w:r>
      <w:r>
        <w:rPr>
          <w:rFonts w:ascii="Arial" w:cs="Arial" w:eastAsia="Arial" w:hAnsi="Arial"/>
          <w:sz w:val="21"/>
          <w:szCs w:val="21"/>
          <w:b w:val="1"/>
          <w:bCs w:val="1"/>
          <w:color w:val="010000"/>
        </w:rPr>
        <w:t xml:space="preserve"> </w:t>
      </w:r>
      <w:r>
        <w:rPr>
          <w:rFonts w:ascii="Arial" w:cs="Arial" w:eastAsia="Arial" w:hAnsi="Arial"/>
          <w:sz w:val="21"/>
          <w:szCs w:val="21"/>
          <w:color w:val="000000"/>
        </w:rPr>
        <w:t>Executive will be eligible for an annual discretionary bonus with a target amount equal to</w:t>
      </w:r>
      <w:r>
        <w:rPr>
          <w:rFonts w:ascii="Arial" w:cs="Arial" w:eastAsia="Arial" w:hAnsi="Arial"/>
          <w:sz w:val="21"/>
          <w:szCs w:val="21"/>
          <w:b w:val="1"/>
          <w:bCs w:val="1"/>
          <w:color w:val="010000"/>
        </w:rPr>
        <w:t xml:space="preserve"> </w:t>
      </w:r>
      <w:r>
        <w:rPr>
          <w:rFonts w:ascii="Arial" w:cs="Arial" w:eastAsia="Arial" w:hAnsi="Arial"/>
          <w:sz w:val="21"/>
          <w:szCs w:val="21"/>
          <w:color w:val="000000"/>
        </w:rPr>
        <w:t>40% of Executive’s Base Salary (the “</w:t>
      </w:r>
      <w:r>
        <w:rPr>
          <w:rFonts w:ascii="Arial" w:cs="Arial" w:eastAsia="Arial" w:hAnsi="Arial"/>
          <w:sz w:val="21"/>
          <w:szCs w:val="21"/>
          <w:b w:val="1"/>
          <w:bCs w:val="1"/>
          <w:color w:val="000000"/>
        </w:rPr>
        <w:t>Annual Bonus</w:t>
      </w:r>
      <w:r>
        <w:rPr>
          <w:rFonts w:ascii="Arial" w:cs="Arial" w:eastAsia="Arial" w:hAnsi="Arial"/>
          <w:sz w:val="21"/>
          <w:szCs w:val="21"/>
          <w:color w:val="000000"/>
        </w:rPr>
        <w:t>”). Whether Executive receives an Annual Bonus for any given year, and the amount of any such Annual Bonus, will be determined by the board of directors of the Company (the “</w:t>
      </w:r>
      <w:r>
        <w:rPr>
          <w:rFonts w:ascii="Arial" w:cs="Arial" w:eastAsia="Arial" w:hAnsi="Arial"/>
          <w:sz w:val="21"/>
          <w:szCs w:val="21"/>
          <w:b w:val="1"/>
          <w:bCs w:val="1"/>
          <w:color w:val="000000"/>
        </w:rPr>
        <w:t>Board</w:t>
      </w:r>
      <w:r>
        <w:rPr>
          <w:rFonts w:ascii="Arial" w:cs="Arial" w:eastAsia="Arial" w:hAnsi="Arial"/>
          <w:sz w:val="21"/>
          <w:szCs w:val="21"/>
          <w:color w:val="000000"/>
        </w:rPr>
        <w:t>”) or the compensation committee thereof in its sole discretion based upon the Company’s and Executive’s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0" w:name="page131"/>
    <w:bookmarkEnd w:id="130"/>
    <w:p>
      <w:pPr>
        <w:jc w:val="both"/>
        <w:ind w:right="20"/>
        <w:spacing w:after="0"/>
        <w:rPr>
          <w:sz w:val="20"/>
          <w:szCs w:val="20"/>
          <w:color w:val="auto"/>
        </w:rPr>
      </w:pPr>
      <w:r>
        <w:rPr>
          <w:rFonts w:ascii="Arial" w:cs="Arial" w:eastAsia="Arial" w:hAnsi="Arial"/>
          <w:sz w:val="22"/>
          <w:szCs w:val="22"/>
          <w:color w:val="auto"/>
        </w:rPr>
        <w:t>of objectives and milestones to be determined on an annual basis by the Board or the compensation committee thereof. Executive will not be eligible for, and will not earn, any Annual Bonus (including a prorated bonus) if Executive’s employment terminates for any reason before any Annual Bonus is paid.</w:t>
      </w:r>
    </w:p>
    <w:p>
      <w:pPr>
        <w:spacing w:after="0" w:line="180" w:lineRule="exact"/>
        <w:rPr>
          <w:sz w:val="20"/>
          <w:szCs w:val="20"/>
          <w:color w:val="auto"/>
        </w:rPr>
      </w:pPr>
    </w:p>
    <w:p>
      <w:pPr>
        <w:jc w:val="both"/>
        <w:ind w:firstLine="872"/>
        <w:spacing w:after="0" w:line="243" w:lineRule="auto"/>
        <w:tabs>
          <w:tab w:leader="none" w:pos="1674" w:val="left"/>
        </w:tabs>
        <w:numPr>
          <w:ilvl w:val="0"/>
          <w:numId w:val="77"/>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Standard Company Benefits. </w:t>
      </w:r>
      <w:r>
        <w:rPr>
          <w:rFonts w:ascii="Arial" w:cs="Arial" w:eastAsia="Arial" w:hAnsi="Arial"/>
          <w:sz w:val="22"/>
          <w:szCs w:val="22"/>
          <w:color w:val="auto"/>
        </w:rPr>
        <w:t>Executive shall be entitled to participate in all employee benefit programs for</w:t>
      </w:r>
      <w:r>
        <w:rPr>
          <w:rFonts w:ascii="Arial" w:cs="Arial" w:eastAsia="Arial" w:hAnsi="Arial"/>
          <w:sz w:val="22"/>
          <w:szCs w:val="22"/>
          <w:b w:val="1"/>
          <w:bCs w:val="1"/>
          <w:color w:val="auto"/>
        </w:rPr>
        <w:t xml:space="preserve"> </w:t>
      </w:r>
      <w:r>
        <w:rPr>
          <w:rFonts w:ascii="Arial" w:cs="Arial" w:eastAsia="Arial" w:hAnsi="Arial"/>
          <w:sz w:val="22"/>
          <w:szCs w:val="22"/>
          <w:color w:val="auto"/>
        </w:rPr>
        <w:t>which Executive is eligible under the terms and conditions of the benefit plans that may be in effect from time to time and provided by the Company to its employees.</w:t>
      </w:r>
    </w:p>
    <w:p>
      <w:pPr>
        <w:spacing w:after="0" w:line="176" w:lineRule="exact"/>
        <w:rPr>
          <w:rFonts w:ascii="Arial" w:cs="Arial" w:eastAsia="Arial" w:hAnsi="Arial"/>
          <w:sz w:val="22"/>
          <w:szCs w:val="22"/>
          <w:b w:val="1"/>
          <w:bCs w:val="1"/>
          <w:color w:val="010000"/>
        </w:rPr>
      </w:pPr>
    </w:p>
    <w:p>
      <w:pPr>
        <w:jc w:val="both"/>
        <w:ind w:firstLine="872"/>
        <w:spacing w:after="0" w:line="243" w:lineRule="auto"/>
        <w:tabs>
          <w:tab w:leader="none" w:pos="1674" w:val="left"/>
        </w:tabs>
        <w:numPr>
          <w:ilvl w:val="0"/>
          <w:numId w:val="77"/>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Expenses. </w:t>
      </w:r>
      <w:r>
        <w:rPr>
          <w:rFonts w:ascii="Arial" w:cs="Arial" w:eastAsia="Arial" w:hAnsi="Arial"/>
          <w:sz w:val="22"/>
          <w:szCs w:val="22"/>
          <w:color w:val="auto"/>
        </w:rPr>
        <w:t>The Company will reimburse Executive for reasonable travel, entertainment or other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Executive in furtherance or in connection with the performance of Executive’s duties hereunder, in accordance with the Company’s expense reimbursement policy as in effect from time to time.</w:t>
      </w:r>
    </w:p>
    <w:p>
      <w:pPr>
        <w:spacing w:after="0" w:line="176" w:lineRule="exact"/>
        <w:rPr>
          <w:rFonts w:ascii="Arial" w:cs="Arial" w:eastAsia="Arial" w:hAnsi="Arial"/>
          <w:sz w:val="22"/>
          <w:szCs w:val="22"/>
          <w:b w:val="1"/>
          <w:bCs w:val="1"/>
          <w:color w:val="010000"/>
        </w:rPr>
      </w:pPr>
    </w:p>
    <w:p>
      <w:pPr>
        <w:ind w:left="1680" w:hanging="808"/>
        <w:spacing w:after="0"/>
        <w:tabs>
          <w:tab w:leader="none" w:pos="1680" w:val="left"/>
        </w:tabs>
        <w:numPr>
          <w:ilvl w:val="0"/>
          <w:numId w:val="77"/>
        </w:numPr>
        <w:rPr>
          <w:rFonts w:ascii="Arial" w:cs="Arial" w:eastAsia="Arial" w:hAnsi="Arial"/>
          <w:sz w:val="22"/>
          <w:szCs w:val="22"/>
          <w:b w:val="1"/>
          <w:bCs w:val="1"/>
          <w:color w:val="010000"/>
        </w:rPr>
      </w:pPr>
      <w:r>
        <w:rPr>
          <w:rFonts w:ascii="Arial" w:cs="Arial" w:eastAsia="Arial" w:hAnsi="Arial"/>
          <w:sz w:val="22"/>
          <w:szCs w:val="22"/>
          <w:b w:val="1"/>
          <w:bCs w:val="1"/>
          <w:color w:val="auto"/>
        </w:rPr>
        <w:t>Termination of Employment; Severance.</w:t>
      </w:r>
    </w:p>
    <w:p>
      <w:pPr>
        <w:spacing w:after="0" w:line="206"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b w:val="1"/>
          <w:bCs w:val="1"/>
          <w:color w:val="010000"/>
        </w:rPr>
        <w:t xml:space="preserve">5.1 </w:t>
      </w:r>
      <w:r>
        <w:rPr>
          <w:rFonts w:ascii="Arial" w:cs="Arial" w:eastAsia="Arial" w:hAnsi="Arial"/>
          <w:sz w:val="19"/>
          <w:szCs w:val="19"/>
          <w:b w:val="1"/>
          <w:bCs w:val="1"/>
          <w:color w:val="000000"/>
        </w:rPr>
        <w:t>At-Will Employment.</w:t>
      </w:r>
      <w:r>
        <w:rPr>
          <w:rFonts w:ascii="Arial" w:cs="Arial" w:eastAsia="Arial" w:hAnsi="Arial"/>
          <w:sz w:val="19"/>
          <w:szCs w:val="19"/>
          <w:b w:val="1"/>
          <w:bCs w:val="1"/>
          <w:color w:val="010000"/>
        </w:rPr>
        <w:t xml:space="preserve"> </w:t>
      </w:r>
      <w:r>
        <w:rPr>
          <w:rFonts w:ascii="Arial" w:cs="Arial" w:eastAsia="Arial" w:hAnsi="Arial"/>
          <w:sz w:val="19"/>
          <w:szCs w:val="19"/>
          <w:color w:val="000000"/>
        </w:rPr>
        <w:t>Executive’s employment relationship is at-will. Either Executive or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Company may terminate the employment relationship at any time, with or without Cause (as defined below) or advance notice. In the event Executive’s employment relationship is terminated for any reason, Executive shall be entitled to receive Executive’s earned but unpaid Base Salary, unreimbursed business expenses properly incurred by Executive pursuant to Section 4 and any other compensation or benefit earned by or owed to (but not yet paid to) Executive through and including the date of termination, payable in a lump sum on the next regularly scheduled payroll date following the date on which Executive’s employment terminated, or at such other date as shall be specified under the terms of the employee benefit plan pursuant to which such compensation or benefit is payable. Executive shall also resign from all positions and terminate any relationships as an employee, advisor, officer or director with the Company and any of its affiliates, each effective on the date of termination.</w:t>
      </w:r>
    </w:p>
    <w:p>
      <w:pPr>
        <w:spacing w:after="0" w:line="150" w:lineRule="exact"/>
        <w:rPr>
          <w:sz w:val="20"/>
          <w:szCs w:val="20"/>
          <w:color w:val="auto"/>
        </w:rPr>
      </w:pPr>
    </w:p>
    <w:p>
      <w:pPr>
        <w:jc w:val="both"/>
        <w:ind w:firstLine="1727"/>
        <w:spacing w:after="0" w:line="251" w:lineRule="auto"/>
        <w:rPr>
          <w:sz w:val="20"/>
          <w:szCs w:val="20"/>
          <w:color w:val="auto"/>
        </w:rPr>
      </w:pPr>
      <w:r>
        <w:rPr>
          <w:rFonts w:ascii="Arial" w:cs="Arial" w:eastAsia="Arial" w:hAnsi="Arial"/>
          <w:sz w:val="21"/>
          <w:szCs w:val="21"/>
          <w:b w:val="1"/>
          <w:bCs w:val="1"/>
          <w:color w:val="010000"/>
        </w:rPr>
        <w:t xml:space="preserve">5.2 </w:t>
      </w:r>
      <w:r>
        <w:rPr>
          <w:rFonts w:ascii="Arial" w:cs="Arial" w:eastAsia="Arial" w:hAnsi="Arial"/>
          <w:sz w:val="21"/>
          <w:szCs w:val="21"/>
          <w:b w:val="1"/>
          <w:bCs w:val="1"/>
          <w:color w:val="000000"/>
        </w:rPr>
        <w:t>Severance Benefits for Termination Without Cause Unrelated to a Change of Control.</w:t>
      </w:r>
      <w:r>
        <w:rPr>
          <w:rFonts w:ascii="Arial" w:cs="Arial" w:eastAsia="Arial" w:hAnsi="Arial"/>
          <w:sz w:val="21"/>
          <w:szCs w:val="21"/>
          <w:b w:val="1"/>
          <w:bCs w:val="1"/>
          <w:color w:val="010000"/>
        </w:rPr>
        <w:t xml:space="preserve"> </w:t>
      </w:r>
      <w:r>
        <w:rPr>
          <w:rFonts w:ascii="Arial" w:cs="Arial" w:eastAsia="Arial" w:hAnsi="Arial"/>
          <w:sz w:val="21"/>
          <w:szCs w:val="21"/>
          <w:color w:val="000000"/>
        </w:rPr>
        <w:t>In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event Executive’s employment with the Company is terminated by the Company without Cause prior to a Change of Control (as defined below) or more than twelve (12) months following a Change of Control, the Company shall provide Executive with the following payments and benefits, provided that Executive remains in compliance with the terms of this Agreement and the Restrictive Covenant Agreement (as defined below) and subject to Section 6 below:</w:t>
      </w:r>
    </w:p>
    <w:p>
      <w:pPr>
        <w:spacing w:after="0" w:line="174" w:lineRule="exact"/>
        <w:rPr>
          <w:sz w:val="20"/>
          <w:szCs w:val="20"/>
          <w:color w:val="auto"/>
        </w:rPr>
      </w:pPr>
    </w:p>
    <w:p>
      <w:pPr>
        <w:jc w:val="both"/>
        <w:ind w:firstLine="2600"/>
        <w:spacing w:after="0" w:line="236" w:lineRule="auto"/>
        <w:tabs>
          <w:tab w:leader="none" w:pos="3444"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Company shall pay Executive, as severance, the equivalent of nine (9) months of Executive’s Base Salary as in effect as of the date of Executive’s employment termination. This severance will be paid in the form of salary continuation, payable on the Company’s regular payroll dates, subject to standard payroll deductions and withholdings, starting on the 60</w:t>
      </w:r>
      <w:r>
        <w:rPr>
          <w:rFonts w:ascii="Arial" w:cs="Arial" w:eastAsia="Arial" w:hAnsi="Arial"/>
          <w:sz w:val="18"/>
          <w:szCs w:val="18"/>
          <w:color w:val="auto"/>
        </w:rPr>
        <w:t>th</w:t>
      </w:r>
      <w:r>
        <w:rPr>
          <w:rFonts w:ascii="Arial" w:cs="Arial" w:eastAsia="Arial" w:hAnsi="Arial"/>
          <w:sz w:val="22"/>
          <w:szCs w:val="22"/>
          <w:color w:val="auto"/>
        </w:rPr>
        <w:t xml:space="preserve"> day after Executive’s termination date, with the first payment to include those payments that would have occurred earlier but for the 60-day delay.</w:t>
      </w:r>
    </w:p>
    <w:p>
      <w:pPr>
        <w:spacing w:after="0" w:line="187" w:lineRule="exact"/>
        <w:rPr>
          <w:rFonts w:ascii="Arial" w:cs="Arial" w:eastAsia="Arial" w:hAnsi="Arial"/>
          <w:sz w:val="22"/>
          <w:szCs w:val="22"/>
          <w:color w:val="auto"/>
        </w:rPr>
      </w:pPr>
    </w:p>
    <w:p>
      <w:pPr>
        <w:ind w:firstLine="2600"/>
        <w:spacing w:after="0" w:line="250" w:lineRule="auto"/>
        <w:tabs>
          <w:tab w:leader="none" w:pos="3504" w:val="left"/>
        </w:tabs>
        <w:numPr>
          <w:ilvl w:val="0"/>
          <w:numId w:val="78"/>
        </w:numPr>
        <w:rPr>
          <w:rFonts w:ascii="Arial" w:cs="Arial" w:eastAsia="Arial" w:hAnsi="Arial"/>
          <w:sz w:val="22"/>
          <w:szCs w:val="22"/>
          <w:color w:val="auto"/>
        </w:rPr>
      </w:pPr>
      <w:r>
        <w:rPr>
          <w:rFonts w:ascii="Arial" w:cs="Arial" w:eastAsia="Arial" w:hAnsi="Arial"/>
          <w:sz w:val="22"/>
          <w:szCs w:val="22"/>
          <w:color w:val="auto"/>
        </w:rPr>
        <w:t>Provided that Executive is then eligible for and timely elects continued coverage under COBRA, the Company shall directly pay, or reimburse Executive for,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1" w:name="page132"/>
    <w:bookmarkEnd w:id="131"/>
    <w:p>
      <w:pPr>
        <w:jc w:val="both"/>
        <w:spacing w:after="0" w:line="273" w:lineRule="auto"/>
        <w:rPr>
          <w:sz w:val="20"/>
          <w:szCs w:val="20"/>
          <w:color w:val="auto"/>
        </w:rPr>
      </w:pPr>
      <w:r>
        <w:rPr>
          <w:rFonts w:ascii="Arial" w:cs="Arial" w:eastAsia="Arial" w:hAnsi="Arial"/>
          <w:sz w:val="19"/>
          <w:szCs w:val="19"/>
          <w:color w:val="auto"/>
        </w:rPr>
        <w:t>the monthly COBRA premiums to continue Executive’s coverage (including coverage for eligible dependents, if applicable) through the period starting on Executive’s termination date and ending on the earliest to occur of: (a) nine (9)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55" w:lineRule="exact"/>
        <w:rPr>
          <w:sz w:val="20"/>
          <w:szCs w:val="20"/>
          <w:color w:val="auto"/>
        </w:rPr>
      </w:pPr>
    </w:p>
    <w:p>
      <w:pPr>
        <w:jc w:val="both"/>
        <w:ind w:firstLine="1727"/>
        <w:spacing w:after="0" w:line="283" w:lineRule="auto"/>
        <w:rPr>
          <w:sz w:val="20"/>
          <w:szCs w:val="20"/>
          <w:color w:val="auto"/>
        </w:rPr>
      </w:pPr>
      <w:r>
        <w:rPr>
          <w:rFonts w:ascii="Arial" w:cs="Arial" w:eastAsia="Arial" w:hAnsi="Arial"/>
          <w:sz w:val="19"/>
          <w:szCs w:val="19"/>
          <w:b w:val="1"/>
          <w:bCs w:val="1"/>
          <w:color w:val="010000"/>
        </w:rPr>
        <w:t xml:space="preserve">5.3 </w:t>
      </w:r>
      <w:r>
        <w:rPr>
          <w:rFonts w:ascii="Arial" w:cs="Arial" w:eastAsia="Arial" w:hAnsi="Arial"/>
          <w:sz w:val="19"/>
          <w:szCs w:val="19"/>
          <w:b w:val="1"/>
          <w:bCs w:val="1"/>
          <w:color w:val="000000"/>
        </w:rPr>
        <w:t>Severance Benefits for Termination Without Cause or Resignation with Good Reason</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 xml:space="preserve">Related to a Change of Control. </w:t>
      </w:r>
      <w:r>
        <w:rPr>
          <w:rFonts w:ascii="Arial" w:cs="Arial" w:eastAsia="Arial" w:hAnsi="Arial"/>
          <w:sz w:val="19"/>
          <w:szCs w:val="19"/>
          <w:color w:val="000000"/>
        </w:rPr>
        <w:t>In the event Executive’s employment with the Company is terminated by the Company without</w:t>
      </w:r>
      <w:r>
        <w:rPr>
          <w:rFonts w:ascii="Arial" w:cs="Arial" w:eastAsia="Arial" w:hAnsi="Arial"/>
          <w:sz w:val="19"/>
          <w:szCs w:val="19"/>
          <w:b w:val="1"/>
          <w:bCs w:val="1"/>
          <w:color w:val="000000"/>
        </w:rPr>
        <w:t xml:space="preserve"> </w:t>
      </w:r>
      <w:r>
        <w:rPr>
          <w:rFonts w:ascii="Arial" w:cs="Arial" w:eastAsia="Arial" w:hAnsi="Arial"/>
          <w:sz w:val="19"/>
          <w:szCs w:val="19"/>
          <w:color w:val="000000"/>
        </w:rPr>
        <w:t>Cause or Executive resigns for Good Reason in each case during the twelve (12) month period immediately following a Change of Control, the Company shall provide Executive with the following payments and benefits, provided that Executive remains in compliance with the terms of this Agreement and the Restrictive Covenant Agreement and subject to Section 6 below:</w:t>
      </w:r>
    </w:p>
    <w:p>
      <w:pPr>
        <w:spacing w:after="0" w:line="149" w:lineRule="exact"/>
        <w:rPr>
          <w:sz w:val="20"/>
          <w:szCs w:val="20"/>
          <w:color w:val="auto"/>
        </w:rPr>
      </w:pPr>
    </w:p>
    <w:p>
      <w:pPr>
        <w:jc w:val="both"/>
        <w:ind w:firstLine="2600"/>
        <w:spacing w:after="0" w:line="235" w:lineRule="auto"/>
        <w:tabs>
          <w:tab w:leader="none" w:pos="3444"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shall pay Executive, as severance, the equivalent of twelve (12) months of Executive’s Base Salary as in effect as of the date of Executive’s employment termination (disregarding any change to Executive’s Base Salary giving rise to Good Reason). This severance will be paid in the form of salary continuation, payable on the Company’s regular payroll dates, subject to standard payroll deductions and withholdings, starting on the 60</w:t>
      </w:r>
      <w:r>
        <w:rPr>
          <w:rFonts w:ascii="Arial" w:cs="Arial" w:eastAsia="Arial" w:hAnsi="Arial"/>
          <w:sz w:val="18"/>
          <w:szCs w:val="18"/>
          <w:color w:val="auto"/>
        </w:rPr>
        <w:t>th</w:t>
      </w:r>
      <w:r>
        <w:rPr>
          <w:rFonts w:ascii="Arial" w:cs="Arial" w:eastAsia="Arial" w:hAnsi="Arial"/>
          <w:sz w:val="22"/>
          <w:szCs w:val="22"/>
          <w:color w:val="auto"/>
        </w:rPr>
        <w:t xml:space="preserve"> day after Executive’s termination date, with the first payment to include those payments that would have occurred earlier but for the 60-day delay.</w:t>
      </w:r>
    </w:p>
    <w:p>
      <w:pPr>
        <w:spacing w:after="0" w:line="187" w:lineRule="exact"/>
        <w:rPr>
          <w:rFonts w:ascii="Arial" w:cs="Arial" w:eastAsia="Arial" w:hAnsi="Arial"/>
          <w:sz w:val="22"/>
          <w:szCs w:val="22"/>
          <w:color w:val="auto"/>
        </w:rPr>
      </w:pPr>
    </w:p>
    <w:p>
      <w:pPr>
        <w:jc w:val="both"/>
        <w:ind w:firstLine="2600"/>
        <w:spacing w:after="0" w:line="235" w:lineRule="auto"/>
        <w:tabs>
          <w:tab w:leader="none" w:pos="3504"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addition, the Company shall pay Executive, as severance, an amount equal to one hundred percent (100%) of Executive’s target annual bonus as in effect as of the date of Executive’s employment termination (disregarding any change to Executive’s Base Salary giving rise to Good Reason), payable in a lump sum, less deductions and withholdings, at the same time as the first severance payment described in Section 5.3(i) above. For the avoidance of doubt, the amount payable pursuant to this Section 5.3(ii) shall not be subject to proration based on the portion of the year elapsed as of the date of termination.</w:t>
      </w:r>
    </w:p>
    <w:p>
      <w:pPr>
        <w:spacing w:after="0" w:line="187" w:lineRule="exact"/>
        <w:rPr>
          <w:rFonts w:ascii="Arial" w:cs="Arial" w:eastAsia="Arial" w:hAnsi="Arial"/>
          <w:sz w:val="22"/>
          <w:szCs w:val="22"/>
          <w:color w:val="auto"/>
        </w:rPr>
      </w:pPr>
    </w:p>
    <w:p>
      <w:pPr>
        <w:jc w:val="both"/>
        <w:ind w:firstLine="2600"/>
        <w:spacing w:after="0" w:line="234" w:lineRule="auto"/>
        <w:tabs>
          <w:tab w:leader="none" w:pos="3564" w:val="left"/>
        </w:tabs>
        <w:numPr>
          <w:ilvl w:val="0"/>
          <w:numId w:val="79"/>
        </w:numPr>
        <w:rPr>
          <w:rFonts w:ascii="Arial" w:cs="Arial" w:eastAsia="Arial" w:hAnsi="Arial"/>
          <w:sz w:val="22"/>
          <w:szCs w:val="22"/>
          <w:color w:val="auto"/>
        </w:rPr>
      </w:pPr>
      <w:r>
        <w:rPr>
          <w:rFonts w:ascii="Arial" w:cs="Arial" w:eastAsia="Arial" w:hAnsi="Arial"/>
          <w:sz w:val="22"/>
          <w:szCs w:val="22"/>
          <w:color w:val="auto"/>
        </w:rPr>
        <w:t>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twelve (12)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2" w:name="page133"/>
    <w:bookmarkEnd w:id="132"/>
    <w:p>
      <w:pPr>
        <w:jc w:val="both"/>
        <w:spacing w:after="0" w:line="248" w:lineRule="auto"/>
        <w:rPr>
          <w:sz w:val="20"/>
          <w:szCs w:val="20"/>
          <w:color w:val="auto"/>
        </w:rPr>
      </w:pPr>
      <w:r>
        <w:rPr>
          <w:rFonts w:ascii="Arial" w:cs="Arial" w:eastAsia="Arial" w:hAnsi="Arial"/>
          <w:sz w:val="21"/>
          <w:szCs w:val="21"/>
          <w:color w:val="auto"/>
        </w:rPr>
        <w:t>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77" w:lineRule="exact"/>
        <w:rPr>
          <w:sz w:val="20"/>
          <w:szCs w:val="20"/>
          <w:color w:val="auto"/>
        </w:rPr>
      </w:pPr>
    </w:p>
    <w:p>
      <w:pPr>
        <w:jc w:val="both"/>
        <w:ind w:firstLine="2600"/>
        <w:spacing w:after="0" w:line="235" w:lineRule="auto"/>
        <w:tabs>
          <w:tab w:leader="none" w:pos="3552"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The vesting of all unvested equity-based incentive compensation awards outstanding as of the date of such Change in Control and held by Executive as of the date of such termination shall be accelerated such that 100% of the shares underlying such awards shall be deemed immediately vested and exercisable; </w:t>
      </w:r>
      <w:r>
        <w:rPr>
          <w:rFonts w:ascii="Arial" w:cs="Arial" w:eastAsia="Arial" w:hAnsi="Arial"/>
          <w:sz w:val="22"/>
          <w:szCs w:val="22"/>
          <w:i w:val="1"/>
          <w:iCs w:val="1"/>
          <w:color w:val="auto"/>
        </w:rPr>
        <w:t>provided that</w:t>
      </w:r>
      <w:r>
        <w:rPr>
          <w:rFonts w:ascii="Arial" w:cs="Arial" w:eastAsia="Arial" w:hAnsi="Arial"/>
          <w:sz w:val="22"/>
          <w:szCs w:val="22"/>
          <w:color w:val="auto"/>
        </w:rPr>
        <w: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182"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010000"/>
        </w:rPr>
        <w:t>5.4</w:t>
      </w:r>
      <w:r>
        <w:rPr>
          <w:sz w:val="20"/>
          <w:szCs w:val="20"/>
          <w:color w:val="auto"/>
        </w:rPr>
        <w:tab/>
      </w:r>
      <w:r>
        <w:rPr>
          <w:rFonts w:ascii="Arial" w:cs="Arial" w:eastAsia="Arial" w:hAnsi="Arial"/>
          <w:sz w:val="19"/>
          <w:szCs w:val="19"/>
          <w:b w:val="1"/>
          <w:bCs w:val="1"/>
          <w:color w:val="auto"/>
        </w:rPr>
        <w:t>Termination for Cause; Resignation Without Good Reason; Death or Disability.</w:t>
      </w:r>
    </w:p>
    <w:p>
      <w:pPr>
        <w:spacing w:after="0" w:line="212" w:lineRule="exact"/>
        <w:rPr>
          <w:sz w:val="20"/>
          <w:szCs w:val="20"/>
          <w:color w:val="auto"/>
        </w:rPr>
      </w:pPr>
    </w:p>
    <w:p>
      <w:pPr>
        <w:jc w:val="both"/>
        <w:ind w:firstLine="2600"/>
        <w:spacing w:after="0" w:line="238" w:lineRule="auto"/>
        <w:tabs>
          <w:tab w:leader="none" w:pos="3444" w:val="left"/>
        </w:tabs>
        <w:numPr>
          <w:ilvl w:val="2"/>
          <w:numId w:val="81"/>
        </w:numPr>
        <w:rPr>
          <w:rFonts w:ascii="Arial" w:cs="Arial" w:eastAsia="Arial" w:hAnsi="Arial"/>
          <w:sz w:val="22"/>
          <w:szCs w:val="22"/>
          <w:color w:val="auto"/>
        </w:rPr>
      </w:pPr>
      <w:r>
        <w:rPr>
          <w:rFonts w:ascii="Arial" w:cs="Arial" w:eastAsia="Arial" w:hAnsi="Arial"/>
          <w:sz w:val="22"/>
          <w:szCs w:val="22"/>
          <w:color w:val="auto"/>
        </w:rPr>
        <w:t>If Executive resigns for any reason prior to or more than twelve (12) months following a Change in Control, resigns without Good Reason within the twelve (12) months following a Change in Control, or the Company terminates Executive’s employment for Cause, Executive shall not be entitled to receive any payments or benefits under this Agreement, other than as set forth in Section 5.1.</w:t>
      </w:r>
    </w:p>
    <w:p>
      <w:pPr>
        <w:spacing w:after="0" w:line="184" w:lineRule="exact"/>
        <w:rPr>
          <w:rFonts w:ascii="Arial" w:cs="Arial" w:eastAsia="Arial" w:hAnsi="Arial"/>
          <w:sz w:val="22"/>
          <w:szCs w:val="22"/>
          <w:color w:val="auto"/>
        </w:rPr>
      </w:pPr>
    </w:p>
    <w:p>
      <w:pPr>
        <w:jc w:val="both"/>
        <w:ind w:firstLine="2600"/>
        <w:spacing w:after="0" w:line="274" w:lineRule="auto"/>
        <w:tabs>
          <w:tab w:leader="none" w:pos="3504" w:val="left"/>
        </w:tabs>
        <w:numPr>
          <w:ilvl w:val="2"/>
          <w:numId w:val="81"/>
        </w:numPr>
        <w:rPr>
          <w:rFonts w:ascii="Arial" w:cs="Arial" w:eastAsia="Arial" w:hAnsi="Arial"/>
          <w:sz w:val="19"/>
          <w:szCs w:val="19"/>
          <w:color w:val="auto"/>
        </w:rPr>
      </w:pPr>
      <w:r>
        <w:rPr>
          <w:rFonts w:ascii="Arial" w:cs="Arial" w:eastAsia="Arial" w:hAnsi="Arial"/>
          <w:sz w:val="19"/>
          <w:szCs w:val="19"/>
          <w:color w:val="auto"/>
        </w:rPr>
        <w:t>Executive’s employment shall terminate automatically upon Executive’s death or Total Disability. “</w:t>
      </w:r>
      <w:r>
        <w:rPr>
          <w:rFonts w:ascii="Arial" w:cs="Arial" w:eastAsia="Arial" w:hAnsi="Arial"/>
          <w:sz w:val="19"/>
          <w:szCs w:val="19"/>
          <w:b w:val="1"/>
          <w:bCs w:val="1"/>
          <w:color w:val="auto"/>
        </w:rPr>
        <w:t>Total Disability</w:t>
      </w:r>
      <w:r>
        <w:rPr>
          <w:rFonts w:ascii="Arial" w:cs="Arial" w:eastAsia="Arial" w:hAnsi="Arial"/>
          <w:sz w:val="19"/>
          <w:szCs w:val="19"/>
          <w:color w:val="auto"/>
        </w:rPr>
        <w:t>” shall mean Executive’s inability, with reasonable accommodation, to perform the duties of Executive’s position for a period or periods aggregating ninety (90) calendar days in any period of one hundred eighty days (180) consecutive days as a result of physical or mental illness, loss of legal capacity or any other cause beyond Executive’s control. Executive and the Company hereby acknowledge that Executive’s ability to perform the duties specified in Section 1 is the essence of this Agreement. Termination hereunder shall be deemed to be effective (a) at the end of the calendar month in which Executive’s death occurs or (b) immediately upon a determination by the Board or the compensation committee thereof of Executive’s Total Disability. In the case of termination of employment under this Section 5.4(ii), Executive shall not be entitled to receive any payments or benefits under this Agreement, other than as set forth in Section 5.1.</w:t>
      </w:r>
    </w:p>
    <w:p>
      <w:pPr>
        <w:spacing w:after="0" w:line="152" w:lineRule="exact"/>
        <w:rPr>
          <w:rFonts w:ascii="Arial" w:cs="Arial" w:eastAsia="Arial" w:hAnsi="Arial"/>
          <w:sz w:val="19"/>
          <w:szCs w:val="19"/>
          <w:color w:val="auto"/>
        </w:rPr>
      </w:pPr>
    </w:p>
    <w:p>
      <w:pPr>
        <w:jc w:val="both"/>
        <w:ind w:firstLine="872"/>
        <w:spacing w:after="0" w:line="273" w:lineRule="auto"/>
        <w:tabs>
          <w:tab w:leader="none" w:pos="1674" w:val="left"/>
        </w:tabs>
        <w:numPr>
          <w:ilvl w:val="1"/>
          <w:numId w:val="82"/>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Conditions to Receipt of Severance Benefits. </w:t>
      </w:r>
      <w:r>
        <w:rPr>
          <w:rFonts w:ascii="Arial" w:cs="Arial" w:eastAsia="Arial" w:hAnsi="Arial"/>
          <w:sz w:val="19"/>
          <w:szCs w:val="19"/>
          <w:color w:val="auto"/>
        </w:rPr>
        <w:t>As a condition to receiving the payments and benefits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Section 5.2 and Section 5.3, (i) Executive must execute and deliver to the Company a release of claims in a form reasonably acceptable to the Company and such release must have become effective and the revocation period provided therein must have expired without Executive having revoked such release within the 60-day period following the date of termination, and</w:t>
      </w:r>
    </w:p>
    <w:p>
      <w:pPr>
        <w:spacing w:after="0" w:line="1" w:lineRule="exact"/>
        <w:rPr>
          <w:rFonts w:ascii="Arial" w:cs="Arial" w:eastAsia="Arial" w:hAnsi="Arial"/>
          <w:sz w:val="19"/>
          <w:szCs w:val="19"/>
          <w:b w:val="1"/>
          <w:bCs w:val="1"/>
          <w:color w:val="010000"/>
        </w:rPr>
      </w:pPr>
    </w:p>
    <w:p>
      <w:pPr>
        <w:jc w:val="both"/>
        <w:ind w:firstLine="8"/>
        <w:spacing w:after="0" w:line="234" w:lineRule="auto"/>
        <w:tabs>
          <w:tab w:leader="none" w:pos="343" w:val="left"/>
        </w:tabs>
        <w:numPr>
          <w:ilvl w:val="0"/>
          <w:numId w:val="83"/>
        </w:numPr>
        <w:rPr>
          <w:rFonts w:ascii="Arial" w:cs="Arial" w:eastAsia="Arial" w:hAnsi="Arial"/>
          <w:sz w:val="22"/>
          <w:szCs w:val="22"/>
          <w:color w:val="auto"/>
        </w:rPr>
      </w:pPr>
      <w:r>
        <w:rPr>
          <w:rFonts w:ascii="Arial" w:cs="Arial" w:eastAsia="Arial" w:hAnsi="Arial"/>
          <w:sz w:val="22"/>
          <w:szCs w:val="22"/>
          <w:color w:val="auto"/>
        </w:rPr>
        <w:t>Executive must not have revoked or breached the provisions of such release or breached the provisions of the Restrictive Covenant Agreement. In the event that Executive does not execute and deliver such release, such release does not become effective and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3" w:name="page134"/>
    <w:bookmarkEnd w:id="133"/>
    <w:p>
      <w:pPr>
        <w:jc w:val="both"/>
        <w:spacing w:after="0" w:line="235" w:lineRule="auto"/>
        <w:rPr>
          <w:sz w:val="20"/>
          <w:szCs w:val="20"/>
          <w:color w:val="auto"/>
        </w:rPr>
      </w:pPr>
      <w:r>
        <w:rPr>
          <w:rFonts w:ascii="Arial" w:cs="Arial" w:eastAsia="Arial" w:hAnsi="Arial"/>
          <w:sz w:val="22"/>
          <w:szCs w:val="22"/>
          <w:color w:val="auto"/>
        </w:rPr>
        <w:t>irrevocable within such period or Executive revokes or breaches the provisions of the release or breaches the provisions of the Restrictive Covenant Agreement, Executive (A) will be deemed to have voluntarily resigned Executive’s employment hereunder without Good Reason, (B) will not be entitled to the payments, benefits or accelerated vesting described in Section 5.2 or Section 5.3 and (C) will be required to reimburse the Company, in cash within five business days after written demand is made by the Company therefore, for an amount equal to the value of any payments or benefits Executive received pursuant to Section 5.2 or Section 5.3.</w:t>
      </w:r>
    </w:p>
    <w:p>
      <w:pPr>
        <w:spacing w:after="0" w:line="182" w:lineRule="exact"/>
        <w:rPr>
          <w:sz w:val="20"/>
          <w:szCs w:val="20"/>
          <w:color w:val="auto"/>
        </w:rPr>
      </w:pPr>
    </w:p>
    <w:p>
      <w:pPr>
        <w:jc w:val="both"/>
        <w:ind w:firstLine="872"/>
        <w:spacing w:after="0" w:line="275" w:lineRule="auto"/>
        <w:tabs>
          <w:tab w:leader="none" w:pos="1674" w:val="left"/>
        </w:tabs>
        <w:numPr>
          <w:ilvl w:val="1"/>
          <w:numId w:val="84"/>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satisfy, to the greatest extent possible, the exemptions from the application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w:t>
      </w:r>
      <w:r>
        <w:rPr>
          <w:rFonts w:ascii="Arial" w:cs="Arial" w:eastAsia="Arial" w:hAnsi="Arial"/>
          <w:sz w:val="19"/>
          <w:szCs w:val="19"/>
          <w:b w:val="1"/>
          <w:bCs w:val="1"/>
          <w:color w:val="auto"/>
        </w:rPr>
        <w:t>Section 409A</w:t>
      </w:r>
      <w:r>
        <w:rPr>
          <w:rFonts w:ascii="Arial" w:cs="Arial" w:eastAsia="Arial" w:hAnsi="Arial"/>
          <w:sz w:val="19"/>
          <w:szCs w:val="19"/>
          <w:color w:val="auto"/>
        </w:rPr>
        <w:t>”) provided under Treasury Regulations 1.409A-1(b)(4), 1.409A-1(b)</w:t>
      </w:r>
    </w:p>
    <w:p>
      <w:pPr>
        <w:spacing w:after="0" w:line="1" w:lineRule="exact"/>
        <w:rPr>
          <w:rFonts w:ascii="Arial" w:cs="Arial" w:eastAsia="Arial" w:hAnsi="Arial"/>
          <w:sz w:val="19"/>
          <w:szCs w:val="19"/>
          <w:b w:val="1"/>
          <w:bCs w:val="1"/>
          <w:color w:val="010000"/>
        </w:rPr>
      </w:pPr>
    </w:p>
    <w:p>
      <w:pPr>
        <w:jc w:val="both"/>
        <w:ind w:firstLine="8"/>
        <w:spacing w:after="0" w:line="269" w:lineRule="auto"/>
        <w:tabs>
          <w:tab w:leader="none" w:pos="316"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and 1.409A-1(b)(9), and this Agreement will be construed to the greatest extent possible as consistent with those provisions, and to the extent not so exempt, this Agreement (and any definitions hereunder) will be construed in a manner that complies with Section 409A. All payments and benefits that are payable upon a termination of employment hereunder shall be paid or provided only upon Executive’s “separation from service” from the Company (within the meaning of Section 409A). For purposes of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termination to be a “specified employee” for purposes of Section 409A(a)(2) (B)(i), and if any of the payments upon termination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shall not be provided to Executive prior to the earliest of (i) the expiration of the six-month period measured from the date of Executive’s termination with the Company, (ii) the date of Executive’s death or (iii) such earlier date as permitted under Section 409A without the imposition of adverse taxation. Upon the first business day following the expiration of such applicable Section 409A(a)(2)(B)(i) period, all payments deferred pursuant to this Section 7 shall be paid in a lump sum to Executive, and any remaining payments due shall be paid as otherwise provided herein or in the applicable agreement. No interest shall be due on any amounts so deferred.</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firstLine="872"/>
        <w:spacing w:after="0" w:line="276" w:lineRule="auto"/>
        <w:tabs>
          <w:tab w:leader="none" w:pos="1674" w:val="left"/>
        </w:tabs>
        <w:numPr>
          <w:ilvl w:val="1"/>
          <w:numId w:val="85"/>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Section 280G. </w:t>
      </w:r>
      <w:r>
        <w:rPr>
          <w:rFonts w:ascii="Arial" w:cs="Arial" w:eastAsia="Arial" w:hAnsi="Arial"/>
          <w:sz w:val="19"/>
          <w:szCs w:val="19"/>
          <w:color w:val="auto"/>
        </w:rPr>
        <w:t>In the event that the severance and other benefits provided for in this Agreement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to Executive (i) constitute “parachute payments” within the meaning of Section 280G of the Code and (ii) but for this Section 8, would be subject to the excise tax imposed by Section 4999 of the Code, then,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Executive on an after-tax basis of the greatest amount of severance benefits under this Agreement, notwithstanding that all or some portion of such severance benefits may be</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spacing w:after="0"/>
        <w:rPr>
          <w:sz w:val="20"/>
          <w:szCs w:val="20"/>
          <w:color w:val="auto"/>
        </w:rPr>
      </w:pPr>
      <w:r>
        <w:rPr>
          <w:rFonts w:ascii="Arial" w:cs="Arial" w:eastAsia="Arial" w:hAnsi="Arial"/>
          <w:sz w:val="19"/>
          <w:szCs w:val="19"/>
          <w:color w:val="auto"/>
        </w:rPr>
        <w:t>taxable under Section 4999 of the Code. Any reduction shall be made in the following order: (i) reduction of cash payments,</w:t>
      </w:r>
    </w:p>
    <w:p>
      <w:pPr>
        <w:spacing w:after="0" w:line="43" w:lineRule="exact"/>
        <w:rPr>
          <w:sz w:val="20"/>
          <w:szCs w:val="20"/>
          <w:color w:val="auto"/>
        </w:rPr>
      </w:pPr>
    </w:p>
    <w:p>
      <w:pPr>
        <w:jc w:val="both"/>
        <w:ind w:firstLine="8"/>
        <w:spacing w:after="0" w:line="243" w:lineRule="auto"/>
        <w:tabs>
          <w:tab w:leader="none" w:pos="331" w:val="left"/>
        </w:tabs>
        <w:numPr>
          <w:ilvl w:val="0"/>
          <w:numId w:val="86"/>
        </w:numPr>
        <w:rPr>
          <w:rFonts w:ascii="Arial" w:cs="Arial" w:eastAsia="Arial" w:hAnsi="Arial"/>
          <w:sz w:val="21"/>
          <w:szCs w:val="21"/>
          <w:color w:val="auto"/>
        </w:rPr>
      </w:pPr>
      <w:r>
        <w:rPr>
          <w:rFonts w:ascii="Arial" w:cs="Arial" w:eastAsia="Arial" w:hAnsi="Arial"/>
          <w:sz w:val="21"/>
          <w:szCs w:val="21"/>
          <w:color w:val="auto"/>
        </w:rPr>
        <w:t>cancellation of accelerated vesting of equity awards, and (iii) reduction of other benefits payable to Executive. Unless the Company and Executive otherwise agree in writing, any determination required under this Section 8 shall be made in writing by the Company’s independent public accountants (the “</w:t>
      </w:r>
      <w:r>
        <w:rPr>
          <w:rFonts w:ascii="Arial" w:cs="Arial" w:eastAsia="Arial" w:hAnsi="Arial"/>
          <w:sz w:val="21"/>
          <w:szCs w:val="21"/>
          <w:b w:val="1"/>
          <w:bCs w:val="1"/>
          <w:color w:val="auto"/>
        </w:rPr>
        <w:t>Accountants</w:t>
      </w:r>
      <w:r>
        <w:rPr>
          <w:rFonts w:ascii="Arial" w:cs="Arial" w:eastAsia="Arial" w:hAnsi="Arial"/>
          <w:sz w:val="21"/>
          <w:szCs w:val="21"/>
          <w:color w:val="auto"/>
        </w:rPr>
        <w:t>”), whose determination shall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8. The Company shall bear all costs the Accountants may reasonably incur in connection with any calculations contemplated by this Section 8.</w:t>
      </w:r>
    </w:p>
    <w:p>
      <w:pPr>
        <w:spacing w:after="0" w:line="179" w:lineRule="exact"/>
        <w:rPr>
          <w:sz w:val="20"/>
          <w:szCs w:val="20"/>
          <w:color w:val="auto"/>
        </w:rPr>
      </w:pPr>
    </w:p>
    <w:p>
      <w:pPr>
        <w:ind w:left="1680" w:hanging="808"/>
        <w:spacing w:after="0"/>
        <w:tabs>
          <w:tab w:leader="none" w:pos="1680" w:val="left"/>
        </w:tabs>
        <w:numPr>
          <w:ilvl w:val="0"/>
          <w:numId w:val="87"/>
        </w:numPr>
        <w:rPr>
          <w:rFonts w:ascii="Arial" w:cs="Arial" w:eastAsia="Arial" w:hAnsi="Arial"/>
          <w:sz w:val="22"/>
          <w:szCs w:val="22"/>
          <w:b w:val="1"/>
          <w:bCs w:val="1"/>
          <w:color w:val="010000"/>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b w:val="1"/>
          <w:bCs w:val="1"/>
          <w:color w:val="010000"/>
        </w:rPr>
        <w:t xml:space="preserve">9.1 </w:t>
      </w:r>
      <w:r>
        <w:rPr>
          <w:rFonts w:ascii="Arial" w:cs="Arial" w:eastAsia="Arial" w:hAnsi="Arial"/>
          <w:sz w:val="22"/>
          <w:szCs w:val="22"/>
          <w:b w:val="1"/>
          <w:bCs w:val="1"/>
          <w:color w:val="000000"/>
        </w:rPr>
        <w:t>Cause.</w:t>
      </w:r>
      <w:r>
        <w:rPr>
          <w:rFonts w:ascii="Arial" w:cs="Arial" w:eastAsia="Arial" w:hAnsi="Arial"/>
          <w:sz w:val="22"/>
          <w:szCs w:val="22"/>
          <w:b w:val="1"/>
          <w:bCs w:val="1"/>
          <w:color w:val="010000"/>
        </w:rPr>
        <w:t xml:space="preserve"> </w:t>
      </w:r>
      <w:r>
        <w:rPr>
          <w:rFonts w:ascii="Arial" w:cs="Arial" w:eastAsia="Arial" w:hAnsi="Arial"/>
          <w:sz w:val="22"/>
          <w:szCs w:val="22"/>
          <w:color w:val="000000"/>
        </w:rPr>
        <w:t>For purposes of this Agreement, “</w:t>
      </w:r>
      <w:r>
        <w:rPr>
          <w:rFonts w:ascii="Arial" w:cs="Arial" w:eastAsia="Arial" w:hAnsi="Arial"/>
          <w:sz w:val="22"/>
          <w:szCs w:val="22"/>
          <w:b w:val="1"/>
          <w:bCs w:val="1"/>
          <w:color w:val="000000"/>
        </w:rPr>
        <w:t>Cause</w:t>
      </w:r>
      <w:r>
        <w:rPr>
          <w:rFonts w:ascii="Arial" w:cs="Arial" w:eastAsia="Arial" w:hAnsi="Arial"/>
          <w:sz w:val="22"/>
          <w:szCs w:val="22"/>
          <w:color w:val="000000"/>
        </w:rPr>
        <w:t>” for termination will mean: (i) a material breach</w:t>
      </w:r>
      <w:r>
        <w:rPr>
          <w:rFonts w:ascii="Arial" w:cs="Arial" w:eastAsia="Arial" w:hAnsi="Arial"/>
          <w:sz w:val="22"/>
          <w:szCs w:val="22"/>
          <w:b w:val="1"/>
          <w:bCs w:val="1"/>
          <w:color w:val="010000"/>
        </w:rPr>
        <w:t xml:space="preserve"> </w:t>
      </w:r>
      <w:r>
        <w:rPr>
          <w:rFonts w:ascii="Arial" w:cs="Arial" w:eastAsia="Arial" w:hAnsi="Arial"/>
          <w:sz w:val="22"/>
          <w:szCs w:val="22"/>
          <w:color w:val="000000"/>
        </w:rPr>
        <w:t>of any of Executive’s obligations or duties pursuant to this Agreement or the Restrictive Covenant Agreement, which remains uncured seven days after Executive becomes aware of the breach by formal written notification by the Company; (ii) gross negligence, willful misconduct or breach of fiduciary duty in the course of employment; (iii) any action or activity that is contrary to applicable insider trading rules or any other applicable securities rules or legislation; (iv) a material act or omission involving substantial dishonesty or fraud that harms or would reasonably be expected to harm the Company; or (v) commission of, conviction or indictment for, or plea of no contest to, any felony (or state law equivalent) or any crime involving moral turpitude.</w:t>
      </w:r>
    </w:p>
    <w:p>
      <w:pPr>
        <w:spacing w:after="0" w:line="187"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b w:val="1"/>
          <w:bCs w:val="1"/>
          <w:color w:val="010000"/>
        </w:rPr>
        <w:t xml:space="preserve">9.2 </w:t>
      </w:r>
      <w:r>
        <w:rPr>
          <w:rFonts w:ascii="Arial" w:cs="Arial" w:eastAsia="Arial" w:hAnsi="Arial"/>
          <w:sz w:val="19"/>
          <w:szCs w:val="19"/>
          <w:b w:val="1"/>
          <w:bCs w:val="1"/>
          <w:color w:val="000000"/>
        </w:rPr>
        <w:t>Good Reason.</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purposes of this Agreement, “</w:t>
      </w:r>
      <w:r>
        <w:rPr>
          <w:rFonts w:ascii="Arial" w:cs="Arial" w:eastAsia="Arial" w:hAnsi="Arial"/>
          <w:sz w:val="19"/>
          <w:szCs w:val="19"/>
          <w:b w:val="1"/>
          <w:bCs w:val="1"/>
          <w:color w:val="000000"/>
        </w:rPr>
        <w:t>Good Reason</w:t>
      </w:r>
      <w:r>
        <w:rPr>
          <w:rFonts w:ascii="Arial" w:cs="Arial" w:eastAsia="Arial" w:hAnsi="Arial"/>
          <w:sz w:val="19"/>
          <w:szCs w:val="19"/>
          <w:color w:val="000000"/>
        </w:rPr>
        <w:t>” will mean any of the following</w:t>
      </w:r>
      <w:r>
        <w:rPr>
          <w:rFonts w:ascii="Arial" w:cs="Arial" w:eastAsia="Arial" w:hAnsi="Arial"/>
          <w:sz w:val="19"/>
          <w:szCs w:val="19"/>
          <w:b w:val="1"/>
          <w:bCs w:val="1"/>
          <w:color w:val="010000"/>
        </w:rPr>
        <w:t xml:space="preserve"> </w:t>
      </w:r>
      <w:r>
        <w:rPr>
          <w:rFonts w:ascii="Arial" w:cs="Arial" w:eastAsia="Arial" w:hAnsi="Arial"/>
          <w:sz w:val="19"/>
          <w:szCs w:val="19"/>
          <w:color w:val="000000"/>
        </w:rPr>
        <w:t>actions taken by the Company without Executive’s prior written consent: (i) a material adverse change in Executive’s position, title, office or duties or assignment of any significant duties to Executive that are materially inconsistent with the position or offices held by Executive; (ii) Executive no longer serving as a Section 16 officer or, if the Company’s ultimate parent following a Change in Control is not a public company, not reporting to the Chief Executive Officer of the Company’s ultimate parent);</w:t>
      </w:r>
    </w:p>
    <w:p>
      <w:pPr>
        <w:spacing w:after="0" w:line="1" w:lineRule="exact"/>
        <w:rPr>
          <w:sz w:val="20"/>
          <w:szCs w:val="20"/>
          <w:color w:val="auto"/>
        </w:rPr>
      </w:pPr>
    </w:p>
    <w:p>
      <w:pPr>
        <w:jc w:val="both"/>
        <w:ind w:firstLine="8"/>
        <w:spacing w:after="0" w:line="243" w:lineRule="auto"/>
        <w:tabs>
          <w:tab w:leader="none" w:pos="390" w:val="left"/>
        </w:tabs>
        <w:numPr>
          <w:ilvl w:val="0"/>
          <w:numId w:val="88"/>
        </w:numPr>
        <w:rPr>
          <w:rFonts w:ascii="Arial" w:cs="Arial" w:eastAsia="Arial" w:hAnsi="Arial"/>
          <w:sz w:val="21"/>
          <w:szCs w:val="21"/>
          <w:color w:val="auto"/>
        </w:rPr>
      </w:pPr>
      <w:r>
        <w:rPr>
          <w:rFonts w:ascii="Arial" w:cs="Arial" w:eastAsia="Arial" w:hAnsi="Arial"/>
          <w:sz w:val="21"/>
          <w:szCs w:val="21"/>
          <w:color w:val="auto"/>
        </w:rPr>
        <w:t>a decrease in Executive’s base salary by more than 10% (other than in connection with a broad-based reduction in the base salaries of all other officers of the Company); or (iv) a relocation that increases Executive’s one-way commute by more than 25 miles. In order to resign for Good Reason, Executive must provide written notice to the Company’s Chief Executive Officer within 60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such cure period.</w:t>
      </w:r>
    </w:p>
    <w:p>
      <w:pPr>
        <w:spacing w:after="0" w:line="181" w:lineRule="exact"/>
        <w:rPr>
          <w:sz w:val="20"/>
          <w:szCs w:val="20"/>
          <w:color w:val="auto"/>
        </w:rPr>
      </w:pPr>
    </w:p>
    <w:p>
      <w:pPr>
        <w:jc w:val="both"/>
        <w:ind w:firstLine="1727"/>
        <w:spacing w:after="0" w:line="300" w:lineRule="auto"/>
        <w:rPr>
          <w:sz w:val="20"/>
          <w:szCs w:val="20"/>
          <w:color w:val="auto"/>
        </w:rPr>
      </w:pPr>
      <w:r>
        <w:rPr>
          <w:rFonts w:ascii="Arial" w:cs="Arial" w:eastAsia="Arial" w:hAnsi="Arial"/>
          <w:sz w:val="19"/>
          <w:szCs w:val="19"/>
          <w:b w:val="1"/>
          <w:bCs w:val="1"/>
          <w:color w:val="010000"/>
        </w:rPr>
        <w:t xml:space="preserve">9.3 </w:t>
      </w:r>
      <w:r>
        <w:rPr>
          <w:rFonts w:ascii="Arial" w:cs="Arial" w:eastAsia="Arial" w:hAnsi="Arial"/>
          <w:sz w:val="19"/>
          <w:szCs w:val="19"/>
          <w:b w:val="1"/>
          <w:bCs w:val="1"/>
          <w:color w:val="000000"/>
        </w:rPr>
        <w:t>Change of Control.</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purposes of this Agreement, “</w:t>
      </w:r>
      <w:r>
        <w:rPr>
          <w:rFonts w:ascii="Arial" w:cs="Arial" w:eastAsia="Arial" w:hAnsi="Arial"/>
          <w:sz w:val="19"/>
          <w:szCs w:val="19"/>
          <w:b w:val="1"/>
          <w:bCs w:val="1"/>
          <w:color w:val="000000"/>
        </w:rPr>
        <w:t>Change of Control</w:t>
      </w:r>
      <w:r>
        <w:rPr>
          <w:rFonts w:ascii="Arial" w:cs="Arial" w:eastAsia="Arial" w:hAnsi="Arial"/>
          <w:sz w:val="19"/>
          <w:szCs w:val="19"/>
          <w:color w:val="000000"/>
        </w:rPr>
        <w:t>” means the occurrence</w:t>
      </w:r>
      <w:r>
        <w:rPr>
          <w:rFonts w:ascii="Arial" w:cs="Arial" w:eastAsia="Arial" w:hAnsi="Arial"/>
          <w:sz w:val="19"/>
          <w:szCs w:val="19"/>
          <w:b w:val="1"/>
          <w:bCs w:val="1"/>
          <w:color w:val="010000"/>
        </w:rPr>
        <w:t xml:space="preserve"> </w:t>
      </w:r>
      <w:r>
        <w:rPr>
          <w:rFonts w:ascii="Arial" w:cs="Arial" w:eastAsia="Arial" w:hAnsi="Arial"/>
          <w:sz w:val="19"/>
          <w:szCs w:val="19"/>
          <w:color w:val="000000"/>
        </w:rPr>
        <w:t>of one or more of the following: (a) a merger, a consolidation, a reorganization or an arrangement that results in a transfer of more than fifty percent (50%) of the total voting power of the Company’s outstanding securities to a person or a group of persons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5" w:name="page136"/>
    <w:bookmarkEnd w:id="135"/>
    <w:p>
      <w:pPr>
        <w:jc w:val="both"/>
        <w:spacing w:after="0" w:line="270" w:lineRule="auto"/>
        <w:rPr>
          <w:sz w:val="20"/>
          <w:szCs w:val="20"/>
          <w:color w:val="auto"/>
        </w:rPr>
      </w:pPr>
      <w:r>
        <w:rPr>
          <w:rFonts w:ascii="Arial" w:cs="Arial" w:eastAsia="Arial" w:hAnsi="Arial"/>
          <w:sz w:val="19"/>
          <w:szCs w:val="19"/>
          <w:color w:val="auto"/>
        </w:rPr>
        <w:t xml:space="preserve">different from a person or a group of persons holding those securities immediately prior to such transaction (other than the Company or a person that directly or indirectly controls, is controlled by, or is under common control with, the Company); (b) a direct or indirect sale or other transfer of beneficial ownership of securities of the Company possessing more than fifty percent (50%) of the total combined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(c) a direct or indirect sale or other transfer of the right to appoint more than fifty percent (50%) of the directors of the Board or otherwise directly or indirectly control the management, affairs and business of the Company to a person or a group of persons different from a person or a group of persons holding this right immediately prior to such transaction (other than the Company or a person that directly or indirectly controls, is controlled by, or is under common control with, the Company); (d) a direct or indirect sale or other transfer of all or substantially all of the assets of the Company to a person or a group of persons different from a person or a group of persons holding those assets immediately prior to such transaction (other than the Company or a person that directly or indirectly controls, is controlled by, or is under common control with, the Company); or (e) a complete liquidation, dissolution or winding-up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Change in Control will not be deemed to have occurred if such Change in Control results solely from the issuance, in connection with a bona fide financing or series of financings by the Company, of voting securities of the Company or any rights to acquire voting securities of the Company which are convertible into voting securities.</w:t>
      </w:r>
    </w:p>
    <w:p>
      <w:pPr>
        <w:spacing w:after="0" w:line="200" w:lineRule="exact"/>
        <w:rPr>
          <w:sz w:val="20"/>
          <w:szCs w:val="20"/>
          <w:color w:val="auto"/>
        </w:rPr>
      </w:pPr>
    </w:p>
    <w:p>
      <w:pPr>
        <w:spacing w:after="0" w:line="208" w:lineRule="exact"/>
        <w:rPr>
          <w:sz w:val="20"/>
          <w:szCs w:val="20"/>
          <w:color w:val="auto"/>
        </w:rPr>
      </w:pPr>
    </w:p>
    <w:p>
      <w:pPr>
        <w:jc w:val="both"/>
        <w:ind w:firstLine="872"/>
        <w:spacing w:after="0" w:line="243" w:lineRule="auto"/>
        <w:tabs>
          <w:tab w:leader="none" w:pos="1782" w:val="left"/>
        </w:tabs>
        <w:numPr>
          <w:ilvl w:val="0"/>
          <w:numId w:val="89"/>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Proprietary Information Obligations. </w:t>
      </w:r>
      <w:r>
        <w:rPr>
          <w:rFonts w:ascii="Arial" w:cs="Arial" w:eastAsia="Arial" w:hAnsi="Arial"/>
          <w:sz w:val="22"/>
          <w:szCs w:val="22"/>
          <w:color w:val="auto"/>
        </w:rPr>
        <w:t>As a condition of employment, Executive has previously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shall continue to abide by the Employee Proprietary Information, Restrictive Covenant and Invention Assignment Agreement attached here 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b w:val="1"/>
          <w:bCs w:val="1"/>
          <w:color w:val="auto"/>
        </w:rPr>
        <w:t>Restrictive Covenant Agreement</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010000"/>
        </w:rPr>
      </w:pPr>
    </w:p>
    <w:p>
      <w:pPr>
        <w:ind w:left="1780" w:hanging="908"/>
        <w:spacing w:after="0"/>
        <w:tabs>
          <w:tab w:leader="none" w:pos="1780" w:val="left"/>
        </w:tabs>
        <w:numPr>
          <w:ilvl w:val="0"/>
          <w:numId w:val="89"/>
        </w:numPr>
        <w:rPr>
          <w:rFonts w:ascii="Arial" w:cs="Arial" w:eastAsia="Arial" w:hAnsi="Arial"/>
          <w:sz w:val="22"/>
          <w:szCs w:val="22"/>
          <w:b w:val="1"/>
          <w:bCs w:val="1"/>
          <w:color w:val="010000"/>
        </w:rPr>
      </w:pPr>
      <w:r>
        <w:rPr>
          <w:rFonts w:ascii="Arial" w:cs="Arial" w:eastAsia="Arial" w:hAnsi="Arial"/>
          <w:sz w:val="22"/>
          <w:szCs w:val="22"/>
          <w:b w:val="1"/>
          <w:bCs w:val="1"/>
          <w:color w:val="auto"/>
        </w:rPr>
        <w:t>Outside Activities During Employment.</w:t>
      </w:r>
    </w:p>
    <w:p>
      <w:pPr>
        <w:spacing w:after="0" w:line="206"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010000"/>
        </w:rPr>
        <w:t xml:space="preserve">11.1 </w:t>
      </w:r>
      <w:r>
        <w:rPr>
          <w:rFonts w:ascii="Arial" w:cs="Arial" w:eastAsia="Arial" w:hAnsi="Arial"/>
          <w:sz w:val="22"/>
          <w:szCs w:val="22"/>
          <w:b w:val="1"/>
          <w:bCs w:val="1"/>
          <w:color w:val="000000"/>
        </w:rPr>
        <w:t>Non-Company Business.</w:t>
      </w:r>
      <w:r>
        <w:rPr>
          <w:rFonts w:ascii="Arial" w:cs="Arial" w:eastAsia="Arial" w:hAnsi="Arial"/>
          <w:sz w:val="22"/>
          <w:szCs w:val="22"/>
          <w:b w:val="1"/>
          <w:bCs w:val="1"/>
          <w:color w:val="010000"/>
        </w:rPr>
        <w:t xml:space="preserve"> </w:t>
      </w:r>
      <w:r>
        <w:rPr>
          <w:rFonts w:ascii="Arial" w:cs="Arial" w:eastAsia="Arial" w:hAnsi="Arial"/>
          <w:sz w:val="22"/>
          <w:szCs w:val="22"/>
          <w:color w:val="000000"/>
        </w:rPr>
        <w:t>Except with the prior written consent of the Board, Executive will not</w:t>
      </w:r>
      <w:r>
        <w:rPr>
          <w:rFonts w:ascii="Arial" w:cs="Arial" w:eastAsia="Arial" w:hAnsi="Arial"/>
          <w:sz w:val="22"/>
          <w:szCs w:val="22"/>
          <w:b w:val="1"/>
          <w:bCs w:val="1"/>
          <w:color w:val="010000"/>
        </w:rPr>
        <w:t xml:space="preserve"> </w:t>
      </w:r>
      <w:r>
        <w:rPr>
          <w:rFonts w:ascii="Arial" w:cs="Arial" w:eastAsia="Arial" w:hAnsi="Arial"/>
          <w:sz w:val="22"/>
          <w:szCs w:val="22"/>
          <w:color w:val="000000"/>
        </w:rPr>
        <w:t>during the term of Executive’s employment with the Company undertake or engage in any other employment, occupation or business enterprise, other than ones in which Executive is a passive investor, provided that they do not violate the Restrictive Covenant Agreement. Executive may engage in civic and not-for-profit activities so long as such activities do not materially interfere with the performance of Executive’s duties hereunder.</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11.2 </w:t>
      </w:r>
      <w:r>
        <w:rPr>
          <w:rFonts w:ascii="Arial" w:cs="Arial" w:eastAsia="Arial" w:hAnsi="Arial"/>
          <w:sz w:val="22"/>
          <w:szCs w:val="22"/>
          <w:b w:val="1"/>
          <w:bCs w:val="1"/>
          <w:color w:val="000000"/>
        </w:rPr>
        <w:t>No Adverse Interests.</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agrees not to acquire, assume or participate in, directly or</w:t>
      </w:r>
      <w:r>
        <w:rPr>
          <w:rFonts w:ascii="Arial" w:cs="Arial" w:eastAsia="Arial" w:hAnsi="Arial"/>
          <w:sz w:val="22"/>
          <w:szCs w:val="22"/>
          <w:b w:val="1"/>
          <w:bCs w:val="1"/>
          <w:color w:val="010000"/>
        </w:rPr>
        <w:t xml:space="preserve"> </w:t>
      </w:r>
      <w:r>
        <w:rPr>
          <w:rFonts w:ascii="Arial" w:cs="Arial" w:eastAsia="Arial" w:hAnsi="Arial"/>
          <w:sz w:val="22"/>
          <w:szCs w:val="22"/>
          <w:color w:val="000000"/>
        </w:rPr>
        <w:t>indirectly, any position, investment or interest known to be adverse or antagonistic to the Company, its business or prospects, financial or otherwise.</w:t>
      </w:r>
    </w:p>
    <w:p>
      <w:pPr>
        <w:spacing w:after="0" w:line="177" w:lineRule="exact"/>
        <w:rPr>
          <w:sz w:val="20"/>
          <w:szCs w:val="20"/>
          <w:color w:val="auto"/>
        </w:rPr>
      </w:pPr>
    </w:p>
    <w:p>
      <w:pPr>
        <w:jc w:val="both"/>
        <w:ind w:firstLine="872"/>
        <w:spacing w:after="0" w:line="251" w:lineRule="auto"/>
        <w:tabs>
          <w:tab w:leader="none" w:pos="1782" w:val="left"/>
        </w:tabs>
        <w:numPr>
          <w:ilvl w:val="0"/>
          <w:numId w:val="90"/>
        </w:numPr>
        <w:rPr>
          <w:rFonts w:ascii="Arial" w:cs="Arial" w:eastAsia="Arial" w:hAnsi="Arial"/>
          <w:sz w:val="21"/>
          <w:szCs w:val="21"/>
          <w:b w:val="1"/>
          <w:bCs w:val="1"/>
          <w:color w:val="010000"/>
        </w:rPr>
      </w:pPr>
      <w:r>
        <w:rPr>
          <w:rFonts w:ascii="Arial" w:cs="Arial" w:eastAsia="Arial" w:hAnsi="Arial"/>
          <w:sz w:val="21"/>
          <w:szCs w:val="21"/>
          <w:b w:val="1"/>
          <w:bCs w:val="1"/>
          <w:color w:val="auto"/>
        </w:rPr>
        <w:t xml:space="preserve">Dispute Resolution. </w:t>
      </w:r>
      <w:r>
        <w:rPr>
          <w:rFonts w:ascii="Arial" w:cs="Arial" w:eastAsia="Arial" w:hAnsi="Arial"/>
          <w:sz w:val="21"/>
          <w:szCs w:val="21"/>
          <w:color w:val="auto"/>
        </w:rPr>
        <w:t>To ensure the timely and economical resolution of disputes that may arise in connection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Executive’s employment with the Company, Executive and the Company agree that any and all disputes, claims, or causes of action arising from or relating to the enforcement, breach, performance, negotiation, execution, or interpretation of this Agreement, Executive’s employment, or the termination of Executive’s employment, including but not limited to statutory claims, shall be resolved to the fullest extent permitted by law by final, binding and</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6" w:name="page137"/>
    <w:bookmarkEnd w:id="136"/>
    <w:p>
      <w:pPr>
        <w:jc w:val="both"/>
        <w:spacing w:after="0" w:line="273" w:lineRule="auto"/>
        <w:rPr>
          <w:sz w:val="20"/>
          <w:szCs w:val="20"/>
          <w:color w:val="auto"/>
        </w:rPr>
      </w:pPr>
      <w:r>
        <w:rPr>
          <w:rFonts w:ascii="Arial" w:cs="Arial" w:eastAsia="Arial" w:hAnsi="Arial"/>
          <w:sz w:val="19"/>
          <w:szCs w:val="19"/>
          <w:color w:val="auto"/>
        </w:rPr>
        <w:t>confidential arbitration, by a single arbitrator, in Wilmington, Delaware conducted by JAMS, Inc. (“</w:t>
      </w:r>
      <w:r>
        <w:rPr>
          <w:rFonts w:ascii="Arial" w:cs="Arial" w:eastAsia="Arial" w:hAnsi="Arial"/>
          <w:sz w:val="19"/>
          <w:szCs w:val="19"/>
          <w:b w:val="1"/>
          <w:bCs w:val="1"/>
          <w:color w:val="auto"/>
        </w:rPr>
        <w:t>JAMS</w:t>
      </w:r>
      <w:r>
        <w:rPr>
          <w:rFonts w:ascii="Arial" w:cs="Arial" w:eastAsia="Arial" w:hAnsi="Arial"/>
          <w:sz w:val="19"/>
          <w:szCs w:val="19"/>
          <w:color w:val="auto"/>
        </w:rPr>
        <w:t>”) under the then applicable JAMS rules or by another arbitration company if mutually agreed upon by Executive and Board. By agreeing to this arbitration procedure, both Executive and the Company waive the right to resolve any such dispute through a trial by jury or judge or administrative proceeding. The Company acknowledges that Executive will have the right to be represented by legal counsel at any arbitration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50" w:lineRule="exact"/>
        <w:rPr>
          <w:sz w:val="20"/>
          <w:szCs w:val="20"/>
          <w:color w:val="auto"/>
        </w:rPr>
      </w:pPr>
    </w:p>
    <w:p>
      <w:pPr>
        <w:ind w:left="1780" w:hanging="908"/>
        <w:spacing w:after="0"/>
        <w:tabs>
          <w:tab w:leader="none" w:pos="1780" w:val="left"/>
        </w:tabs>
        <w:numPr>
          <w:ilvl w:val="0"/>
          <w:numId w:val="91"/>
        </w:numPr>
        <w:rPr>
          <w:rFonts w:ascii="Arial" w:cs="Arial" w:eastAsia="Arial" w:hAnsi="Arial"/>
          <w:sz w:val="22"/>
          <w:szCs w:val="22"/>
          <w:b w:val="1"/>
          <w:bCs w:val="1"/>
          <w:color w:val="010000"/>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13.1 </w:t>
      </w:r>
      <w:r>
        <w:rPr>
          <w:rFonts w:ascii="Arial" w:cs="Arial" w:eastAsia="Arial" w:hAnsi="Arial"/>
          <w:sz w:val="22"/>
          <w:szCs w:val="22"/>
          <w:b w:val="1"/>
          <w:bCs w:val="1"/>
          <w:color w:val="000000"/>
        </w:rPr>
        <w:t>Notices.</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notices provided must be in writing and will be deemed effective upon the earlier of</w:t>
      </w:r>
      <w:r>
        <w:rPr>
          <w:rFonts w:ascii="Arial" w:cs="Arial" w:eastAsia="Arial" w:hAnsi="Arial"/>
          <w:sz w:val="22"/>
          <w:szCs w:val="22"/>
          <w:b w:val="1"/>
          <w:bCs w:val="1"/>
          <w:color w:val="010000"/>
        </w:rPr>
        <w:t xml:space="preserve"> </w:t>
      </w:r>
      <w:r>
        <w:rPr>
          <w:rFonts w:ascii="Arial" w:cs="Arial" w:eastAsia="Arial" w:hAnsi="Arial"/>
          <w:sz w:val="22"/>
          <w:szCs w:val="22"/>
          <w:color w:val="000000"/>
        </w:rPr>
        <w:t>personal delivery (including personal delivery by fax) or the next day after sending by overnight carrier, to the Company at its primary office location and to Executive at the address as listed on the Company payroll.</w:t>
      </w:r>
    </w:p>
    <w:p>
      <w:pPr>
        <w:spacing w:after="0" w:line="177"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010000"/>
        </w:rPr>
        <w:t xml:space="preserve">13.2 </w:t>
      </w:r>
      <w:r>
        <w:rPr>
          <w:rFonts w:ascii="Arial" w:cs="Arial" w:eastAsia="Arial" w:hAnsi="Arial"/>
          <w:sz w:val="22"/>
          <w:szCs w:val="22"/>
          <w:b w:val="1"/>
          <w:bCs w:val="1"/>
          <w:color w:val="000000"/>
        </w:rPr>
        <w:t>Severability.</w:t>
      </w:r>
      <w:r>
        <w:rPr>
          <w:rFonts w:ascii="Arial" w:cs="Arial" w:eastAsia="Arial" w:hAnsi="Arial"/>
          <w:sz w:val="22"/>
          <w:szCs w:val="22"/>
          <w:b w:val="1"/>
          <w:bCs w:val="1"/>
          <w:color w:val="010000"/>
        </w:rPr>
        <w:t xml:space="preserve"> </w:t>
      </w:r>
      <w:r>
        <w:rPr>
          <w:rFonts w:ascii="Arial" w:cs="Arial" w:eastAsia="Arial" w:hAnsi="Arial"/>
          <w:sz w:val="22"/>
          <w:szCs w:val="22"/>
          <w:color w:val="000000"/>
        </w:rPr>
        <w:t>Whenever possible, each provision of this Agreement will be interpreted in such</w:t>
      </w:r>
      <w:r>
        <w:rPr>
          <w:rFonts w:ascii="Arial" w:cs="Arial" w:eastAsia="Arial" w:hAnsi="Arial"/>
          <w:sz w:val="22"/>
          <w:szCs w:val="22"/>
          <w:b w:val="1"/>
          <w:bCs w:val="1"/>
          <w:color w:val="010000"/>
        </w:rPr>
        <w:t xml:space="preserve"> </w:t>
      </w:r>
      <w:r>
        <w:rPr>
          <w:rFonts w:ascii="Arial" w:cs="Arial" w:eastAsia="Arial" w:hAnsi="Arial"/>
          <w:sz w:val="22"/>
          <w:szCs w:val="22"/>
          <w:color w:val="000000"/>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13.3 </w:t>
      </w:r>
      <w:r>
        <w:rPr>
          <w:rFonts w:ascii="Arial" w:cs="Arial" w:eastAsia="Arial" w:hAnsi="Arial"/>
          <w:sz w:val="22"/>
          <w:szCs w:val="22"/>
          <w:b w:val="1"/>
          <w:bCs w:val="1"/>
          <w:color w:val="000000"/>
        </w:rPr>
        <w:t>Waiver.</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waiver of any breach of any provisions of this Agreement must be in writing to be</w:t>
      </w:r>
      <w:r>
        <w:rPr>
          <w:rFonts w:ascii="Arial" w:cs="Arial" w:eastAsia="Arial" w:hAnsi="Arial"/>
          <w:sz w:val="22"/>
          <w:szCs w:val="22"/>
          <w:b w:val="1"/>
          <w:bCs w:val="1"/>
          <w:color w:val="010000"/>
        </w:rPr>
        <w:t xml:space="preserve"> </w:t>
      </w:r>
      <w:r>
        <w:rPr>
          <w:rFonts w:ascii="Arial" w:cs="Arial" w:eastAsia="Arial" w:hAnsi="Arial"/>
          <w:sz w:val="22"/>
          <w:szCs w:val="22"/>
          <w:color w:val="000000"/>
        </w:rPr>
        <w:t>effective, and it shall not thereby be deemed to have waived any preceding or succeeding breach of the same or any other provision of this Agreement.</w:t>
      </w:r>
    </w:p>
    <w:p>
      <w:pPr>
        <w:spacing w:after="0" w:line="177"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b w:val="1"/>
          <w:bCs w:val="1"/>
          <w:color w:val="010000"/>
        </w:rPr>
        <w:t xml:space="preserve">13.4 </w:t>
      </w:r>
      <w:r>
        <w:rPr>
          <w:rFonts w:ascii="Arial" w:cs="Arial" w:eastAsia="Arial" w:hAnsi="Arial"/>
          <w:sz w:val="22"/>
          <w:szCs w:val="22"/>
          <w:b w:val="1"/>
          <w:bCs w:val="1"/>
          <w:color w:val="000000"/>
        </w:rPr>
        <w:t>Complete Agreement.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together with the Restrictive Covenant Agreement,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constitutes the entire agreement between Executive and the Company with regard to this subject matter and is the complete, final, and exclusive embodiment of the Parties’ agreement with regard to this subject matter, and supersedes all prior or contemporaneous offers, negotiations and agreements, whether written or oral, relating to such subject matter, including the offer letter entered into between Executive and the Company as of February 28, 2018.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7" w:name="page138"/>
    <w:bookmarkEnd w:id="137"/>
    <w:p>
      <w:pPr>
        <w:jc w:val="both"/>
        <w:ind w:right="20" w:firstLine="1727"/>
        <w:spacing w:after="0" w:line="334" w:lineRule="auto"/>
        <w:rPr>
          <w:sz w:val="20"/>
          <w:szCs w:val="20"/>
          <w:color w:val="auto"/>
        </w:rPr>
      </w:pPr>
      <w:r>
        <w:rPr>
          <w:rFonts w:ascii="Arial" w:cs="Arial" w:eastAsia="Arial" w:hAnsi="Arial"/>
          <w:sz w:val="19"/>
          <w:szCs w:val="19"/>
          <w:b w:val="1"/>
          <w:bCs w:val="1"/>
          <w:color w:val="010000"/>
        </w:rPr>
        <w:t xml:space="preserve">13.5 </w:t>
      </w:r>
      <w:r>
        <w:rPr>
          <w:rFonts w:ascii="Arial" w:cs="Arial" w:eastAsia="Arial" w:hAnsi="Arial"/>
          <w:sz w:val="19"/>
          <w:szCs w:val="19"/>
          <w:b w:val="1"/>
          <w:bCs w:val="1"/>
          <w:color w:val="000000"/>
        </w:rPr>
        <w:t>Counterparts.</w:t>
      </w:r>
      <w:r>
        <w:rPr>
          <w:rFonts w:ascii="Arial" w:cs="Arial" w:eastAsia="Arial" w:hAnsi="Arial"/>
          <w:sz w:val="19"/>
          <w:szCs w:val="19"/>
          <w:b w:val="1"/>
          <w:bCs w:val="1"/>
          <w:color w:val="010000"/>
        </w:rPr>
        <w:t xml:space="preserve"> </w:t>
      </w:r>
      <w:r>
        <w:rPr>
          <w:rFonts w:ascii="Arial" w:cs="Arial" w:eastAsia="Arial" w:hAnsi="Arial"/>
          <w:sz w:val="19"/>
          <w:szCs w:val="19"/>
          <w:color w:val="000000"/>
        </w:rPr>
        <w:t>This Agreement may be executed in separate counterparts, any one of which need</w:t>
      </w:r>
      <w:r>
        <w:rPr>
          <w:rFonts w:ascii="Arial" w:cs="Arial" w:eastAsia="Arial" w:hAnsi="Arial"/>
          <w:sz w:val="19"/>
          <w:szCs w:val="19"/>
          <w:b w:val="1"/>
          <w:bCs w:val="1"/>
          <w:color w:val="010000"/>
        </w:rPr>
        <w:t xml:space="preserve"> </w:t>
      </w:r>
      <w:r>
        <w:rPr>
          <w:rFonts w:ascii="Arial" w:cs="Arial" w:eastAsia="Arial" w:hAnsi="Arial"/>
          <w:sz w:val="19"/>
          <w:szCs w:val="19"/>
          <w:color w:val="000000"/>
        </w:rPr>
        <w:t>not contain signatures of more than one party, but all of which taken together will constitute one and the same Agreement.</w:t>
      </w:r>
    </w:p>
    <w:p>
      <w:pPr>
        <w:spacing w:after="0" w:line="94"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010000"/>
        </w:rPr>
        <w:t xml:space="preserve">13.6 </w:t>
      </w:r>
      <w:r>
        <w:rPr>
          <w:rFonts w:ascii="Arial" w:cs="Arial" w:eastAsia="Arial" w:hAnsi="Arial"/>
          <w:sz w:val="22"/>
          <w:szCs w:val="22"/>
          <w:b w:val="1"/>
          <w:bCs w:val="1"/>
          <w:color w:val="000000"/>
        </w:rPr>
        <w:t>Headings.</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headings of the paragraphs hereof are inserted for convenience only and shall not</w:t>
      </w:r>
      <w:r>
        <w:rPr>
          <w:rFonts w:ascii="Arial" w:cs="Arial" w:eastAsia="Arial" w:hAnsi="Arial"/>
          <w:sz w:val="22"/>
          <w:szCs w:val="22"/>
          <w:b w:val="1"/>
          <w:bCs w:val="1"/>
          <w:color w:val="010000"/>
        </w:rPr>
        <w:t xml:space="preserve"> </w:t>
      </w:r>
      <w:r>
        <w:rPr>
          <w:rFonts w:ascii="Arial" w:cs="Arial" w:eastAsia="Arial" w:hAnsi="Arial"/>
          <w:sz w:val="22"/>
          <w:szCs w:val="22"/>
          <w:color w:val="000000"/>
        </w:rPr>
        <w:t>be deemed to constitute a part hereof nor to affect the meaning thereof.</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010000"/>
        </w:rPr>
        <w:t xml:space="preserve">13.7 </w:t>
      </w:r>
      <w:r>
        <w:rPr>
          <w:rFonts w:ascii="Arial" w:cs="Arial" w:eastAsia="Arial" w:hAnsi="Arial"/>
          <w:sz w:val="22"/>
          <w:szCs w:val="22"/>
          <w:b w:val="1"/>
          <w:bCs w:val="1"/>
          <w:color w:val="000000"/>
        </w:rPr>
        <w:t>Successors and Assigns.</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is intended to bind and inure to the benefit of and be</w:t>
      </w:r>
      <w:r>
        <w:rPr>
          <w:rFonts w:ascii="Arial" w:cs="Arial" w:eastAsia="Arial" w:hAnsi="Arial"/>
          <w:sz w:val="22"/>
          <w:szCs w:val="22"/>
          <w:b w:val="1"/>
          <w:bCs w:val="1"/>
          <w:color w:val="010000"/>
        </w:rPr>
        <w:t xml:space="preserve"> </w:t>
      </w:r>
      <w:r>
        <w:rPr>
          <w:rFonts w:ascii="Arial" w:cs="Arial" w:eastAsia="Arial" w:hAnsi="Arial"/>
          <w:sz w:val="22"/>
          <w:szCs w:val="22"/>
          <w:color w:val="000000"/>
        </w:rPr>
        <w:t>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w:t>
      </w:r>
    </w:p>
    <w:p>
      <w:pPr>
        <w:spacing w:after="0" w:line="180"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b w:val="1"/>
          <w:bCs w:val="1"/>
          <w:color w:val="010000"/>
        </w:rPr>
        <w:t xml:space="preserve">13.8 </w:t>
      </w:r>
      <w:r>
        <w:rPr>
          <w:rFonts w:ascii="Arial" w:cs="Arial" w:eastAsia="Arial" w:hAnsi="Arial"/>
          <w:sz w:val="21"/>
          <w:szCs w:val="21"/>
          <w:b w:val="1"/>
          <w:bCs w:val="1"/>
          <w:color w:val="000000"/>
        </w:rPr>
        <w:t>Tax Withholding and Indemnification.</w:t>
      </w:r>
      <w:r>
        <w:rPr>
          <w:rFonts w:ascii="Arial" w:cs="Arial" w:eastAsia="Arial" w:hAnsi="Arial"/>
          <w:sz w:val="21"/>
          <w:szCs w:val="21"/>
          <w:b w:val="1"/>
          <w:bCs w:val="1"/>
          <w:color w:val="010000"/>
        </w:rPr>
        <w:t xml:space="preserve"> </w:t>
      </w:r>
      <w:r>
        <w:rPr>
          <w:rFonts w:ascii="Arial" w:cs="Arial" w:eastAsia="Arial" w:hAnsi="Arial"/>
          <w:sz w:val="21"/>
          <w:szCs w:val="21"/>
          <w:color w:val="000000"/>
        </w:rPr>
        <w:t>All payments and awards contemplated or made</w:t>
      </w:r>
      <w:r>
        <w:rPr>
          <w:rFonts w:ascii="Arial" w:cs="Arial" w:eastAsia="Arial" w:hAnsi="Arial"/>
          <w:sz w:val="21"/>
          <w:szCs w:val="21"/>
          <w:b w:val="1"/>
          <w:bCs w:val="1"/>
          <w:color w:val="010000"/>
        </w:rPr>
        <w:t xml:space="preserve"> </w:t>
      </w:r>
      <w:r>
        <w:rPr>
          <w:rFonts w:ascii="Arial" w:cs="Arial" w:eastAsia="Arial" w:hAnsi="Arial"/>
          <w:sz w:val="21"/>
          <w:szCs w:val="21"/>
          <w:color w:val="000000"/>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1"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010000"/>
        </w:rPr>
        <w:t xml:space="preserve">13.9 </w:t>
      </w:r>
      <w:r>
        <w:rPr>
          <w:rFonts w:ascii="Arial" w:cs="Arial" w:eastAsia="Arial" w:hAnsi="Arial"/>
          <w:sz w:val="22"/>
          <w:szCs w:val="22"/>
          <w:b w:val="1"/>
          <w:bCs w:val="1"/>
          <w:color w:val="000000"/>
        </w:rPr>
        <w:t>Choice of Law.</w:t>
      </w:r>
      <w:r>
        <w:rPr>
          <w:rFonts w:ascii="Arial" w:cs="Arial" w:eastAsia="Arial" w:hAnsi="Arial"/>
          <w:sz w:val="22"/>
          <w:szCs w:val="22"/>
          <w:b w:val="1"/>
          <w:bCs w:val="1"/>
          <w:color w:val="010000"/>
        </w:rPr>
        <w:t xml:space="preserve"> </w:t>
      </w:r>
      <w:r>
        <w:rPr>
          <w:rFonts w:ascii="Arial" w:cs="Arial" w:eastAsia="Arial" w:hAnsi="Arial"/>
          <w:sz w:val="22"/>
          <w:szCs w:val="22"/>
          <w:color w:val="000000"/>
        </w:rPr>
        <w:t>All questions concerning the construction, validity and interpretation of this</w:t>
      </w:r>
      <w:r>
        <w:rPr>
          <w:rFonts w:ascii="Arial" w:cs="Arial" w:eastAsia="Arial" w:hAnsi="Arial"/>
          <w:sz w:val="22"/>
          <w:szCs w:val="22"/>
          <w:b w:val="1"/>
          <w:bCs w:val="1"/>
          <w:color w:val="010000"/>
        </w:rPr>
        <w:t xml:space="preserve"> </w:t>
      </w:r>
      <w:r>
        <w:rPr>
          <w:rFonts w:ascii="Arial" w:cs="Arial" w:eastAsia="Arial" w:hAnsi="Arial"/>
          <w:sz w:val="22"/>
          <w:szCs w:val="22"/>
          <w:color w:val="000000"/>
        </w:rPr>
        <w:t>Agreement will be governed by the laws of the State of Delaware.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executed this Agreement on the day and year first written above.</w:t>
      </w:r>
    </w:p>
    <w:p>
      <w:pPr>
        <w:sectPr>
          <w:pgSz w:w="11900" w:h="16838" w:orient="portrait"/>
          <w:cols w:equalWidth="0" w:num="1">
            <w:col w:w="9259"/>
          </w:cols>
          <w:pgMar w:left="1200" w:top="598"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right"/>
        <w:ind w:right="163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RELUDE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NCORPORATED</w:t>
      </w:r>
    </w:p>
    <w:p>
      <w:pPr>
        <w:spacing w:after="0" w:line="200" w:lineRule="exact"/>
        <w:rPr>
          <w:sz w:val="20"/>
          <w:szCs w:val="20"/>
          <w:color w:val="auto"/>
        </w:rPr>
      </w:pPr>
    </w:p>
    <w:p>
      <w:pPr>
        <w:spacing w:after="0" w:line="22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 Vaddi</w:t>
      </w:r>
    </w:p>
    <w:p>
      <w:pPr>
        <w:spacing w:after="0" w:line="9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Employment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85090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98" w:right="1440"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executed this Agreement on the day and year first written above.</w:t>
      </w:r>
    </w:p>
    <w:p>
      <w:pPr>
        <w:sectPr>
          <w:pgSz w:w="11900" w:h="16838" w:orient="portrait"/>
          <w:cols w:equalWidth="0" w:num="1">
            <w:col w:w="9259"/>
          </w:cols>
          <w:pgMar w:left="1200" w:top="598"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right"/>
        <w:ind w:right="163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RELUDE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NCORPORATED</w:t>
      </w:r>
    </w:p>
    <w:p>
      <w:pPr>
        <w:spacing w:after="0" w:line="200" w:lineRule="exact"/>
        <w:rPr>
          <w:sz w:val="20"/>
          <w:szCs w:val="20"/>
          <w:color w:val="auto"/>
        </w:rPr>
      </w:pPr>
    </w:p>
    <w:p>
      <w:pPr>
        <w:spacing w:after="0" w:line="22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24"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EGGY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CHERLE</w:t>
      </w:r>
    </w:p>
    <w:p>
      <w:pPr>
        <w:spacing w:after="0" w:line="200" w:lineRule="exact"/>
        <w:rPr>
          <w:sz w:val="20"/>
          <w:szCs w:val="20"/>
          <w:color w:val="auto"/>
        </w:rPr>
      </w:pPr>
    </w:p>
    <w:p>
      <w:pPr>
        <w:spacing w:after="0" w:line="336" w:lineRule="exact"/>
        <w:rPr>
          <w:sz w:val="20"/>
          <w:szCs w:val="20"/>
          <w:color w:val="auto"/>
        </w:rPr>
      </w:pPr>
    </w:p>
    <w:p>
      <w:pPr>
        <w:ind w:left="4320"/>
        <w:spacing w:after="0"/>
        <w:rPr>
          <w:sz w:val="20"/>
          <w:szCs w:val="20"/>
          <w:color w:val="auto"/>
        </w:rPr>
      </w:pPr>
      <w:r>
        <w:rPr>
          <w:rFonts w:ascii="Arial" w:cs="Arial" w:eastAsia="Arial" w:hAnsi="Arial"/>
          <w:sz w:val="22"/>
          <w:szCs w:val="22"/>
          <w:u w:val="single" w:color="auto"/>
          <w:color w:val="auto"/>
        </w:rPr>
        <w:t>/s/ Peggy Scherle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Employment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85090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98" w:right="1440" w:bottom="1440" w:gutter="0" w:footer="0" w:header="0"/>
          <w:type w:val="continuous"/>
        </w:sectPr>
      </w:pPr>
    </w:p>
    <w:bookmarkStart w:id="140" w:name="page141"/>
    <w:bookmarkEnd w:id="140"/>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Employee Proprietary Information, Restrictive Covenant and Invention Assignment Agreement</w:t>
      </w:r>
    </w:p>
    <w:p>
      <w:pPr>
        <w:sectPr>
          <w:pgSz w:w="11900" w:h="16838" w:orient="portrait"/>
          <w:cols w:equalWidth="0" w:num="1">
            <w:col w:w="9019"/>
          </w:cols>
          <w:pgMar w:left="1440" w:top="598"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10.8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82"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made between Prelude Therapeutics Incorporated,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Andrew Combs (“</w:t>
      </w:r>
      <w:r>
        <w:rPr>
          <w:rFonts w:ascii="Arial" w:cs="Arial" w:eastAsia="Arial" w:hAnsi="Arial"/>
          <w:sz w:val="22"/>
          <w:szCs w:val="22"/>
          <w:b w:val="1"/>
          <w:bCs w:val="1"/>
          <w:color w:val="auto"/>
        </w:rPr>
        <w:t>Executive</w:t>
      </w:r>
      <w:r>
        <w:rPr>
          <w:rFonts w:ascii="Arial" w:cs="Arial" w:eastAsia="Arial" w:hAnsi="Arial"/>
          <w:sz w:val="22"/>
          <w:szCs w:val="22"/>
          <w:color w:val="auto"/>
        </w:rPr>
        <w:t>” and, collectively with the Company, the “</w:t>
      </w:r>
      <w:r>
        <w:rPr>
          <w:rFonts w:ascii="Arial" w:cs="Arial" w:eastAsia="Arial" w:hAnsi="Arial"/>
          <w:sz w:val="22"/>
          <w:szCs w:val="22"/>
          <w:b w:val="1"/>
          <w:bCs w:val="1"/>
          <w:color w:val="auto"/>
        </w:rPr>
        <w:t>Parties</w:t>
      </w:r>
      <w:r>
        <w:rPr>
          <w:rFonts w:ascii="Arial" w:cs="Arial" w:eastAsia="Arial" w:hAnsi="Arial"/>
          <w:sz w:val="22"/>
          <w:szCs w:val="22"/>
          <w:color w:val="auto"/>
        </w:rPr>
        <w:t>”), is entered into as of December 19, 2020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desires to continue to employ Executive as the Company’s Executive Vice President and Head</w:t>
      </w:r>
      <w:r>
        <w:rPr>
          <w:rFonts w:ascii="Arial" w:cs="Arial" w:eastAsia="Arial" w:hAnsi="Arial"/>
          <w:sz w:val="22"/>
          <w:szCs w:val="22"/>
          <w:b w:val="1"/>
          <w:bCs w:val="1"/>
          <w:color w:val="auto"/>
        </w:rPr>
        <w:t xml:space="preserve"> </w:t>
      </w:r>
      <w:r>
        <w:rPr>
          <w:rFonts w:ascii="Arial" w:cs="Arial" w:eastAsia="Arial" w:hAnsi="Arial"/>
          <w:sz w:val="22"/>
          <w:szCs w:val="22"/>
          <w:color w:val="auto"/>
        </w:rPr>
        <w:t>of Chemistry, and Executive desires to continue to serve in such capacity, pursuant to the terms and conditions set forth in this Agreement.</w:t>
      </w:r>
    </w:p>
    <w:p>
      <w:pPr>
        <w:spacing w:after="0" w:line="177" w:lineRule="exact"/>
        <w:rPr>
          <w:sz w:val="20"/>
          <w:szCs w:val="20"/>
          <w:color w:val="auto"/>
        </w:rPr>
      </w:pPr>
    </w:p>
    <w:p>
      <w:pPr>
        <w:jc w:val="both"/>
        <w:ind w:right="20" w:firstLine="864"/>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mutual promises and covenants contained herein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is hereby acknowledged, the Parties hereto agree as follows:</w:t>
      </w:r>
    </w:p>
    <w:p>
      <w:pPr>
        <w:spacing w:after="0" w:line="116" w:lineRule="exact"/>
        <w:rPr>
          <w:sz w:val="20"/>
          <w:szCs w:val="20"/>
          <w:color w:val="auto"/>
        </w:rPr>
      </w:pPr>
    </w:p>
    <w:p>
      <w:pPr>
        <w:ind w:left="1680" w:hanging="808"/>
        <w:spacing w:after="0"/>
        <w:tabs>
          <w:tab w:leader="none" w:pos="1680" w:val="left"/>
        </w:tabs>
        <w:numPr>
          <w:ilvl w:val="0"/>
          <w:numId w:val="92"/>
        </w:numPr>
        <w:rPr>
          <w:rFonts w:ascii="Arial" w:cs="Arial" w:eastAsia="Arial" w:hAnsi="Arial"/>
          <w:sz w:val="22"/>
          <w:szCs w:val="22"/>
          <w:b w:val="1"/>
          <w:bCs w:val="1"/>
          <w:color w:val="010000"/>
        </w:rPr>
      </w:pPr>
      <w:r>
        <w:rPr>
          <w:rFonts w:ascii="Arial" w:cs="Arial" w:eastAsia="Arial" w:hAnsi="Arial"/>
          <w:sz w:val="22"/>
          <w:szCs w:val="22"/>
          <w:b w:val="1"/>
          <w:bCs w:val="1"/>
          <w:color w:val="auto"/>
        </w:rPr>
        <w:t>Employment by the Company.</w:t>
      </w:r>
    </w:p>
    <w:p>
      <w:pPr>
        <w:spacing w:after="0" w:line="206"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010000"/>
        </w:rPr>
        <w:t xml:space="preserve">1.1 </w:t>
      </w:r>
      <w:r>
        <w:rPr>
          <w:rFonts w:ascii="Arial" w:cs="Arial" w:eastAsia="Arial" w:hAnsi="Arial"/>
          <w:sz w:val="22"/>
          <w:szCs w:val="22"/>
          <w:b w:val="1"/>
          <w:bCs w:val="1"/>
          <w:color w:val="000000"/>
        </w:rPr>
        <w:t>Employment.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shall govern the terms of Executive’s employment with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Company, effective as of the Effective Date.</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010000"/>
        </w:rPr>
        <w:t xml:space="preserve">1.2 </w:t>
      </w:r>
      <w:r>
        <w:rPr>
          <w:rFonts w:ascii="Arial" w:cs="Arial" w:eastAsia="Arial" w:hAnsi="Arial"/>
          <w:sz w:val="22"/>
          <w:szCs w:val="22"/>
          <w:b w:val="1"/>
          <w:bCs w:val="1"/>
          <w:color w:val="000000"/>
        </w:rPr>
        <w:t>Position.</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shall continue to serve as the Company’s Executive Vice President and Head</w:t>
      </w:r>
      <w:r>
        <w:rPr>
          <w:rFonts w:ascii="Arial" w:cs="Arial" w:eastAsia="Arial" w:hAnsi="Arial"/>
          <w:sz w:val="22"/>
          <w:szCs w:val="22"/>
          <w:b w:val="1"/>
          <w:bCs w:val="1"/>
          <w:color w:val="010000"/>
        </w:rPr>
        <w:t xml:space="preserve"> </w:t>
      </w:r>
      <w:r>
        <w:rPr>
          <w:rFonts w:ascii="Arial" w:cs="Arial" w:eastAsia="Arial" w:hAnsi="Arial"/>
          <w:sz w:val="22"/>
          <w:szCs w:val="22"/>
          <w:color w:val="000000"/>
        </w:rPr>
        <w:t>of Chemistry. During the term of Executive’s employment with the Company hereunder, Executive will devote Executive’s best efforts and substantially all of Executive’s business time and attention to the business of the Company, except as otherwise set forth in Section 11.1.</w:t>
      </w:r>
    </w:p>
    <w:p>
      <w:pPr>
        <w:spacing w:after="0" w:line="180"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 </w:t>
      </w:r>
      <w:r>
        <w:rPr>
          <w:rFonts w:ascii="Arial" w:cs="Arial" w:eastAsia="Arial" w:hAnsi="Arial"/>
          <w:sz w:val="22"/>
          <w:szCs w:val="22"/>
          <w:b w:val="1"/>
          <w:bCs w:val="1"/>
          <w:color w:val="000000"/>
        </w:rPr>
        <w:t>Duties and Location.</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shall perform such duties as are typically performed by an</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Vice President and Head of Chemistry. Executive will report to the Company’s Chief Executive Officer. Executive’s primary office location shall be the Company’s office located in Wilmington, Delaware.</w:t>
      </w:r>
    </w:p>
    <w:p>
      <w:pPr>
        <w:spacing w:after="0" w:line="177"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1"/>
          <w:szCs w:val="21"/>
          <w:b w:val="1"/>
          <w:bCs w:val="1"/>
          <w:color w:val="010000"/>
        </w:rPr>
        <w:t xml:space="preserve">1.4 </w:t>
      </w:r>
      <w:r>
        <w:rPr>
          <w:rFonts w:ascii="Arial" w:cs="Arial" w:eastAsia="Arial" w:hAnsi="Arial"/>
          <w:sz w:val="21"/>
          <w:szCs w:val="21"/>
          <w:b w:val="1"/>
          <w:bCs w:val="1"/>
          <w:color w:val="000000"/>
        </w:rPr>
        <w:t>Policies and Procedures.</w:t>
      </w:r>
      <w:r>
        <w:rPr>
          <w:rFonts w:ascii="Arial" w:cs="Arial" w:eastAsia="Arial" w:hAnsi="Arial"/>
          <w:sz w:val="21"/>
          <w:szCs w:val="21"/>
          <w:b w:val="1"/>
          <w:bCs w:val="1"/>
          <w:color w:val="010000"/>
        </w:rPr>
        <w:t xml:space="preserve"> </w:t>
      </w:r>
      <w:r>
        <w:rPr>
          <w:rFonts w:ascii="Arial" w:cs="Arial" w:eastAsia="Arial" w:hAnsi="Arial"/>
          <w:sz w:val="21"/>
          <w:szCs w:val="21"/>
          <w:color w:val="000000"/>
        </w:rPr>
        <w:t>The employment relationship between the Parties shall be governed by</w:t>
      </w:r>
      <w:r>
        <w:rPr>
          <w:rFonts w:ascii="Arial" w:cs="Arial" w:eastAsia="Arial" w:hAnsi="Arial"/>
          <w:sz w:val="21"/>
          <w:szCs w:val="21"/>
          <w:b w:val="1"/>
          <w:bCs w:val="1"/>
          <w:color w:val="010000"/>
        </w:rPr>
        <w:t xml:space="preserve"> </w:t>
      </w:r>
      <w:r>
        <w:rPr>
          <w:rFonts w:ascii="Arial" w:cs="Arial" w:eastAsia="Arial" w:hAnsi="Arial"/>
          <w:sz w:val="21"/>
          <w:szCs w:val="21"/>
          <w:color w:val="000000"/>
        </w:rPr>
        <w:t>the general employment policies and practices of the Company, except that when the terms of this Agreement differ from or are in conflict with the Company’s general employment policies or practices, this Agreement shall control.</w:t>
      </w:r>
    </w:p>
    <w:p>
      <w:pPr>
        <w:spacing w:after="0" w:line="160" w:lineRule="exact"/>
        <w:rPr>
          <w:sz w:val="20"/>
          <w:szCs w:val="20"/>
          <w:color w:val="auto"/>
        </w:rPr>
      </w:pPr>
    </w:p>
    <w:p>
      <w:pPr>
        <w:ind w:left="1680" w:hanging="808"/>
        <w:spacing w:after="0"/>
        <w:tabs>
          <w:tab w:leader="none" w:pos="1680" w:val="left"/>
        </w:tabs>
        <w:numPr>
          <w:ilvl w:val="0"/>
          <w:numId w:val="93"/>
        </w:numPr>
        <w:rPr>
          <w:rFonts w:ascii="Arial" w:cs="Arial" w:eastAsia="Arial" w:hAnsi="Arial"/>
          <w:sz w:val="22"/>
          <w:szCs w:val="22"/>
          <w:b w:val="1"/>
          <w:bCs w:val="1"/>
          <w:color w:val="010000"/>
        </w:rPr>
      </w:pPr>
      <w:r>
        <w:rPr>
          <w:rFonts w:ascii="Arial" w:cs="Arial" w:eastAsia="Arial" w:hAnsi="Arial"/>
          <w:sz w:val="22"/>
          <w:szCs w:val="22"/>
          <w:b w:val="1"/>
          <w:bCs w:val="1"/>
          <w:color w:val="auto"/>
        </w:rPr>
        <w:t>Compensation.</w:t>
      </w:r>
    </w:p>
    <w:p>
      <w:pPr>
        <w:spacing w:after="0" w:line="20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010000"/>
        </w:rPr>
        <w:t xml:space="preserve">2.1 </w:t>
      </w:r>
      <w:r>
        <w:rPr>
          <w:rFonts w:ascii="Arial" w:cs="Arial" w:eastAsia="Arial" w:hAnsi="Arial"/>
          <w:sz w:val="22"/>
          <w:szCs w:val="22"/>
          <w:b w:val="1"/>
          <w:bCs w:val="1"/>
          <w:color w:val="000000"/>
        </w:rPr>
        <w:t>Salary.</w:t>
      </w:r>
      <w:r>
        <w:rPr>
          <w:rFonts w:ascii="Arial" w:cs="Arial" w:eastAsia="Arial" w:hAnsi="Arial"/>
          <w:sz w:val="22"/>
          <w:szCs w:val="22"/>
          <w:b w:val="1"/>
          <w:bCs w:val="1"/>
          <w:color w:val="010000"/>
        </w:rPr>
        <w:t xml:space="preserve"> </w:t>
      </w:r>
      <w:r>
        <w:rPr>
          <w:rFonts w:ascii="Arial" w:cs="Arial" w:eastAsia="Arial" w:hAnsi="Arial"/>
          <w:sz w:val="22"/>
          <w:szCs w:val="22"/>
          <w:color w:val="000000"/>
        </w:rPr>
        <w:t>For services to be rendered hereunder, Executive shall receive a base salary at the rate of</w:t>
      </w:r>
      <w:r>
        <w:rPr>
          <w:rFonts w:ascii="Arial" w:cs="Arial" w:eastAsia="Arial" w:hAnsi="Arial"/>
          <w:sz w:val="22"/>
          <w:szCs w:val="22"/>
          <w:b w:val="1"/>
          <w:bCs w:val="1"/>
          <w:color w:val="010000"/>
        </w:rPr>
        <w:t xml:space="preserve"> </w:t>
      </w:r>
      <w:r>
        <w:rPr>
          <w:rFonts w:ascii="Arial" w:cs="Arial" w:eastAsia="Arial" w:hAnsi="Arial"/>
          <w:sz w:val="22"/>
          <w:szCs w:val="22"/>
          <w:color w:val="000000"/>
        </w:rPr>
        <w:t>three hundred seventy-five thousand U.S. Dollars ($375,000) per year (such base salary, as in effect from time to time, the “</w:t>
      </w:r>
      <w:r>
        <w:rPr>
          <w:rFonts w:ascii="Arial" w:cs="Arial" w:eastAsia="Arial" w:hAnsi="Arial"/>
          <w:sz w:val="22"/>
          <w:szCs w:val="22"/>
          <w:b w:val="1"/>
          <w:bCs w:val="1"/>
          <w:color w:val="000000"/>
        </w:rPr>
        <w:t>Base</w:t>
      </w:r>
      <w:r>
        <w:rPr>
          <w:rFonts w:ascii="Arial" w:cs="Arial" w:eastAsia="Arial" w:hAnsi="Arial"/>
          <w:sz w:val="22"/>
          <w:szCs w:val="22"/>
          <w:color w:val="000000"/>
        </w:rPr>
        <w:t xml:space="preserve"> </w:t>
      </w:r>
      <w:r>
        <w:rPr>
          <w:rFonts w:ascii="Arial" w:cs="Arial" w:eastAsia="Arial" w:hAnsi="Arial"/>
          <w:sz w:val="22"/>
          <w:szCs w:val="22"/>
          <w:b w:val="1"/>
          <w:bCs w:val="1"/>
          <w:color w:val="000000"/>
        </w:rPr>
        <w:t>Salary</w:t>
      </w:r>
      <w:r>
        <w:rPr>
          <w:rFonts w:ascii="Arial" w:cs="Arial" w:eastAsia="Arial" w:hAnsi="Arial"/>
          <w:sz w:val="22"/>
          <w:szCs w:val="22"/>
          <w:color w:val="000000"/>
        </w:rPr>
        <w:t>”), subject to standard payroll deductions and withholdings and payable in accordance with the Company’s regular payroll</w:t>
      </w:r>
      <w:r>
        <w:rPr>
          <w:rFonts w:ascii="Arial" w:cs="Arial" w:eastAsia="Arial" w:hAnsi="Arial"/>
          <w:sz w:val="22"/>
          <w:szCs w:val="22"/>
          <w:b w:val="1"/>
          <w:bCs w:val="1"/>
          <w:color w:val="000000"/>
        </w:rPr>
        <w:t xml:space="preserve"> </w:t>
      </w:r>
      <w:r>
        <w:rPr>
          <w:rFonts w:ascii="Arial" w:cs="Arial" w:eastAsia="Arial" w:hAnsi="Arial"/>
          <w:sz w:val="22"/>
          <w:szCs w:val="22"/>
          <w:color w:val="000000"/>
        </w:rPr>
        <w:t>schedule.</w:t>
      </w:r>
    </w:p>
    <w:p>
      <w:pPr>
        <w:spacing w:after="0" w:line="180"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010000"/>
        </w:rPr>
        <w:t xml:space="preserve">2.2 </w:t>
      </w:r>
      <w:r>
        <w:rPr>
          <w:rFonts w:ascii="Arial" w:cs="Arial" w:eastAsia="Arial" w:hAnsi="Arial"/>
          <w:sz w:val="22"/>
          <w:szCs w:val="22"/>
          <w:b w:val="1"/>
          <w:bCs w:val="1"/>
          <w:color w:val="000000"/>
        </w:rPr>
        <w:t>Bonus.</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will be eligible for an annual discretionary bonus with a target amount equal to</w:t>
      </w:r>
      <w:r>
        <w:rPr>
          <w:rFonts w:ascii="Arial" w:cs="Arial" w:eastAsia="Arial" w:hAnsi="Arial"/>
          <w:sz w:val="22"/>
          <w:szCs w:val="22"/>
          <w:b w:val="1"/>
          <w:bCs w:val="1"/>
          <w:color w:val="010000"/>
        </w:rPr>
        <w:t xml:space="preserve"> </w:t>
      </w:r>
      <w:r>
        <w:rPr>
          <w:rFonts w:ascii="Arial" w:cs="Arial" w:eastAsia="Arial" w:hAnsi="Arial"/>
          <w:sz w:val="22"/>
          <w:szCs w:val="22"/>
          <w:color w:val="000000"/>
        </w:rPr>
        <w:t>40% of Executive’s Base Salary (the “</w:t>
      </w:r>
      <w:r>
        <w:rPr>
          <w:rFonts w:ascii="Arial" w:cs="Arial" w:eastAsia="Arial" w:hAnsi="Arial"/>
          <w:sz w:val="22"/>
          <w:szCs w:val="22"/>
          <w:b w:val="1"/>
          <w:bCs w:val="1"/>
          <w:color w:val="000000"/>
        </w:rPr>
        <w:t>Annual Bonus</w:t>
      </w:r>
      <w:r>
        <w:rPr>
          <w:rFonts w:ascii="Arial" w:cs="Arial" w:eastAsia="Arial" w:hAnsi="Arial"/>
          <w:sz w:val="22"/>
          <w:szCs w:val="22"/>
          <w:color w:val="000000"/>
        </w:rPr>
        <w:t>”). Whether Executive receives an Annual Bonus for any given year, and the amount of any such Annual Bonus, will be determined by the board of directors of the Company (the “</w:t>
      </w:r>
      <w:r>
        <w:rPr>
          <w:rFonts w:ascii="Arial" w:cs="Arial" w:eastAsia="Arial" w:hAnsi="Arial"/>
          <w:sz w:val="22"/>
          <w:szCs w:val="22"/>
          <w:b w:val="1"/>
          <w:bCs w:val="1"/>
          <w:color w:val="000000"/>
        </w:rPr>
        <w:t>Board</w:t>
      </w:r>
      <w:r>
        <w:rPr>
          <w:rFonts w:ascii="Arial" w:cs="Arial" w:eastAsia="Arial" w:hAnsi="Arial"/>
          <w:sz w:val="22"/>
          <w:szCs w:val="22"/>
          <w:color w:val="000000"/>
        </w:rPr>
        <w:t>”) or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2" w:name="page143"/>
    <w:bookmarkEnd w:id="142"/>
    <w:p>
      <w:pPr>
        <w:jc w:val="both"/>
        <w:spacing w:after="0" w:line="238" w:lineRule="auto"/>
        <w:rPr>
          <w:sz w:val="20"/>
          <w:szCs w:val="20"/>
          <w:color w:val="auto"/>
        </w:rPr>
      </w:pPr>
      <w:r>
        <w:rPr>
          <w:rFonts w:ascii="Arial" w:cs="Arial" w:eastAsia="Arial" w:hAnsi="Arial"/>
          <w:sz w:val="22"/>
          <w:szCs w:val="22"/>
          <w:color w:val="auto"/>
        </w:rPr>
        <w:t>committee thereof in its sole discretion based upon the Company’s and Executive’s achievement of objectives and milestones to be determined on an annual basis by the Board or the compensation committee thereof. Executive will not be eligible for, and will not earn, any Annual Bonus (including a prorated bonus) if Executive’s employment terminates for any reason before any Annual Bonus is paid.</w:t>
      </w:r>
    </w:p>
    <w:p>
      <w:pPr>
        <w:spacing w:after="0" w:line="179" w:lineRule="exact"/>
        <w:rPr>
          <w:sz w:val="20"/>
          <w:szCs w:val="20"/>
          <w:color w:val="auto"/>
        </w:rPr>
      </w:pPr>
    </w:p>
    <w:p>
      <w:pPr>
        <w:jc w:val="both"/>
        <w:ind w:firstLine="872"/>
        <w:spacing w:after="0" w:line="243" w:lineRule="auto"/>
        <w:tabs>
          <w:tab w:leader="none" w:pos="1674" w:val="left"/>
        </w:tabs>
        <w:numPr>
          <w:ilvl w:val="0"/>
          <w:numId w:val="94"/>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Standard Company Benefits. </w:t>
      </w:r>
      <w:r>
        <w:rPr>
          <w:rFonts w:ascii="Arial" w:cs="Arial" w:eastAsia="Arial" w:hAnsi="Arial"/>
          <w:sz w:val="22"/>
          <w:szCs w:val="22"/>
          <w:color w:val="auto"/>
        </w:rPr>
        <w:t>Executive shall be entitled to participate in all employee benefit programs for</w:t>
      </w:r>
      <w:r>
        <w:rPr>
          <w:rFonts w:ascii="Arial" w:cs="Arial" w:eastAsia="Arial" w:hAnsi="Arial"/>
          <w:sz w:val="22"/>
          <w:szCs w:val="22"/>
          <w:b w:val="1"/>
          <w:bCs w:val="1"/>
          <w:color w:val="auto"/>
        </w:rPr>
        <w:t xml:space="preserve"> </w:t>
      </w:r>
      <w:r>
        <w:rPr>
          <w:rFonts w:ascii="Arial" w:cs="Arial" w:eastAsia="Arial" w:hAnsi="Arial"/>
          <w:sz w:val="22"/>
          <w:szCs w:val="22"/>
          <w:color w:val="auto"/>
        </w:rPr>
        <w:t>which Executive is eligible under the terms and conditions of the benefit plans that may be in effect from time to time and provided by the Company to its employees.</w:t>
      </w:r>
    </w:p>
    <w:p>
      <w:pPr>
        <w:spacing w:after="0" w:line="176" w:lineRule="exact"/>
        <w:rPr>
          <w:rFonts w:ascii="Arial" w:cs="Arial" w:eastAsia="Arial" w:hAnsi="Arial"/>
          <w:sz w:val="22"/>
          <w:szCs w:val="22"/>
          <w:b w:val="1"/>
          <w:bCs w:val="1"/>
          <w:color w:val="010000"/>
        </w:rPr>
      </w:pPr>
    </w:p>
    <w:p>
      <w:pPr>
        <w:jc w:val="both"/>
        <w:ind w:firstLine="872"/>
        <w:spacing w:after="0" w:line="243" w:lineRule="auto"/>
        <w:tabs>
          <w:tab w:leader="none" w:pos="1674" w:val="left"/>
        </w:tabs>
        <w:numPr>
          <w:ilvl w:val="0"/>
          <w:numId w:val="94"/>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Expenses. </w:t>
      </w:r>
      <w:r>
        <w:rPr>
          <w:rFonts w:ascii="Arial" w:cs="Arial" w:eastAsia="Arial" w:hAnsi="Arial"/>
          <w:sz w:val="22"/>
          <w:szCs w:val="22"/>
          <w:color w:val="auto"/>
        </w:rPr>
        <w:t>The Company will reimburse Executive for reasonable travel, entertainment or other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Executive in furtherance or in connection with the performance of Executive’s duties hereunder, in accordance with the Company’s expense reimbursement policy as in effect from time to time.</w:t>
      </w:r>
    </w:p>
    <w:p>
      <w:pPr>
        <w:spacing w:after="0" w:line="176" w:lineRule="exact"/>
        <w:rPr>
          <w:rFonts w:ascii="Arial" w:cs="Arial" w:eastAsia="Arial" w:hAnsi="Arial"/>
          <w:sz w:val="22"/>
          <w:szCs w:val="22"/>
          <w:b w:val="1"/>
          <w:bCs w:val="1"/>
          <w:color w:val="010000"/>
        </w:rPr>
      </w:pPr>
    </w:p>
    <w:p>
      <w:pPr>
        <w:ind w:left="1680" w:hanging="808"/>
        <w:spacing w:after="0"/>
        <w:tabs>
          <w:tab w:leader="none" w:pos="1680" w:val="left"/>
        </w:tabs>
        <w:numPr>
          <w:ilvl w:val="0"/>
          <w:numId w:val="94"/>
        </w:numPr>
        <w:rPr>
          <w:rFonts w:ascii="Arial" w:cs="Arial" w:eastAsia="Arial" w:hAnsi="Arial"/>
          <w:sz w:val="22"/>
          <w:szCs w:val="22"/>
          <w:b w:val="1"/>
          <w:bCs w:val="1"/>
          <w:color w:val="010000"/>
        </w:rPr>
      </w:pPr>
      <w:r>
        <w:rPr>
          <w:rFonts w:ascii="Arial" w:cs="Arial" w:eastAsia="Arial" w:hAnsi="Arial"/>
          <w:sz w:val="22"/>
          <w:szCs w:val="22"/>
          <w:b w:val="1"/>
          <w:bCs w:val="1"/>
          <w:color w:val="auto"/>
        </w:rPr>
        <w:t>Termination of Employment; Severance.</w:t>
      </w:r>
    </w:p>
    <w:p>
      <w:pPr>
        <w:spacing w:after="0" w:line="206"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b w:val="1"/>
          <w:bCs w:val="1"/>
          <w:color w:val="010000"/>
        </w:rPr>
        <w:t xml:space="preserve">5.1 </w:t>
      </w:r>
      <w:r>
        <w:rPr>
          <w:rFonts w:ascii="Arial" w:cs="Arial" w:eastAsia="Arial" w:hAnsi="Arial"/>
          <w:sz w:val="19"/>
          <w:szCs w:val="19"/>
          <w:b w:val="1"/>
          <w:bCs w:val="1"/>
          <w:color w:val="000000"/>
        </w:rPr>
        <w:t>At-Will Employment.</w:t>
      </w:r>
      <w:r>
        <w:rPr>
          <w:rFonts w:ascii="Arial" w:cs="Arial" w:eastAsia="Arial" w:hAnsi="Arial"/>
          <w:sz w:val="19"/>
          <w:szCs w:val="19"/>
          <w:b w:val="1"/>
          <w:bCs w:val="1"/>
          <w:color w:val="010000"/>
        </w:rPr>
        <w:t xml:space="preserve"> </w:t>
      </w:r>
      <w:r>
        <w:rPr>
          <w:rFonts w:ascii="Arial" w:cs="Arial" w:eastAsia="Arial" w:hAnsi="Arial"/>
          <w:sz w:val="19"/>
          <w:szCs w:val="19"/>
          <w:color w:val="000000"/>
        </w:rPr>
        <w:t>Executive’s employment relationship is at-will. Either Executive or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Company may terminate the employment relationship at any time, with or without Cause (as defined below) or advance notice. In the event Executive’s employment relationship is terminated for any reason, Executive shall be entitled to receive Executive’s earned but unpaid Base Salary, unreimbursed business expenses properly incurred by Executive pursuant to Section 4 and any other compensation or benefit earned by or owed to (but not yet paid to) Executive through and including the date of termination, payable in a lump sum on the next regularly scheduled payroll date following the date on which Executive’s employment terminated, or at such other date as shall be specified under the terms of the employee benefit plan pursuant to which such compensation or benefit is payable. Executive shall also resign from all positions and terminate any relationships as an employee, advisor, officer or director with the Company and any of its affiliates, each effective on the date of termination.</w:t>
      </w:r>
    </w:p>
    <w:p>
      <w:pPr>
        <w:spacing w:after="0" w:line="150" w:lineRule="exact"/>
        <w:rPr>
          <w:sz w:val="20"/>
          <w:szCs w:val="20"/>
          <w:color w:val="auto"/>
        </w:rPr>
      </w:pPr>
    </w:p>
    <w:p>
      <w:pPr>
        <w:jc w:val="both"/>
        <w:ind w:firstLine="1727"/>
        <w:spacing w:after="0" w:line="251" w:lineRule="auto"/>
        <w:rPr>
          <w:sz w:val="20"/>
          <w:szCs w:val="20"/>
          <w:color w:val="auto"/>
        </w:rPr>
      </w:pPr>
      <w:r>
        <w:rPr>
          <w:rFonts w:ascii="Arial" w:cs="Arial" w:eastAsia="Arial" w:hAnsi="Arial"/>
          <w:sz w:val="21"/>
          <w:szCs w:val="21"/>
          <w:b w:val="1"/>
          <w:bCs w:val="1"/>
          <w:color w:val="010000"/>
        </w:rPr>
        <w:t xml:space="preserve">5.2 </w:t>
      </w:r>
      <w:r>
        <w:rPr>
          <w:rFonts w:ascii="Arial" w:cs="Arial" w:eastAsia="Arial" w:hAnsi="Arial"/>
          <w:sz w:val="21"/>
          <w:szCs w:val="21"/>
          <w:b w:val="1"/>
          <w:bCs w:val="1"/>
          <w:color w:val="000000"/>
        </w:rPr>
        <w:t>Severance Benefits for Termination Without Cause Unrelated to a Change of Control.</w:t>
      </w:r>
      <w:r>
        <w:rPr>
          <w:rFonts w:ascii="Arial" w:cs="Arial" w:eastAsia="Arial" w:hAnsi="Arial"/>
          <w:sz w:val="21"/>
          <w:szCs w:val="21"/>
          <w:b w:val="1"/>
          <w:bCs w:val="1"/>
          <w:color w:val="010000"/>
        </w:rPr>
        <w:t xml:space="preserve"> </w:t>
      </w:r>
      <w:r>
        <w:rPr>
          <w:rFonts w:ascii="Arial" w:cs="Arial" w:eastAsia="Arial" w:hAnsi="Arial"/>
          <w:sz w:val="21"/>
          <w:szCs w:val="21"/>
          <w:color w:val="000000"/>
        </w:rPr>
        <w:t>In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event Executive’s employment with the Company is terminated by the Company without Cause prior to a Change of Control (as defined below) or more than twelve (12) months following a Change of Control, the Company shall provide Executive with the following payments and benefits, provided that Executive remains in compliance with the terms of this Agreement and the Restrictive Covenant Agreement (as defined below) and subject to Section 6 below:</w:t>
      </w:r>
    </w:p>
    <w:p>
      <w:pPr>
        <w:spacing w:after="0" w:line="174" w:lineRule="exact"/>
        <w:rPr>
          <w:sz w:val="20"/>
          <w:szCs w:val="20"/>
          <w:color w:val="auto"/>
        </w:rPr>
      </w:pPr>
    </w:p>
    <w:p>
      <w:pPr>
        <w:jc w:val="both"/>
        <w:ind w:firstLine="2600"/>
        <w:spacing w:after="0" w:line="236" w:lineRule="auto"/>
        <w:tabs>
          <w:tab w:leader="none" w:pos="34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Company shall pay Executive, as severance, the equivalent of nine (9) months of Executive’s Base Salary as in effect as of the date of Executive’s employment termination. This severance will be paid in the form of salary continuation, payable on the Company’s regular payroll dates, subject to standard payroll deductions and withholdings, starting on the 60</w:t>
      </w:r>
      <w:r>
        <w:rPr>
          <w:rFonts w:ascii="Arial" w:cs="Arial" w:eastAsia="Arial" w:hAnsi="Arial"/>
          <w:sz w:val="18"/>
          <w:szCs w:val="18"/>
          <w:color w:val="auto"/>
        </w:rPr>
        <w:t>th</w:t>
      </w:r>
      <w:r>
        <w:rPr>
          <w:rFonts w:ascii="Arial" w:cs="Arial" w:eastAsia="Arial" w:hAnsi="Arial"/>
          <w:sz w:val="22"/>
          <w:szCs w:val="22"/>
          <w:color w:val="auto"/>
        </w:rPr>
        <w:t xml:space="preserve"> day after Executive’s termination date, with the first payment to include those payments that would have occurred earlier but for the 60-day delay.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3" w:name="page144"/>
    <w:bookmarkEnd w:id="143"/>
    <w:p>
      <w:pPr>
        <w:jc w:val="both"/>
        <w:ind w:firstLine="2600"/>
        <w:spacing w:after="0" w:line="272" w:lineRule="auto"/>
        <w:tabs>
          <w:tab w:leader="none" w:pos="3504" w:val="left"/>
        </w:tabs>
        <w:numPr>
          <w:ilvl w:val="0"/>
          <w:numId w:val="96"/>
        </w:numPr>
        <w:rPr>
          <w:rFonts w:ascii="Arial" w:cs="Arial" w:eastAsia="Arial" w:hAnsi="Arial"/>
          <w:sz w:val="19"/>
          <w:szCs w:val="19"/>
          <w:color w:val="auto"/>
        </w:rPr>
      </w:pPr>
      <w:r>
        <w:rPr>
          <w:rFonts w:ascii="Arial" w:cs="Arial" w:eastAsia="Arial" w:hAnsi="Arial"/>
          <w:sz w:val="19"/>
          <w:szCs w:val="19"/>
          <w:color w:val="auto"/>
        </w:rPr>
        <w:t>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nine (9)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55" w:lineRule="exact"/>
        <w:rPr>
          <w:sz w:val="20"/>
          <w:szCs w:val="20"/>
          <w:color w:val="auto"/>
        </w:rPr>
      </w:pPr>
    </w:p>
    <w:p>
      <w:pPr>
        <w:jc w:val="both"/>
        <w:ind w:firstLine="1727"/>
        <w:spacing w:after="0" w:line="283" w:lineRule="auto"/>
        <w:rPr>
          <w:sz w:val="20"/>
          <w:szCs w:val="20"/>
          <w:color w:val="auto"/>
        </w:rPr>
      </w:pPr>
      <w:r>
        <w:rPr>
          <w:rFonts w:ascii="Arial" w:cs="Arial" w:eastAsia="Arial" w:hAnsi="Arial"/>
          <w:sz w:val="19"/>
          <w:szCs w:val="19"/>
          <w:b w:val="1"/>
          <w:bCs w:val="1"/>
          <w:color w:val="010000"/>
        </w:rPr>
        <w:t xml:space="preserve">5.3 </w:t>
      </w:r>
      <w:r>
        <w:rPr>
          <w:rFonts w:ascii="Arial" w:cs="Arial" w:eastAsia="Arial" w:hAnsi="Arial"/>
          <w:sz w:val="19"/>
          <w:szCs w:val="19"/>
          <w:b w:val="1"/>
          <w:bCs w:val="1"/>
          <w:color w:val="000000"/>
        </w:rPr>
        <w:t>Severance Benefits for Termination Without Cause or Resignation with Good Reason</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 xml:space="preserve">Related to a Change of Control. </w:t>
      </w:r>
      <w:r>
        <w:rPr>
          <w:rFonts w:ascii="Arial" w:cs="Arial" w:eastAsia="Arial" w:hAnsi="Arial"/>
          <w:sz w:val="19"/>
          <w:szCs w:val="19"/>
          <w:color w:val="000000"/>
        </w:rPr>
        <w:t>In the event Executive’s employment with the Company is terminated by the Company without</w:t>
      </w:r>
      <w:r>
        <w:rPr>
          <w:rFonts w:ascii="Arial" w:cs="Arial" w:eastAsia="Arial" w:hAnsi="Arial"/>
          <w:sz w:val="19"/>
          <w:szCs w:val="19"/>
          <w:b w:val="1"/>
          <w:bCs w:val="1"/>
          <w:color w:val="000000"/>
        </w:rPr>
        <w:t xml:space="preserve"> </w:t>
      </w:r>
      <w:r>
        <w:rPr>
          <w:rFonts w:ascii="Arial" w:cs="Arial" w:eastAsia="Arial" w:hAnsi="Arial"/>
          <w:sz w:val="19"/>
          <w:szCs w:val="19"/>
          <w:color w:val="000000"/>
        </w:rPr>
        <w:t>Cause or Executive resigns for Good Reason in each case during the twelve (12) month period immediately following a Change of Control, the Company shall provide Executive with the following payments and benefits, provided that Executive remains in compliance with the terms of this Agreement and the Restrictive Covenant Agreement and subject to Section 6 below:</w:t>
      </w:r>
    </w:p>
    <w:p>
      <w:pPr>
        <w:spacing w:after="0" w:line="149" w:lineRule="exact"/>
        <w:rPr>
          <w:sz w:val="20"/>
          <w:szCs w:val="20"/>
          <w:color w:val="auto"/>
        </w:rPr>
      </w:pPr>
    </w:p>
    <w:p>
      <w:pPr>
        <w:jc w:val="both"/>
        <w:ind w:firstLine="2600"/>
        <w:spacing w:after="0" w:line="235" w:lineRule="auto"/>
        <w:tabs>
          <w:tab w:leader="none" w:pos="3444"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Company shall pay Executive, as severance, the equivalent of twelve (12) months of Executive’s Base Salary as in effect as of the date of Executive’s employment termination (disregarding any change to Executive’s Base Salary giving rise to Good Reason). This severance will be paid in the form of salary continuation, payable on the Company’s regular payroll dates, subject to standard payroll deductions and withholdings, starting on the 60</w:t>
      </w:r>
      <w:r>
        <w:rPr>
          <w:rFonts w:ascii="Arial" w:cs="Arial" w:eastAsia="Arial" w:hAnsi="Arial"/>
          <w:sz w:val="18"/>
          <w:szCs w:val="18"/>
          <w:color w:val="auto"/>
        </w:rPr>
        <w:t>th</w:t>
      </w:r>
      <w:r>
        <w:rPr>
          <w:rFonts w:ascii="Arial" w:cs="Arial" w:eastAsia="Arial" w:hAnsi="Arial"/>
          <w:sz w:val="22"/>
          <w:szCs w:val="22"/>
          <w:color w:val="auto"/>
        </w:rPr>
        <w:t xml:space="preserve"> day after Executive’s termination date, with the first payment to include those payments that would have occurred earlier but for the 60-day delay.</w:t>
      </w:r>
    </w:p>
    <w:p>
      <w:pPr>
        <w:spacing w:after="0" w:line="187" w:lineRule="exact"/>
        <w:rPr>
          <w:rFonts w:ascii="Arial" w:cs="Arial" w:eastAsia="Arial" w:hAnsi="Arial"/>
          <w:sz w:val="22"/>
          <w:szCs w:val="22"/>
          <w:color w:val="auto"/>
        </w:rPr>
      </w:pPr>
    </w:p>
    <w:p>
      <w:pPr>
        <w:jc w:val="both"/>
        <w:ind w:firstLine="2600"/>
        <w:spacing w:after="0" w:line="235" w:lineRule="auto"/>
        <w:tabs>
          <w:tab w:leader="none" w:pos="3504"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addition, the Company shall pay Executive, as severance, an amount equal to one hundred percent (100%) of Executive’s target annual bonus as in effect as of the date of Executive’s employment termination (disregarding any change to Executive’s Base Salary giving rise to Good Reason), payable in a lump sum, less deductions and withholdings, at the same time as the first severance payment described in Section 5.3(i) above. For the avoidance of doubt, the amount payable pursuant to this Section 5.3(ii) shall not be subject to proration based on the portion of the year elapsed as of the date of termination.</w:t>
      </w:r>
    </w:p>
    <w:p>
      <w:pPr>
        <w:spacing w:after="0" w:line="187" w:lineRule="exact"/>
        <w:rPr>
          <w:rFonts w:ascii="Arial" w:cs="Arial" w:eastAsia="Arial" w:hAnsi="Arial"/>
          <w:sz w:val="22"/>
          <w:szCs w:val="22"/>
          <w:color w:val="auto"/>
        </w:rPr>
      </w:pPr>
    </w:p>
    <w:p>
      <w:pPr>
        <w:jc w:val="both"/>
        <w:ind w:firstLine="2600"/>
        <w:spacing w:after="0" w:line="282" w:lineRule="auto"/>
        <w:tabs>
          <w:tab w:leader="none" w:pos="3564" w:val="left"/>
        </w:tabs>
        <w:numPr>
          <w:ilvl w:val="0"/>
          <w:numId w:val="97"/>
        </w:numPr>
        <w:rPr>
          <w:rFonts w:ascii="Arial" w:cs="Arial" w:eastAsia="Arial" w:hAnsi="Arial"/>
          <w:sz w:val="19"/>
          <w:szCs w:val="19"/>
          <w:color w:val="auto"/>
        </w:rPr>
      </w:pPr>
      <w:r>
        <w:rPr>
          <w:rFonts w:ascii="Arial" w:cs="Arial" w:eastAsia="Arial" w:hAnsi="Arial"/>
          <w:sz w:val="19"/>
          <w:szCs w:val="19"/>
          <w:color w:val="auto"/>
        </w:rPr>
        <w:t>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twelve (12) months following Executive’s termination date; (b) the date Executive becomes eligible for group health insurance coverage through a new employer; or</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4" w:name="page145"/>
    <w:bookmarkEnd w:id="144"/>
    <w:p>
      <w:pPr>
        <w:jc w:val="both"/>
        <w:ind w:left="-8" w:firstLine="8"/>
        <w:spacing w:after="0" w:line="277" w:lineRule="auto"/>
        <w:tabs>
          <w:tab w:leader="none" w:pos="286"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51" w:lineRule="exact"/>
        <w:rPr>
          <w:rFonts w:ascii="Arial" w:cs="Arial" w:eastAsia="Arial" w:hAnsi="Arial"/>
          <w:sz w:val="19"/>
          <w:szCs w:val="19"/>
          <w:color w:val="auto"/>
        </w:rPr>
      </w:pPr>
    </w:p>
    <w:p>
      <w:pPr>
        <w:jc w:val="both"/>
        <w:ind w:left="-8" w:firstLine="2600"/>
        <w:spacing w:after="0" w:line="235" w:lineRule="auto"/>
        <w:tabs>
          <w:tab w:leader="none" w:pos="3544" w:val="left"/>
        </w:tabs>
        <w:numPr>
          <w:ilvl w:val="1"/>
          <w:numId w:val="98"/>
        </w:numPr>
        <w:rPr>
          <w:rFonts w:ascii="Arial" w:cs="Arial" w:eastAsia="Arial" w:hAnsi="Arial"/>
          <w:sz w:val="22"/>
          <w:szCs w:val="22"/>
          <w:color w:val="auto"/>
        </w:rPr>
      </w:pPr>
      <w:r>
        <w:rPr>
          <w:rFonts w:ascii="Arial" w:cs="Arial" w:eastAsia="Arial" w:hAnsi="Arial"/>
          <w:sz w:val="22"/>
          <w:szCs w:val="22"/>
          <w:color w:val="auto"/>
        </w:rPr>
        <w:t xml:space="preserve">The vesting of all unvested equity-based incentive compensation awards outstanding as of the date of such Change in Control and held by Executive as of the date of such termination shall be accelerated such that 100% of the shares underlying such awards shall be deemed immediately vested and exercisable; </w:t>
      </w:r>
      <w:r>
        <w:rPr>
          <w:rFonts w:ascii="Arial" w:cs="Arial" w:eastAsia="Arial" w:hAnsi="Arial"/>
          <w:sz w:val="22"/>
          <w:szCs w:val="22"/>
          <w:i w:val="1"/>
          <w:iCs w:val="1"/>
          <w:color w:val="auto"/>
        </w:rPr>
        <w:t>provided that</w:t>
      </w:r>
      <w:r>
        <w:rPr>
          <w:rFonts w:ascii="Arial" w:cs="Arial" w:eastAsia="Arial" w:hAnsi="Arial"/>
          <w:sz w:val="22"/>
          <w:szCs w:val="22"/>
          <w:color w:val="auto"/>
        </w:rPr>
        <w: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182" w:lineRule="exact"/>
        <w:rPr>
          <w:sz w:val="20"/>
          <w:szCs w:val="20"/>
          <w:color w:val="auto"/>
        </w:rPr>
      </w:pPr>
    </w:p>
    <w:p>
      <w:pPr>
        <w:ind w:left="1732"/>
        <w:spacing w:after="0"/>
        <w:tabs>
          <w:tab w:leader="none" w:pos="2632" w:val="left"/>
        </w:tabs>
        <w:rPr>
          <w:sz w:val="20"/>
          <w:szCs w:val="20"/>
          <w:color w:val="auto"/>
        </w:rPr>
      </w:pPr>
      <w:r>
        <w:rPr>
          <w:rFonts w:ascii="Arial" w:cs="Arial" w:eastAsia="Arial" w:hAnsi="Arial"/>
          <w:sz w:val="22"/>
          <w:szCs w:val="22"/>
          <w:b w:val="1"/>
          <w:bCs w:val="1"/>
          <w:color w:val="010000"/>
        </w:rPr>
        <w:t>5.4</w:t>
      </w:r>
      <w:r>
        <w:rPr>
          <w:sz w:val="20"/>
          <w:szCs w:val="20"/>
          <w:color w:val="auto"/>
        </w:rPr>
        <w:tab/>
      </w:r>
      <w:r>
        <w:rPr>
          <w:rFonts w:ascii="Arial" w:cs="Arial" w:eastAsia="Arial" w:hAnsi="Arial"/>
          <w:sz w:val="19"/>
          <w:szCs w:val="19"/>
          <w:b w:val="1"/>
          <w:bCs w:val="1"/>
          <w:color w:val="auto"/>
        </w:rPr>
        <w:t>Termination for Cause; Resignation Without Good Reason; Death or Disability.</w:t>
      </w:r>
    </w:p>
    <w:p>
      <w:pPr>
        <w:spacing w:after="0" w:line="212" w:lineRule="exact"/>
        <w:rPr>
          <w:sz w:val="20"/>
          <w:szCs w:val="20"/>
          <w:color w:val="auto"/>
        </w:rPr>
      </w:pPr>
    </w:p>
    <w:p>
      <w:pPr>
        <w:jc w:val="both"/>
        <w:ind w:left="-8" w:firstLine="2600"/>
        <w:spacing w:after="0" w:line="238" w:lineRule="auto"/>
        <w:tabs>
          <w:tab w:leader="none" w:pos="3436" w:val="left"/>
        </w:tabs>
        <w:numPr>
          <w:ilvl w:val="2"/>
          <w:numId w:val="99"/>
        </w:numPr>
        <w:rPr>
          <w:rFonts w:ascii="Arial" w:cs="Arial" w:eastAsia="Arial" w:hAnsi="Arial"/>
          <w:sz w:val="22"/>
          <w:szCs w:val="22"/>
          <w:color w:val="auto"/>
        </w:rPr>
      </w:pPr>
      <w:r>
        <w:rPr>
          <w:rFonts w:ascii="Arial" w:cs="Arial" w:eastAsia="Arial" w:hAnsi="Arial"/>
          <w:sz w:val="22"/>
          <w:szCs w:val="22"/>
          <w:color w:val="auto"/>
        </w:rPr>
        <w:t>If Executive resigns for any reason prior to or more than twelve (12) months following a Change in Control, resigns without Good Reason within the twelve (12) months following a Change in Control, or the Company terminates Executive’s employment for Cause, Executive shall not be entitled to receive any payments or benefits under this Agreement, other than as set forth in Section 5.1.</w:t>
      </w:r>
    </w:p>
    <w:p>
      <w:pPr>
        <w:spacing w:after="0" w:line="184" w:lineRule="exact"/>
        <w:rPr>
          <w:rFonts w:ascii="Arial" w:cs="Arial" w:eastAsia="Arial" w:hAnsi="Arial"/>
          <w:sz w:val="22"/>
          <w:szCs w:val="22"/>
          <w:color w:val="auto"/>
        </w:rPr>
      </w:pPr>
    </w:p>
    <w:p>
      <w:pPr>
        <w:jc w:val="both"/>
        <w:ind w:left="-8" w:firstLine="2600"/>
        <w:spacing w:after="0" w:line="274" w:lineRule="auto"/>
        <w:tabs>
          <w:tab w:leader="none" w:pos="3496" w:val="left"/>
        </w:tabs>
        <w:numPr>
          <w:ilvl w:val="2"/>
          <w:numId w:val="99"/>
        </w:numPr>
        <w:rPr>
          <w:rFonts w:ascii="Arial" w:cs="Arial" w:eastAsia="Arial" w:hAnsi="Arial"/>
          <w:sz w:val="19"/>
          <w:szCs w:val="19"/>
          <w:color w:val="auto"/>
        </w:rPr>
      </w:pPr>
      <w:r>
        <w:rPr>
          <w:rFonts w:ascii="Arial" w:cs="Arial" w:eastAsia="Arial" w:hAnsi="Arial"/>
          <w:sz w:val="19"/>
          <w:szCs w:val="19"/>
          <w:color w:val="auto"/>
        </w:rPr>
        <w:t>Executive’s employment shall terminate automatically upon Executive’s death or Total Disability. “</w:t>
      </w:r>
      <w:r>
        <w:rPr>
          <w:rFonts w:ascii="Arial" w:cs="Arial" w:eastAsia="Arial" w:hAnsi="Arial"/>
          <w:sz w:val="19"/>
          <w:szCs w:val="19"/>
          <w:b w:val="1"/>
          <w:bCs w:val="1"/>
          <w:color w:val="auto"/>
        </w:rPr>
        <w:t>Total Disability</w:t>
      </w:r>
      <w:r>
        <w:rPr>
          <w:rFonts w:ascii="Arial" w:cs="Arial" w:eastAsia="Arial" w:hAnsi="Arial"/>
          <w:sz w:val="19"/>
          <w:szCs w:val="19"/>
          <w:color w:val="auto"/>
        </w:rPr>
        <w:t>” shall mean Executive’s inability, with reasonable accommodation, to perform the duties of Executive’s position for a period or periods aggregating ninety (90) calendar days in any period of one hundred eighty days (180) consecutive days as a result of physical or mental illness, loss of legal capacity or any other cause beyond Executive’s control. Executive and the Company hereby acknowledge that Executive’s ability to perform the duties specified in Section 1 is the essence of this Agreement. Termination hereunder shall be deemed to be effective (a) at the end of the calendar month in which Executive’s death occurs or (b) immediately upon a determination by the Board or the compensation committee thereof of Executive’s Total Disability. In the case of termination of employment under this Section 5.4(ii), Executive shall not be entitled to receive any payments or benefits under this Agreement, other than as set forth in Section 5.1.</w:t>
      </w:r>
    </w:p>
    <w:p>
      <w:pPr>
        <w:spacing w:after="0" w:line="152" w:lineRule="exact"/>
        <w:rPr>
          <w:rFonts w:ascii="Arial" w:cs="Arial" w:eastAsia="Arial" w:hAnsi="Arial"/>
          <w:sz w:val="19"/>
          <w:szCs w:val="19"/>
          <w:color w:val="auto"/>
        </w:rPr>
      </w:pPr>
    </w:p>
    <w:p>
      <w:pPr>
        <w:jc w:val="both"/>
        <w:ind w:left="-8" w:firstLine="872"/>
        <w:spacing w:after="0" w:line="273" w:lineRule="auto"/>
        <w:tabs>
          <w:tab w:leader="none" w:pos="1666" w:val="left"/>
        </w:tabs>
        <w:numPr>
          <w:ilvl w:val="1"/>
          <w:numId w:val="100"/>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Conditions to Receipt of Severance Benefits. </w:t>
      </w:r>
      <w:r>
        <w:rPr>
          <w:rFonts w:ascii="Arial" w:cs="Arial" w:eastAsia="Arial" w:hAnsi="Arial"/>
          <w:sz w:val="19"/>
          <w:szCs w:val="19"/>
          <w:color w:val="auto"/>
        </w:rPr>
        <w:t>As a condition to receiving the payments and benefits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Section 5.2 and Section 5.3, (i) Executive must execute and deliver to the Company a release of claims in a form reasonably acceptable to the Company and such release must have become effective and the revocation period provided therein must have expired without Executive having revoked such release within the 60-day period following the date of termination, and</w:t>
      </w:r>
    </w:p>
    <w:p>
      <w:pPr>
        <w:spacing w:after="0" w:line="1" w:lineRule="exact"/>
        <w:rPr>
          <w:rFonts w:ascii="Arial" w:cs="Arial" w:eastAsia="Arial" w:hAnsi="Arial"/>
          <w:sz w:val="19"/>
          <w:szCs w:val="19"/>
          <w:b w:val="1"/>
          <w:bCs w:val="1"/>
          <w:color w:val="010000"/>
        </w:rPr>
      </w:pPr>
    </w:p>
    <w:p>
      <w:pPr>
        <w:ind w:left="312" w:hanging="312"/>
        <w:spacing w:after="0"/>
        <w:tabs>
          <w:tab w:leader="none" w:pos="31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Executive must not have revoked or breached the provisions of such</w:t>
      </w:r>
    </w:p>
    <w:p>
      <w:pPr>
        <w:spacing w:after="0" w:line="188" w:lineRule="exact"/>
        <w:rPr>
          <w:sz w:val="20"/>
          <w:szCs w:val="20"/>
          <w:color w:val="auto"/>
        </w:rPr>
      </w:pPr>
    </w:p>
    <w:p>
      <w:pPr>
        <w:ind w:left="872"/>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61" w:right="339" w:bottom="1440" w:gutter="0" w:footer="0" w:header="0"/>
        </w:sectPr>
      </w:pPr>
    </w:p>
    <w:bookmarkStart w:id="145" w:name="page146"/>
    <w:bookmarkEnd w:id="145"/>
    <w:p>
      <w:pPr>
        <w:jc w:val="both"/>
        <w:spacing w:after="0" w:line="277" w:lineRule="auto"/>
        <w:rPr>
          <w:sz w:val="20"/>
          <w:szCs w:val="20"/>
          <w:color w:val="auto"/>
        </w:rPr>
      </w:pPr>
      <w:r>
        <w:rPr>
          <w:rFonts w:ascii="Arial" w:cs="Arial" w:eastAsia="Arial" w:hAnsi="Arial"/>
          <w:sz w:val="19"/>
          <w:szCs w:val="19"/>
          <w:color w:val="auto"/>
        </w:rPr>
        <w:t>release or breached the provisions of the Restrictive Covenant Agreement. In the event that Executive does not execute and deliver such release, such release does not become effective and irrevocable within such period or Executive revokes or breaches the provisions of the release or breaches the provisions of the Restrictive Covenant Agreement, Executive (A) will be deemed to have voluntarily resigned Executive’s employment hereunder without Good Reason, (B) will not be entitled to the payments, benefits or accelerated vesting described in Section 5.2 or Section 5.3 and (C) will be required to reimburse the Company, in cash within five business days after written demand is made by the Company therefore, for an amount equal to the value of any payments or benefits Executive received pursuant to Section 5.2 or Section 5.3.</w:t>
      </w:r>
    </w:p>
    <w:p>
      <w:pPr>
        <w:spacing w:after="0" w:line="146" w:lineRule="exact"/>
        <w:rPr>
          <w:sz w:val="20"/>
          <w:szCs w:val="20"/>
          <w:color w:val="auto"/>
        </w:rPr>
      </w:pPr>
    </w:p>
    <w:p>
      <w:pPr>
        <w:jc w:val="both"/>
        <w:ind w:firstLine="872"/>
        <w:spacing w:after="0" w:line="275" w:lineRule="auto"/>
        <w:tabs>
          <w:tab w:leader="none" w:pos="1674" w:val="left"/>
        </w:tabs>
        <w:numPr>
          <w:ilvl w:val="1"/>
          <w:numId w:val="102"/>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satisfy, to the greatest extent possible, the exemptions from the application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w:t>
      </w:r>
      <w:r>
        <w:rPr>
          <w:rFonts w:ascii="Arial" w:cs="Arial" w:eastAsia="Arial" w:hAnsi="Arial"/>
          <w:sz w:val="19"/>
          <w:szCs w:val="19"/>
          <w:b w:val="1"/>
          <w:bCs w:val="1"/>
          <w:color w:val="auto"/>
        </w:rPr>
        <w:t>Section 409A</w:t>
      </w:r>
      <w:r>
        <w:rPr>
          <w:rFonts w:ascii="Arial" w:cs="Arial" w:eastAsia="Arial" w:hAnsi="Arial"/>
          <w:sz w:val="19"/>
          <w:szCs w:val="19"/>
          <w:color w:val="auto"/>
        </w:rPr>
        <w:t>”) provided under Treasury Regulations 1.409A-1(b)(4), 1.409A-1(b)</w:t>
      </w:r>
    </w:p>
    <w:p>
      <w:pPr>
        <w:spacing w:after="0" w:line="1" w:lineRule="exact"/>
        <w:rPr>
          <w:rFonts w:ascii="Arial" w:cs="Arial" w:eastAsia="Arial" w:hAnsi="Arial"/>
          <w:sz w:val="19"/>
          <w:szCs w:val="19"/>
          <w:b w:val="1"/>
          <w:bCs w:val="1"/>
          <w:color w:val="010000"/>
        </w:rPr>
      </w:pPr>
    </w:p>
    <w:p>
      <w:pPr>
        <w:jc w:val="both"/>
        <w:ind w:firstLine="8"/>
        <w:spacing w:after="0" w:line="269" w:lineRule="auto"/>
        <w:tabs>
          <w:tab w:leader="none" w:pos="31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and 1.409A-1(b)(9), and this Agreement will be construed to the greatest extent possible as consistent with those provisions, and to the extent not so exempt, this Agreement (and any definitions hereunder) will be construed in a manner that complies with Section 409A. All payments and benefits that are payable upon a termination of employment hereunder shall be paid or provided only upon Executive’s “separation from service” from the Company (within the meaning of Section 409A). For purposes of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termination to be a “specified employee” for purposes of Section 409A(a)(2) (B)(i), and if any of the payments upon termination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shall not be provided to Executive prior to the earliest of (i) the expiration of the six-month period measured from the date of Executive’s termination with the Company, (ii) the date of Executive’s death or (iii) such earlier date as permitted under Section 409A without the imposition of adverse taxation. Upon the first business day following the expiration of such applicable Section 409A(a)(2)(B)(i) period, all payments deferred pursuant to this Section 7 shall be paid in a lump sum to Executive, and any remaining payments due shall be paid as otherwise provided herein or in the applicable agreement. No interest shall be due on any amounts so deferred.</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firstLine="872"/>
        <w:spacing w:after="0" w:line="235" w:lineRule="auto"/>
        <w:tabs>
          <w:tab w:leader="none" w:pos="1674" w:val="left"/>
        </w:tabs>
        <w:numPr>
          <w:ilvl w:val="1"/>
          <w:numId w:val="103"/>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Section 280G. </w:t>
      </w:r>
      <w:r>
        <w:rPr>
          <w:rFonts w:ascii="Arial" w:cs="Arial" w:eastAsia="Arial" w:hAnsi="Arial"/>
          <w:sz w:val="22"/>
          <w:szCs w:val="22"/>
          <w:color w:val="auto"/>
        </w:rPr>
        <w:t>In the event that the severance and other benefits provided for in this Agreement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to Executive (i) constitute “parachute payments” within the meaning of Section 280G of the Code and (ii) but for this Section 8, would be subject to the excise tax imposed by Section 4999 of the Code, then,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6" w:name="page147"/>
    <w:bookmarkEnd w:id="146"/>
    <w:p>
      <w:pPr>
        <w:jc w:val="both"/>
        <w:spacing w:after="0" w:line="273" w:lineRule="auto"/>
        <w:rPr>
          <w:sz w:val="20"/>
          <w:szCs w:val="20"/>
          <w:color w:val="auto"/>
        </w:rPr>
      </w:pPr>
      <w:r>
        <w:rPr>
          <w:rFonts w:ascii="Arial" w:cs="Arial" w:eastAsia="Arial" w:hAnsi="Arial"/>
          <w:sz w:val="19"/>
          <w:szCs w:val="19"/>
          <w:color w:val="auto"/>
        </w:rPr>
        <w:t>results in the receipt by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Executive. Unless the Company and Executive otherwise agree in writing, any determination required under this Section 8 shall be made in writing by the Company’s independent public accountants (the “</w:t>
      </w:r>
      <w:r>
        <w:rPr>
          <w:rFonts w:ascii="Arial" w:cs="Arial" w:eastAsia="Arial" w:hAnsi="Arial"/>
          <w:sz w:val="19"/>
          <w:szCs w:val="19"/>
          <w:b w:val="1"/>
          <w:bCs w:val="1"/>
          <w:color w:val="auto"/>
        </w:rPr>
        <w:t>Accountants</w:t>
      </w:r>
      <w:r>
        <w:rPr>
          <w:rFonts w:ascii="Arial" w:cs="Arial" w:eastAsia="Arial" w:hAnsi="Arial"/>
          <w:sz w:val="19"/>
          <w:szCs w:val="19"/>
          <w:color w:val="auto"/>
        </w:rPr>
        <w:t>”), whose determination shall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8. The Company shall bear all costs the Accountants may reasonably incur in connection with any calculations contemplated by this Section 8.</w:t>
      </w:r>
    </w:p>
    <w:p>
      <w:pPr>
        <w:spacing w:after="0" w:line="149" w:lineRule="exact"/>
        <w:rPr>
          <w:sz w:val="20"/>
          <w:szCs w:val="20"/>
          <w:color w:val="auto"/>
        </w:rPr>
      </w:pPr>
    </w:p>
    <w:p>
      <w:pPr>
        <w:ind w:left="1680" w:hanging="808"/>
        <w:spacing w:after="0"/>
        <w:tabs>
          <w:tab w:leader="none" w:pos="1680" w:val="left"/>
        </w:tabs>
        <w:numPr>
          <w:ilvl w:val="0"/>
          <w:numId w:val="104"/>
        </w:numPr>
        <w:rPr>
          <w:rFonts w:ascii="Arial" w:cs="Arial" w:eastAsia="Arial" w:hAnsi="Arial"/>
          <w:sz w:val="22"/>
          <w:szCs w:val="22"/>
          <w:b w:val="1"/>
          <w:bCs w:val="1"/>
          <w:color w:val="010000"/>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b w:val="1"/>
          <w:bCs w:val="1"/>
          <w:color w:val="010000"/>
        </w:rPr>
        <w:t xml:space="preserve">9.1 </w:t>
      </w:r>
      <w:r>
        <w:rPr>
          <w:rFonts w:ascii="Arial" w:cs="Arial" w:eastAsia="Arial" w:hAnsi="Arial"/>
          <w:sz w:val="22"/>
          <w:szCs w:val="22"/>
          <w:b w:val="1"/>
          <w:bCs w:val="1"/>
          <w:color w:val="000000"/>
        </w:rPr>
        <w:t>Cause.</w:t>
      </w:r>
      <w:r>
        <w:rPr>
          <w:rFonts w:ascii="Arial" w:cs="Arial" w:eastAsia="Arial" w:hAnsi="Arial"/>
          <w:sz w:val="22"/>
          <w:szCs w:val="22"/>
          <w:b w:val="1"/>
          <w:bCs w:val="1"/>
          <w:color w:val="010000"/>
        </w:rPr>
        <w:t xml:space="preserve"> </w:t>
      </w:r>
      <w:r>
        <w:rPr>
          <w:rFonts w:ascii="Arial" w:cs="Arial" w:eastAsia="Arial" w:hAnsi="Arial"/>
          <w:sz w:val="22"/>
          <w:szCs w:val="22"/>
          <w:color w:val="000000"/>
        </w:rPr>
        <w:t>For purposes of this Agreement, “</w:t>
      </w:r>
      <w:r>
        <w:rPr>
          <w:rFonts w:ascii="Arial" w:cs="Arial" w:eastAsia="Arial" w:hAnsi="Arial"/>
          <w:sz w:val="22"/>
          <w:szCs w:val="22"/>
          <w:b w:val="1"/>
          <w:bCs w:val="1"/>
          <w:color w:val="000000"/>
        </w:rPr>
        <w:t>Cause</w:t>
      </w:r>
      <w:r>
        <w:rPr>
          <w:rFonts w:ascii="Arial" w:cs="Arial" w:eastAsia="Arial" w:hAnsi="Arial"/>
          <w:sz w:val="22"/>
          <w:szCs w:val="22"/>
          <w:color w:val="000000"/>
        </w:rPr>
        <w:t>” for termination will mean: (i) a material breach</w:t>
      </w:r>
      <w:r>
        <w:rPr>
          <w:rFonts w:ascii="Arial" w:cs="Arial" w:eastAsia="Arial" w:hAnsi="Arial"/>
          <w:sz w:val="22"/>
          <w:szCs w:val="22"/>
          <w:b w:val="1"/>
          <w:bCs w:val="1"/>
          <w:color w:val="010000"/>
        </w:rPr>
        <w:t xml:space="preserve"> </w:t>
      </w:r>
      <w:r>
        <w:rPr>
          <w:rFonts w:ascii="Arial" w:cs="Arial" w:eastAsia="Arial" w:hAnsi="Arial"/>
          <w:sz w:val="22"/>
          <w:szCs w:val="22"/>
          <w:color w:val="000000"/>
        </w:rPr>
        <w:t>of any of Executive’s obligations or duties pursuant to this Agreement or the Restrictive Covenant Agreement, which remains uncured seven days after Executive becomes aware of the breach by formal written notification by the Company; (ii) gross negligence, willful misconduct or breach of fiduciary duty in the course of employment; (iii) any action or activity that is contrary to applicable insider trading rules or any other applicable securities rules or legislation; (iv) a material act or omission involving substantial dishonesty or fraud that harms or would reasonably be expected to harm the Company; or (v) commission of, conviction or indictment for, or plea of no contest to, any felony (or state law equivalent) or any crime involving moral turpitude.</w:t>
      </w:r>
    </w:p>
    <w:p>
      <w:pPr>
        <w:spacing w:after="0" w:line="187"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b w:val="1"/>
          <w:bCs w:val="1"/>
          <w:color w:val="010000"/>
        </w:rPr>
        <w:t xml:space="preserve">9.2 </w:t>
      </w:r>
      <w:r>
        <w:rPr>
          <w:rFonts w:ascii="Arial" w:cs="Arial" w:eastAsia="Arial" w:hAnsi="Arial"/>
          <w:sz w:val="19"/>
          <w:szCs w:val="19"/>
          <w:b w:val="1"/>
          <w:bCs w:val="1"/>
          <w:color w:val="000000"/>
        </w:rPr>
        <w:t>Good Reason.</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purposes of this Agreement, “</w:t>
      </w:r>
      <w:r>
        <w:rPr>
          <w:rFonts w:ascii="Arial" w:cs="Arial" w:eastAsia="Arial" w:hAnsi="Arial"/>
          <w:sz w:val="19"/>
          <w:szCs w:val="19"/>
          <w:b w:val="1"/>
          <w:bCs w:val="1"/>
          <w:color w:val="000000"/>
        </w:rPr>
        <w:t>Good Reason</w:t>
      </w:r>
      <w:r>
        <w:rPr>
          <w:rFonts w:ascii="Arial" w:cs="Arial" w:eastAsia="Arial" w:hAnsi="Arial"/>
          <w:sz w:val="19"/>
          <w:szCs w:val="19"/>
          <w:color w:val="000000"/>
        </w:rPr>
        <w:t>” will mean any of the following</w:t>
      </w:r>
      <w:r>
        <w:rPr>
          <w:rFonts w:ascii="Arial" w:cs="Arial" w:eastAsia="Arial" w:hAnsi="Arial"/>
          <w:sz w:val="19"/>
          <w:szCs w:val="19"/>
          <w:b w:val="1"/>
          <w:bCs w:val="1"/>
          <w:color w:val="010000"/>
        </w:rPr>
        <w:t xml:space="preserve"> </w:t>
      </w:r>
      <w:r>
        <w:rPr>
          <w:rFonts w:ascii="Arial" w:cs="Arial" w:eastAsia="Arial" w:hAnsi="Arial"/>
          <w:sz w:val="19"/>
          <w:szCs w:val="19"/>
          <w:color w:val="000000"/>
        </w:rPr>
        <w:t>actions taken by the Company without Executive’s prior written consent: (i) a material adverse change in Executive’s position, title, office or duties or assignment of any significant duties to Executive that are materially inconsistent with the position or offices held by Executive; (ii) Executive no longer serving as a Section 16 officer or, if the Company’s ultimate parent following a Change in Control is not a public company, not reporting to the Chief Executive Officer of the Company’s ultimate parent);</w:t>
      </w:r>
    </w:p>
    <w:p>
      <w:pPr>
        <w:spacing w:after="0" w:line="1" w:lineRule="exact"/>
        <w:rPr>
          <w:sz w:val="20"/>
          <w:szCs w:val="20"/>
          <w:color w:val="auto"/>
        </w:rPr>
      </w:pPr>
    </w:p>
    <w:p>
      <w:pPr>
        <w:jc w:val="both"/>
        <w:ind w:firstLine="8"/>
        <w:spacing w:after="0" w:line="243" w:lineRule="auto"/>
        <w:tabs>
          <w:tab w:leader="none" w:pos="39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 decrease in Executive’s base salary by more than 10% (other than in connection with a broad-based reduction in the base salaries of all other officers of the Company); or (iv) a relocation that increases Executive’s one-way commute by more than 25 miles. In order to resign for Good Reason, Executive must provide written notice to the Company’s Chief Executive Officer within 60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such cure period.</w:t>
      </w:r>
    </w:p>
    <w:p>
      <w:pPr>
        <w:spacing w:after="0" w:line="181"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010000"/>
        </w:rPr>
        <w:t xml:space="preserve">9.3 </w:t>
      </w:r>
      <w:r>
        <w:rPr>
          <w:rFonts w:ascii="Arial" w:cs="Arial" w:eastAsia="Arial" w:hAnsi="Arial"/>
          <w:sz w:val="22"/>
          <w:szCs w:val="22"/>
          <w:b w:val="1"/>
          <w:bCs w:val="1"/>
          <w:color w:val="000000"/>
        </w:rPr>
        <w:t>Change of Control.</w:t>
      </w:r>
      <w:r>
        <w:rPr>
          <w:rFonts w:ascii="Arial" w:cs="Arial" w:eastAsia="Arial" w:hAnsi="Arial"/>
          <w:sz w:val="22"/>
          <w:szCs w:val="22"/>
          <w:b w:val="1"/>
          <w:bCs w:val="1"/>
          <w:color w:val="010000"/>
        </w:rPr>
        <w:t xml:space="preserve"> </w:t>
      </w:r>
      <w:r>
        <w:rPr>
          <w:rFonts w:ascii="Arial" w:cs="Arial" w:eastAsia="Arial" w:hAnsi="Arial"/>
          <w:sz w:val="22"/>
          <w:szCs w:val="22"/>
          <w:color w:val="000000"/>
        </w:rPr>
        <w:t>For purposes of this Agreement, “</w:t>
      </w:r>
      <w:r>
        <w:rPr>
          <w:rFonts w:ascii="Arial" w:cs="Arial" w:eastAsia="Arial" w:hAnsi="Arial"/>
          <w:sz w:val="22"/>
          <w:szCs w:val="22"/>
          <w:b w:val="1"/>
          <w:bCs w:val="1"/>
          <w:color w:val="000000"/>
        </w:rPr>
        <w:t>Change of Control</w:t>
      </w:r>
      <w:r>
        <w:rPr>
          <w:rFonts w:ascii="Arial" w:cs="Arial" w:eastAsia="Arial" w:hAnsi="Arial"/>
          <w:sz w:val="22"/>
          <w:szCs w:val="22"/>
          <w:color w:val="000000"/>
        </w:rPr>
        <w:t>” means the occurrence</w:t>
      </w:r>
      <w:r>
        <w:rPr>
          <w:rFonts w:ascii="Arial" w:cs="Arial" w:eastAsia="Arial" w:hAnsi="Arial"/>
          <w:sz w:val="22"/>
          <w:szCs w:val="22"/>
          <w:b w:val="1"/>
          <w:bCs w:val="1"/>
          <w:color w:val="010000"/>
        </w:rPr>
        <w:t xml:space="preserve"> </w:t>
      </w:r>
      <w:r>
        <w:rPr>
          <w:rFonts w:ascii="Arial" w:cs="Arial" w:eastAsia="Arial" w:hAnsi="Arial"/>
          <w:sz w:val="22"/>
          <w:szCs w:val="22"/>
          <w:color w:val="000000"/>
        </w:rPr>
        <w:t>of one or more of the following: (a) a merger, a consolidation, a</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7" w:name="page148"/>
    <w:bookmarkEnd w:id="147"/>
    <w:p>
      <w:pPr>
        <w:jc w:val="both"/>
        <w:spacing w:after="0" w:line="270" w:lineRule="auto"/>
        <w:rPr>
          <w:sz w:val="20"/>
          <w:szCs w:val="20"/>
          <w:color w:val="auto"/>
        </w:rPr>
      </w:pPr>
      <w:r>
        <w:rPr>
          <w:rFonts w:ascii="Arial" w:cs="Arial" w:eastAsia="Arial" w:hAnsi="Arial"/>
          <w:sz w:val="19"/>
          <w:szCs w:val="19"/>
          <w:color w:val="auto"/>
        </w:rPr>
        <w:t xml:space="preserve">reorganization or an arrangement that results in a transfer of more than fifty percent (50%) of the total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(b) a direct or indirect sale or other transfer of beneficial ownership of securities of the Company possessing more than fifty percent (50%) of the total combined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(c) a direct or indirect sale or other transfer of the right to appoint more than fifty percent (50%) of the directors of the Board or otherwise directly or indirectly control the management, affairs and business of the Company to a person or a group of persons different from a person or a group of persons holding this right immediately prior to such transaction (other than the Company or a person that directly or indirectly controls, is controlled by, or is under common control with, the Company); (d) a direct or indirect sale or other transfer of all or substantially all of the assets of the Company to a person or a group of persons different from a person or a group of persons holding those assets immediately prior to such transaction (other than the Company or a person that directly or indirectly controls, is controlled by, or is under common control with, the Company); or (e) a complete liquidation, dissolution or winding-up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Change in Control will not be deemed to have occurred if such Change in Control results solely from the</w:t>
      </w:r>
      <w:r>
        <w:rPr>
          <w:rFonts w:ascii="Arial" w:cs="Arial" w:eastAsia="Arial" w:hAnsi="Arial"/>
          <w:sz w:val="19"/>
          <w:szCs w:val="19"/>
          <w:i w:val="1"/>
          <w:iCs w:val="1"/>
          <w:color w:val="auto"/>
        </w:rPr>
        <w:t xml:space="preserve"> </w:t>
      </w:r>
      <w:r>
        <w:rPr>
          <w:rFonts w:ascii="Arial" w:cs="Arial" w:eastAsia="Arial" w:hAnsi="Arial"/>
          <w:sz w:val="19"/>
          <w:szCs w:val="19"/>
          <w:color w:val="auto"/>
        </w:rPr>
        <w:t>issuance, in connection with a bona fide financing or series of financings by the Company, of voting securities of the Company or any rights to acquire voting securities of the Company which are convertible into voting securities.</w:t>
      </w:r>
    </w:p>
    <w:p>
      <w:pPr>
        <w:spacing w:after="0" w:line="200" w:lineRule="exact"/>
        <w:rPr>
          <w:sz w:val="20"/>
          <w:szCs w:val="20"/>
          <w:color w:val="auto"/>
        </w:rPr>
      </w:pPr>
    </w:p>
    <w:p>
      <w:pPr>
        <w:spacing w:after="0" w:line="205" w:lineRule="exact"/>
        <w:rPr>
          <w:sz w:val="20"/>
          <w:szCs w:val="20"/>
          <w:color w:val="auto"/>
        </w:rPr>
      </w:pPr>
    </w:p>
    <w:p>
      <w:pPr>
        <w:jc w:val="both"/>
        <w:ind w:firstLine="872"/>
        <w:spacing w:after="0" w:line="243" w:lineRule="auto"/>
        <w:tabs>
          <w:tab w:leader="none" w:pos="1782" w:val="left"/>
        </w:tabs>
        <w:numPr>
          <w:ilvl w:val="0"/>
          <w:numId w:val="106"/>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Proprietary Information Obligations. </w:t>
      </w:r>
      <w:r>
        <w:rPr>
          <w:rFonts w:ascii="Arial" w:cs="Arial" w:eastAsia="Arial" w:hAnsi="Arial"/>
          <w:sz w:val="22"/>
          <w:szCs w:val="22"/>
          <w:color w:val="auto"/>
        </w:rPr>
        <w:t>As a condition of employment, Executive has previously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shall continue to abide by the Employee Proprietary Information, Restrictive Covenant and Invention Assignment Agreement attached here 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b w:val="1"/>
          <w:bCs w:val="1"/>
          <w:color w:val="auto"/>
        </w:rPr>
        <w:t>Restrictive Covenant Agreement</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010000"/>
        </w:rPr>
      </w:pPr>
    </w:p>
    <w:p>
      <w:pPr>
        <w:ind w:left="1780" w:hanging="908"/>
        <w:spacing w:after="0"/>
        <w:tabs>
          <w:tab w:leader="none" w:pos="1780" w:val="left"/>
        </w:tabs>
        <w:numPr>
          <w:ilvl w:val="0"/>
          <w:numId w:val="106"/>
        </w:numPr>
        <w:rPr>
          <w:rFonts w:ascii="Arial" w:cs="Arial" w:eastAsia="Arial" w:hAnsi="Arial"/>
          <w:sz w:val="22"/>
          <w:szCs w:val="22"/>
          <w:b w:val="1"/>
          <w:bCs w:val="1"/>
          <w:color w:val="010000"/>
        </w:rPr>
      </w:pPr>
      <w:r>
        <w:rPr>
          <w:rFonts w:ascii="Arial" w:cs="Arial" w:eastAsia="Arial" w:hAnsi="Arial"/>
          <w:sz w:val="22"/>
          <w:szCs w:val="22"/>
          <w:b w:val="1"/>
          <w:bCs w:val="1"/>
          <w:color w:val="auto"/>
        </w:rPr>
        <w:t>Outside Activities During Employment.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b w:val="1"/>
          <w:bCs w:val="1"/>
          <w:color w:val="010000"/>
        </w:rPr>
        <w:t xml:space="preserve">11.1 </w:t>
      </w:r>
      <w:r>
        <w:rPr>
          <w:rFonts w:ascii="Arial" w:cs="Arial" w:eastAsia="Arial" w:hAnsi="Arial"/>
          <w:sz w:val="22"/>
          <w:szCs w:val="22"/>
          <w:b w:val="1"/>
          <w:bCs w:val="1"/>
          <w:color w:val="000000"/>
        </w:rPr>
        <w:t>Non-Company Business.</w:t>
      </w:r>
      <w:r>
        <w:rPr>
          <w:rFonts w:ascii="Arial" w:cs="Arial" w:eastAsia="Arial" w:hAnsi="Arial"/>
          <w:sz w:val="22"/>
          <w:szCs w:val="22"/>
          <w:b w:val="1"/>
          <w:bCs w:val="1"/>
          <w:color w:val="010000"/>
        </w:rPr>
        <w:t xml:space="preserve"> </w:t>
      </w:r>
      <w:r>
        <w:rPr>
          <w:rFonts w:ascii="Arial" w:cs="Arial" w:eastAsia="Arial" w:hAnsi="Arial"/>
          <w:sz w:val="22"/>
          <w:szCs w:val="22"/>
          <w:color w:val="000000"/>
        </w:rPr>
        <w:t>Except with the prior written consent of the Board, Executive will not</w:t>
      </w:r>
      <w:r>
        <w:rPr>
          <w:rFonts w:ascii="Arial" w:cs="Arial" w:eastAsia="Arial" w:hAnsi="Arial"/>
          <w:sz w:val="22"/>
          <w:szCs w:val="22"/>
          <w:b w:val="1"/>
          <w:bCs w:val="1"/>
          <w:color w:val="010000"/>
        </w:rPr>
        <w:t xml:space="preserve"> </w:t>
      </w:r>
      <w:r>
        <w:rPr>
          <w:rFonts w:ascii="Arial" w:cs="Arial" w:eastAsia="Arial" w:hAnsi="Arial"/>
          <w:sz w:val="22"/>
          <w:szCs w:val="22"/>
          <w:color w:val="000000"/>
        </w:rPr>
        <w:t>during the term of Executive’s employment with the Company undertake or engage in any other employment, occupation or business enterprise, other than ones in which Executive is a passive investor, provided that they do not violate the Restrictive Covenant Agreement. Executive may engage in civic and not-for-profit activities so long as such activities do not materially interfere with the performance of Executive’s duties hereunder. In addition, Executive may serve as a member of scientific advisory boards or equivalent bodies of Boston University CMD, University of Delaware COBRE, and University of Pittsburg Wipf Chemistry.</w:t>
      </w:r>
    </w:p>
    <w:p>
      <w:pPr>
        <w:spacing w:after="0" w:line="183"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11.2 </w:t>
      </w:r>
      <w:r>
        <w:rPr>
          <w:rFonts w:ascii="Arial" w:cs="Arial" w:eastAsia="Arial" w:hAnsi="Arial"/>
          <w:sz w:val="22"/>
          <w:szCs w:val="22"/>
          <w:b w:val="1"/>
          <w:bCs w:val="1"/>
          <w:color w:val="000000"/>
        </w:rPr>
        <w:t>No Adverse Interests.</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agrees not to acquire, assume or participate in, directly or</w:t>
      </w:r>
      <w:r>
        <w:rPr>
          <w:rFonts w:ascii="Arial" w:cs="Arial" w:eastAsia="Arial" w:hAnsi="Arial"/>
          <w:sz w:val="22"/>
          <w:szCs w:val="22"/>
          <w:b w:val="1"/>
          <w:bCs w:val="1"/>
          <w:color w:val="010000"/>
        </w:rPr>
        <w:t xml:space="preserve"> </w:t>
      </w:r>
      <w:r>
        <w:rPr>
          <w:rFonts w:ascii="Arial" w:cs="Arial" w:eastAsia="Arial" w:hAnsi="Arial"/>
          <w:sz w:val="22"/>
          <w:szCs w:val="22"/>
          <w:color w:val="000000"/>
        </w:rPr>
        <w:t>indirectly, any position, investment or interest known to be adverse or antagonistic to the Company, its business or prospects, financial or otherwise.</w:t>
      </w:r>
    </w:p>
    <w:p>
      <w:pPr>
        <w:spacing w:after="0" w:line="177" w:lineRule="exact"/>
        <w:rPr>
          <w:sz w:val="20"/>
          <w:szCs w:val="20"/>
          <w:color w:val="auto"/>
        </w:rPr>
      </w:pPr>
    </w:p>
    <w:p>
      <w:pPr>
        <w:ind w:right="20" w:firstLine="872"/>
        <w:spacing w:after="0" w:line="256" w:lineRule="auto"/>
        <w:tabs>
          <w:tab w:leader="none" w:pos="1782" w:val="left"/>
        </w:tabs>
        <w:numPr>
          <w:ilvl w:val="0"/>
          <w:numId w:val="107"/>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Dispute Resolution. </w:t>
      </w:r>
      <w:r>
        <w:rPr>
          <w:rFonts w:ascii="Arial" w:cs="Arial" w:eastAsia="Arial" w:hAnsi="Arial"/>
          <w:sz w:val="22"/>
          <w:szCs w:val="22"/>
          <w:color w:val="auto"/>
        </w:rPr>
        <w:t>To ensure the timely and economical resolution of disputes that may arise in connection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Executive’s employment with the Company, Executive and the</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8" w:name="page149"/>
    <w:bookmarkEnd w:id="148"/>
    <w:p>
      <w:pPr>
        <w:jc w:val="both"/>
        <w:spacing w:after="0" w:line="271" w:lineRule="auto"/>
        <w:rPr>
          <w:sz w:val="20"/>
          <w:szCs w:val="20"/>
          <w:color w:val="auto"/>
        </w:rPr>
      </w:pPr>
      <w:r>
        <w:rPr>
          <w:rFonts w:ascii="Arial" w:cs="Arial" w:eastAsia="Arial" w:hAnsi="Arial"/>
          <w:sz w:val="19"/>
          <w:szCs w:val="19"/>
          <w:color w:val="auto"/>
        </w:rPr>
        <w:t>Company agree that any and all disputes, claims, or causes of action arising from or relating to the enforcement, breach, performance, negotiation, execution, or interpretation of this Agreement, Executive’s employment, or the termination of Executive’s employment, including but not limited to statutory claims, shall be resolved to the fullest extent permitted by law by final, binding and confidential arbitration, by a single arbitrator, in Wilmington, Delaware conducted by JAMS, Inc. (“</w:t>
      </w:r>
      <w:r>
        <w:rPr>
          <w:rFonts w:ascii="Arial" w:cs="Arial" w:eastAsia="Arial" w:hAnsi="Arial"/>
          <w:sz w:val="19"/>
          <w:szCs w:val="19"/>
          <w:b w:val="1"/>
          <w:bCs w:val="1"/>
          <w:color w:val="auto"/>
        </w:rPr>
        <w:t>JAMS</w:t>
      </w:r>
      <w:r>
        <w:rPr>
          <w:rFonts w:ascii="Arial" w:cs="Arial" w:eastAsia="Arial" w:hAnsi="Arial"/>
          <w:sz w:val="19"/>
          <w:szCs w:val="19"/>
          <w:color w:val="auto"/>
        </w:rPr>
        <w:t>”) under the then applicable JAMS rules or by another arbitration company if mutually agreed upon by Executive and Board. By agreeing to this arbitration procedure, both Executive and the Company waive the right to resolve any such dispute through a trial by jury or judge or administrative proceeding. The Company acknowledges that Executive will have the right to be represented by legal counsel at any arbitration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54" w:lineRule="exact"/>
        <w:rPr>
          <w:sz w:val="20"/>
          <w:szCs w:val="20"/>
          <w:color w:val="auto"/>
        </w:rPr>
      </w:pPr>
    </w:p>
    <w:p>
      <w:pPr>
        <w:ind w:left="1780" w:hanging="908"/>
        <w:spacing w:after="0"/>
        <w:tabs>
          <w:tab w:leader="none" w:pos="1780" w:val="left"/>
        </w:tabs>
        <w:numPr>
          <w:ilvl w:val="0"/>
          <w:numId w:val="108"/>
        </w:numPr>
        <w:rPr>
          <w:rFonts w:ascii="Arial" w:cs="Arial" w:eastAsia="Arial" w:hAnsi="Arial"/>
          <w:sz w:val="22"/>
          <w:szCs w:val="22"/>
          <w:b w:val="1"/>
          <w:bCs w:val="1"/>
          <w:color w:val="010000"/>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13.1 </w:t>
      </w:r>
      <w:r>
        <w:rPr>
          <w:rFonts w:ascii="Arial" w:cs="Arial" w:eastAsia="Arial" w:hAnsi="Arial"/>
          <w:sz w:val="22"/>
          <w:szCs w:val="22"/>
          <w:b w:val="1"/>
          <w:bCs w:val="1"/>
          <w:color w:val="000000"/>
        </w:rPr>
        <w:t>Notices.</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notices provided must be in writing and will be deemed effective upon the earlier of</w:t>
      </w:r>
      <w:r>
        <w:rPr>
          <w:rFonts w:ascii="Arial" w:cs="Arial" w:eastAsia="Arial" w:hAnsi="Arial"/>
          <w:sz w:val="22"/>
          <w:szCs w:val="22"/>
          <w:b w:val="1"/>
          <w:bCs w:val="1"/>
          <w:color w:val="010000"/>
        </w:rPr>
        <w:t xml:space="preserve"> </w:t>
      </w:r>
      <w:r>
        <w:rPr>
          <w:rFonts w:ascii="Arial" w:cs="Arial" w:eastAsia="Arial" w:hAnsi="Arial"/>
          <w:sz w:val="22"/>
          <w:szCs w:val="22"/>
          <w:color w:val="000000"/>
        </w:rPr>
        <w:t>personal delivery (including personal delivery by fax) or the next day after sending by overnight carrier, to the Company at its primary office location and to Executive at the address as listed on the Company payroll.</w:t>
      </w:r>
    </w:p>
    <w:p>
      <w:pPr>
        <w:spacing w:after="0" w:line="177"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010000"/>
        </w:rPr>
        <w:t xml:space="preserve">13.2 </w:t>
      </w:r>
      <w:r>
        <w:rPr>
          <w:rFonts w:ascii="Arial" w:cs="Arial" w:eastAsia="Arial" w:hAnsi="Arial"/>
          <w:sz w:val="22"/>
          <w:szCs w:val="22"/>
          <w:b w:val="1"/>
          <w:bCs w:val="1"/>
          <w:color w:val="000000"/>
        </w:rPr>
        <w:t>Severability.</w:t>
      </w:r>
      <w:r>
        <w:rPr>
          <w:rFonts w:ascii="Arial" w:cs="Arial" w:eastAsia="Arial" w:hAnsi="Arial"/>
          <w:sz w:val="22"/>
          <w:szCs w:val="22"/>
          <w:b w:val="1"/>
          <w:bCs w:val="1"/>
          <w:color w:val="010000"/>
        </w:rPr>
        <w:t xml:space="preserve"> </w:t>
      </w:r>
      <w:r>
        <w:rPr>
          <w:rFonts w:ascii="Arial" w:cs="Arial" w:eastAsia="Arial" w:hAnsi="Arial"/>
          <w:sz w:val="22"/>
          <w:szCs w:val="22"/>
          <w:color w:val="000000"/>
        </w:rPr>
        <w:t>Whenever possible, each provision of this Agreement will be interpreted in such</w:t>
      </w:r>
      <w:r>
        <w:rPr>
          <w:rFonts w:ascii="Arial" w:cs="Arial" w:eastAsia="Arial" w:hAnsi="Arial"/>
          <w:sz w:val="22"/>
          <w:szCs w:val="22"/>
          <w:b w:val="1"/>
          <w:bCs w:val="1"/>
          <w:color w:val="010000"/>
        </w:rPr>
        <w:t xml:space="preserve"> </w:t>
      </w:r>
      <w:r>
        <w:rPr>
          <w:rFonts w:ascii="Arial" w:cs="Arial" w:eastAsia="Arial" w:hAnsi="Arial"/>
          <w:sz w:val="22"/>
          <w:szCs w:val="22"/>
          <w:color w:val="000000"/>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13.3 </w:t>
      </w:r>
      <w:r>
        <w:rPr>
          <w:rFonts w:ascii="Arial" w:cs="Arial" w:eastAsia="Arial" w:hAnsi="Arial"/>
          <w:sz w:val="22"/>
          <w:szCs w:val="22"/>
          <w:b w:val="1"/>
          <w:bCs w:val="1"/>
          <w:color w:val="000000"/>
        </w:rPr>
        <w:t>Waiver.</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waiver of any breach of any provisions of this Agreement must be in writing to be</w:t>
      </w:r>
      <w:r>
        <w:rPr>
          <w:rFonts w:ascii="Arial" w:cs="Arial" w:eastAsia="Arial" w:hAnsi="Arial"/>
          <w:sz w:val="22"/>
          <w:szCs w:val="22"/>
          <w:b w:val="1"/>
          <w:bCs w:val="1"/>
          <w:color w:val="010000"/>
        </w:rPr>
        <w:t xml:space="preserve"> </w:t>
      </w:r>
      <w:r>
        <w:rPr>
          <w:rFonts w:ascii="Arial" w:cs="Arial" w:eastAsia="Arial" w:hAnsi="Arial"/>
          <w:sz w:val="22"/>
          <w:szCs w:val="22"/>
          <w:color w:val="000000"/>
        </w:rPr>
        <w:t>effective, and it shall not thereby be deemed to have waived any preceding or succeeding breach of the same or any other provision of this Agreement.</w:t>
      </w:r>
    </w:p>
    <w:p>
      <w:pPr>
        <w:spacing w:after="0" w:line="177"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b w:val="1"/>
          <w:bCs w:val="1"/>
          <w:color w:val="010000"/>
        </w:rPr>
        <w:t xml:space="preserve">13.4 </w:t>
      </w:r>
      <w:r>
        <w:rPr>
          <w:rFonts w:ascii="Arial" w:cs="Arial" w:eastAsia="Arial" w:hAnsi="Arial"/>
          <w:sz w:val="22"/>
          <w:szCs w:val="22"/>
          <w:b w:val="1"/>
          <w:bCs w:val="1"/>
          <w:color w:val="000000"/>
        </w:rPr>
        <w:t>Complete Agreement.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together with the Restrictive Covenant Agreement,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constitutes the entire agreement between Executive and the Company with regard to this subject matter and is the complete, final, and exclusive embodiment of the Parties’ agreement with regard to this subject matter, and supersedes all prior or contemporaneous offers, negotiations and agreements, whether written or oral, relating to such subject matter, including the offer letter entered into between Executive and the Company as of March 21, 2019. This Agreement is entered into without reliance on any promise or representation, written or oral, other than those expressly contained herein, and it supersedes any other such promises, warranties or</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9" w:name="page150"/>
    <w:bookmarkEnd w:id="149"/>
    <w:p>
      <w:pPr>
        <w:jc w:val="both"/>
        <w:ind w:right="20"/>
        <w:spacing w:after="0" w:line="274" w:lineRule="auto"/>
        <w:rPr>
          <w:sz w:val="20"/>
          <w:szCs w:val="20"/>
          <w:color w:val="auto"/>
        </w:rPr>
      </w:pPr>
      <w:r>
        <w:rPr>
          <w:rFonts w:ascii="Arial" w:cs="Arial" w:eastAsia="Arial" w:hAnsi="Arial"/>
          <w:sz w:val="21"/>
          <w:szCs w:val="21"/>
          <w:color w:val="auto"/>
        </w:rPr>
        <w:t>representations. It is entered into without reliance on any promise or representation other than those expressly contained herein, and it cannot be modified or amended except in a writing signed by a duly authorized officer of the Company.</w:t>
      </w:r>
    </w:p>
    <w:p>
      <w:pPr>
        <w:spacing w:after="0" w:line="145" w:lineRule="exact"/>
        <w:rPr>
          <w:sz w:val="20"/>
          <w:szCs w:val="20"/>
          <w:color w:val="auto"/>
        </w:rPr>
      </w:pPr>
    </w:p>
    <w:p>
      <w:pPr>
        <w:jc w:val="both"/>
        <w:ind w:right="20" w:firstLine="1727"/>
        <w:spacing w:after="0" w:line="334" w:lineRule="auto"/>
        <w:rPr>
          <w:sz w:val="20"/>
          <w:szCs w:val="20"/>
          <w:color w:val="auto"/>
        </w:rPr>
      </w:pPr>
      <w:r>
        <w:rPr>
          <w:rFonts w:ascii="Arial" w:cs="Arial" w:eastAsia="Arial" w:hAnsi="Arial"/>
          <w:sz w:val="19"/>
          <w:szCs w:val="19"/>
          <w:b w:val="1"/>
          <w:bCs w:val="1"/>
          <w:color w:val="010000"/>
        </w:rPr>
        <w:t xml:space="preserve">13.5 </w:t>
      </w:r>
      <w:r>
        <w:rPr>
          <w:rFonts w:ascii="Arial" w:cs="Arial" w:eastAsia="Arial" w:hAnsi="Arial"/>
          <w:sz w:val="19"/>
          <w:szCs w:val="19"/>
          <w:b w:val="1"/>
          <w:bCs w:val="1"/>
          <w:color w:val="000000"/>
        </w:rPr>
        <w:t>Counterparts.</w:t>
      </w:r>
      <w:r>
        <w:rPr>
          <w:rFonts w:ascii="Arial" w:cs="Arial" w:eastAsia="Arial" w:hAnsi="Arial"/>
          <w:sz w:val="19"/>
          <w:szCs w:val="19"/>
          <w:b w:val="1"/>
          <w:bCs w:val="1"/>
          <w:color w:val="010000"/>
        </w:rPr>
        <w:t xml:space="preserve"> </w:t>
      </w:r>
      <w:r>
        <w:rPr>
          <w:rFonts w:ascii="Arial" w:cs="Arial" w:eastAsia="Arial" w:hAnsi="Arial"/>
          <w:sz w:val="19"/>
          <w:szCs w:val="19"/>
          <w:color w:val="000000"/>
        </w:rPr>
        <w:t>This Agreement may be executed in separate counterparts, any one of which need</w:t>
      </w:r>
      <w:r>
        <w:rPr>
          <w:rFonts w:ascii="Arial" w:cs="Arial" w:eastAsia="Arial" w:hAnsi="Arial"/>
          <w:sz w:val="19"/>
          <w:szCs w:val="19"/>
          <w:b w:val="1"/>
          <w:bCs w:val="1"/>
          <w:color w:val="010000"/>
        </w:rPr>
        <w:t xml:space="preserve"> </w:t>
      </w:r>
      <w:r>
        <w:rPr>
          <w:rFonts w:ascii="Arial" w:cs="Arial" w:eastAsia="Arial" w:hAnsi="Arial"/>
          <w:sz w:val="19"/>
          <w:szCs w:val="19"/>
          <w:color w:val="000000"/>
        </w:rPr>
        <w:t>not contain signatures of more than one party, but all of which taken together will constitute one and the same Agreement.</w:t>
      </w:r>
    </w:p>
    <w:p>
      <w:pPr>
        <w:spacing w:after="0" w:line="94"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010000"/>
        </w:rPr>
        <w:t xml:space="preserve">13.6 </w:t>
      </w:r>
      <w:r>
        <w:rPr>
          <w:rFonts w:ascii="Arial" w:cs="Arial" w:eastAsia="Arial" w:hAnsi="Arial"/>
          <w:sz w:val="22"/>
          <w:szCs w:val="22"/>
          <w:b w:val="1"/>
          <w:bCs w:val="1"/>
          <w:color w:val="000000"/>
        </w:rPr>
        <w:t>Headings.</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headings of the paragraphs hereof are inserted for convenience only and shall not</w:t>
      </w:r>
      <w:r>
        <w:rPr>
          <w:rFonts w:ascii="Arial" w:cs="Arial" w:eastAsia="Arial" w:hAnsi="Arial"/>
          <w:sz w:val="22"/>
          <w:szCs w:val="22"/>
          <w:b w:val="1"/>
          <w:bCs w:val="1"/>
          <w:color w:val="010000"/>
        </w:rPr>
        <w:t xml:space="preserve"> </w:t>
      </w:r>
      <w:r>
        <w:rPr>
          <w:rFonts w:ascii="Arial" w:cs="Arial" w:eastAsia="Arial" w:hAnsi="Arial"/>
          <w:sz w:val="22"/>
          <w:szCs w:val="22"/>
          <w:color w:val="000000"/>
        </w:rPr>
        <w:t>be deemed to constitute a part hereof nor to affect the meaning thereof.</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010000"/>
        </w:rPr>
        <w:t xml:space="preserve">13.7 </w:t>
      </w:r>
      <w:r>
        <w:rPr>
          <w:rFonts w:ascii="Arial" w:cs="Arial" w:eastAsia="Arial" w:hAnsi="Arial"/>
          <w:sz w:val="22"/>
          <w:szCs w:val="22"/>
          <w:b w:val="1"/>
          <w:bCs w:val="1"/>
          <w:color w:val="000000"/>
        </w:rPr>
        <w:t>Successors and Assigns.</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is intended to bind and inure to the benefit of and be</w:t>
      </w:r>
      <w:r>
        <w:rPr>
          <w:rFonts w:ascii="Arial" w:cs="Arial" w:eastAsia="Arial" w:hAnsi="Arial"/>
          <w:sz w:val="22"/>
          <w:szCs w:val="22"/>
          <w:b w:val="1"/>
          <w:bCs w:val="1"/>
          <w:color w:val="010000"/>
        </w:rPr>
        <w:t xml:space="preserve"> </w:t>
      </w:r>
      <w:r>
        <w:rPr>
          <w:rFonts w:ascii="Arial" w:cs="Arial" w:eastAsia="Arial" w:hAnsi="Arial"/>
          <w:sz w:val="22"/>
          <w:szCs w:val="22"/>
          <w:color w:val="000000"/>
        </w:rPr>
        <w:t>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w:t>
      </w:r>
    </w:p>
    <w:p>
      <w:pPr>
        <w:spacing w:after="0" w:line="180"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b w:val="1"/>
          <w:bCs w:val="1"/>
          <w:color w:val="010000"/>
        </w:rPr>
        <w:t xml:space="preserve">13.8 </w:t>
      </w:r>
      <w:r>
        <w:rPr>
          <w:rFonts w:ascii="Arial" w:cs="Arial" w:eastAsia="Arial" w:hAnsi="Arial"/>
          <w:sz w:val="21"/>
          <w:szCs w:val="21"/>
          <w:b w:val="1"/>
          <w:bCs w:val="1"/>
          <w:color w:val="000000"/>
        </w:rPr>
        <w:t>Tax Withholding and Indemnification.</w:t>
      </w:r>
      <w:r>
        <w:rPr>
          <w:rFonts w:ascii="Arial" w:cs="Arial" w:eastAsia="Arial" w:hAnsi="Arial"/>
          <w:sz w:val="21"/>
          <w:szCs w:val="21"/>
          <w:b w:val="1"/>
          <w:bCs w:val="1"/>
          <w:color w:val="010000"/>
        </w:rPr>
        <w:t xml:space="preserve"> </w:t>
      </w:r>
      <w:r>
        <w:rPr>
          <w:rFonts w:ascii="Arial" w:cs="Arial" w:eastAsia="Arial" w:hAnsi="Arial"/>
          <w:sz w:val="21"/>
          <w:szCs w:val="21"/>
          <w:color w:val="000000"/>
        </w:rPr>
        <w:t>All payments and awards contemplated or made</w:t>
      </w:r>
      <w:r>
        <w:rPr>
          <w:rFonts w:ascii="Arial" w:cs="Arial" w:eastAsia="Arial" w:hAnsi="Arial"/>
          <w:sz w:val="21"/>
          <w:szCs w:val="21"/>
          <w:b w:val="1"/>
          <w:bCs w:val="1"/>
          <w:color w:val="010000"/>
        </w:rPr>
        <w:t xml:space="preserve"> </w:t>
      </w:r>
      <w:r>
        <w:rPr>
          <w:rFonts w:ascii="Arial" w:cs="Arial" w:eastAsia="Arial" w:hAnsi="Arial"/>
          <w:sz w:val="21"/>
          <w:szCs w:val="21"/>
          <w:color w:val="000000"/>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1"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010000"/>
        </w:rPr>
        <w:t xml:space="preserve">13.9 </w:t>
      </w:r>
      <w:r>
        <w:rPr>
          <w:rFonts w:ascii="Arial" w:cs="Arial" w:eastAsia="Arial" w:hAnsi="Arial"/>
          <w:sz w:val="22"/>
          <w:szCs w:val="22"/>
          <w:b w:val="1"/>
          <w:bCs w:val="1"/>
          <w:color w:val="000000"/>
        </w:rPr>
        <w:t>Choice of Law.</w:t>
      </w:r>
      <w:r>
        <w:rPr>
          <w:rFonts w:ascii="Arial" w:cs="Arial" w:eastAsia="Arial" w:hAnsi="Arial"/>
          <w:sz w:val="22"/>
          <w:szCs w:val="22"/>
          <w:b w:val="1"/>
          <w:bCs w:val="1"/>
          <w:color w:val="010000"/>
        </w:rPr>
        <w:t xml:space="preserve"> </w:t>
      </w:r>
      <w:r>
        <w:rPr>
          <w:rFonts w:ascii="Arial" w:cs="Arial" w:eastAsia="Arial" w:hAnsi="Arial"/>
          <w:sz w:val="22"/>
          <w:szCs w:val="22"/>
          <w:color w:val="000000"/>
        </w:rPr>
        <w:t>All questions concerning the construction, validity and interpretation of this</w:t>
      </w:r>
      <w:r>
        <w:rPr>
          <w:rFonts w:ascii="Arial" w:cs="Arial" w:eastAsia="Arial" w:hAnsi="Arial"/>
          <w:sz w:val="22"/>
          <w:szCs w:val="22"/>
          <w:b w:val="1"/>
          <w:bCs w:val="1"/>
          <w:color w:val="010000"/>
        </w:rPr>
        <w:t xml:space="preserve"> </w:t>
      </w:r>
      <w:r>
        <w:rPr>
          <w:rFonts w:ascii="Arial" w:cs="Arial" w:eastAsia="Arial" w:hAnsi="Arial"/>
          <w:sz w:val="22"/>
          <w:szCs w:val="22"/>
          <w:color w:val="000000"/>
        </w:rPr>
        <w:t>Agreement will be governed by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0" w:name="page151"/>
    <w:bookmarkEnd w:id="150"/>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executed this Agreement on the day and year first written above.</w:t>
      </w:r>
    </w:p>
    <w:p>
      <w:pPr>
        <w:sectPr>
          <w:pgSz w:w="11900" w:h="16838" w:orient="portrait"/>
          <w:cols w:equalWidth="0" w:num="1">
            <w:col w:w="9259"/>
          </w:cols>
          <w:pgMar w:left="1200" w:top="598"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right"/>
        <w:ind w:right="163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RELUDE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NCORPORATED</w:t>
      </w:r>
    </w:p>
    <w:p>
      <w:pPr>
        <w:spacing w:after="0" w:line="200" w:lineRule="exact"/>
        <w:rPr>
          <w:sz w:val="20"/>
          <w:szCs w:val="20"/>
          <w:color w:val="auto"/>
        </w:rPr>
      </w:pPr>
    </w:p>
    <w:p>
      <w:pPr>
        <w:spacing w:after="0" w:line="22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 Vaddi</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Employment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85090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98" w:right="1440"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executed this Agreement on the day and year first written above.</w:t>
      </w:r>
    </w:p>
    <w:p>
      <w:pPr>
        <w:sectPr>
          <w:pgSz w:w="11900" w:h="16838" w:orient="portrait"/>
          <w:cols w:equalWidth="0" w:num="1">
            <w:col w:w="9259"/>
          </w:cols>
          <w:pgMar w:left="1200" w:top="598"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right"/>
        <w:ind w:right="163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RELUDE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NCORPORATED</w:t>
      </w:r>
    </w:p>
    <w:p>
      <w:pPr>
        <w:spacing w:after="0" w:line="200" w:lineRule="exact"/>
        <w:rPr>
          <w:sz w:val="20"/>
          <w:szCs w:val="20"/>
          <w:color w:val="auto"/>
        </w:rPr>
      </w:pPr>
    </w:p>
    <w:p>
      <w:pPr>
        <w:spacing w:after="0" w:line="22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24"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NDREW</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OMBS</w:t>
      </w:r>
    </w:p>
    <w:p>
      <w:pPr>
        <w:spacing w:after="0" w:line="200" w:lineRule="exact"/>
        <w:rPr>
          <w:sz w:val="20"/>
          <w:szCs w:val="20"/>
          <w:color w:val="auto"/>
        </w:rPr>
      </w:pPr>
    </w:p>
    <w:p>
      <w:pPr>
        <w:spacing w:after="0" w:line="336" w:lineRule="exact"/>
        <w:rPr>
          <w:sz w:val="20"/>
          <w:szCs w:val="20"/>
          <w:color w:val="auto"/>
        </w:rPr>
      </w:pPr>
    </w:p>
    <w:p>
      <w:pPr>
        <w:ind w:left="4320"/>
        <w:spacing w:after="0"/>
        <w:rPr>
          <w:sz w:val="20"/>
          <w:szCs w:val="20"/>
          <w:color w:val="auto"/>
        </w:rPr>
      </w:pPr>
      <w:r>
        <w:rPr>
          <w:rFonts w:ascii="Arial" w:cs="Arial" w:eastAsia="Arial" w:hAnsi="Arial"/>
          <w:sz w:val="22"/>
          <w:szCs w:val="22"/>
          <w:u w:val="single" w:color="auto"/>
          <w:color w:val="auto"/>
        </w:rPr>
        <w:t>/s/ Andrew Combs</w:t>
      </w:r>
    </w:p>
    <w:p>
      <w:pPr>
        <w:spacing w:after="0" w:line="20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Employment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98" w:right="1440" w:bottom="1440" w:gutter="0" w:footer="0" w:header="0"/>
          <w:type w:val="continuous"/>
        </w:sectPr>
      </w:pPr>
    </w:p>
    <w:bookmarkStart w:id="152" w:name="page153"/>
    <w:bookmarkEnd w:id="152"/>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Employee Proprietary Information, Restrictive Covenant and Invention Assignment Agreement</w:t>
      </w:r>
    </w:p>
    <w:p>
      <w:pPr>
        <w:sectPr>
          <w:pgSz w:w="11900" w:h="16838" w:orient="portrait"/>
          <w:cols w:equalWidth="0" w:num="1">
            <w:col w:w="9019"/>
          </w:cols>
          <w:pgMar w:left="1440" w:top="598"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b w:val="1"/>
          <w:bCs w:val="1"/>
          <w:color w:val="auto"/>
        </w:rPr>
        <w:t>Exhibit 10.9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82"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made between Prelude Therapeutics Incorporated,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Laurent Chardonnet (“</w:t>
      </w:r>
      <w:r>
        <w:rPr>
          <w:rFonts w:ascii="Arial" w:cs="Arial" w:eastAsia="Arial" w:hAnsi="Arial"/>
          <w:sz w:val="22"/>
          <w:szCs w:val="22"/>
          <w:b w:val="1"/>
          <w:bCs w:val="1"/>
          <w:color w:val="auto"/>
        </w:rPr>
        <w:t>Executive</w:t>
      </w:r>
      <w:r>
        <w:rPr>
          <w:rFonts w:ascii="Arial" w:cs="Arial" w:eastAsia="Arial" w:hAnsi="Arial"/>
          <w:sz w:val="22"/>
          <w:szCs w:val="22"/>
          <w:color w:val="auto"/>
        </w:rPr>
        <w:t>” and, collectively with the Company, the “</w:t>
      </w:r>
      <w:r>
        <w:rPr>
          <w:rFonts w:ascii="Arial" w:cs="Arial" w:eastAsia="Arial" w:hAnsi="Arial"/>
          <w:sz w:val="22"/>
          <w:szCs w:val="22"/>
          <w:b w:val="1"/>
          <w:bCs w:val="1"/>
          <w:color w:val="auto"/>
        </w:rPr>
        <w:t>Parties</w:t>
      </w:r>
      <w:r>
        <w:rPr>
          <w:rFonts w:ascii="Arial" w:cs="Arial" w:eastAsia="Arial" w:hAnsi="Arial"/>
          <w:sz w:val="22"/>
          <w:szCs w:val="22"/>
          <w:color w:val="auto"/>
        </w:rPr>
        <w:t>”), is entered into as of 11/5/2021 | 5:16 PM EDT.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desires to employ Executive as the Company’s Chief Financial Officer.</w:t>
      </w:r>
    </w:p>
    <w:p>
      <w:pPr>
        <w:spacing w:after="0" w:line="206" w:lineRule="exact"/>
        <w:rPr>
          <w:sz w:val="20"/>
          <w:szCs w:val="20"/>
          <w:color w:val="auto"/>
        </w:rPr>
      </w:pPr>
    </w:p>
    <w:p>
      <w:pPr>
        <w:jc w:val="both"/>
        <w:ind w:right="20" w:firstLine="864"/>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mutual promises and covenants contained herein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is hereby acknowledged, the Parties hereto agree as follows:</w:t>
      </w:r>
    </w:p>
    <w:p>
      <w:pPr>
        <w:spacing w:after="0" w:line="116" w:lineRule="exact"/>
        <w:rPr>
          <w:sz w:val="20"/>
          <w:szCs w:val="20"/>
          <w:color w:val="auto"/>
        </w:rPr>
      </w:pPr>
    </w:p>
    <w:p>
      <w:pPr>
        <w:ind w:left="1680" w:hanging="808"/>
        <w:spacing w:after="0"/>
        <w:tabs>
          <w:tab w:leader="none" w:pos="1680" w:val="left"/>
        </w:tabs>
        <w:numPr>
          <w:ilvl w:val="0"/>
          <w:numId w:val="109"/>
        </w:numPr>
        <w:rPr>
          <w:rFonts w:ascii="Arial" w:cs="Arial" w:eastAsia="Arial" w:hAnsi="Arial"/>
          <w:sz w:val="22"/>
          <w:szCs w:val="22"/>
          <w:b w:val="1"/>
          <w:bCs w:val="1"/>
          <w:color w:val="010000"/>
        </w:rPr>
      </w:pPr>
      <w:r>
        <w:rPr>
          <w:rFonts w:ascii="Arial" w:cs="Arial" w:eastAsia="Arial" w:hAnsi="Arial"/>
          <w:sz w:val="22"/>
          <w:szCs w:val="22"/>
          <w:b w:val="1"/>
          <w:bCs w:val="1"/>
          <w:color w:val="auto"/>
        </w:rPr>
        <w:t>Employment by the Company.</w:t>
      </w:r>
    </w:p>
    <w:p>
      <w:pPr>
        <w:spacing w:after="0" w:line="20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1.1 </w:t>
      </w:r>
      <w:r>
        <w:rPr>
          <w:rFonts w:ascii="Arial" w:cs="Arial" w:eastAsia="Arial" w:hAnsi="Arial"/>
          <w:sz w:val="22"/>
          <w:szCs w:val="22"/>
          <w:b w:val="1"/>
          <w:bCs w:val="1"/>
          <w:color w:val="000000"/>
        </w:rPr>
        <w:t>Employment.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shall govern the terms of Executive’s employment with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Company, which shall commence as of November 29, 2021 or such other date as mutually determined by Executive and the Company (such date, the “</w:t>
      </w:r>
      <w:r>
        <w:rPr>
          <w:rFonts w:ascii="Arial" w:cs="Arial" w:eastAsia="Arial" w:hAnsi="Arial"/>
          <w:sz w:val="22"/>
          <w:szCs w:val="22"/>
          <w:b w:val="1"/>
          <w:bCs w:val="1"/>
          <w:color w:val="000000"/>
        </w:rPr>
        <w:t>Start Date</w:t>
      </w:r>
      <w:r>
        <w:rPr>
          <w:rFonts w:ascii="Arial" w:cs="Arial" w:eastAsia="Arial" w:hAnsi="Arial"/>
          <w:sz w:val="22"/>
          <w:szCs w:val="22"/>
          <w:color w:val="000000"/>
        </w:rPr>
        <w:t>”).</w:t>
      </w:r>
    </w:p>
    <w:p>
      <w:pPr>
        <w:spacing w:after="0" w:line="177"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1"/>
          <w:szCs w:val="21"/>
          <w:b w:val="1"/>
          <w:bCs w:val="1"/>
          <w:color w:val="010000"/>
        </w:rPr>
        <w:t xml:space="preserve">1.2 </w:t>
      </w:r>
      <w:r>
        <w:rPr>
          <w:rFonts w:ascii="Arial" w:cs="Arial" w:eastAsia="Arial" w:hAnsi="Arial"/>
          <w:sz w:val="21"/>
          <w:szCs w:val="21"/>
          <w:b w:val="1"/>
          <w:bCs w:val="1"/>
          <w:color w:val="000000"/>
        </w:rPr>
        <w:t>Position.</w:t>
      </w:r>
      <w:r>
        <w:rPr>
          <w:rFonts w:ascii="Arial" w:cs="Arial" w:eastAsia="Arial" w:hAnsi="Arial"/>
          <w:sz w:val="21"/>
          <w:szCs w:val="21"/>
          <w:b w:val="1"/>
          <w:bCs w:val="1"/>
          <w:color w:val="010000"/>
        </w:rPr>
        <w:t xml:space="preserve"> </w:t>
      </w:r>
      <w:r>
        <w:rPr>
          <w:rFonts w:ascii="Arial" w:cs="Arial" w:eastAsia="Arial" w:hAnsi="Arial"/>
          <w:sz w:val="21"/>
          <w:szCs w:val="21"/>
          <w:color w:val="000000"/>
        </w:rPr>
        <w:t>Executive shall serve as the Company’s Chief Financial Officer. During the term of</w:t>
      </w:r>
      <w:r>
        <w:rPr>
          <w:rFonts w:ascii="Arial" w:cs="Arial" w:eastAsia="Arial" w:hAnsi="Arial"/>
          <w:sz w:val="21"/>
          <w:szCs w:val="21"/>
          <w:b w:val="1"/>
          <w:bCs w:val="1"/>
          <w:color w:val="010000"/>
        </w:rPr>
        <w:t xml:space="preserve"> </w:t>
      </w:r>
      <w:r>
        <w:rPr>
          <w:rFonts w:ascii="Arial" w:cs="Arial" w:eastAsia="Arial" w:hAnsi="Arial"/>
          <w:sz w:val="21"/>
          <w:szCs w:val="21"/>
          <w:color w:val="000000"/>
        </w:rPr>
        <w:t>Executive’s employment with the Company hereunder, Executive will devote Executive’s best efforts and substantially all of Executive’s business time and attention to the business of the Company, except as otherwise set forth in Section 11.1.</w:t>
      </w:r>
    </w:p>
    <w:p>
      <w:pPr>
        <w:spacing w:after="0" w:line="160"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 </w:t>
      </w:r>
      <w:r>
        <w:rPr>
          <w:rFonts w:ascii="Arial" w:cs="Arial" w:eastAsia="Arial" w:hAnsi="Arial"/>
          <w:sz w:val="22"/>
          <w:szCs w:val="22"/>
          <w:b w:val="1"/>
          <w:bCs w:val="1"/>
          <w:color w:val="000000"/>
        </w:rPr>
        <w:t>Duties and Location.</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shall perform such duties as are typically performed by a Chief</w:t>
      </w:r>
      <w:r>
        <w:rPr>
          <w:rFonts w:ascii="Arial" w:cs="Arial" w:eastAsia="Arial" w:hAnsi="Arial"/>
          <w:sz w:val="22"/>
          <w:szCs w:val="22"/>
          <w:b w:val="1"/>
          <w:bCs w:val="1"/>
          <w:color w:val="010000"/>
        </w:rPr>
        <w:t xml:space="preserve"> </w:t>
      </w:r>
      <w:r>
        <w:rPr>
          <w:rFonts w:ascii="Arial" w:cs="Arial" w:eastAsia="Arial" w:hAnsi="Arial"/>
          <w:sz w:val="22"/>
          <w:szCs w:val="22"/>
          <w:color w:val="000000"/>
        </w:rPr>
        <w:t>Financial Officer. Executive will initially report to the Company’s Chief Executive Officer. Executive’s primary office location shall be the Company’s office located in Wilmington, Delaware.</w:t>
      </w:r>
    </w:p>
    <w:p>
      <w:pPr>
        <w:spacing w:after="0" w:line="177"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1"/>
          <w:szCs w:val="21"/>
          <w:b w:val="1"/>
          <w:bCs w:val="1"/>
          <w:color w:val="010000"/>
        </w:rPr>
        <w:t xml:space="preserve">1.4 </w:t>
      </w:r>
      <w:r>
        <w:rPr>
          <w:rFonts w:ascii="Arial" w:cs="Arial" w:eastAsia="Arial" w:hAnsi="Arial"/>
          <w:sz w:val="21"/>
          <w:szCs w:val="21"/>
          <w:b w:val="1"/>
          <w:bCs w:val="1"/>
          <w:color w:val="000000"/>
        </w:rPr>
        <w:t>Policies and Procedures.</w:t>
      </w:r>
      <w:r>
        <w:rPr>
          <w:rFonts w:ascii="Arial" w:cs="Arial" w:eastAsia="Arial" w:hAnsi="Arial"/>
          <w:sz w:val="21"/>
          <w:szCs w:val="21"/>
          <w:b w:val="1"/>
          <w:bCs w:val="1"/>
          <w:color w:val="010000"/>
        </w:rPr>
        <w:t xml:space="preserve"> </w:t>
      </w:r>
      <w:r>
        <w:rPr>
          <w:rFonts w:ascii="Arial" w:cs="Arial" w:eastAsia="Arial" w:hAnsi="Arial"/>
          <w:sz w:val="21"/>
          <w:szCs w:val="21"/>
          <w:color w:val="000000"/>
        </w:rPr>
        <w:t>The employment relationship between the Parties shall be governed by</w:t>
      </w:r>
      <w:r>
        <w:rPr>
          <w:rFonts w:ascii="Arial" w:cs="Arial" w:eastAsia="Arial" w:hAnsi="Arial"/>
          <w:sz w:val="21"/>
          <w:szCs w:val="21"/>
          <w:b w:val="1"/>
          <w:bCs w:val="1"/>
          <w:color w:val="010000"/>
        </w:rPr>
        <w:t xml:space="preserve"> </w:t>
      </w:r>
      <w:r>
        <w:rPr>
          <w:rFonts w:ascii="Arial" w:cs="Arial" w:eastAsia="Arial" w:hAnsi="Arial"/>
          <w:sz w:val="21"/>
          <w:szCs w:val="21"/>
          <w:color w:val="000000"/>
        </w:rPr>
        <w:t>the general employment policies and practices of the Company, except that when the terms of this Agreement differ from or are in conflict with the Company’s general employment policies or practices, this Agreement shall control.</w:t>
      </w:r>
    </w:p>
    <w:p>
      <w:pPr>
        <w:spacing w:after="0" w:line="160" w:lineRule="exact"/>
        <w:rPr>
          <w:sz w:val="20"/>
          <w:szCs w:val="20"/>
          <w:color w:val="auto"/>
        </w:rPr>
      </w:pPr>
    </w:p>
    <w:p>
      <w:pPr>
        <w:ind w:left="1680" w:hanging="808"/>
        <w:spacing w:after="0"/>
        <w:tabs>
          <w:tab w:leader="none" w:pos="1680" w:val="left"/>
        </w:tabs>
        <w:numPr>
          <w:ilvl w:val="0"/>
          <w:numId w:val="110"/>
        </w:numPr>
        <w:rPr>
          <w:rFonts w:ascii="Arial" w:cs="Arial" w:eastAsia="Arial" w:hAnsi="Arial"/>
          <w:sz w:val="22"/>
          <w:szCs w:val="22"/>
          <w:b w:val="1"/>
          <w:bCs w:val="1"/>
          <w:color w:val="010000"/>
        </w:rPr>
      </w:pPr>
      <w:r>
        <w:rPr>
          <w:rFonts w:ascii="Arial" w:cs="Arial" w:eastAsia="Arial" w:hAnsi="Arial"/>
          <w:sz w:val="22"/>
          <w:szCs w:val="22"/>
          <w:b w:val="1"/>
          <w:bCs w:val="1"/>
          <w:color w:val="auto"/>
        </w:rPr>
        <w:t>Compensation.</w:t>
      </w:r>
    </w:p>
    <w:p>
      <w:pPr>
        <w:spacing w:after="0" w:line="206" w:lineRule="exact"/>
        <w:rPr>
          <w:sz w:val="20"/>
          <w:szCs w:val="20"/>
          <w:color w:val="auto"/>
        </w:rPr>
      </w:pPr>
    </w:p>
    <w:p>
      <w:pPr>
        <w:jc w:val="both"/>
        <w:ind w:firstLine="1727"/>
        <w:spacing w:after="0" w:line="300" w:lineRule="auto"/>
        <w:rPr>
          <w:sz w:val="20"/>
          <w:szCs w:val="20"/>
          <w:color w:val="auto"/>
        </w:rPr>
      </w:pPr>
      <w:r>
        <w:rPr>
          <w:rFonts w:ascii="Arial" w:cs="Arial" w:eastAsia="Arial" w:hAnsi="Arial"/>
          <w:sz w:val="19"/>
          <w:szCs w:val="19"/>
          <w:b w:val="1"/>
          <w:bCs w:val="1"/>
          <w:color w:val="010000"/>
        </w:rPr>
        <w:t xml:space="preserve">2.1 </w:t>
      </w:r>
      <w:r>
        <w:rPr>
          <w:rFonts w:ascii="Arial" w:cs="Arial" w:eastAsia="Arial" w:hAnsi="Arial"/>
          <w:sz w:val="19"/>
          <w:szCs w:val="19"/>
          <w:b w:val="1"/>
          <w:bCs w:val="1"/>
          <w:color w:val="000000"/>
        </w:rPr>
        <w:t>Salary.</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services to be rendered hereunder, Executive shall receive a base salary at the rate of</w:t>
      </w:r>
      <w:r>
        <w:rPr>
          <w:rFonts w:ascii="Arial" w:cs="Arial" w:eastAsia="Arial" w:hAnsi="Arial"/>
          <w:sz w:val="19"/>
          <w:szCs w:val="19"/>
          <w:b w:val="1"/>
          <w:bCs w:val="1"/>
          <w:color w:val="010000"/>
        </w:rPr>
        <w:t xml:space="preserve"> </w:t>
      </w:r>
      <w:r>
        <w:rPr>
          <w:rFonts w:ascii="Arial" w:cs="Arial" w:eastAsia="Arial" w:hAnsi="Arial"/>
          <w:sz w:val="19"/>
          <w:szCs w:val="19"/>
          <w:color w:val="000000"/>
        </w:rPr>
        <w:t>four hundred thousand U.S. Dollars ($400,000) per year (such base salary, as in effect from time to time, the “</w:t>
      </w:r>
      <w:r>
        <w:rPr>
          <w:rFonts w:ascii="Arial" w:cs="Arial" w:eastAsia="Arial" w:hAnsi="Arial"/>
          <w:sz w:val="19"/>
          <w:szCs w:val="19"/>
          <w:b w:val="1"/>
          <w:bCs w:val="1"/>
          <w:color w:val="000000"/>
        </w:rPr>
        <w:t>Base Salary</w:t>
      </w:r>
      <w:r>
        <w:rPr>
          <w:rFonts w:ascii="Arial" w:cs="Arial" w:eastAsia="Arial" w:hAnsi="Arial"/>
          <w:sz w:val="19"/>
          <w:szCs w:val="19"/>
          <w:color w:val="000000"/>
        </w:rPr>
        <w:t>”), subject to standard payroll deductions and withholdings and payable in accordance with the Company’s regular payroll schedule.</w:t>
      </w:r>
    </w:p>
    <w:p>
      <w:pPr>
        <w:spacing w:after="0" w:line="126" w:lineRule="exact"/>
        <w:rPr>
          <w:sz w:val="20"/>
          <w:szCs w:val="20"/>
          <w:color w:val="auto"/>
        </w:rPr>
      </w:pPr>
    </w:p>
    <w:p>
      <w:pPr>
        <w:jc w:val="both"/>
        <w:ind w:firstLine="1727"/>
        <w:spacing w:after="0" w:line="251" w:lineRule="auto"/>
        <w:rPr>
          <w:sz w:val="20"/>
          <w:szCs w:val="20"/>
          <w:color w:val="auto"/>
        </w:rPr>
      </w:pPr>
      <w:r>
        <w:rPr>
          <w:rFonts w:ascii="Arial" w:cs="Arial" w:eastAsia="Arial" w:hAnsi="Arial"/>
          <w:sz w:val="21"/>
          <w:szCs w:val="21"/>
          <w:b w:val="1"/>
          <w:bCs w:val="1"/>
          <w:color w:val="010000"/>
        </w:rPr>
        <w:t xml:space="preserve">2.2 </w:t>
      </w:r>
      <w:r>
        <w:rPr>
          <w:rFonts w:ascii="Arial" w:cs="Arial" w:eastAsia="Arial" w:hAnsi="Arial"/>
          <w:sz w:val="21"/>
          <w:szCs w:val="21"/>
          <w:b w:val="1"/>
          <w:bCs w:val="1"/>
          <w:color w:val="000000"/>
        </w:rPr>
        <w:t>Annual Bonus; Sign-On Bonus.</w:t>
      </w:r>
      <w:r>
        <w:rPr>
          <w:rFonts w:ascii="Arial" w:cs="Arial" w:eastAsia="Arial" w:hAnsi="Arial"/>
          <w:sz w:val="21"/>
          <w:szCs w:val="21"/>
          <w:b w:val="1"/>
          <w:bCs w:val="1"/>
          <w:color w:val="010000"/>
        </w:rPr>
        <w:t xml:space="preserve"> </w:t>
      </w:r>
      <w:r>
        <w:rPr>
          <w:rFonts w:ascii="Arial" w:cs="Arial" w:eastAsia="Arial" w:hAnsi="Arial"/>
          <w:sz w:val="21"/>
          <w:szCs w:val="21"/>
          <w:color w:val="000000"/>
        </w:rPr>
        <w:t>Executive will be eligible for an annual discretionary bonus with</w:t>
      </w:r>
      <w:r>
        <w:rPr>
          <w:rFonts w:ascii="Arial" w:cs="Arial" w:eastAsia="Arial" w:hAnsi="Arial"/>
          <w:sz w:val="21"/>
          <w:szCs w:val="21"/>
          <w:b w:val="1"/>
          <w:bCs w:val="1"/>
          <w:color w:val="010000"/>
        </w:rPr>
        <w:t xml:space="preserve"> </w:t>
      </w:r>
      <w:r>
        <w:rPr>
          <w:rFonts w:ascii="Arial" w:cs="Arial" w:eastAsia="Arial" w:hAnsi="Arial"/>
          <w:sz w:val="21"/>
          <w:szCs w:val="21"/>
          <w:color w:val="000000"/>
        </w:rPr>
        <w:t>a target amount equal to 40% of Executive’s Base Salary (the “</w:t>
      </w:r>
      <w:r>
        <w:rPr>
          <w:rFonts w:ascii="Arial" w:cs="Arial" w:eastAsia="Arial" w:hAnsi="Arial"/>
          <w:sz w:val="21"/>
          <w:szCs w:val="21"/>
          <w:b w:val="1"/>
          <w:bCs w:val="1"/>
          <w:color w:val="000000"/>
        </w:rPr>
        <w:t>Annual Bonus</w:t>
      </w:r>
      <w:r>
        <w:rPr>
          <w:rFonts w:ascii="Arial" w:cs="Arial" w:eastAsia="Arial" w:hAnsi="Arial"/>
          <w:sz w:val="21"/>
          <w:szCs w:val="21"/>
          <w:color w:val="000000"/>
        </w:rPr>
        <w:t>”), which shall be prorated for Executive’s initial year of employment. Whether Executive receives an Annual Bonus for any given year, and the amount of any such Annual Bonus, will be determined by the board of directors of the Company (the “</w:t>
      </w:r>
      <w:r>
        <w:rPr>
          <w:rFonts w:ascii="Arial" w:cs="Arial" w:eastAsia="Arial" w:hAnsi="Arial"/>
          <w:sz w:val="21"/>
          <w:szCs w:val="21"/>
          <w:b w:val="1"/>
          <w:bCs w:val="1"/>
          <w:color w:val="000000"/>
        </w:rPr>
        <w:t>Board</w:t>
      </w:r>
      <w:r>
        <w:rPr>
          <w:rFonts w:ascii="Arial" w:cs="Arial" w:eastAsia="Arial" w:hAnsi="Arial"/>
          <w:sz w:val="21"/>
          <w:szCs w:val="21"/>
          <w:color w:val="000000"/>
        </w:rPr>
        <w:t>”) or the compensation committee thereof in its sole discretion based upon the Company’s achievement of objectives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4" w:name="page155"/>
    <w:bookmarkEnd w:id="154"/>
    <w:p>
      <w:pPr>
        <w:jc w:val="both"/>
        <w:spacing w:after="0" w:line="238" w:lineRule="auto"/>
        <w:rPr>
          <w:sz w:val="20"/>
          <w:szCs w:val="20"/>
          <w:color w:val="auto"/>
        </w:rPr>
      </w:pPr>
      <w:r>
        <w:rPr>
          <w:rFonts w:ascii="Arial" w:cs="Arial" w:eastAsia="Arial" w:hAnsi="Arial"/>
          <w:sz w:val="22"/>
          <w:szCs w:val="22"/>
          <w:color w:val="auto"/>
        </w:rPr>
        <w:t>milestones to be determined at the beginning of each year and mutually agreed upon by Executive and the Company’s Chief Executive Officer and approved by the compensation committee of the Board. Executive will not be eligible for, and will not earn, any Annual Bonus (including a prorated bonus) if Executive’s employment terminates for any reason before any Annual Bonus is paid.</w:t>
      </w:r>
    </w:p>
    <w:p>
      <w:pPr>
        <w:spacing w:after="0" w:line="18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In addition, Executive will be entitled to receive a one-time sign-on bonus of one hundred and sixty thousand U.S. Dollars ($160,000) (the “</w:t>
      </w:r>
      <w:r>
        <w:rPr>
          <w:rFonts w:ascii="Arial" w:cs="Arial" w:eastAsia="Arial" w:hAnsi="Arial"/>
          <w:sz w:val="22"/>
          <w:szCs w:val="22"/>
          <w:b w:val="1"/>
          <w:bCs w:val="1"/>
          <w:color w:val="auto"/>
        </w:rPr>
        <w:t>Sign-On Bonus</w:t>
      </w:r>
      <w:r>
        <w:rPr>
          <w:rFonts w:ascii="Arial" w:cs="Arial" w:eastAsia="Arial" w:hAnsi="Arial"/>
          <w:sz w:val="22"/>
          <w:szCs w:val="22"/>
          <w:color w:val="auto"/>
        </w:rPr>
        <w:t>”), payable in a single lump-sum in January 2022, subject to Executive’s continued employment through such date. In the event Executive’s employment with the Company is terminated by the Company for Cause or Executive resigns for any reason, in each case prior to the first anniversary of the Start Date, the Company shall be entitled to recoup, and Executive hereby agrees to repay to the Company, the full amount of the Sign-On Bonus within 10 days following such termination of employment.</w:t>
      </w:r>
    </w:p>
    <w:p>
      <w:pPr>
        <w:spacing w:after="0" w:line="182"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b w:val="1"/>
          <w:bCs w:val="1"/>
          <w:color w:val="010000"/>
        </w:rPr>
        <w:t xml:space="preserve">2.3 </w:t>
      </w:r>
      <w:r>
        <w:rPr>
          <w:rFonts w:ascii="Arial" w:cs="Arial" w:eastAsia="Arial" w:hAnsi="Arial"/>
          <w:sz w:val="19"/>
          <w:szCs w:val="19"/>
          <w:b w:val="1"/>
          <w:bCs w:val="1"/>
          <w:color w:val="000000"/>
        </w:rPr>
        <w:t>Equity.</w:t>
      </w:r>
      <w:r>
        <w:rPr>
          <w:rFonts w:ascii="Arial" w:cs="Arial" w:eastAsia="Arial" w:hAnsi="Arial"/>
          <w:sz w:val="19"/>
          <w:szCs w:val="19"/>
          <w:b w:val="1"/>
          <w:bCs w:val="1"/>
          <w:color w:val="010000"/>
        </w:rPr>
        <w:t xml:space="preserve"> </w:t>
      </w:r>
      <w:r>
        <w:rPr>
          <w:rFonts w:ascii="Arial" w:cs="Arial" w:eastAsia="Arial" w:hAnsi="Arial"/>
          <w:sz w:val="19"/>
          <w:szCs w:val="19"/>
          <w:color w:val="000000"/>
        </w:rPr>
        <w:t>Subject to approval by the Board or the compensation committee thereof, the Company</w:t>
      </w:r>
      <w:r>
        <w:rPr>
          <w:rFonts w:ascii="Arial" w:cs="Arial" w:eastAsia="Arial" w:hAnsi="Arial"/>
          <w:sz w:val="19"/>
          <w:szCs w:val="19"/>
          <w:b w:val="1"/>
          <w:bCs w:val="1"/>
          <w:color w:val="010000"/>
        </w:rPr>
        <w:t xml:space="preserve"> </w:t>
      </w:r>
      <w:r>
        <w:rPr>
          <w:rFonts w:ascii="Arial" w:cs="Arial" w:eastAsia="Arial" w:hAnsi="Arial"/>
          <w:sz w:val="19"/>
          <w:szCs w:val="19"/>
          <w:color w:val="000000"/>
        </w:rPr>
        <w:t>will grant Executive an option to purchase one hundred and eighty thousand (180,000) shares of the Company’s common stock, with a per share exercise price equal to the fair market value of a share of the Company’s common stock on the date of grant, as determined by the Board or the compensation committee thereof in accordance with the Company’s customary stock option granting practices (the “</w:t>
      </w:r>
      <w:r>
        <w:rPr>
          <w:rFonts w:ascii="Arial" w:cs="Arial" w:eastAsia="Arial" w:hAnsi="Arial"/>
          <w:sz w:val="19"/>
          <w:szCs w:val="19"/>
          <w:b w:val="1"/>
          <w:bCs w:val="1"/>
          <w:color w:val="000000"/>
        </w:rPr>
        <w:t>Option</w:t>
      </w:r>
      <w:r>
        <w:rPr>
          <w:rFonts w:ascii="Arial" w:cs="Arial" w:eastAsia="Arial" w:hAnsi="Arial"/>
          <w:sz w:val="19"/>
          <w:szCs w:val="19"/>
          <w:color w:val="000000"/>
        </w:rPr>
        <w:t>”). Subject to approval by the Board, the Option will be granted on the first business day of the month following the Start Date. 1/4</w:t>
      </w:r>
      <w:r>
        <w:rPr>
          <w:rFonts w:ascii="Arial" w:cs="Arial" w:eastAsia="Arial" w:hAnsi="Arial"/>
          <w:sz w:val="16"/>
          <w:szCs w:val="16"/>
          <w:color w:val="000000"/>
        </w:rPr>
        <w:t>th</w:t>
      </w:r>
      <w:r>
        <w:rPr>
          <w:rFonts w:ascii="Arial" w:cs="Arial" w:eastAsia="Arial" w:hAnsi="Arial"/>
          <w:sz w:val="19"/>
          <w:szCs w:val="19"/>
          <w:color w:val="000000"/>
        </w:rPr>
        <w:t xml:space="preserve"> of the shares underlying the Option will vest and become exercisable on the one-year anniversary of the Start Date, and 1/48</w:t>
      </w:r>
      <w:r>
        <w:rPr>
          <w:rFonts w:ascii="Arial" w:cs="Arial" w:eastAsia="Arial" w:hAnsi="Arial"/>
          <w:sz w:val="16"/>
          <w:szCs w:val="16"/>
          <w:color w:val="000000"/>
        </w:rPr>
        <w:t>th</w:t>
      </w:r>
      <w:r>
        <w:rPr>
          <w:rFonts w:ascii="Arial" w:cs="Arial" w:eastAsia="Arial" w:hAnsi="Arial"/>
          <w:sz w:val="19"/>
          <w:szCs w:val="19"/>
          <w:color w:val="000000"/>
        </w:rPr>
        <w:t xml:space="preserve"> of the shares underlying the Option will vest and become exercisable on a monthly basis thereafter, such that 100% of the shares underlying the Option shall be vested and exercisable as of the four-year anniversary of the Start Date, in each case so long as Executive remains employed by the Company through each applicable vesting date. If the applicable vesting schedule results in a fractional share, such fractional share shall not vest until the immediately following vesting date. The Option will be subject to the terms and conditions consistent with those provided in the Company’s 2020 Equity Incentive Plan, and will be governed in all respects by the terms of the applicable stock option agreement to be entered into between Executive and the Company, except as specifically provided herein. Further details regarding the Option will be provided to the Executive upon approval of such grant by the Board. Executive may be considered for future grants of equity awards in the discretion of the Board or the compensation committee thereof pursuant to its regular review process commencing in the first fiscal quarter of 2022.</w:t>
      </w:r>
    </w:p>
    <w:p>
      <w:pPr>
        <w:spacing w:after="0" w:line="200" w:lineRule="exact"/>
        <w:rPr>
          <w:sz w:val="20"/>
          <w:szCs w:val="20"/>
          <w:color w:val="auto"/>
        </w:rPr>
      </w:pPr>
    </w:p>
    <w:p>
      <w:pPr>
        <w:spacing w:after="0" w:line="203" w:lineRule="exact"/>
        <w:rPr>
          <w:sz w:val="20"/>
          <w:szCs w:val="20"/>
          <w:color w:val="auto"/>
        </w:rPr>
      </w:pPr>
    </w:p>
    <w:p>
      <w:pPr>
        <w:jc w:val="both"/>
        <w:ind w:firstLine="872"/>
        <w:spacing w:after="0" w:line="260" w:lineRule="auto"/>
        <w:tabs>
          <w:tab w:leader="none" w:pos="1674" w:val="left"/>
        </w:tabs>
        <w:numPr>
          <w:ilvl w:val="0"/>
          <w:numId w:val="111"/>
        </w:numPr>
        <w:rPr>
          <w:rFonts w:ascii="Arial" w:cs="Arial" w:eastAsia="Arial" w:hAnsi="Arial"/>
          <w:sz w:val="21"/>
          <w:szCs w:val="21"/>
          <w:b w:val="1"/>
          <w:bCs w:val="1"/>
          <w:color w:val="010000"/>
        </w:rPr>
      </w:pPr>
      <w:r>
        <w:rPr>
          <w:rFonts w:ascii="Arial" w:cs="Arial" w:eastAsia="Arial" w:hAnsi="Arial"/>
          <w:sz w:val="21"/>
          <w:szCs w:val="21"/>
          <w:b w:val="1"/>
          <w:bCs w:val="1"/>
          <w:color w:val="auto"/>
        </w:rPr>
        <w:t xml:space="preserve">Standard Company Benefits. </w:t>
      </w:r>
      <w:r>
        <w:rPr>
          <w:rFonts w:ascii="Arial" w:cs="Arial" w:eastAsia="Arial" w:hAnsi="Arial"/>
          <w:sz w:val="21"/>
          <w:szCs w:val="21"/>
          <w:color w:val="auto"/>
        </w:rPr>
        <w:t>Executive shall be entitled to accrue four weeks of paid time off per annum</w:t>
      </w:r>
      <w:r>
        <w:rPr>
          <w:rFonts w:ascii="Arial" w:cs="Arial" w:eastAsia="Arial" w:hAnsi="Arial"/>
          <w:sz w:val="21"/>
          <w:szCs w:val="21"/>
          <w:b w:val="1"/>
          <w:bCs w:val="1"/>
          <w:color w:val="auto"/>
        </w:rPr>
        <w:t xml:space="preserve"> </w:t>
      </w:r>
      <w:r>
        <w:rPr>
          <w:rFonts w:ascii="Arial" w:cs="Arial" w:eastAsia="Arial" w:hAnsi="Arial"/>
          <w:sz w:val="21"/>
          <w:szCs w:val="21"/>
          <w:color w:val="auto"/>
        </w:rPr>
        <w:t>and participate in all other employee benefit programs for which Executive is eligible under the terms and conditions of the benefit plans that may be in effect from time to time and provided by the Company to its employees.</w:t>
      </w:r>
    </w:p>
    <w:p>
      <w:pPr>
        <w:spacing w:after="0" w:line="160" w:lineRule="exact"/>
        <w:rPr>
          <w:rFonts w:ascii="Arial" w:cs="Arial" w:eastAsia="Arial" w:hAnsi="Arial"/>
          <w:sz w:val="21"/>
          <w:szCs w:val="21"/>
          <w:b w:val="1"/>
          <w:bCs w:val="1"/>
          <w:color w:val="010000"/>
        </w:rPr>
      </w:pPr>
    </w:p>
    <w:p>
      <w:pPr>
        <w:jc w:val="both"/>
        <w:ind w:firstLine="872"/>
        <w:spacing w:after="0" w:line="243" w:lineRule="auto"/>
        <w:tabs>
          <w:tab w:leader="none" w:pos="1674" w:val="left"/>
        </w:tabs>
        <w:numPr>
          <w:ilvl w:val="0"/>
          <w:numId w:val="111"/>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Expenses. </w:t>
      </w:r>
      <w:r>
        <w:rPr>
          <w:rFonts w:ascii="Arial" w:cs="Arial" w:eastAsia="Arial" w:hAnsi="Arial"/>
          <w:sz w:val="22"/>
          <w:szCs w:val="22"/>
          <w:color w:val="auto"/>
        </w:rPr>
        <w:t>The Company will reimburse Executive for reasonable travel, entertainment or other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Executive in furtherance or in connection with the performance of Executive’s duties hereunder, in accordance with the Company’s expense reimbursement policy as in effect from time to time.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5" w:name="page156"/>
    <w:bookmarkEnd w:id="155"/>
    <w:p>
      <w:pPr>
        <w:ind w:left="1680" w:hanging="808"/>
        <w:spacing w:after="0"/>
        <w:tabs>
          <w:tab w:leader="none" w:pos="1680" w:val="left"/>
        </w:tabs>
        <w:numPr>
          <w:ilvl w:val="0"/>
          <w:numId w:val="112"/>
        </w:numPr>
        <w:rPr>
          <w:rFonts w:ascii="Arial" w:cs="Arial" w:eastAsia="Arial" w:hAnsi="Arial"/>
          <w:sz w:val="22"/>
          <w:szCs w:val="22"/>
          <w:b w:val="1"/>
          <w:bCs w:val="1"/>
          <w:color w:val="010000"/>
        </w:rPr>
      </w:pPr>
      <w:r>
        <w:rPr>
          <w:rFonts w:ascii="Arial" w:cs="Arial" w:eastAsia="Arial" w:hAnsi="Arial"/>
          <w:sz w:val="22"/>
          <w:szCs w:val="22"/>
          <w:b w:val="1"/>
          <w:bCs w:val="1"/>
          <w:color w:val="auto"/>
        </w:rPr>
        <w:t>Termination of Employment; Severance.</w:t>
      </w:r>
    </w:p>
    <w:p>
      <w:pPr>
        <w:spacing w:after="0" w:line="206"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b w:val="1"/>
          <w:bCs w:val="1"/>
          <w:color w:val="010000"/>
        </w:rPr>
        <w:t xml:space="preserve">5.1 </w:t>
      </w:r>
      <w:r>
        <w:rPr>
          <w:rFonts w:ascii="Arial" w:cs="Arial" w:eastAsia="Arial" w:hAnsi="Arial"/>
          <w:sz w:val="19"/>
          <w:szCs w:val="19"/>
          <w:b w:val="1"/>
          <w:bCs w:val="1"/>
          <w:color w:val="000000"/>
        </w:rPr>
        <w:t>At-Will Employment.</w:t>
      </w:r>
      <w:r>
        <w:rPr>
          <w:rFonts w:ascii="Arial" w:cs="Arial" w:eastAsia="Arial" w:hAnsi="Arial"/>
          <w:sz w:val="19"/>
          <w:szCs w:val="19"/>
          <w:b w:val="1"/>
          <w:bCs w:val="1"/>
          <w:color w:val="010000"/>
        </w:rPr>
        <w:t xml:space="preserve"> </w:t>
      </w:r>
      <w:r>
        <w:rPr>
          <w:rFonts w:ascii="Arial" w:cs="Arial" w:eastAsia="Arial" w:hAnsi="Arial"/>
          <w:sz w:val="19"/>
          <w:szCs w:val="19"/>
          <w:color w:val="000000"/>
        </w:rPr>
        <w:t>Executive’s employment relationship is at-will. Either Executive or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Company may terminate the employment relationship at any time, with or without Cause (as defined below) or advance notice. In the event Executive’s employment relationship is terminated for any reason, Executive shall be entitled to receive Executive’s earned but unpaid Base Salary, unreimbursed business expenses properly incurred by Executive pursuant to Section 4 and any other compensation or benefit earned by or owed to (but not yet paid to) Executive through and including the date of termination, payable in a lump sum on the next regularly scheduled payroll date following the date on which Executive’s employment terminated, or at such other date as shall be specified under the terms of the employee benefit plan pursuant to which such compensation or benefit is payable. Executive shall also resign from all positions and terminate any relationships as an employee, advisor, officer or director with the Company and any of its affiliates, each effective on the date of termination.</w:t>
      </w:r>
    </w:p>
    <w:p>
      <w:pPr>
        <w:spacing w:after="0" w:line="150" w:lineRule="exact"/>
        <w:rPr>
          <w:sz w:val="20"/>
          <w:szCs w:val="20"/>
          <w:color w:val="auto"/>
        </w:rPr>
      </w:pPr>
    </w:p>
    <w:p>
      <w:pPr>
        <w:jc w:val="both"/>
        <w:ind w:firstLine="1727"/>
        <w:spacing w:after="0" w:line="251" w:lineRule="auto"/>
        <w:rPr>
          <w:sz w:val="20"/>
          <w:szCs w:val="20"/>
          <w:color w:val="auto"/>
        </w:rPr>
      </w:pPr>
      <w:r>
        <w:rPr>
          <w:rFonts w:ascii="Arial" w:cs="Arial" w:eastAsia="Arial" w:hAnsi="Arial"/>
          <w:sz w:val="21"/>
          <w:szCs w:val="21"/>
          <w:b w:val="1"/>
          <w:bCs w:val="1"/>
          <w:color w:val="010000"/>
        </w:rPr>
        <w:t xml:space="preserve">5.2 </w:t>
      </w:r>
      <w:r>
        <w:rPr>
          <w:rFonts w:ascii="Arial" w:cs="Arial" w:eastAsia="Arial" w:hAnsi="Arial"/>
          <w:sz w:val="21"/>
          <w:szCs w:val="21"/>
          <w:b w:val="1"/>
          <w:bCs w:val="1"/>
          <w:color w:val="000000"/>
        </w:rPr>
        <w:t>Severance Benefits for Termination Without Cause Unrelated to a Change of Control.</w:t>
      </w:r>
      <w:r>
        <w:rPr>
          <w:rFonts w:ascii="Arial" w:cs="Arial" w:eastAsia="Arial" w:hAnsi="Arial"/>
          <w:sz w:val="21"/>
          <w:szCs w:val="21"/>
          <w:b w:val="1"/>
          <w:bCs w:val="1"/>
          <w:color w:val="010000"/>
        </w:rPr>
        <w:t xml:space="preserve"> </w:t>
      </w:r>
      <w:r>
        <w:rPr>
          <w:rFonts w:ascii="Arial" w:cs="Arial" w:eastAsia="Arial" w:hAnsi="Arial"/>
          <w:sz w:val="21"/>
          <w:szCs w:val="21"/>
          <w:color w:val="000000"/>
        </w:rPr>
        <w:t>In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event Executive’s employment with the Company is terminated by the Company without Cause prior to a Change of Control (as defined below) or more than twelve (12) months following a Change of Control, the Company shall provide Executive with the following payments and benefits, provided that Executive remains in compliance with the terms of this Agreement and the Restrictive Covenant Agreement (as defined below) and subject to Section 6 below:</w:t>
      </w:r>
    </w:p>
    <w:p>
      <w:pPr>
        <w:spacing w:after="0" w:line="174" w:lineRule="exact"/>
        <w:rPr>
          <w:sz w:val="20"/>
          <w:szCs w:val="20"/>
          <w:color w:val="auto"/>
        </w:rPr>
      </w:pPr>
    </w:p>
    <w:p>
      <w:pPr>
        <w:jc w:val="both"/>
        <w:ind w:firstLine="2600"/>
        <w:spacing w:after="0" w:line="236" w:lineRule="auto"/>
        <w:tabs>
          <w:tab w:leader="none" w:pos="3444" w:val="left"/>
        </w:tabs>
        <w:numPr>
          <w:ilvl w:val="0"/>
          <w:numId w:val="113"/>
        </w:numPr>
        <w:rPr>
          <w:rFonts w:ascii="Arial" w:cs="Arial" w:eastAsia="Arial" w:hAnsi="Arial"/>
          <w:sz w:val="22"/>
          <w:szCs w:val="22"/>
          <w:color w:val="010000"/>
        </w:rPr>
      </w:pPr>
      <w:r>
        <w:rPr>
          <w:rFonts w:ascii="Arial" w:cs="Arial" w:eastAsia="Arial" w:hAnsi="Arial"/>
          <w:sz w:val="22"/>
          <w:szCs w:val="22"/>
          <w:color w:val="auto"/>
        </w:rPr>
        <w:t>The Company shall pay Executive, as severance, the equivalent of nine (9) months of Executive’s Base Salary as in effect as of the date of Executive’s employment termination. This severance will be paid in the form of salary continuation, payable on the Company’s regular payroll dates, subject to standard payroll deductions and withholdings, starting on the 60</w:t>
      </w:r>
      <w:r>
        <w:rPr>
          <w:rFonts w:ascii="Arial" w:cs="Arial" w:eastAsia="Arial" w:hAnsi="Arial"/>
          <w:sz w:val="18"/>
          <w:szCs w:val="18"/>
          <w:color w:val="auto"/>
        </w:rPr>
        <w:t>th</w:t>
      </w:r>
      <w:r>
        <w:rPr>
          <w:rFonts w:ascii="Arial" w:cs="Arial" w:eastAsia="Arial" w:hAnsi="Arial"/>
          <w:sz w:val="22"/>
          <w:szCs w:val="22"/>
          <w:color w:val="auto"/>
        </w:rPr>
        <w:t xml:space="preserve"> day after Executive’s termination date, with the first payment to include those payments that would have occurred earlier but for the 60-day delay.</w:t>
      </w:r>
    </w:p>
    <w:p>
      <w:pPr>
        <w:spacing w:after="0" w:line="187" w:lineRule="exact"/>
        <w:rPr>
          <w:rFonts w:ascii="Arial" w:cs="Arial" w:eastAsia="Arial" w:hAnsi="Arial"/>
          <w:sz w:val="22"/>
          <w:szCs w:val="22"/>
          <w:color w:val="010000"/>
        </w:rPr>
      </w:pPr>
    </w:p>
    <w:p>
      <w:pPr>
        <w:jc w:val="both"/>
        <w:ind w:firstLine="2600"/>
        <w:spacing w:after="0" w:line="272" w:lineRule="auto"/>
        <w:tabs>
          <w:tab w:leader="none" w:pos="3504" w:val="left"/>
        </w:tabs>
        <w:numPr>
          <w:ilvl w:val="0"/>
          <w:numId w:val="113"/>
        </w:numPr>
        <w:rPr>
          <w:rFonts w:ascii="Arial" w:cs="Arial" w:eastAsia="Arial" w:hAnsi="Arial"/>
          <w:sz w:val="19"/>
          <w:szCs w:val="19"/>
          <w:color w:val="010000"/>
        </w:rPr>
      </w:pPr>
      <w:r>
        <w:rPr>
          <w:rFonts w:ascii="Arial" w:cs="Arial" w:eastAsia="Arial" w:hAnsi="Arial"/>
          <w:sz w:val="19"/>
          <w:szCs w:val="19"/>
          <w:color w:val="auto"/>
        </w:rPr>
        <w:t>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nine (9)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6" w:name="page157"/>
    <w:bookmarkEnd w:id="156"/>
    <w:p>
      <w:pPr>
        <w:jc w:val="both"/>
        <w:ind w:firstLine="1727"/>
        <w:spacing w:after="0" w:line="283" w:lineRule="auto"/>
        <w:rPr>
          <w:sz w:val="20"/>
          <w:szCs w:val="20"/>
          <w:color w:val="auto"/>
        </w:rPr>
      </w:pPr>
      <w:r>
        <w:rPr>
          <w:rFonts w:ascii="Arial" w:cs="Arial" w:eastAsia="Arial" w:hAnsi="Arial"/>
          <w:sz w:val="19"/>
          <w:szCs w:val="19"/>
          <w:b w:val="1"/>
          <w:bCs w:val="1"/>
          <w:color w:val="010000"/>
        </w:rPr>
        <w:t xml:space="preserve">5.3 </w:t>
      </w:r>
      <w:r>
        <w:rPr>
          <w:rFonts w:ascii="Arial" w:cs="Arial" w:eastAsia="Arial" w:hAnsi="Arial"/>
          <w:sz w:val="19"/>
          <w:szCs w:val="19"/>
          <w:b w:val="1"/>
          <w:bCs w:val="1"/>
          <w:color w:val="000000"/>
        </w:rPr>
        <w:t>Severance Benefits for Termination Without Cause or Resignation with Good Reason</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 xml:space="preserve">Related to a Change of Control. </w:t>
      </w:r>
      <w:r>
        <w:rPr>
          <w:rFonts w:ascii="Arial" w:cs="Arial" w:eastAsia="Arial" w:hAnsi="Arial"/>
          <w:sz w:val="19"/>
          <w:szCs w:val="19"/>
          <w:color w:val="000000"/>
        </w:rPr>
        <w:t>In the event Executive’s employment with the Company is terminated by the Company without</w:t>
      </w:r>
      <w:r>
        <w:rPr>
          <w:rFonts w:ascii="Arial" w:cs="Arial" w:eastAsia="Arial" w:hAnsi="Arial"/>
          <w:sz w:val="19"/>
          <w:szCs w:val="19"/>
          <w:b w:val="1"/>
          <w:bCs w:val="1"/>
          <w:color w:val="000000"/>
        </w:rPr>
        <w:t xml:space="preserve"> </w:t>
      </w:r>
      <w:r>
        <w:rPr>
          <w:rFonts w:ascii="Arial" w:cs="Arial" w:eastAsia="Arial" w:hAnsi="Arial"/>
          <w:sz w:val="19"/>
          <w:szCs w:val="19"/>
          <w:color w:val="000000"/>
        </w:rPr>
        <w:t>Cause or Executive resigns for Good Reason in each case during the twelve (12) month period immediately following a Change of Control, the Company shall provide Executive with the following payments and benefits, provided that Executive remains in compliance with the terms of this Agreement and the Restrictive Covenant Agreement and subject to Section 6 below:</w:t>
      </w:r>
    </w:p>
    <w:p>
      <w:pPr>
        <w:spacing w:after="0" w:line="149" w:lineRule="exact"/>
        <w:rPr>
          <w:sz w:val="20"/>
          <w:szCs w:val="20"/>
          <w:color w:val="auto"/>
        </w:rPr>
      </w:pPr>
    </w:p>
    <w:p>
      <w:pPr>
        <w:jc w:val="both"/>
        <w:ind w:firstLine="2600"/>
        <w:spacing w:after="0" w:line="235" w:lineRule="auto"/>
        <w:tabs>
          <w:tab w:leader="none" w:pos="3444" w:val="left"/>
        </w:tabs>
        <w:numPr>
          <w:ilvl w:val="0"/>
          <w:numId w:val="114"/>
        </w:numPr>
        <w:rPr>
          <w:rFonts w:ascii="Arial" w:cs="Arial" w:eastAsia="Arial" w:hAnsi="Arial"/>
          <w:sz w:val="22"/>
          <w:szCs w:val="22"/>
          <w:color w:val="010000"/>
        </w:rPr>
      </w:pPr>
      <w:r>
        <w:rPr>
          <w:rFonts w:ascii="Arial" w:cs="Arial" w:eastAsia="Arial" w:hAnsi="Arial"/>
          <w:sz w:val="22"/>
          <w:szCs w:val="22"/>
          <w:color w:val="auto"/>
        </w:rPr>
        <w:t>The Company shall pay Executive, as severance, the equivalent of twelve (12) months of Executive’s Base Salary as in effect as of the date of Executive’s employment termination (disregarding any change to Executive’s Base Salary giving rise to Good Reason). This severance will be paid in the form of salary continuation, payable on the Company’s regular payroll dates, subject to standard payroll deductions and withholdings, starting on the 60</w:t>
      </w:r>
      <w:r>
        <w:rPr>
          <w:rFonts w:ascii="Arial" w:cs="Arial" w:eastAsia="Arial" w:hAnsi="Arial"/>
          <w:sz w:val="18"/>
          <w:szCs w:val="18"/>
          <w:color w:val="auto"/>
        </w:rPr>
        <w:t>th</w:t>
      </w:r>
      <w:r>
        <w:rPr>
          <w:rFonts w:ascii="Arial" w:cs="Arial" w:eastAsia="Arial" w:hAnsi="Arial"/>
          <w:sz w:val="22"/>
          <w:szCs w:val="22"/>
          <w:color w:val="auto"/>
        </w:rPr>
        <w:t xml:space="preserve"> day after Executive’s termination date, with the first payment to include those payments that would have occurred earlier but for the 60-day delay.</w:t>
      </w:r>
    </w:p>
    <w:p>
      <w:pPr>
        <w:spacing w:after="0" w:line="187" w:lineRule="exact"/>
        <w:rPr>
          <w:rFonts w:ascii="Arial" w:cs="Arial" w:eastAsia="Arial" w:hAnsi="Arial"/>
          <w:sz w:val="22"/>
          <w:szCs w:val="22"/>
          <w:color w:val="010000"/>
        </w:rPr>
      </w:pPr>
    </w:p>
    <w:p>
      <w:pPr>
        <w:jc w:val="both"/>
        <w:ind w:firstLine="2600"/>
        <w:spacing w:after="0" w:line="235" w:lineRule="auto"/>
        <w:tabs>
          <w:tab w:leader="none" w:pos="3504" w:val="left"/>
        </w:tabs>
        <w:numPr>
          <w:ilvl w:val="0"/>
          <w:numId w:val="114"/>
        </w:numPr>
        <w:rPr>
          <w:rFonts w:ascii="Arial" w:cs="Arial" w:eastAsia="Arial" w:hAnsi="Arial"/>
          <w:sz w:val="22"/>
          <w:szCs w:val="22"/>
          <w:color w:val="010000"/>
        </w:rPr>
      </w:pPr>
      <w:r>
        <w:rPr>
          <w:rFonts w:ascii="Arial" w:cs="Arial" w:eastAsia="Arial" w:hAnsi="Arial"/>
          <w:sz w:val="22"/>
          <w:szCs w:val="22"/>
          <w:color w:val="auto"/>
        </w:rPr>
        <w:t>In addition, the Company shall pay Executive, as severance, an amount equal to one hundred percent (100%) of Executive’s target annual bonus as in effect as of the date of Executive’s employment termination (disregarding any change to Executive’s Base Salary giving rise to Good Reason), payable in a lump sum, less deductions and withholdings, at the same time as the first severance payment described in Section 5.3(i) above. For the avoidance of doubt, the amount payable pursuant to this Section 5.3(ii) shall not be subject to proration based on the portion of the year elapsed as of the date of termination.</w:t>
      </w:r>
    </w:p>
    <w:p>
      <w:pPr>
        <w:spacing w:after="0" w:line="187" w:lineRule="exact"/>
        <w:rPr>
          <w:rFonts w:ascii="Arial" w:cs="Arial" w:eastAsia="Arial" w:hAnsi="Arial"/>
          <w:sz w:val="22"/>
          <w:szCs w:val="22"/>
          <w:color w:val="010000"/>
        </w:rPr>
      </w:pPr>
    </w:p>
    <w:p>
      <w:pPr>
        <w:jc w:val="both"/>
        <w:ind w:firstLine="2600"/>
        <w:spacing w:after="0" w:line="272" w:lineRule="auto"/>
        <w:tabs>
          <w:tab w:leader="none" w:pos="3564" w:val="left"/>
        </w:tabs>
        <w:numPr>
          <w:ilvl w:val="0"/>
          <w:numId w:val="114"/>
        </w:numPr>
        <w:rPr>
          <w:rFonts w:ascii="Arial" w:cs="Arial" w:eastAsia="Arial" w:hAnsi="Arial"/>
          <w:sz w:val="19"/>
          <w:szCs w:val="19"/>
          <w:color w:val="010000"/>
        </w:rPr>
      </w:pPr>
      <w:r>
        <w:rPr>
          <w:rFonts w:ascii="Arial" w:cs="Arial" w:eastAsia="Arial" w:hAnsi="Arial"/>
          <w:sz w:val="19"/>
          <w:szCs w:val="19"/>
          <w:color w:val="auto"/>
        </w:rPr>
        <w:t>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twelve (12)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60" w:lineRule="exact"/>
        <w:rPr>
          <w:rFonts w:ascii="Arial" w:cs="Arial" w:eastAsia="Arial" w:hAnsi="Arial"/>
          <w:sz w:val="19"/>
          <w:szCs w:val="19"/>
          <w:color w:val="010000"/>
        </w:rPr>
      </w:pPr>
    </w:p>
    <w:p>
      <w:pPr>
        <w:jc w:val="both"/>
        <w:ind w:firstLine="2600"/>
        <w:spacing w:after="0" w:line="287" w:lineRule="auto"/>
        <w:tabs>
          <w:tab w:leader="none" w:pos="3552" w:val="left"/>
        </w:tabs>
        <w:numPr>
          <w:ilvl w:val="0"/>
          <w:numId w:val="114"/>
        </w:numPr>
        <w:rPr>
          <w:rFonts w:ascii="Arial" w:cs="Arial" w:eastAsia="Arial" w:hAnsi="Arial"/>
          <w:sz w:val="19"/>
          <w:szCs w:val="19"/>
          <w:color w:val="010000"/>
        </w:rPr>
      </w:pPr>
      <w:r>
        <w:rPr>
          <w:rFonts w:ascii="Arial" w:cs="Arial" w:eastAsia="Arial" w:hAnsi="Arial"/>
          <w:sz w:val="19"/>
          <w:szCs w:val="19"/>
          <w:color w:val="auto"/>
        </w:rPr>
        <w:t xml:space="preserve">The vesting of all unvested equity-based incentive compensation awards outstanding as of the date of such Change in Control and held by Executive as of the date of such termination shall be accelerated such that 100% of the shares underlying such awards shall be deemed immediately vested and, in the case of stock options, exercisable; </w:t>
      </w:r>
      <w:r>
        <w:rPr>
          <w:rFonts w:ascii="Arial" w:cs="Arial" w:eastAsia="Arial" w:hAnsi="Arial"/>
          <w:sz w:val="19"/>
          <w:szCs w:val="19"/>
          <w:i w:val="1"/>
          <w:iCs w:val="1"/>
          <w:color w:val="auto"/>
        </w:rPr>
        <w:t>provided that</w:t>
      </w:r>
      <w:r>
        <w:rPr>
          <w:rFonts w:ascii="Arial" w:cs="Arial" w:eastAsia="Arial" w:hAnsi="Arial"/>
          <w:sz w:val="19"/>
          <w:szCs w:val="19"/>
          <w:color w:val="auto"/>
        </w:rPr>
        <w:t>, in the case of any unvested equity-based incentive compensation awards that are subject to performance-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7" w:name="page158"/>
    <w:bookmarkEnd w:id="157"/>
    <w:p>
      <w:pPr>
        <w:spacing w:after="0" w:line="250" w:lineRule="auto"/>
        <w:rPr>
          <w:sz w:val="20"/>
          <w:szCs w:val="20"/>
          <w:color w:val="auto"/>
        </w:rPr>
      </w:pPr>
      <w:r>
        <w:rPr>
          <w:rFonts w:ascii="Arial" w:cs="Arial" w:eastAsia="Arial" w:hAnsi="Arial"/>
          <w:sz w:val="22"/>
          <w:szCs w:val="22"/>
          <w:color w:val="auto"/>
        </w:rPr>
        <w:t>based vesting terms as of the date of such termination, the treatment of such performance-based vesting conditions shall be governed by the applicable equity plan and award agreement.</w:t>
      </w:r>
    </w:p>
    <w:p>
      <w:pPr>
        <w:spacing w:after="0" w:line="169"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010000"/>
        </w:rPr>
        <w:t>5.4</w:t>
      </w:r>
      <w:r>
        <w:rPr>
          <w:sz w:val="20"/>
          <w:szCs w:val="20"/>
          <w:color w:val="auto"/>
        </w:rPr>
        <w:tab/>
      </w:r>
      <w:r>
        <w:rPr>
          <w:rFonts w:ascii="Arial" w:cs="Arial" w:eastAsia="Arial" w:hAnsi="Arial"/>
          <w:sz w:val="19"/>
          <w:szCs w:val="19"/>
          <w:b w:val="1"/>
          <w:bCs w:val="1"/>
          <w:color w:val="auto"/>
        </w:rPr>
        <w:t>Termination for Cause; Resignation Without Good Reason; Death or Disability.</w:t>
      </w:r>
    </w:p>
    <w:p>
      <w:pPr>
        <w:spacing w:after="0" w:line="212" w:lineRule="exact"/>
        <w:rPr>
          <w:sz w:val="20"/>
          <w:szCs w:val="20"/>
          <w:color w:val="auto"/>
        </w:rPr>
      </w:pPr>
    </w:p>
    <w:p>
      <w:pPr>
        <w:jc w:val="both"/>
        <w:ind w:firstLine="2600"/>
        <w:spacing w:after="0" w:line="238" w:lineRule="auto"/>
        <w:tabs>
          <w:tab w:leader="none" w:pos="3444" w:val="left"/>
        </w:tabs>
        <w:numPr>
          <w:ilvl w:val="2"/>
          <w:numId w:val="115"/>
        </w:numPr>
        <w:rPr>
          <w:rFonts w:ascii="Arial" w:cs="Arial" w:eastAsia="Arial" w:hAnsi="Arial"/>
          <w:sz w:val="22"/>
          <w:szCs w:val="22"/>
          <w:color w:val="010000"/>
        </w:rPr>
      </w:pPr>
      <w:r>
        <w:rPr>
          <w:rFonts w:ascii="Arial" w:cs="Arial" w:eastAsia="Arial" w:hAnsi="Arial"/>
          <w:sz w:val="22"/>
          <w:szCs w:val="22"/>
          <w:color w:val="auto"/>
        </w:rPr>
        <w:t>If Executive resigns for any reason prior to or more than twelve (12) months following a Change in Control, resigns without Good Reason within the twelve (12) months following a Change in Control, or the Company terminates Executive’s employment for Cause, Executive shall not be entitled to receive any payments or benefits under this Agreement, other than as set forth in Section 5.1.</w:t>
      </w:r>
    </w:p>
    <w:p>
      <w:pPr>
        <w:spacing w:after="0" w:line="184" w:lineRule="exact"/>
        <w:rPr>
          <w:rFonts w:ascii="Arial" w:cs="Arial" w:eastAsia="Arial" w:hAnsi="Arial"/>
          <w:sz w:val="22"/>
          <w:szCs w:val="22"/>
          <w:color w:val="010000"/>
        </w:rPr>
      </w:pPr>
    </w:p>
    <w:p>
      <w:pPr>
        <w:jc w:val="both"/>
        <w:ind w:firstLine="2600"/>
        <w:spacing w:after="0" w:line="274" w:lineRule="auto"/>
        <w:tabs>
          <w:tab w:leader="none" w:pos="3504" w:val="left"/>
        </w:tabs>
        <w:numPr>
          <w:ilvl w:val="2"/>
          <w:numId w:val="115"/>
        </w:numPr>
        <w:rPr>
          <w:rFonts w:ascii="Arial" w:cs="Arial" w:eastAsia="Arial" w:hAnsi="Arial"/>
          <w:sz w:val="19"/>
          <w:szCs w:val="19"/>
          <w:color w:val="010000"/>
        </w:rPr>
      </w:pPr>
      <w:r>
        <w:rPr>
          <w:rFonts w:ascii="Arial" w:cs="Arial" w:eastAsia="Arial" w:hAnsi="Arial"/>
          <w:sz w:val="19"/>
          <w:szCs w:val="19"/>
          <w:color w:val="auto"/>
        </w:rPr>
        <w:t>Executive’s employment shall terminate automatically upon Executive’s death or Total Disability. “</w:t>
      </w:r>
      <w:r>
        <w:rPr>
          <w:rFonts w:ascii="Arial" w:cs="Arial" w:eastAsia="Arial" w:hAnsi="Arial"/>
          <w:sz w:val="19"/>
          <w:szCs w:val="19"/>
          <w:b w:val="1"/>
          <w:bCs w:val="1"/>
          <w:color w:val="auto"/>
        </w:rPr>
        <w:t>Total Disability</w:t>
      </w:r>
      <w:r>
        <w:rPr>
          <w:rFonts w:ascii="Arial" w:cs="Arial" w:eastAsia="Arial" w:hAnsi="Arial"/>
          <w:sz w:val="19"/>
          <w:szCs w:val="19"/>
          <w:color w:val="auto"/>
        </w:rPr>
        <w:t>” shall mean Executive’s inability, with reasonable accommodation, to perform the duties of Executive’s position for a period or periods aggregating ninety (90) calendar days in any period of one hundred eighty days (180) consecutive days as a result of physical or mental illness, loss of legal capacity or any other cause beyond Executive’s control. Executive and the Company hereby acknowledge that Executive’s ability to perform the duties specified in Section 1 is the essence of this Agreement. Termination hereunder shall be deemed to be effective (a) at the end of the calendar month in which Executive’s death occurs or (b) immediately upon a determination by the Board or the compensation committee thereof of Executive’s Total Disability. In the case of termination of employment under this Section 5.4(ii), Executive shall not be entitled to receive any payments or benefits under this Agreement, other than as set forth in Section 5.1.</w:t>
      </w:r>
    </w:p>
    <w:p>
      <w:pPr>
        <w:spacing w:after="0" w:line="152" w:lineRule="exact"/>
        <w:rPr>
          <w:rFonts w:ascii="Arial" w:cs="Arial" w:eastAsia="Arial" w:hAnsi="Arial"/>
          <w:sz w:val="19"/>
          <w:szCs w:val="19"/>
          <w:color w:val="010000"/>
        </w:rPr>
      </w:pPr>
    </w:p>
    <w:p>
      <w:pPr>
        <w:jc w:val="both"/>
        <w:ind w:firstLine="872"/>
        <w:spacing w:after="0" w:line="273" w:lineRule="auto"/>
        <w:tabs>
          <w:tab w:leader="none" w:pos="1674" w:val="left"/>
        </w:tabs>
        <w:numPr>
          <w:ilvl w:val="1"/>
          <w:numId w:val="116"/>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Conditions to Receipt of Severance Benefits. </w:t>
      </w:r>
      <w:r>
        <w:rPr>
          <w:rFonts w:ascii="Arial" w:cs="Arial" w:eastAsia="Arial" w:hAnsi="Arial"/>
          <w:sz w:val="19"/>
          <w:szCs w:val="19"/>
          <w:color w:val="auto"/>
        </w:rPr>
        <w:t>As a condition to receiving the payments and benefits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Section 5.2 and Section 5.3, (i) Executive must execute and deliver to the Company a release of claims in a form reasonably acceptable to the Company and such release must have become effective and the revocation period provided therein must have expired without Executive having revoked such release within the 60-day period following the date of termination, and</w:t>
      </w:r>
    </w:p>
    <w:p>
      <w:pPr>
        <w:spacing w:after="0" w:line="1" w:lineRule="exact"/>
        <w:rPr>
          <w:rFonts w:ascii="Arial" w:cs="Arial" w:eastAsia="Arial" w:hAnsi="Arial"/>
          <w:sz w:val="19"/>
          <w:szCs w:val="19"/>
          <w:b w:val="1"/>
          <w:bCs w:val="1"/>
          <w:color w:val="010000"/>
        </w:rPr>
      </w:pPr>
    </w:p>
    <w:p>
      <w:pPr>
        <w:jc w:val="both"/>
        <w:ind w:firstLine="8"/>
        <w:spacing w:after="0" w:line="243" w:lineRule="auto"/>
        <w:tabs>
          <w:tab w:leader="none" w:pos="343" w:val="left"/>
        </w:tabs>
        <w:numPr>
          <w:ilvl w:val="0"/>
          <w:numId w:val="117"/>
        </w:numPr>
        <w:rPr>
          <w:rFonts w:ascii="Arial" w:cs="Arial" w:eastAsia="Arial" w:hAnsi="Arial"/>
          <w:sz w:val="21"/>
          <w:szCs w:val="21"/>
          <w:color w:val="auto"/>
        </w:rPr>
      </w:pPr>
      <w:r>
        <w:rPr>
          <w:rFonts w:ascii="Arial" w:cs="Arial" w:eastAsia="Arial" w:hAnsi="Arial"/>
          <w:sz w:val="21"/>
          <w:szCs w:val="21"/>
          <w:color w:val="auto"/>
        </w:rPr>
        <w:t>Executive must not have revoked or breached the provisions of such release or breached the provisions of the Restrictive Covenant Agreement. In the event that Executive does not execute and deliver such release, such release does not become effective and irrevocable within such period or Executive revokes or breaches the provisions of the release or breaches the provisions of the Restrictive Covenant Agreement, Executive (A) will be deemed to have voluntarily resigned Executive’s employment hereunder without Good Reason, (B) will not be entitled to the payments, benefits or accelerated vesting described in Section 5.2 or Section 5.3 and (C) will be required to reimburse the Company, in cash within five business days after written demand is made by the Company therefore, for an amount equal to the value of any payments or benefits Executive received pursuant to Section 5.2 or Section 5.3.</w:t>
      </w:r>
    </w:p>
    <w:p>
      <w:pPr>
        <w:spacing w:after="0" w:line="179" w:lineRule="exact"/>
        <w:rPr>
          <w:rFonts w:ascii="Arial" w:cs="Arial" w:eastAsia="Arial" w:hAnsi="Arial"/>
          <w:sz w:val="21"/>
          <w:szCs w:val="21"/>
          <w:color w:val="auto"/>
        </w:rPr>
      </w:pPr>
    </w:p>
    <w:p>
      <w:pPr>
        <w:jc w:val="both"/>
        <w:ind w:firstLine="872"/>
        <w:spacing w:after="0" w:line="275" w:lineRule="auto"/>
        <w:tabs>
          <w:tab w:leader="none" w:pos="1674" w:val="left"/>
        </w:tabs>
        <w:numPr>
          <w:ilvl w:val="1"/>
          <w:numId w:val="117"/>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satisfy, to the greatest extent possible, the exemptions from the application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w:t>
      </w:r>
      <w:r>
        <w:rPr>
          <w:rFonts w:ascii="Arial" w:cs="Arial" w:eastAsia="Arial" w:hAnsi="Arial"/>
          <w:sz w:val="19"/>
          <w:szCs w:val="19"/>
          <w:b w:val="1"/>
          <w:bCs w:val="1"/>
          <w:color w:val="auto"/>
        </w:rPr>
        <w:t>Section 409A</w:t>
      </w:r>
      <w:r>
        <w:rPr>
          <w:rFonts w:ascii="Arial" w:cs="Arial" w:eastAsia="Arial" w:hAnsi="Arial"/>
          <w:sz w:val="19"/>
          <w:szCs w:val="19"/>
          <w:color w:val="auto"/>
        </w:rPr>
        <w:t>”) provided under Treasury Regulations 1.409A-1(b)(4), 1.409A-1(b)</w:t>
      </w:r>
    </w:p>
    <w:p>
      <w:pPr>
        <w:spacing w:after="0" w:line="1" w:lineRule="exact"/>
        <w:rPr>
          <w:rFonts w:ascii="Arial" w:cs="Arial" w:eastAsia="Arial" w:hAnsi="Arial"/>
          <w:sz w:val="19"/>
          <w:szCs w:val="19"/>
          <w:b w:val="1"/>
          <w:bCs w:val="1"/>
          <w:color w:val="010000"/>
        </w:rPr>
      </w:pPr>
    </w:p>
    <w:p>
      <w:pPr>
        <w:spacing w:after="0" w:line="236" w:lineRule="auto"/>
        <w:rPr>
          <w:rFonts w:ascii="Arial" w:cs="Arial" w:eastAsia="Arial" w:hAnsi="Arial"/>
          <w:sz w:val="19"/>
          <w:szCs w:val="19"/>
          <w:b w:val="1"/>
          <w:bCs w:val="1"/>
          <w:color w:val="010000"/>
        </w:rPr>
      </w:pPr>
      <w:r>
        <w:rPr>
          <w:rFonts w:ascii="Arial" w:cs="Arial" w:eastAsia="Arial" w:hAnsi="Arial"/>
          <w:sz w:val="22"/>
          <w:szCs w:val="22"/>
          <w:color w:val="auto"/>
        </w:rPr>
        <w:t>(5) and 1.409A-1(b)(9), and this Agreement will be construed to the greatest extent possible as consistent with those provisions, and to the extent not so exempt, this Agreement (and any definitions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8" w:name="page159"/>
    <w:bookmarkEnd w:id="158"/>
    <w:p>
      <w:pPr>
        <w:jc w:val="both"/>
        <w:spacing w:after="0" w:line="271" w:lineRule="auto"/>
        <w:rPr>
          <w:sz w:val="20"/>
          <w:szCs w:val="20"/>
          <w:color w:val="auto"/>
        </w:rPr>
      </w:pPr>
      <w:r>
        <w:rPr>
          <w:rFonts w:ascii="Arial" w:cs="Arial" w:eastAsia="Arial" w:hAnsi="Arial"/>
          <w:sz w:val="19"/>
          <w:szCs w:val="19"/>
          <w:color w:val="auto"/>
        </w:rPr>
        <w:t>hereunder) will be construed in a manner that complies with Section 409A. All payments and benefits that are payable upon a termination of employment hereunder shall be paid or provided only upon Executive’s “separation from service” from the Company (within the meaning of Section 409A). For purposes of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termination to be a “specified employee” for purposes of Section 409A(a)(2)(B)(i), and if any of the payments upon termination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shall not be provided to Executive prior to the earliest of (i) the expiration of the six-month period measured from the date of Executive’s termination with the Company, (ii) the date of Executive’s death or (iii) such earlier date as permitted under Section 409A without the imposition of adverse taxation. Upon the first business day following the expiration of such applicable Section 409A(a)(2)(B)(i) period, all payments deferred pursuant to this Section 7 shall be paid in a lump sum to Executive, and any remaining payments due shall be paid as otherwise provided herein or in the applicable agreement. No interest shall be due on any amounts so deferred.</w:t>
      </w:r>
    </w:p>
    <w:p>
      <w:pPr>
        <w:spacing w:after="0" w:line="151" w:lineRule="exact"/>
        <w:rPr>
          <w:sz w:val="20"/>
          <w:szCs w:val="20"/>
          <w:color w:val="auto"/>
        </w:rPr>
      </w:pPr>
    </w:p>
    <w:p>
      <w:pPr>
        <w:jc w:val="both"/>
        <w:ind w:firstLine="872"/>
        <w:spacing w:after="0" w:line="271" w:lineRule="auto"/>
        <w:tabs>
          <w:tab w:leader="none" w:pos="1674" w:val="left"/>
        </w:tabs>
        <w:numPr>
          <w:ilvl w:val="0"/>
          <w:numId w:val="118"/>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Section 280G. </w:t>
      </w:r>
      <w:r>
        <w:rPr>
          <w:rFonts w:ascii="Arial" w:cs="Arial" w:eastAsia="Arial" w:hAnsi="Arial"/>
          <w:sz w:val="19"/>
          <w:szCs w:val="19"/>
          <w:color w:val="auto"/>
        </w:rPr>
        <w:t>In the event that the severance and other benefits provided for in this Agreement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to Executive (i) constitute “parachute payments” within the meaning of Section 280G of the Code and (ii) but for this Section 8, would be subject to the excise tax imposed by Section 4999 of the Code, then,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Executive. Unless the Company and Executive otherwise agree in writing, any determination required under this Section 8 shall be made in writing by the Company’s independent public accountants (the “</w:t>
      </w:r>
      <w:r>
        <w:rPr>
          <w:rFonts w:ascii="Arial" w:cs="Arial" w:eastAsia="Arial" w:hAnsi="Arial"/>
          <w:sz w:val="19"/>
          <w:szCs w:val="19"/>
          <w:b w:val="1"/>
          <w:bCs w:val="1"/>
          <w:color w:val="auto"/>
        </w:rPr>
        <w:t>Accountants</w:t>
      </w:r>
      <w:r>
        <w:rPr>
          <w:rFonts w:ascii="Arial" w:cs="Arial" w:eastAsia="Arial" w:hAnsi="Arial"/>
          <w:sz w:val="19"/>
          <w:szCs w:val="19"/>
          <w:color w:val="auto"/>
        </w:rPr>
        <w:t>”), whose determination shall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8. The Company shall bear all costs the Accountants may reasonably incur in connection with any calculations contemplated by this Section 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9" w:name="page160"/>
    <w:bookmarkEnd w:id="159"/>
    <w:p>
      <w:pPr>
        <w:ind w:left="1680" w:hanging="808"/>
        <w:spacing w:after="0"/>
        <w:tabs>
          <w:tab w:leader="none" w:pos="1680" w:val="left"/>
        </w:tabs>
        <w:numPr>
          <w:ilvl w:val="0"/>
          <w:numId w:val="119"/>
        </w:numPr>
        <w:rPr>
          <w:rFonts w:ascii="Arial" w:cs="Arial" w:eastAsia="Arial" w:hAnsi="Arial"/>
          <w:sz w:val="22"/>
          <w:szCs w:val="22"/>
          <w:b w:val="1"/>
          <w:bCs w:val="1"/>
          <w:color w:val="010000"/>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b w:val="1"/>
          <w:bCs w:val="1"/>
          <w:color w:val="010000"/>
        </w:rPr>
        <w:t xml:space="preserve">9.1 </w:t>
      </w:r>
      <w:r>
        <w:rPr>
          <w:rFonts w:ascii="Arial" w:cs="Arial" w:eastAsia="Arial" w:hAnsi="Arial"/>
          <w:sz w:val="22"/>
          <w:szCs w:val="22"/>
          <w:b w:val="1"/>
          <w:bCs w:val="1"/>
          <w:color w:val="000000"/>
        </w:rPr>
        <w:t>Cause.</w:t>
      </w:r>
      <w:r>
        <w:rPr>
          <w:rFonts w:ascii="Arial" w:cs="Arial" w:eastAsia="Arial" w:hAnsi="Arial"/>
          <w:sz w:val="22"/>
          <w:szCs w:val="22"/>
          <w:b w:val="1"/>
          <w:bCs w:val="1"/>
          <w:color w:val="010000"/>
        </w:rPr>
        <w:t xml:space="preserve"> </w:t>
      </w:r>
      <w:r>
        <w:rPr>
          <w:rFonts w:ascii="Arial" w:cs="Arial" w:eastAsia="Arial" w:hAnsi="Arial"/>
          <w:sz w:val="22"/>
          <w:szCs w:val="22"/>
          <w:color w:val="000000"/>
        </w:rPr>
        <w:t>For purposes of this Agreement, “</w:t>
      </w:r>
      <w:r>
        <w:rPr>
          <w:rFonts w:ascii="Arial" w:cs="Arial" w:eastAsia="Arial" w:hAnsi="Arial"/>
          <w:sz w:val="22"/>
          <w:szCs w:val="22"/>
          <w:b w:val="1"/>
          <w:bCs w:val="1"/>
          <w:color w:val="000000"/>
        </w:rPr>
        <w:t>Cause</w:t>
      </w:r>
      <w:r>
        <w:rPr>
          <w:rFonts w:ascii="Arial" w:cs="Arial" w:eastAsia="Arial" w:hAnsi="Arial"/>
          <w:sz w:val="22"/>
          <w:szCs w:val="22"/>
          <w:color w:val="000000"/>
        </w:rPr>
        <w:t>” for termination will mean: (i) a material breach</w:t>
      </w:r>
      <w:r>
        <w:rPr>
          <w:rFonts w:ascii="Arial" w:cs="Arial" w:eastAsia="Arial" w:hAnsi="Arial"/>
          <w:sz w:val="22"/>
          <w:szCs w:val="22"/>
          <w:b w:val="1"/>
          <w:bCs w:val="1"/>
          <w:color w:val="010000"/>
        </w:rPr>
        <w:t xml:space="preserve"> </w:t>
      </w:r>
      <w:r>
        <w:rPr>
          <w:rFonts w:ascii="Arial" w:cs="Arial" w:eastAsia="Arial" w:hAnsi="Arial"/>
          <w:sz w:val="22"/>
          <w:szCs w:val="22"/>
          <w:color w:val="000000"/>
        </w:rPr>
        <w:t>of any of Executive’s obligations or duties pursuant to this Agreement or the Restrictive Covenant Agreement, which remains uncured seven days after Executive becomes aware of the breach by formal written notification by the Company; (ii) gross negligence, willful misconduct or breach of fiduciary duty in the course of employment; (iii) any action or activity that is contrary to applicable insider trading rules or any other applicable securities rules or legislation; (iv) a material act or omission involving substantial dishonesty or fraud that harms or would reasonably be expected to harm the Company; or (v) commission of, conviction or indictment for, or plea of no contest to, any felony (or state law equivalent) or any crime involving moral turpitude.</w:t>
      </w:r>
    </w:p>
    <w:p>
      <w:pPr>
        <w:spacing w:after="0" w:line="187"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b w:val="1"/>
          <w:bCs w:val="1"/>
          <w:color w:val="010000"/>
        </w:rPr>
        <w:t xml:space="preserve">9.2 </w:t>
      </w:r>
      <w:r>
        <w:rPr>
          <w:rFonts w:ascii="Arial" w:cs="Arial" w:eastAsia="Arial" w:hAnsi="Arial"/>
          <w:sz w:val="21"/>
          <w:szCs w:val="21"/>
          <w:b w:val="1"/>
          <w:bCs w:val="1"/>
          <w:color w:val="000000"/>
        </w:rPr>
        <w:t>Good Reason.</w:t>
      </w:r>
      <w:r>
        <w:rPr>
          <w:rFonts w:ascii="Arial" w:cs="Arial" w:eastAsia="Arial" w:hAnsi="Arial"/>
          <w:sz w:val="21"/>
          <w:szCs w:val="21"/>
          <w:b w:val="1"/>
          <w:bCs w:val="1"/>
          <w:color w:val="010000"/>
        </w:rPr>
        <w:t xml:space="preserve"> </w:t>
      </w:r>
      <w:r>
        <w:rPr>
          <w:rFonts w:ascii="Arial" w:cs="Arial" w:eastAsia="Arial" w:hAnsi="Arial"/>
          <w:sz w:val="21"/>
          <w:szCs w:val="21"/>
          <w:color w:val="000000"/>
        </w:rPr>
        <w:t>For purposes of this Agreement, “</w:t>
      </w:r>
      <w:r>
        <w:rPr>
          <w:rFonts w:ascii="Arial" w:cs="Arial" w:eastAsia="Arial" w:hAnsi="Arial"/>
          <w:sz w:val="21"/>
          <w:szCs w:val="21"/>
          <w:b w:val="1"/>
          <w:bCs w:val="1"/>
          <w:color w:val="000000"/>
        </w:rPr>
        <w:t>Good Reason</w:t>
      </w:r>
      <w:r>
        <w:rPr>
          <w:rFonts w:ascii="Arial" w:cs="Arial" w:eastAsia="Arial" w:hAnsi="Arial"/>
          <w:sz w:val="21"/>
          <w:szCs w:val="21"/>
          <w:color w:val="000000"/>
        </w:rPr>
        <w:t>” will mean any of the following</w:t>
      </w:r>
      <w:r>
        <w:rPr>
          <w:rFonts w:ascii="Arial" w:cs="Arial" w:eastAsia="Arial" w:hAnsi="Arial"/>
          <w:sz w:val="21"/>
          <w:szCs w:val="21"/>
          <w:b w:val="1"/>
          <w:bCs w:val="1"/>
          <w:color w:val="010000"/>
        </w:rPr>
        <w:t xml:space="preserve"> </w:t>
      </w:r>
      <w:r>
        <w:rPr>
          <w:rFonts w:ascii="Arial" w:cs="Arial" w:eastAsia="Arial" w:hAnsi="Arial"/>
          <w:sz w:val="21"/>
          <w:szCs w:val="21"/>
          <w:color w:val="000000"/>
        </w:rPr>
        <w:t>actions taken by the Company without Executive’s prior written consent: (i) a material adverse change in Executive’s position, title, office or duties or assignment of any significant duties to Executive that are materially inconsistent with the position or offices held by Executive; (ii) Executive no longer serving as a Section 16 officer or, if the Company’s ultimate parent following a Change in Control is not a public company, not reporting to the Chief Executive Officer of the Company’s ultimate parent); (iii) a decrease in Executive’s base salary by more than 10% (other than in connection with a broad-based reduction in the base salaries of all other officers of the Company); or (iv) a relocation that increases Executive’s one-way commute by more than 25 miles. In order to resign for Good Reason, Executive must provide written notice to the Company’s Chief Executive Officer within 60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such cure period.</w:t>
      </w:r>
    </w:p>
    <w:p>
      <w:pPr>
        <w:spacing w:after="0" w:line="174"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b w:val="1"/>
          <w:bCs w:val="1"/>
          <w:color w:val="010000"/>
        </w:rPr>
        <w:t xml:space="preserve">9.3 </w:t>
      </w:r>
      <w:r>
        <w:rPr>
          <w:rFonts w:ascii="Arial" w:cs="Arial" w:eastAsia="Arial" w:hAnsi="Arial"/>
          <w:sz w:val="19"/>
          <w:szCs w:val="19"/>
          <w:b w:val="1"/>
          <w:bCs w:val="1"/>
          <w:color w:val="000000"/>
        </w:rPr>
        <w:t>Change of Control.</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purposes of this Agreement, “</w:t>
      </w:r>
      <w:r>
        <w:rPr>
          <w:rFonts w:ascii="Arial" w:cs="Arial" w:eastAsia="Arial" w:hAnsi="Arial"/>
          <w:sz w:val="19"/>
          <w:szCs w:val="19"/>
          <w:b w:val="1"/>
          <w:bCs w:val="1"/>
          <w:color w:val="000000"/>
        </w:rPr>
        <w:t>Change of Control</w:t>
      </w:r>
      <w:r>
        <w:rPr>
          <w:rFonts w:ascii="Arial" w:cs="Arial" w:eastAsia="Arial" w:hAnsi="Arial"/>
          <w:sz w:val="19"/>
          <w:szCs w:val="19"/>
          <w:color w:val="000000"/>
        </w:rPr>
        <w:t>” means the occurrence</w:t>
      </w:r>
      <w:r>
        <w:rPr>
          <w:rFonts w:ascii="Arial" w:cs="Arial" w:eastAsia="Arial" w:hAnsi="Arial"/>
          <w:sz w:val="19"/>
          <w:szCs w:val="19"/>
          <w:b w:val="1"/>
          <w:bCs w:val="1"/>
          <w:color w:val="010000"/>
        </w:rPr>
        <w:t xml:space="preserve"> </w:t>
      </w:r>
      <w:r>
        <w:rPr>
          <w:rFonts w:ascii="Arial" w:cs="Arial" w:eastAsia="Arial" w:hAnsi="Arial"/>
          <w:sz w:val="19"/>
          <w:szCs w:val="19"/>
          <w:color w:val="000000"/>
        </w:rPr>
        <w:t>of one or more of the following: (a) a merger, a consolidation, a reorganization or an arrangement that results in a transfer of more than fifty percent (50%) of the total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(b) a direct or indirect sale or other transfer of beneficial ownership of securities of the Company possessing more than fifty percent (50%) of the total combined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(c) a direct or indirect sale or other transfer of the right to appoint more than fifty percent (50%) of the directors of the Board or otherwise directly or indirectly control the management, affairs and business of the Company to a person or a group of persons different from a person or a group of persons holding this right immediately prior to such transaction (other than the Company or a person that directly or indirectly controls, is controlled by, or is under common control with, the Company); (d) a direct or indirect sale or other transfer of all or substantially all of the assets of the Company to a person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0" w:name="page161"/>
    <w:bookmarkEnd w:id="160"/>
    <w:p>
      <w:pPr>
        <w:jc w:val="both"/>
        <w:spacing w:after="0" w:line="248" w:lineRule="auto"/>
        <w:rPr>
          <w:sz w:val="20"/>
          <w:szCs w:val="20"/>
          <w:color w:val="auto"/>
        </w:rPr>
      </w:pPr>
      <w:r>
        <w:rPr>
          <w:rFonts w:ascii="Arial" w:cs="Arial" w:eastAsia="Arial" w:hAnsi="Arial"/>
          <w:sz w:val="21"/>
          <w:szCs w:val="21"/>
          <w:color w:val="auto"/>
        </w:rPr>
        <w:t xml:space="preserve">or a group of persons different from a person or a group of persons holding those assets immediately prior to such transaction (other than the Company or a person that directly or indirectly controls, is controlled by, or is under common control with, the Company); or (e) a complete liquidation, dissolution or winding-up of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 Change in Control will not be deemed to have occurred if such Change in Control results solely from the issuance, in connection with a bona fide financing or series of financings by the Company, of voting securities of the Company or any rights to acquire voting securities of the Company which are convertible into voting securities.</w:t>
      </w:r>
    </w:p>
    <w:p>
      <w:pPr>
        <w:spacing w:after="0" w:line="171" w:lineRule="exact"/>
        <w:rPr>
          <w:sz w:val="20"/>
          <w:szCs w:val="20"/>
          <w:color w:val="auto"/>
        </w:rPr>
      </w:pPr>
    </w:p>
    <w:p>
      <w:pPr>
        <w:jc w:val="both"/>
        <w:ind w:firstLine="872"/>
        <w:spacing w:after="0" w:line="283" w:lineRule="auto"/>
        <w:tabs>
          <w:tab w:leader="none" w:pos="1782" w:val="left"/>
        </w:tabs>
        <w:numPr>
          <w:ilvl w:val="0"/>
          <w:numId w:val="120"/>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Proprietary Information Obligations. </w:t>
      </w:r>
      <w:r>
        <w:rPr>
          <w:rFonts w:ascii="Arial" w:cs="Arial" w:eastAsia="Arial" w:hAnsi="Arial"/>
          <w:sz w:val="19"/>
          <w:szCs w:val="19"/>
          <w:color w:val="auto"/>
        </w:rPr>
        <w:t>As an employee of the Company, Executive will have access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certain confidential information of the Company and Executive may, during the course of Executive’s employment develop certain information or inventions that will be the property of the Company. To the protect the Company’s interests, as a condition of employment, Executive must execute and abide by the Employee Proprietary Information, Restrictive Covenant and Invention Assignment Agreement attached here 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Restrictive Covenant Agreement</w:t>
      </w:r>
      <w:r>
        <w:rPr>
          <w:rFonts w:ascii="Arial" w:cs="Arial" w:eastAsia="Arial" w:hAnsi="Arial"/>
          <w:sz w:val="19"/>
          <w:szCs w:val="19"/>
          <w:color w:val="auto"/>
        </w:rPr>
        <w:t>”).</w:t>
      </w:r>
    </w:p>
    <w:p>
      <w:pPr>
        <w:spacing w:after="0" w:line="142" w:lineRule="exact"/>
        <w:rPr>
          <w:rFonts w:ascii="Arial" w:cs="Arial" w:eastAsia="Arial" w:hAnsi="Arial"/>
          <w:sz w:val="19"/>
          <w:szCs w:val="19"/>
          <w:b w:val="1"/>
          <w:bCs w:val="1"/>
          <w:color w:val="010000"/>
        </w:rPr>
      </w:pPr>
    </w:p>
    <w:p>
      <w:pPr>
        <w:ind w:left="1780" w:hanging="908"/>
        <w:spacing w:after="0"/>
        <w:tabs>
          <w:tab w:leader="none" w:pos="1780" w:val="left"/>
        </w:tabs>
        <w:numPr>
          <w:ilvl w:val="0"/>
          <w:numId w:val="120"/>
        </w:numPr>
        <w:rPr>
          <w:rFonts w:ascii="Arial" w:cs="Arial" w:eastAsia="Arial" w:hAnsi="Arial"/>
          <w:sz w:val="22"/>
          <w:szCs w:val="22"/>
          <w:b w:val="1"/>
          <w:bCs w:val="1"/>
          <w:color w:val="010000"/>
        </w:rPr>
      </w:pPr>
      <w:r>
        <w:rPr>
          <w:rFonts w:ascii="Arial" w:cs="Arial" w:eastAsia="Arial" w:hAnsi="Arial"/>
          <w:sz w:val="22"/>
          <w:szCs w:val="22"/>
          <w:b w:val="1"/>
          <w:bCs w:val="1"/>
          <w:color w:val="auto"/>
        </w:rPr>
        <w:t>Outside Activities During Employment.</w:t>
      </w:r>
    </w:p>
    <w:p>
      <w:pPr>
        <w:spacing w:after="0" w:line="206"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010000"/>
        </w:rPr>
        <w:t xml:space="preserve">11.1 </w:t>
      </w:r>
      <w:r>
        <w:rPr>
          <w:rFonts w:ascii="Arial" w:cs="Arial" w:eastAsia="Arial" w:hAnsi="Arial"/>
          <w:sz w:val="22"/>
          <w:szCs w:val="22"/>
          <w:b w:val="1"/>
          <w:bCs w:val="1"/>
          <w:color w:val="000000"/>
        </w:rPr>
        <w:t>Non-Company Business.</w:t>
      </w:r>
      <w:r>
        <w:rPr>
          <w:rFonts w:ascii="Arial" w:cs="Arial" w:eastAsia="Arial" w:hAnsi="Arial"/>
          <w:sz w:val="22"/>
          <w:szCs w:val="22"/>
          <w:b w:val="1"/>
          <w:bCs w:val="1"/>
          <w:color w:val="010000"/>
        </w:rPr>
        <w:t xml:space="preserve"> </w:t>
      </w:r>
      <w:r>
        <w:rPr>
          <w:rFonts w:ascii="Arial" w:cs="Arial" w:eastAsia="Arial" w:hAnsi="Arial"/>
          <w:sz w:val="22"/>
          <w:szCs w:val="22"/>
          <w:color w:val="000000"/>
        </w:rPr>
        <w:t>Except with the prior written consent of the Board, Executive will not</w:t>
      </w:r>
      <w:r>
        <w:rPr>
          <w:rFonts w:ascii="Arial" w:cs="Arial" w:eastAsia="Arial" w:hAnsi="Arial"/>
          <w:sz w:val="22"/>
          <w:szCs w:val="22"/>
          <w:b w:val="1"/>
          <w:bCs w:val="1"/>
          <w:color w:val="010000"/>
        </w:rPr>
        <w:t xml:space="preserve"> </w:t>
      </w:r>
      <w:r>
        <w:rPr>
          <w:rFonts w:ascii="Arial" w:cs="Arial" w:eastAsia="Arial" w:hAnsi="Arial"/>
          <w:sz w:val="22"/>
          <w:szCs w:val="22"/>
          <w:color w:val="000000"/>
        </w:rPr>
        <w:t>during the term of Executive’s employment with the Company undertake or engage in any other employment, occupation or business enterprise, other than ones in which Executive is a passive investor, provided that they do not violate the Restrictive Covenant Agreement. Executive may engage in civic and not-for-profit activities so long as such activities do not materially interfere with the performance of Executive’s duties hereunder.</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11.2 </w:t>
      </w:r>
      <w:r>
        <w:rPr>
          <w:rFonts w:ascii="Arial" w:cs="Arial" w:eastAsia="Arial" w:hAnsi="Arial"/>
          <w:sz w:val="22"/>
          <w:szCs w:val="22"/>
          <w:b w:val="1"/>
          <w:bCs w:val="1"/>
          <w:color w:val="000000"/>
        </w:rPr>
        <w:t>No Adverse Interests.</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agrees not to acquire, assume or participate in, directly or</w:t>
      </w:r>
      <w:r>
        <w:rPr>
          <w:rFonts w:ascii="Arial" w:cs="Arial" w:eastAsia="Arial" w:hAnsi="Arial"/>
          <w:sz w:val="22"/>
          <w:szCs w:val="22"/>
          <w:b w:val="1"/>
          <w:bCs w:val="1"/>
          <w:color w:val="010000"/>
        </w:rPr>
        <w:t xml:space="preserve"> </w:t>
      </w:r>
      <w:r>
        <w:rPr>
          <w:rFonts w:ascii="Arial" w:cs="Arial" w:eastAsia="Arial" w:hAnsi="Arial"/>
          <w:sz w:val="22"/>
          <w:szCs w:val="22"/>
          <w:color w:val="000000"/>
        </w:rPr>
        <w:t>indirectly, any position, investment or interest known to be adverse or antagonistic to the Company, its business or prospects, financial or otherwise.</w:t>
      </w:r>
    </w:p>
    <w:p>
      <w:pPr>
        <w:spacing w:after="0" w:line="177" w:lineRule="exact"/>
        <w:rPr>
          <w:sz w:val="20"/>
          <w:szCs w:val="20"/>
          <w:color w:val="auto"/>
        </w:rPr>
      </w:pPr>
    </w:p>
    <w:p>
      <w:pPr>
        <w:jc w:val="both"/>
        <w:ind w:firstLine="872"/>
        <w:spacing w:after="0" w:line="244" w:lineRule="auto"/>
        <w:tabs>
          <w:tab w:leader="none" w:pos="1782" w:val="left"/>
        </w:tabs>
        <w:numPr>
          <w:ilvl w:val="0"/>
          <w:numId w:val="121"/>
        </w:numPr>
        <w:rPr>
          <w:rFonts w:ascii="Arial" w:cs="Arial" w:eastAsia="Arial" w:hAnsi="Arial"/>
          <w:sz w:val="21"/>
          <w:szCs w:val="21"/>
          <w:b w:val="1"/>
          <w:bCs w:val="1"/>
          <w:color w:val="010000"/>
        </w:rPr>
      </w:pPr>
      <w:r>
        <w:rPr>
          <w:rFonts w:ascii="Arial" w:cs="Arial" w:eastAsia="Arial" w:hAnsi="Arial"/>
          <w:sz w:val="21"/>
          <w:szCs w:val="21"/>
          <w:b w:val="1"/>
          <w:bCs w:val="1"/>
          <w:color w:val="auto"/>
        </w:rPr>
        <w:t xml:space="preserve">Dispute Resolution. </w:t>
      </w:r>
      <w:r>
        <w:rPr>
          <w:rFonts w:ascii="Arial" w:cs="Arial" w:eastAsia="Arial" w:hAnsi="Arial"/>
          <w:sz w:val="21"/>
          <w:szCs w:val="21"/>
          <w:color w:val="auto"/>
        </w:rPr>
        <w:t>To ensure the timely and economical resolution of disputes that may arise in connection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Executive’s employment with the Company, Executive and the Company agree that any and all disputes, claims, or causes of action arising from or relating to the enforcement, breach, performance, negotiation, execution, or interpretation of this Agreement, Executive’s employment, or the termination of Executive’s employment, including but not limited to statutory claims, shall be resolved to the fullest extent permitted by law by final, binding and confidential arbitration, by a single arbitrator, in Wilmington, Delaware conducted by JAMS, Inc. (“</w:t>
      </w:r>
      <w:r>
        <w:rPr>
          <w:rFonts w:ascii="Arial" w:cs="Arial" w:eastAsia="Arial" w:hAnsi="Arial"/>
          <w:sz w:val="21"/>
          <w:szCs w:val="21"/>
          <w:b w:val="1"/>
          <w:bCs w:val="1"/>
          <w:color w:val="auto"/>
        </w:rPr>
        <w:t>JAMS</w:t>
      </w:r>
      <w:r>
        <w:rPr>
          <w:rFonts w:ascii="Arial" w:cs="Arial" w:eastAsia="Arial" w:hAnsi="Arial"/>
          <w:sz w:val="21"/>
          <w:szCs w:val="21"/>
          <w:color w:val="auto"/>
        </w:rPr>
        <w:t>”) under the then applicable JAMS rules or by another arbitration company if mutually agreed upon by Executive and Board. By agreeing to this arbitration procedure, both Executive and the Company waive the right to resolve any such dispute through a trial by jury or judge or administrative proceeding. The Company acknowledges that Executive will have the right to be represented by legal counsel at any arbitration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1" w:name="page162"/>
    <w:bookmarkEnd w:id="161"/>
    <w:p>
      <w:pPr>
        <w:jc w:val="both"/>
        <w:spacing w:after="0" w:line="238" w:lineRule="auto"/>
        <w:rPr>
          <w:sz w:val="20"/>
          <w:szCs w:val="20"/>
          <w:color w:val="auto"/>
        </w:rPr>
      </w:pPr>
      <w:r>
        <w:rPr>
          <w:rFonts w:ascii="Arial" w:cs="Arial" w:eastAsia="Arial" w:hAnsi="Arial"/>
          <w:sz w:val="22"/>
          <w:szCs w:val="22"/>
          <w:color w:val="auto"/>
        </w:rPr>
        <w:t>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79" w:lineRule="exact"/>
        <w:rPr>
          <w:sz w:val="20"/>
          <w:szCs w:val="20"/>
          <w:color w:val="auto"/>
        </w:rPr>
      </w:pPr>
    </w:p>
    <w:p>
      <w:pPr>
        <w:ind w:left="1780" w:hanging="908"/>
        <w:spacing w:after="0"/>
        <w:tabs>
          <w:tab w:leader="none" w:pos="1780" w:val="left"/>
        </w:tabs>
        <w:numPr>
          <w:ilvl w:val="0"/>
          <w:numId w:val="122"/>
        </w:numPr>
        <w:rPr>
          <w:rFonts w:ascii="Arial" w:cs="Arial" w:eastAsia="Arial" w:hAnsi="Arial"/>
          <w:sz w:val="22"/>
          <w:szCs w:val="22"/>
          <w:b w:val="1"/>
          <w:bCs w:val="1"/>
          <w:color w:val="010000"/>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13.1 </w:t>
      </w:r>
      <w:r>
        <w:rPr>
          <w:rFonts w:ascii="Arial" w:cs="Arial" w:eastAsia="Arial" w:hAnsi="Arial"/>
          <w:sz w:val="22"/>
          <w:szCs w:val="22"/>
          <w:b w:val="1"/>
          <w:bCs w:val="1"/>
          <w:color w:val="000000"/>
        </w:rPr>
        <w:t>Notices.</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notices provided must be in writing and will be deemed effective upon the earlier of</w:t>
      </w:r>
      <w:r>
        <w:rPr>
          <w:rFonts w:ascii="Arial" w:cs="Arial" w:eastAsia="Arial" w:hAnsi="Arial"/>
          <w:sz w:val="22"/>
          <w:szCs w:val="22"/>
          <w:b w:val="1"/>
          <w:bCs w:val="1"/>
          <w:color w:val="010000"/>
        </w:rPr>
        <w:t xml:space="preserve"> </w:t>
      </w:r>
      <w:r>
        <w:rPr>
          <w:rFonts w:ascii="Arial" w:cs="Arial" w:eastAsia="Arial" w:hAnsi="Arial"/>
          <w:sz w:val="22"/>
          <w:szCs w:val="22"/>
          <w:color w:val="000000"/>
        </w:rPr>
        <w:t>personal delivery (including personal delivery by fax) or the next day after sending by overnight carrier, to the Company at its primary office location and to Executive at the address as listed on the Company payroll.</w:t>
      </w:r>
    </w:p>
    <w:p>
      <w:pPr>
        <w:spacing w:after="0" w:line="177"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010000"/>
        </w:rPr>
        <w:t xml:space="preserve">13.2 </w:t>
      </w:r>
      <w:r>
        <w:rPr>
          <w:rFonts w:ascii="Arial" w:cs="Arial" w:eastAsia="Arial" w:hAnsi="Arial"/>
          <w:sz w:val="22"/>
          <w:szCs w:val="22"/>
          <w:b w:val="1"/>
          <w:bCs w:val="1"/>
          <w:color w:val="000000"/>
        </w:rPr>
        <w:t>Severability.</w:t>
      </w:r>
      <w:r>
        <w:rPr>
          <w:rFonts w:ascii="Arial" w:cs="Arial" w:eastAsia="Arial" w:hAnsi="Arial"/>
          <w:sz w:val="22"/>
          <w:szCs w:val="22"/>
          <w:b w:val="1"/>
          <w:bCs w:val="1"/>
          <w:color w:val="010000"/>
        </w:rPr>
        <w:t xml:space="preserve"> </w:t>
      </w:r>
      <w:r>
        <w:rPr>
          <w:rFonts w:ascii="Arial" w:cs="Arial" w:eastAsia="Arial" w:hAnsi="Arial"/>
          <w:sz w:val="22"/>
          <w:szCs w:val="22"/>
          <w:color w:val="000000"/>
        </w:rPr>
        <w:t>Whenever possible, each provision of this Agreement will be interpreted in such</w:t>
      </w:r>
      <w:r>
        <w:rPr>
          <w:rFonts w:ascii="Arial" w:cs="Arial" w:eastAsia="Arial" w:hAnsi="Arial"/>
          <w:sz w:val="22"/>
          <w:szCs w:val="22"/>
          <w:b w:val="1"/>
          <w:bCs w:val="1"/>
          <w:color w:val="010000"/>
        </w:rPr>
        <w:t xml:space="preserve"> </w:t>
      </w:r>
      <w:r>
        <w:rPr>
          <w:rFonts w:ascii="Arial" w:cs="Arial" w:eastAsia="Arial" w:hAnsi="Arial"/>
          <w:sz w:val="22"/>
          <w:szCs w:val="22"/>
          <w:color w:val="000000"/>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13.3 </w:t>
      </w:r>
      <w:r>
        <w:rPr>
          <w:rFonts w:ascii="Arial" w:cs="Arial" w:eastAsia="Arial" w:hAnsi="Arial"/>
          <w:sz w:val="22"/>
          <w:szCs w:val="22"/>
          <w:b w:val="1"/>
          <w:bCs w:val="1"/>
          <w:color w:val="000000"/>
        </w:rPr>
        <w:t>Waiver.</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waiver of any breach of any provisions of this Agreement must be in writing to be</w:t>
      </w:r>
      <w:r>
        <w:rPr>
          <w:rFonts w:ascii="Arial" w:cs="Arial" w:eastAsia="Arial" w:hAnsi="Arial"/>
          <w:sz w:val="22"/>
          <w:szCs w:val="22"/>
          <w:b w:val="1"/>
          <w:bCs w:val="1"/>
          <w:color w:val="010000"/>
        </w:rPr>
        <w:t xml:space="preserve"> </w:t>
      </w:r>
      <w:r>
        <w:rPr>
          <w:rFonts w:ascii="Arial" w:cs="Arial" w:eastAsia="Arial" w:hAnsi="Arial"/>
          <w:sz w:val="22"/>
          <w:szCs w:val="22"/>
          <w:color w:val="000000"/>
        </w:rPr>
        <w:t>effective, and it shall not thereby be deemed to have waived any preceding or succeeding breach of the same or any other provision of this Agreement.</w:t>
      </w:r>
    </w:p>
    <w:p>
      <w:pPr>
        <w:spacing w:after="0" w:line="177" w:lineRule="exact"/>
        <w:rPr>
          <w:sz w:val="20"/>
          <w:szCs w:val="20"/>
          <w:color w:val="auto"/>
        </w:rPr>
      </w:pPr>
    </w:p>
    <w:p>
      <w:pPr>
        <w:jc w:val="both"/>
        <w:ind w:firstLine="1727"/>
        <w:spacing w:after="0" w:line="247" w:lineRule="auto"/>
        <w:rPr>
          <w:sz w:val="20"/>
          <w:szCs w:val="20"/>
          <w:color w:val="auto"/>
        </w:rPr>
      </w:pPr>
      <w:r>
        <w:rPr>
          <w:rFonts w:ascii="Arial" w:cs="Arial" w:eastAsia="Arial" w:hAnsi="Arial"/>
          <w:sz w:val="21"/>
          <w:szCs w:val="21"/>
          <w:b w:val="1"/>
          <w:bCs w:val="1"/>
          <w:color w:val="010000"/>
        </w:rPr>
        <w:t xml:space="preserve">13.4 </w:t>
      </w:r>
      <w:r>
        <w:rPr>
          <w:rFonts w:ascii="Arial" w:cs="Arial" w:eastAsia="Arial" w:hAnsi="Arial"/>
          <w:sz w:val="21"/>
          <w:szCs w:val="21"/>
          <w:b w:val="1"/>
          <w:bCs w:val="1"/>
          <w:color w:val="000000"/>
        </w:rPr>
        <w:t>Complete Agreement.</w:t>
      </w:r>
      <w:r>
        <w:rPr>
          <w:rFonts w:ascii="Arial" w:cs="Arial" w:eastAsia="Arial" w:hAnsi="Arial"/>
          <w:sz w:val="21"/>
          <w:szCs w:val="21"/>
          <w:b w:val="1"/>
          <w:bCs w:val="1"/>
          <w:color w:val="010000"/>
        </w:rPr>
        <w:t xml:space="preserve"> </w:t>
      </w:r>
      <w:r>
        <w:rPr>
          <w:rFonts w:ascii="Arial" w:cs="Arial" w:eastAsia="Arial" w:hAnsi="Arial"/>
          <w:sz w:val="21"/>
          <w:szCs w:val="21"/>
          <w:color w:val="000000"/>
        </w:rPr>
        <w:t>This Agreement, together with the Restrictive Covenant Agreement,</w:t>
      </w:r>
      <w:r>
        <w:rPr>
          <w:rFonts w:ascii="Arial" w:cs="Arial" w:eastAsia="Arial" w:hAnsi="Arial"/>
          <w:sz w:val="21"/>
          <w:szCs w:val="21"/>
          <w:b w:val="1"/>
          <w:bCs w:val="1"/>
          <w:color w:val="010000"/>
        </w:rPr>
        <w:t xml:space="preserve"> </w:t>
      </w:r>
      <w:r>
        <w:rPr>
          <w:rFonts w:ascii="Arial" w:cs="Arial" w:eastAsia="Arial" w:hAnsi="Arial"/>
          <w:sz w:val="21"/>
          <w:szCs w:val="21"/>
          <w:color w:val="000000"/>
        </w:rPr>
        <w:t>constitutes the entire agreement between Executive and the Company with regard to this subject matter and is the complete, final, and exclusive embodiment of the Parties’ agreement with regard to this subject matter, and supersedes all prior or contemporaneous offers, negotiations and agreements, whether written or oral, relating to such subject matter.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72" w:lineRule="exact"/>
        <w:rPr>
          <w:sz w:val="20"/>
          <w:szCs w:val="20"/>
          <w:color w:val="auto"/>
        </w:rPr>
      </w:pPr>
    </w:p>
    <w:p>
      <w:pPr>
        <w:jc w:val="both"/>
        <w:ind w:right="20" w:firstLine="1727"/>
        <w:spacing w:after="0" w:line="334" w:lineRule="auto"/>
        <w:rPr>
          <w:sz w:val="20"/>
          <w:szCs w:val="20"/>
          <w:color w:val="auto"/>
        </w:rPr>
      </w:pPr>
      <w:r>
        <w:rPr>
          <w:rFonts w:ascii="Arial" w:cs="Arial" w:eastAsia="Arial" w:hAnsi="Arial"/>
          <w:sz w:val="19"/>
          <w:szCs w:val="19"/>
          <w:b w:val="1"/>
          <w:bCs w:val="1"/>
          <w:color w:val="010000"/>
        </w:rPr>
        <w:t xml:space="preserve">13.5 </w:t>
      </w:r>
      <w:r>
        <w:rPr>
          <w:rFonts w:ascii="Arial" w:cs="Arial" w:eastAsia="Arial" w:hAnsi="Arial"/>
          <w:sz w:val="19"/>
          <w:szCs w:val="19"/>
          <w:b w:val="1"/>
          <w:bCs w:val="1"/>
          <w:color w:val="000000"/>
        </w:rPr>
        <w:t>Counterparts.</w:t>
      </w:r>
      <w:r>
        <w:rPr>
          <w:rFonts w:ascii="Arial" w:cs="Arial" w:eastAsia="Arial" w:hAnsi="Arial"/>
          <w:sz w:val="19"/>
          <w:szCs w:val="19"/>
          <w:b w:val="1"/>
          <w:bCs w:val="1"/>
          <w:color w:val="010000"/>
        </w:rPr>
        <w:t xml:space="preserve"> </w:t>
      </w:r>
      <w:r>
        <w:rPr>
          <w:rFonts w:ascii="Arial" w:cs="Arial" w:eastAsia="Arial" w:hAnsi="Arial"/>
          <w:sz w:val="19"/>
          <w:szCs w:val="19"/>
          <w:color w:val="000000"/>
        </w:rPr>
        <w:t>This Agreement may be executed in separate counterparts, any one of which need</w:t>
      </w:r>
      <w:r>
        <w:rPr>
          <w:rFonts w:ascii="Arial" w:cs="Arial" w:eastAsia="Arial" w:hAnsi="Arial"/>
          <w:sz w:val="19"/>
          <w:szCs w:val="19"/>
          <w:b w:val="1"/>
          <w:bCs w:val="1"/>
          <w:color w:val="010000"/>
        </w:rPr>
        <w:t xml:space="preserve"> </w:t>
      </w:r>
      <w:r>
        <w:rPr>
          <w:rFonts w:ascii="Arial" w:cs="Arial" w:eastAsia="Arial" w:hAnsi="Arial"/>
          <w:sz w:val="19"/>
          <w:szCs w:val="19"/>
          <w:color w:val="000000"/>
        </w:rPr>
        <w:t>not contain signatures of more than one party, but all of which taken together will constitute one and the same Agreement.</w:t>
      </w:r>
    </w:p>
    <w:p>
      <w:pPr>
        <w:spacing w:after="0" w:line="94"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010000"/>
        </w:rPr>
        <w:t xml:space="preserve">13.6 </w:t>
      </w:r>
      <w:r>
        <w:rPr>
          <w:rFonts w:ascii="Arial" w:cs="Arial" w:eastAsia="Arial" w:hAnsi="Arial"/>
          <w:sz w:val="22"/>
          <w:szCs w:val="22"/>
          <w:b w:val="1"/>
          <w:bCs w:val="1"/>
          <w:color w:val="000000"/>
        </w:rPr>
        <w:t>Headings.</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headings of the paragraphs hereof are inserted for convenience only and shall not</w:t>
      </w:r>
      <w:r>
        <w:rPr>
          <w:rFonts w:ascii="Arial" w:cs="Arial" w:eastAsia="Arial" w:hAnsi="Arial"/>
          <w:sz w:val="22"/>
          <w:szCs w:val="22"/>
          <w:b w:val="1"/>
          <w:bCs w:val="1"/>
          <w:color w:val="010000"/>
        </w:rPr>
        <w:t xml:space="preserve"> </w:t>
      </w:r>
      <w:r>
        <w:rPr>
          <w:rFonts w:ascii="Arial" w:cs="Arial" w:eastAsia="Arial" w:hAnsi="Arial"/>
          <w:sz w:val="22"/>
          <w:szCs w:val="22"/>
          <w:color w:val="000000"/>
        </w:rPr>
        <w:t>be deemed to constitute a part hereof nor to affect the meaning thereof.</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010000"/>
        </w:rPr>
        <w:t xml:space="preserve">13.7 </w:t>
      </w:r>
      <w:r>
        <w:rPr>
          <w:rFonts w:ascii="Arial" w:cs="Arial" w:eastAsia="Arial" w:hAnsi="Arial"/>
          <w:sz w:val="22"/>
          <w:szCs w:val="22"/>
          <w:b w:val="1"/>
          <w:bCs w:val="1"/>
          <w:color w:val="000000"/>
        </w:rPr>
        <w:t>Successors and Assigns.</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is intended to bind and inure to the benefit of and be</w:t>
      </w:r>
      <w:r>
        <w:rPr>
          <w:rFonts w:ascii="Arial" w:cs="Arial" w:eastAsia="Arial" w:hAnsi="Arial"/>
          <w:sz w:val="22"/>
          <w:szCs w:val="22"/>
          <w:b w:val="1"/>
          <w:bCs w:val="1"/>
          <w:color w:val="010000"/>
        </w:rPr>
        <w:t xml:space="preserve"> </w:t>
      </w:r>
      <w:r>
        <w:rPr>
          <w:rFonts w:ascii="Arial" w:cs="Arial" w:eastAsia="Arial" w:hAnsi="Arial"/>
          <w:sz w:val="22"/>
          <w:szCs w:val="22"/>
          <w:color w:val="000000"/>
        </w:rPr>
        <w:t>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2" w:name="page163"/>
    <w:bookmarkEnd w:id="162"/>
    <w:p>
      <w:pPr>
        <w:jc w:val="both"/>
        <w:ind w:firstLine="1727"/>
        <w:spacing w:after="0" w:line="249" w:lineRule="auto"/>
        <w:rPr>
          <w:sz w:val="20"/>
          <w:szCs w:val="20"/>
          <w:color w:val="auto"/>
        </w:rPr>
      </w:pPr>
      <w:r>
        <w:rPr>
          <w:rFonts w:ascii="Arial" w:cs="Arial" w:eastAsia="Arial" w:hAnsi="Arial"/>
          <w:sz w:val="21"/>
          <w:szCs w:val="21"/>
          <w:b w:val="1"/>
          <w:bCs w:val="1"/>
          <w:color w:val="010000"/>
        </w:rPr>
        <w:t xml:space="preserve">13.8 </w:t>
      </w:r>
      <w:r>
        <w:rPr>
          <w:rFonts w:ascii="Arial" w:cs="Arial" w:eastAsia="Arial" w:hAnsi="Arial"/>
          <w:sz w:val="21"/>
          <w:szCs w:val="21"/>
          <w:b w:val="1"/>
          <w:bCs w:val="1"/>
          <w:color w:val="000000"/>
        </w:rPr>
        <w:t>Tax Withholding and Indemnification.</w:t>
      </w:r>
      <w:r>
        <w:rPr>
          <w:rFonts w:ascii="Arial" w:cs="Arial" w:eastAsia="Arial" w:hAnsi="Arial"/>
          <w:sz w:val="21"/>
          <w:szCs w:val="21"/>
          <w:b w:val="1"/>
          <w:bCs w:val="1"/>
          <w:color w:val="010000"/>
        </w:rPr>
        <w:t xml:space="preserve"> </w:t>
      </w:r>
      <w:r>
        <w:rPr>
          <w:rFonts w:ascii="Arial" w:cs="Arial" w:eastAsia="Arial" w:hAnsi="Arial"/>
          <w:sz w:val="21"/>
          <w:szCs w:val="21"/>
          <w:color w:val="000000"/>
        </w:rPr>
        <w:t>All payments and awards contemplated or made</w:t>
      </w:r>
      <w:r>
        <w:rPr>
          <w:rFonts w:ascii="Arial" w:cs="Arial" w:eastAsia="Arial" w:hAnsi="Arial"/>
          <w:sz w:val="21"/>
          <w:szCs w:val="21"/>
          <w:b w:val="1"/>
          <w:bCs w:val="1"/>
          <w:color w:val="010000"/>
        </w:rPr>
        <w:t xml:space="preserve"> </w:t>
      </w:r>
      <w:r>
        <w:rPr>
          <w:rFonts w:ascii="Arial" w:cs="Arial" w:eastAsia="Arial" w:hAnsi="Arial"/>
          <w:sz w:val="21"/>
          <w:szCs w:val="21"/>
          <w:color w:val="000000"/>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1"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010000"/>
        </w:rPr>
        <w:t xml:space="preserve">13.9 </w:t>
      </w:r>
      <w:r>
        <w:rPr>
          <w:rFonts w:ascii="Arial" w:cs="Arial" w:eastAsia="Arial" w:hAnsi="Arial"/>
          <w:sz w:val="22"/>
          <w:szCs w:val="22"/>
          <w:b w:val="1"/>
          <w:bCs w:val="1"/>
          <w:color w:val="000000"/>
        </w:rPr>
        <w:t>Choice of Law.</w:t>
      </w:r>
      <w:r>
        <w:rPr>
          <w:rFonts w:ascii="Arial" w:cs="Arial" w:eastAsia="Arial" w:hAnsi="Arial"/>
          <w:sz w:val="22"/>
          <w:szCs w:val="22"/>
          <w:b w:val="1"/>
          <w:bCs w:val="1"/>
          <w:color w:val="010000"/>
        </w:rPr>
        <w:t xml:space="preserve"> </w:t>
      </w:r>
      <w:r>
        <w:rPr>
          <w:rFonts w:ascii="Arial" w:cs="Arial" w:eastAsia="Arial" w:hAnsi="Arial"/>
          <w:sz w:val="22"/>
          <w:szCs w:val="22"/>
          <w:color w:val="000000"/>
        </w:rPr>
        <w:t>All questions concerning the construction, validity and interpretation of this</w:t>
      </w:r>
      <w:r>
        <w:rPr>
          <w:rFonts w:ascii="Arial" w:cs="Arial" w:eastAsia="Arial" w:hAnsi="Arial"/>
          <w:sz w:val="22"/>
          <w:szCs w:val="22"/>
          <w:b w:val="1"/>
          <w:bCs w:val="1"/>
          <w:color w:val="010000"/>
        </w:rPr>
        <w:t xml:space="preserve"> </w:t>
      </w:r>
      <w:r>
        <w:rPr>
          <w:rFonts w:ascii="Arial" w:cs="Arial" w:eastAsia="Arial" w:hAnsi="Arial"/>
          <w:sz w:val="22"/>
          <w:szCs w:val="22"/>
          <w:color w:val="000000"/>
        </w:rPr>
        <w:t>Agreement will be governed by the laws of the State of Delaware.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3" w:name="page164"/>
    <w:bookmarkEnd w:id="163"/>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executed this Agreement on the day and year first written above.</w:t>
      </w:r>
    </w:p>
    <w:p>
      <w:pPr>
        <w:sectPr>
          <w:pgSz w:w="11900" w:h="16838" w:orient="portrait"/>
          <w:cols w:equalWidth="0" w:num="1">
            <w:col w:w="9259"/>
          </w:cols>
          <w:pgMar w:left="1200" w:top="598"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right"/>
        <w:ind w:right="119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RELUDE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NCORPORATED</w:t>
      </w:r>
    </w:p>
    <w:p>
      <w:pPr>
        <w:spacing w:after="0" w:line="200" w:lineRule="exact"/>
        <w:rPr>
          <w:sz w:val="20"/>
          <w:szCs w:val="20"/>
          <w:color w:val="auto"/>
        </w:rPr>
      </w:pPr>
    </w:p>
    <w:p>
      <w:pPr>
        <w:spacing w:after="0" w:line="22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Michele Porreca</w:t>
      </w:r>
    </w:p>
    <w:p>
      <w:pPr>
        <w:spacing w:after="0" w:line="9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11/7/2021 | 11:11 AM EST</w:t>
      </w:r>
    </w:p>
    <w:p>
      <w:pPr>
        <w:spacing w:after="0" w:line="200" w:lineRule="exact"/>
        <w:rPr>
          <w:sz w:val="20"/>
          <w:szCs w:val="20"/>
          <w:color w:val="auto"/>
        </w:rPr>
      </w:pPr>
    </w:p>
    <w:p>
      <w:pPr>
        <w:spacing w:after="0" w:line="324"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AURENT</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HARDONNET</w:t>
      </w:r>
    </w:p>
    <w:p>
      <w:pPr>
        <w:spacing w:after="0" w:line="200" w:lineRule="exact"/>
        <w:rPr>
          <w:sz w:val="20"/>
          <w:szCs w:val="20"/>
          <w:color w:val="auto"/>
        </w:rPr>
      </w:pPr>
    </w:p>
    <w:p>
      <w:pPr>
        <w:spacing w:after="0" w:line="336" w:lineRule="exact"/>
        <w:rPr>
          <w:sz w:val="20"/>
          <w:szCs w:val="20"/>
          <w:color w:val="auto"/>
        </w:rPr>
      </w:pPr>
    </w:p>
    <w:p>
      <w:pPr>
        <w:ind w:left="4740"/>
        <w:spacing w:after="0"/>
        <w:rPr>
          <w:sz w:val="20"/>
          <w:szCs w:val="20"/>
          <w:color w:val="auto"/>
        </w:rPr>
      </w:pPr>
      <w:r>
        <w:rPr>
          <w:rFonts w:ascii="Arial" w:cs="Arial" w:eastAsia="Arial" w:hAnsi="Arial"/>
          <w:sz w:val="22"/>
          <w:szCs w:val="22"/>
          <w:u w:val="single" w:color="auto"/>
          <w:color w:val="auto"/>
        </w:rPr>
        <w:t>/s/ Laurent Chardonnet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Employment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85090</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98" w:right="1440" w:bottom="1440" w:gutter="0" w:footer="0" w:header="0"/>
          <w:type w:val="continuous"/>
        </w:sectPr>
      </w:pPr>
    </w:p>
    <w:bookmarkStart w:id="164" w:name="page165"/>
    <w:bookmarkEnd w:id="164"/>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Employee Proprietary Information, Restrictive Covenant and Invention Assignment Agreement</w:t>
      </w:r>
    </w:p>
    <w:p>
      <w:pPr>
        <w:sectPr>
          <w:pgSz w:w="11900" w:h="16838" w:orient="portrait"/>
          <w:cols w:equalWidth="0" w:num="1">
            <w:col w:w="9019"/>
          </w:cols>
          <w:pgMar w:left="1440" w:top="598"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10.10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made between Prelude Therapeutics Incorporated,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Brian Piper (“</w:t>
      </w:r>
      <w:r>
        <w:rPr>
          <w:rFonts w:ascii="Arial" w:cs="Arial" w:eastAsia="Arial" w:hAnsi="Arial"/>
          <w:sz w:val="22"/>
          <w:szCs w:val="22"/>
          <w:b w:val="1"/>
          <w:bCs w:val="1"/>
          <w:color w:val="auto"/>
        </w:rPr>
        <w:t>Executive</w:t>
      </w:r>
      <w:r>
        <w:rPr>
          <w:rFonts w:ascii="Arial" w:cs="Arial" w:eastAsia="Arial" w:hAnsi="Arial"/>
          <w:sz w:val="22"/>
          <w:szCs w:val="22"/>
          <w:color w:val="auto"/>
        </w:rPr>
        <w:t>” and, collectively with the Company, the “</w:t>
      </w:r>
      <w:r>
        <w:rPr>
          <w:rFonts w:ascii="Arial" w:cs="Arial" w:eastAsia="Arial" w:hAnsi="Arial"/>
          <w:sz w:val="22"/>
          <w:szCs w:val="22"/>
          <w:b w:val="1"/>
          <w:bCs w:val="1"/>
          <w:color w:val="auto"/>
        </w:rPr>
        <w:t>Parties</w:t>
      </w:r>
      <w:r>
        <w:rPr>
          <w:rFonts w:ascii="Arial" w:cs="Arial" w:eastAsia="Arial" w:hAnsi="Arial"/>
          <w:sz w:val="22"/>
          <w:szCs w:val="22"/>
          <w:color w:val="auto"/>
        </w:rPr>
        <w:t>”), is entered into as of December 19, 2020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306"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desires to continue to employ Executive as the Company’s Chief Financial Officer, and</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desires to continue to serve in such capacity, pursuant to the terms and conditions set forth in this Agreement.</w:t>
      </w:r>
    </w:p>
    <w:p>
      <w:pPr>
        <w:spacing w:after="0" w:line="116" w:lineRule="exact"/>
        <w:rPr>
          <w:sz w:val="20"/>
          <w:szCs w:val="20"/>
          <w:color w:val="auto"/>
        </w:rPr>
      </w:pPr>
    </w:p>
    <w:p>
      <w:pPr>
        <w:jc w:val="both"/>
        <w:ind w:right="20" w:firstLine="864"/>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mutual promises and covenants contained herein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is hereby acknowledged, the Parties hereto agree as follows:</w:t>
      </w:r>
    </w:p>
    <w:p>
      <w:pPr>
        <w:spacing w:after="0" w:line="116" w:lineRule="exact"/>
        <w:rPr>
          <w:sz w:val="20"/>
          <w:szCs w:val="20"/>
          <w:color w:val="auto"/>
        </w:rPr>
      </w:pPr>
    </w:p>
    <w:p>
      <w:pPr>
        <w:ind w:left="1680" w:hanging="808"/>
        <w:spacing w:after="0"/>
        <w:tabs>
          <w:tab w:leader="none" w:pos="1680" w:val="left"/>
        </w:tabs>
        <w:numPr>
          <w:ilvl w:val="0"/>
          <w:numId w:val="123"/>
        </w:numPr>
        <w:rPr>
          <w:rFonts w:ascii="Arial" w:cs="Arial" w:eastAsia="Arial" w:hAnsi="Arial"/>
          <w:sz w:val="22"/>
          <w:szCs w:val="22"/>
          <w:b w:val="1"/>
          <w:bCs w:val="1"/>
          <w:color w:val="010000"/>
        </w:rPr>
      </w:pPr>
      <w:r>
        <w:rPr>
          <w:rFonts w:ascii="Arial" w:cs="Arial" w:eastAsia="Arial" w:hAnsi="Arial"/>
          <w:sz w:val="22"/>
          <w:szCs w:val="22"/>
          <w:b w:val="1"/>
          <w:bCs w:val="1"/>
          <w:color w:val="auto"/>
        </w:rPr>
        <w:t>Employment by the Company.</w:t>
      </w:r>
    </w:p>
    <w:p>
      <w:pPr>
        <w:spacing w:after="0" w:line="206"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010000"/>
        </w:rPr>
        <w:t xml:space="preserve">1.1 </w:t>
      </w:r>
      <w:r>
        <w:rPr>
          <w:rFonts w:ascii="Arial" w:cs="Arial" w:eastAsia="Arial" w:hAnsi="Arial"/>
          <w:sz w:val="22"/>
          <w:szCs w:val="22"/>
          <w:b w:val="1"/>
          <w:bCs w:val="1"/>
          <w:color w:val="000000"/>
        </w:rPr>
        <w:t>Employment.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shall govern the terms of Executive’s employment with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Company, effective as of the Effective Date.</w:t>
      </w:r>
    </w:p>
    <w:p>
      <w:pPr>
        <w:spacing w:after="0" w:line="162" w:lineRule="exact"/>
        <w:rPr>
          <w:sz w:val="20"/>
          <w:szCs w:val="20"/>
          <w:color w:val="auto"/>
        </w:rPr>
      </w:pPr>
    </w:p>
    <w:p>
      <w:pPr>
        <w:jc w:val="both"/>
        <w:ind w:firstLine="1727"/>
        <w:spacing w:after="0" w:line="300" w:lineRule="auto"/>
        <w:rPr>
          <w:sz w:val="20"/>
          <w:szCs w:val="20"/>
          <w:color w:val="auto"/>
        </w:rPr>
      </w:pPr>
      <w:r>
        <w:rPr>
          <w:rFonts w:ascii="Arial" w:cs="Arial" w:eastAsia="Arial" w:hAnsi="Arial"/>
          <w:sz w:val="19"/>
          <w:szCs w:val="19"/>
          <w:b w:val="1"/>
          <w:bCs w:val="1"/>
          <w:color w:val="010000"/>
        </w:rPr>
        <w:t xml:space="preserve">1.2 </w:t>
      </w:r>
      <w:r>
        <w:rPr>
          <w:rFonts w:ascii="Arial" w:cs="Arial" w:eastAsia="Arial" w:hAnsi="Arial"/>
          <w:sz w:val="19"/>
          <w:szCs w:val="19"/>
          <w:b w:val="1"/>
          <w:bCs w:val="1"/>
          <w:color w:val="000000"/>
        </w:rPr>
        <w:t>Position.</w:t>
      </w:r>
      <w:r>
        <w:rPr>
          <w:rFonts w:ascii="Arial" w:cs="Arial" w:eastAsia="Arial" w:hAnsi="Arial"/>
          <w:sz w:val="19"/>
          <w:szCs w:val="19"/>
          <w:b w:val="1"/>
          <w:bCs w:val="1"/>
          <w:color w:val="010000"/>
        </w:rPr>
        <w:t xml:space="preserve"> </w:t>
      </w:r>
      <w:r>
        <w:rPr>
          <w:rFonts w:ascii="Arial" w:cs="Arial" w:eastAsia="Arial" w:hAnsi="Arial"/>
          <w:sz w:val="19"/>
          <w:szCs w:val="19"/>
          <w:color w:val="000000"/>
        </w:rPr>
        <w:t>Executive shall continue to serve as the Company’s Chief Financial Officer. During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term of Executive’s employment with the Company hereunder, Executive will devote Executive’s best efforts and substantially all of Executive’s business time and attention to the business of the Company, except as otherwise set forth in Section 11.1.</w:t>
      </w:r>
    </w:p>
    <w:p>
      <w:pPr>
        <w:spacing w:after="0" w:line="126" w:lineRule="exact"/>
        <w:rPr>
          <w:sz w:val="20"/>
          <w:szCs w:val="20"/>
          <w:color w:val="auto"/>
        </w:rPr>
      </w:pPr>
    </w:p>
    <w:p>
      <w:pPr>
        <w:jc w:val="both"/>
        <w:ind w:right="20" w:firstLine="1727"/>
        <w:spacing w:after="0" w:line="243" w:lineRule="auto"/>
        <w:rPr>
          <w:sz w:val="20"/>
          <w:szCs w:val="20"/>
          <w:color w:val="auto"/>
        </w:rPr>
      </w:pPr>
      <w:r>
        <w:rPr>
          <w:rFonts w:ascii="Arial" w:cs="Arial" w:eastAsia="Arial" w:hAnsi="Arial"/>
          <w:sz w:val="22"/>
          <w:szCs w:val="22"/>
          <w:b w:val="1"/>
          <w:bCs w:val="1"/>
          <w:color w:val="010000"/>
        </w:rPr>
        <w:t xml:space="preserve">1.3 </w:t>
      </w:r>
      <w:r>
        <w:rPr>
          <w:rFonts w:ascii="Arial" w:cs="Arial" w:eastAsia="Arial" w:hAnsi="Arial"/>
          <w:sz w:val="22"/>
          <w:szCs w:val="22"/>
          <w:b w:val="1"/>
          <w:bCs w:val="1"/>
          <w:color w:val="000000"/>
        </w:rPr>
        <w:t>Duties and Location.</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shall perform such duties as are typically performed by a Chief</w:t>
      </w:r>
      <w:r>
        <w:rPr>
          <w:rFonts w:ascii="Arial" w:cs="Arial" w:eastAsia="Arial" w:hAnsi="Arial"/>
          <w:sz w:val="22"/>
          <w:szCs w:val="22"/>
          <w:b w:val="1"/>
          <w:bCs w:val="1"/>
          <w:color w:val="010000"/>
        </w:rPr>
        <w:t xml:space="preserve"> </w:t>
      </w:r>
      <w:r>
        <w:rPr>
          <w:rFonts w:ascii="Arial" w:cs="Arial" w:eastAsia="Arial" w:hAnsi="Arial"/>
          <w:sz w:val="22"/>
          <w:szCs w:val="22"/>
          <w:color w:val="000000"/>
        </w:rPr>
        <w:t>Financial Officer. Executive will report to the Company’s Chief Executive Officer. Executive’s primary office location shall be the Company’s office located in Wilmington, Delaware.</w:t>
      </w:r>
    </w:p>
    <w:p>
      <w:pPr>
        <w:spacing w:after="0" w:line="177"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1"/>
          <w:szCs w:val="21"/>
          <w:b w:val="1"/>
          <w:bCs w:val="1"/>
          <w:color w:val="010000"/>
        </w:rPr>
        <w:t xml:space="preserve">1.4 </w:t>
      </w:r>
      <w:r>
        <w:rPr>
          <w:rFonts w:ascii="Arial" w:cs="Arial" w:eastAsia="Arial" w:hAnsi="Arial"/>
          <w:sz w:val="21"/>
          <w:szCs w:val="21"/>
          <w:b w:val="1"/>
          <w:bCs w:val="1"/>
          <w:color w:val="000000"/>
        </w:rPr>
        <w:t>Policies and Procedures.</w:t>
      </w:r>
      <w:r>
        <w:rPr>
          <w:rFonts w:ascii="Arial" w:cs="Arial" w:eastAsia="Arial" w:hAnsi="Arial"/>
          <w:sz w:val="21"/>
          <w:szCs w:val="21"/>
          <w:b w:val="1"/>
          <w:bCs w:val="1"/>
          <w:color w:val="010000"/>
        </w:rPr>
        <w:t xml:space="preserve"> </w:t>
      </w:r>
      <w:r>
        <w:rPr>
          <w:rFonts w:ascii="Arial" w:cs="Arial" w:eastAsia="Arial" w:hAnsi="Arial"/>
          <w:sz w:val="21"/>
          <w:szCs w:val="21"/>
          <w:color w:val="000000"/>
        </w:rPr>
        <w:t>The employment relationship between the Parties shall be governed by</w:t>
      </w:r>
      <w:r>
        <w:rPr>
          <w:rFonts w:ascii="Arial" w:cs="Arial" w:eastAsia="Arial" w:hAnsi="Arial"/>
          <w:sz w:val="21"/>
          <w:szCs w:val="21"/>
          <w:b w:val="1"/>
          <w:bCs w:val="1"/>
          <w:color w:val="010000"/>
        </w:rPr>
        <w:t xml:space="preserve"> </w:t>
      </w:r>
      <w:r>
        <w:rPr>
          <w:rFonts w:ascii="Arial" w:cs="Arial" w:eastAsia="Arial" w:hAnsi="Arial"/>
          <w:sz w:val="21"/>
          <w:szCs w:val="21"/>
          <w:color w:val="000000"/>
        </w:rPr>
        <w:t>the general employment policies and practices of the Company, except that when the terms of this Agreement differ from or are in conflict with the Company’s general employment policies or practices, this Agreement shall control.</w:t>
      </w:r>
    </w:p>
    <w:p>
      <w:pPr>
        <w:spacing w:after="0" w:line="160" w:lineRule="exact"/>
        <w:rPr>
          <w:sz w:val="20"/>
          <w:szCs w:val="20"/>
          <w:color w:val="auto"/>
        </w:rPr>
      </w:pPr>
    </w:p>
    <w:p>
      <w:pPr>
        <w:ind w:left="1680" w:hanging="808"/>
        <w:spacing w:after="0"/>
        <w:tabs>
          <w:tab w:leader="none" w:pos="1680" w:val="left"/>
        </w:tabs>
        <w:numPr>
          <w:ilvl w:val="0"/>
          <w:numId w:val="124"/>
        </w:numPr>
        <w:rPr>
          <w:rFonts w:ascii="Arial" w:cs="Arial" w:eastAsia="Arial" w:hAnsi="Arial"/>
          <w:sz w:val="22"/>
          <w:szCs w:val="22"/>
          <w:b w:val="1"/>
          <w:bCs w:val="1"/>
          <w:color w:val="010000"/>
        </w:rPr>
      </w:pPr>
      <w:r>
        <w:rPr>
          <w:rFonts w:ascii="Arial" w:cs="Arial" w:eastAsia="Arial" w:hAnsi="Arial"/>
          <w:sz w:val="22"/>
          <w:szCs w:val="22"/>
          <w:b w:val="1"/>
          <w:bCs w:val="1"/>
          <w:color w:val="auto"/>
        </w:rPr>
        <w:t>Compensation.</w:t>
      </w:r>
    </w:p>
    <w:p>
      <w:pPr>
        <w:spacing w:after="0" w:line="20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010000"/>
        </w:rPr>
        <w:t xml:space="preserve">2.1 </w:t>
      </w:r>
      <w:r>
        <w:rPr>
          <w:rFonts w:ascii="Arial" w:cs="Arial" w:eastAsia="Arial" w:hAnsi="Arial"/>
          <w:sz w:val="22"/>
          <w:szCs w:val="22"/>
          <w:b w:val="1"/>
          <w:bCs w:val="1"/>
          <w:color w:val="000000"/>
        </w:rPr>
        <w:t>Salary.</w:t>
      </w:r>
      <w:r>
        <w:rPr>
          <w:rFonts w:ascii="Arial" w:cs="Arial" w:eastAsia="Arial" w:hAnsi="Arial"/>
          <w:sz w:val="22"/>
          <w:szCs w:val="22"/>
          <w:b w:val="1"/>
          <w:bCs w:val="1"/>
          <w:color w:val="010000"/>
        </w:rPr>
        <w:t xml:space="preserve"> </w:t>
      </w:r>
      <w:r>
        <w:rPr>
          <w:rFonts w:ascii="Arial" w:cs="Arial" w:eastAsia="Arial" w:hAnsi="Arial"/>
          <w:sz w:val="22"/>
          <w:szCs w:val="22"/>
          <w:color w:val="000000"/>
        </w:rPr>
        <w:t>For services to be rendered hereunder, Executive shall receive a base salary at the rate of</w:t>
      </w:r>
      <w:r>
        <w:rPr>
          <w:rFonts w:ascii="Arial" w:cs="Arial" w:eastAsia="Arial" w:hAnsi="Arial"/>
          <w:sz w:val="22"/>
          <w:szCs w:val="22"/>
          <w:b w:val="1"/>
          <w:bCs w:val="1"/>
          <w:color w:val="010000"/>
        </w:rPr>
        <w:t xml:space="preserve"> </w:t>
      </w:r>
      <w:r>
        <w:rPr>
          <w:rFonts w:ascii="Arial" w:cs="Arial" w:eastAsia="Arial" w:hAnsi="Arial"/>
          <w:sz w:val="22"/>
          <w:szCs w:val="22"/>
          <w:color w:val="000000"/>
        </w:rPr>
        <w:t>three hundred seventy-five thousand U.S. Dollars ($375,000) per year (such base salary, as in effect from time to time, the “</w:t>
      </w:r>
      <w:r>
        <w:rPr>
          <w:rFonts w:ascii="Arial" w:cs="Arial" w:eastAsia="Arial" w:hAnsi="Arial"/>
          <w:sz w:val="22"/>
          <w:szCs w:val="22"/>
          <w:b w:val="1"/>
          <w:bCs w:val="1"/>
          <w:color w:val="000000"/>
        </w:rPr>
        <w:t>Base</w:t>
      </w:r>
      <w:r>
        <w:rPr>
          <w:rFonts w:ascii="Arial" w:cs="Arial" w:eastAsia="Arial" w:hAnsi="Arial"/>
          <w:sz w:val="22"/>
          <w:szCs w:val="22"/>
          <w:color w:val="000000"/>
        </w:rPr>
        <w:t xml:space="preserve"> </w:t>
      </w:r>
      <w:r>
        <w:rPr>
          <w:rFonts w:ascii="Arial" w:cs="Arial" w:eastAsia="Arial" w:hAnsi="Arial"/>
          <w:sz w:val="22"/>
          <w:szCs w:val="22"/>
          <w:b w:val="1"/>
          <w:bCs w:val="1"/>
          <w:color w:val="000000"/>
        </w:rPr>
        <w:t>Salary</w:t>
      </w:r>
      <w:r>
        <w:rPr>
          <w:rFonts w:ascii="Arial" w:cs="Arial" w:eastAsia="Arial" w:hAnsi="Arial"/>
          <w:sz w:val="22"/>
          <w:szCs w:val="22"/>
          <w:color w:val="000000"/>
        </w:rPr>
        <w:t>”), subject to standard payroll deductions and withholdings and payable in accordance with the Company’s regular payroll</w:t>
      </w:r>
      <w:r>
        <w:rPr>
          <w:rFonts w:ascii="Arial" w:cs="Arial" w:eastAsia="Arial" w:hAnsi="Arial"/>
          <w:sz w:val="22"/>
          <w:szCs w:val="22"/>
          <w:b w:val="1"/>
          <w:bCs w:val="1"/>
          <w:color w:val="000000"/>
        </w:rPr>
        <w:t xml:space="preserve"> </w:t>
      </w:r>
      <w:r>
        <w:rPr>
          <w:rFonts w:ascii="Arial" w:cs="Arial" w:eastAsia="Arial" w:hAnsi="Arial"/>
          <w:sz w:val="22"/>
          <w:szCs w:val="22"/>
          <w:color w:val="000000"/>
        </w:rPr>
        <w:t>schedule.</w:t>
      </w:r>
    </w:p>
    <w:p>
      <w:pPr>
        <w:spacing w:after="0" w:line="180" w:lineRule="exact"/>
        <w:rPr>
          <w:sz w:val="20"/>
          <w:szCs w:val="20"/>
          <w:color w:val="auto"/>
        </w:rPr>
      </w:pPr>
    </w:p>
    <w:p>
      <w:pPr>
        <w:jc w:val="both"/>
        <w:ind w:firstLine="1727"/>
        <w:spacing w:after="0" w:line="254" w:lineRule="auto"/>
        <w:rPr>
          <w:sz w:val="20"/>
          <w:szCs w:val="20"/>
          <w:color w:val="auto"/>
        </w:rPr>
      </w:pPr>
      <w:r>
        <w:rPr>
          <w:rFonts w:ascii="Arial" w:cs="Arial" w:eastAsia="Arial" w:hAnsi="Arial"/>
          <w:sz w:val="21"/>
          <w:szCs w:val="21"/>
          <w:b w:val="1"/>
          <w:bCs w:val="1"/>
          <w:color w:val="010000"/>
        </w:rPr>
        <w:t xml:space="preserve">2.2 </w:t>
      </w:r>
      <w:r>
        <w:rPr>
          <w:rFonts w:ascii="Arial" w:cs="Arial" w:eastAsia="Arial" w:hAnsi="Arial"/>
          <w:sz w:val="21"/>
          <w:szCs w:val="21"/>
          <w:b w:val="1"/>
          <w:bCs w:val="1"/>
          <w:color w:val="000000"/>
        </w:rPr>
        <w:t>Bonus.</w:t>
      </w:r>
      <w:r>
        <w:rPr>
          <w:rFonts w:ascii="Arial" w:cs="Arial" w:eastAsia="Arial" w:hAnsi="Arial"/>
          <w:sz w:val="21"/>
          <w:szCs w:val="21"/>
          <w:b w:val="1"/>
          <w:bCs w:val="1"/>
          <w:color w:val="010000"/>
        </w:rPr>
        <w:t xml:space="preserve"> </w:t>
      </w:r>
      <w:r>
        <w:rPr>
          <w:rFonts w:ascii="Arial" w:cs="Arial" w:eastAsia="Arial" w:hAnsi="Arial"/>
          <w:sz w:val="21"/>
          <w:szCs w:val="21"/>
          <w:color w:val="000000"/>
        </w:rPr>
        <w:t>Executive will be eligible for an annual discretionary bonus with a target amount equal to</w:t>
      </w:r>
      <w:r>
        <w:rPr>
          <w:rFonts w:ascii="Arial" w:cs="Arial" w:eastAsia="Arial" w:hAnsi="Arial"/>
          <w:sz w:val="21"/>
          <w:szCs w:val="21"/>
          <w:b w:val="1"/>
          <w:bCs w:val="1"/>
          <w:color w:val="010000"/>
        </w:rPr>
        <w:t xml:space="preserve"> </w:t>
      </w:r>
      <w:r>
        <w:rPr>
          <w:rFonts w:ascii="Arial" w:cs="Arial" w:eastAsia="Arial" w:hAnsi="Arial"/>
          <w:sz w:val="21"/>
          <w:szCs w:val="21"/>
          <w:color w:val="000000"/>
        </w:rPr>
        <w:t>40% of Executive’s Base Salary (the “</w:t>
      </w:r>
      <w:r>
        <w:rPr>
          <w:rFonts w:ascii="Arial" w:cs="Arial" w:eastAsia="Arial" w:hAnsi="Arial"/>
          <w:sz w:val="21"/>
          <w:szCs w:val="21"/>
          <w:b w:val="1"/>
          <w:bCs w:val="1"/>
          <w:color w:val="000000"/>
        </w:rPr>
        <w:t>Annual Bonus</w:t>
      </w:r>
      <w:r>
        <w:rPr>
          <w:rFonts w:ascii="Arial" w:cs="Arial" w:eastAsia="Arial" w:hAnsi="Arial"/>
          <w:sz w:val="21"/>
          <w:szCs w:val="21"/>
          <w:color w:val="000000"/>
        </w:rPr>
        <w:t>”). Whether Executive receives an Annual Bonus for any given year, and the amount of any such Annual Bonus, will be determined by the board of directors of the Company (the “</w:t>
      </w:r>
      <w:r>
        <w:rPr>
          <w:rFonts w:ascii="Arial" w:cs="Arial" w:eastAsia="Arial" w:hAnsi="Arial"/>
          <w:sz w:val="21"/>
          <w:szCs w:val="21"/>
          <w:b w:val="1"/>
          <w:bCs w:val="1"/>
          <w:color w:val="000000"/>
        </w:rPr>
        <w:t>Board</w:t>
      </w:r>
      <w:r>
        <w:rPr>
          <w:rFonts w:ascii="Arial" w:cs="Arial" w:eastAsia="Arial" w:hAnsi="Arial"/>
          <w:sz w:val="21"/>
          <w:szCs w:val="21"/>
          <w:color w:val="000000"/>
        </w:rPr>
        <w:t>”) or the compensation committee thereof in its sole discretion based upon the Company’s and Executive’s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6" w:name="page167"/>
    <w:bookmarkEnd w:id="166"/>
    <w:p>
      <w:pPr>
        <w:jc w:val="both"/>
        <w:ind w:right="20"/>
        <w:spacing w:after="0"/>
        <w:rPr>
          <w:sz w:val="20"/>
          <w:szCs w:val="20"/>
          <w:color w:val="auto"/>
        </w:rPr>
      </w:pPr>
      <w:r>
        <w:rPr>
          <w:rFonts w:ascii="Arial" w:cs="Arial" w:eastAsia="Arial" w:hAnsi="Arial"/>
          <w:sz w:val="22"/>
          <w:szCs w:val="22"/>
          <w:color w:val="auto"/>
        </w:rPr>
        <w:t>of objectives and milestones to be determined on an annual basis by the Board or the compensation committee thereof. Executive will not be eligible for, and will not earn, any Annual Bonus (including a prorated bonus) if Executive’s employment terminates for any reason before any Annual Bonus is paid.</w:t>
      </w:r>
    </w:p>
    <w:p>
      <w:pPr>
        <w:spacing w:after="0" w:line="180" w:lineRule="exact"/>
        <w:rPr>
          <w:sz w:val="20"/>
          <w:szCs w:val="20"/>
          <w:color w:val="auto"/>
        </w:rPr>
      </w:pPr>
    </w:p>
    <w:p>
      <w:pPr>
        <w:jc w:val="both"/>
        <w:ind w:firstLine="872"/>
        <w:spacing w:after="0" w:line="243" w:lineRule="auto"/>
        <w:tabs>
          <w:tab w:leader="none" w:pos="1674" w:val="left"/>
        </w:tabs>
        <w:numPr>
          <w:ilvl w:val="0"/>
          <w:numId w:val="125"/>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Standard Company Benefits. </w:t>
      </w:r>
      <w:r>
        <w:rPr>
          <w:rFonts w:ascii="Arial" w:cs="Arial" w:eastAsia="Arial" w:hAnsi="Arial"/>
          <w:sz w:val="22"/>
          <w:szCs w:val="22"/>
          <w:color w:val="auto"/>
        </w:rPr>
        <w:t>Executive shall be entitled to participate in all employee benefit programs for</w:t>
      </w:r>
      <w:r>
        <w:rPr>
          <w:rFonts w:ascii="Arial" w:cs="Arial" w:eastAsia="Arial" w:hAnsi="Arial"/>
          <w:sz w:val="22"/>
          <w:szCs w:val="22"/>
          <w:b w:val="1"/>
          <w:bCs w:val="1"/>
          <w:color w:val="auto"/>
        </w:rPr>
        <w:t xml:space="preserve"> </w:t>
      </w:r>
      <w:r>
        <w:rPr>
          <w:rFonts w:ascii="Arial" w:cs="Arial" w:eastAsia="Arial" w:hAnsi="Arial"/>
          <w:sz w:val="22"/>
          <w:szCs w:val="22"/>
          <w:color w:val="auto"/>
        </w:rPr>
        <w:t>which Executive is eligible under the terms and conditions of the benefit plans that may be in effect from time to time and provided by the Company to its employees.</w:t>
      </w:r>
    </w:p>
    <w:p>
      <w:pPr>
        <w:spacing w:after="0" w:line="176" w:lineRule="exact"/>
        <w:rPr>
          <w:rFonts w:ascii="Arial" w:cs="Arial" w:eastAsia="Arial" w:hAnsi="Arial"/>
          <w:sz w:val="22"/>
          <w:szCs w:val="22"/>
          <w:b w:val="1"/>
          <w:bCs w:val="1"/>
          <w:color w:val="010000"/>
        </w:rPr>
      </w:pPr>
    </w:p>
    <w:p>
      <w:pPr>
        <w:jc w:val="both"/>
        <w:ind w:firstLine="872"/>
        <w:spacing w:after="0" w:line="243" w:lineRule="auto"/>
        <w:tabs>
          <w:tab w:leader="none" w:pos="1674" w:val="left"/>
        </w:tabs>
        <w:numPr>
          <w:ilvl w:val="0"/>
          <w:numId w:val="125"/>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Expenses. </w:t>
      </w:r>
      <w:r>
        <w:rPr>
          <w:rFonts w:ascii="Arial" w:cs="Arial" w:eastAsia="Arial" w:hAnsi="Arial"/>
          <w:sz w:val="22"/>
          <w:szCs w:val="22"/>
          <w:color w:val="auto"/>
        </w:rPr>
        <w:t>The Company will reimburse Executive for reasonable travel, entertainment or other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Executive in furtherance or in connection with the performance of Executive’s duties hereunder, in accordance with the Company’s expense reimbursement policy as in effect from time to time.</w:t>
      </w:r>
    </w:p>
    <w:p>
      <w:pPr>
        <w:spacing w:after="0" w:line="176" w:lineRule="exact"/>
        <w:rPr>
          <w:rFonts w:ascii="Arial" w:cs="Arial" w:eastAsia="Arial" w:hAnsi="Arial"/>
          <w:sz w:val="22"/>
          <w:szCs w:val="22"/>
          <w:b w:val="1"/>
          <w:bCs w:val="1"/>
          <w:color w:val="010000"/>
        </w:rPr>
      </w:pPr>
    </w:p>
    <w:p>
      <w:pPr>
        <w:ind w:left="1680" w:hanging="808"/>
        <w:spacing w:after="0"/>
        <w:tabs>
          <w:tab w:leader="none" w:pos="1680" w:val="left"/>
        </w:tabs>
        <w:numPr>
          <w:ilvl w:val="0"/>
          <w:numId w:val="125"/>
        </w:numPr>
        <w:rPr>
          <w:rFonts w:ascii="Arial" w:cs="Arial" w:eastAsia="Arial" w:hAnsi="Arial"/>
          <w:sz w:val="22"/>
          <w:szCs w:val="22"/>
          <w:b w:val="1"/>
          <w:bCs w:val="1"/>
          <w:color w:val="010000"/>
        </w:rPr>
      </w:pPr>
      <w:r>
        <w:rPr>
          <w:rFonts w:ascii="Arial" w:cs="Arial" w:eastAsia="Arial" w:hAnsi="Arial"/>
          <w:sz w:val="22"/>
          <w:szCs w:val="22"/>
          <w:b w:val="1"/>
          <w:bCs w:val="1"/>
          <w:color w:val="auto"/>
        </w:rPr>
        <w:t>Termination of Employment; Severance.</w:t>
      </w:r>
    </w:p>
    <w:p>
      <w:pPr>
        <w:spacing w:after="0" w:line="206"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b w:val="1"/>
          <w:bCs w:val="1"/>
          <w:color w:val="010000"/>
        </w:rPr>
        <w:t xml:space="preserve">5.1 </w:t>
      </w:r>
      <w:r>
        <w:rPr>
          <w:rFonts w:ascii="Arial" w:cs="Arial" w:eastAsia="Arial" w:hAnsi="Arial"/>
          <w:sz w:val="19"/>
          <w:szCs w:val="19"/>
          <w:b w:val="1"/>
          <w:bCs w:val="1"/>
          <w:color w:val="000000"/>
        </w:rPr>
        <w:t>At-Will Employment.</w:t>
      </w:r>
      <w:r>
        <w:rPr>
          <w:rFonts w:ascii="Arial" w:cs="Arial" w:eastAsia="Arial" w:hAnsi="Arial"/>
          <w:sz w:val="19"/>
          <w:szCs w:val="19"/>
          <w:b w:val="1"/>
          <w:bCs w:val="1"/>
          <w:color w:val="010000"/>
        </w:rPr>
        <w:t xml:space="preserve"> </w:t>
      </w:r>
      <w:r>
        <w:rPr>
          <w:rFonts w:ascii="Arial" w:cs="Arial" w:eastAsia="Arial" w:hAnsi="Arial"/>
          <w:sz w:val="19"/>
          <w:szCs w:val="19"/>
          <w:color w:val="000000"/>
        </w:rPr>
        <w:t>Executive’s employment relationship is at-will. Either Executive or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Company may terminate the employment relationship at any time, with or without Cause (as defined below) or advance notice. In the event Executive’s employment relationship is terminated for any reason, Executive shall be entitled to receive Executive’s earned but unpaid Base Salary, unreimbursed business expenses properly incurred by Executive pursuant to Section 4 and any other compensation or benefit earned by or owed to (but not yet paid to) Executive through and including the date of termination, payable in a lump sum on the next regularly scheduled payroll date following the date on which Executive’s employment terminated, or at such other date as shall be specified under the terms of the employee benefit plan pursuant to which such compensation or benefit is payable. Executive shall also resign from all positions and terminate any relationships as an employee, advisor, officer or director with the Company and any of its affiliates, each effective on the date of termination.</w:t>
      </w:r>
    </w:p>
    <w:p>
      <w:pPr>
        <w:spacing w:after="0" w:line="150" w:lineRule="exact"/>
        <w:rPr>
          <w:sz w:val="20"/>
          <w:szCs w:val="20"/>
          <w:color w:val="auto"/>
        </w:rPr>
      </w:pPr>
    </w:p>
    <w:p>
      <w:pPr>
        <w:jc w:val="both"/>
        <w:ind w:firstLine="1727"/>
        <w:spacing w:after="0" w:line="251" w:lineRule="auto"/>
        <w:rPr>
          <w:sz w:val="20"/>
          <w:szCs w:val="20"/>
          <w:color w:val="auto"/>
        </w:rPr>
      </w:pPr>
      <w:r>
        <w:rPr>
          <w:rFonts w:ascii="Arial" w:cs="Arial" w:eastAsia="Arial" w:hAnsi="Arial"/>
          <w:sz w:val="21"/>
          <w:szCs w:val="21"/>
          <w:b w:val="1"/>
          <w:bCs w:val="1"/>
          <w:color w:val="010000"/>
        </w:rPr>
        <w:t xml:space="preserve">5.2 </w:t>
      </w:r>
      <w:r>
        <w:rPr>
          <w:rFonts w:ascii="Arial" w:cs="Arial" w:eastAsia="Arial" w:hAnsi="Arial"/>
          <w:sz w:val="21"/>
          <w:szCs w:val="21"/>
          <w:b w:val="1"/>
          <w:bCs w:val="1"/>
          <w:color w:val="000000"/>
        </w:rPr>
        <w:t>Severance Benefits for Termination Without Cause Unrelated to a Change of Control.</w:t>
      </w:r>
      <w:r>
        <w:rPr>
          <w:rFonts w:ascii="Arial" w:cs="Arial" w:eastAsia="Arial" w:hAnsi="Arial"/>
          <w:sz w:val="21"/>
          <w:szCs w:val="21"/>
          <w:b w:val="1"/>
          <w:bCs w:val="1"/>
          <w:color w:val="010000"/>
        </w:rPr>
        <w:t xml:space="preserve"> </w:t>
      </w:r>
      <w:r>
        <w:rPr>
          <w:rFonts w:ascii="Arial" w:cs="Arial" w:eastAsia="Arial" w:hAnsi="Arial"/>
          <w:sz w:val="21"/>
          <w:szCs w:val="21"/>
          <w:color w:val="000000"/>
        </w:rPr>
        <w:t>In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event Executive’s employment with the Company is terminated by the Company without Cause prior to a Change of Control (as defined below) or more than twelve (12) months following a Change of Control, the Company shall provide Executive with the following payments and benefits, provided that Executive remains in compliance with the terms of this Agreement and the Restrictive Covenant Agreement (as defined below) and subject to Section 6 below:</w:t>
      </w:r>
    </w:p>
    <w:p>
      <w:pPr>
        <w:spacing w:after="0" w:line="174" w:lineRule="exact"/>
        <w:rPr>
          <w:sz w:val="20"/>
          <w:szCs w:val="20"/>
          <w:color w:val="auto"/>
        </w:rPr>
      </w:pPr>
    </w:p>
    <w:p>
      <w:pPr>
        <w:jc w:val="both"/>
        <w:ind w:firstLine="2600"/>
        <w:spacing w:after="0" w:line="236" w:lineRule="auto"/>
        <w:tabs>
          <w:tab w:leader="none" w:pos="344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Company shall pay Executive, as severance, the equivalent of nine (9) months of Executive’s Base Salary as in effect as of the date of Executive’s employment termination. This severance will be paid in the form of salary continuation, payable on the Company’s regular payroll dates, subject to standard payroll deductions and withholdings, starting on the 60</w:t>
      </w:r>
      <w:r>
        <w:rPr>
          <w:rFonts w:ascii="Arial" w:cs="Arial" w:eastAsia="Arial" w:hAnsi="Arial"/>
          <w:sz w:val="18"/>
          <w:szCs w:val="18"/>
          <w:color w:val="auto"/>
        </w:rPr>
        <w:t>th</w:t>
      </w:r>
      <w:r>
        <w:rPr>
          <w:rFonts w:ascii="Arial" w:cs="Arial" w:eastAsia="Arial" w:hAnsi="Arial"/>
          <w:sz w:val="22"/>
          <w:szCs w:val="22"/>
          <w:color w:val="auto"/>
        </w:rPr>
        <w:t xml:space="preserve"> day after Executive’s termination date, with the first payment to include those payments that would have occurred earlier but for the 60-day delay.</w:t>
      </w:r>
    </w:p>
    <w:p>
      <w:pPr>
        <w:spacing w:after="0" w:line="187" w:lineRule="exact"/>
        <w:rPr>
          <w:rFonts w:ascii="Arial" w:cs="Arial" w:eastAsia="Arial" w:hAnsi="Arial"/>
          <w:sz w:val="22"/>
          <w:szCs w:val="22"/>
          <w:color w:val="auto"/>
        </w:rPr>
      </w:pPr>
    </w:p>
    <w:p>
      <w:pPr>
        <w:ind w:firstLine="2600"/>
        <w:spacing w:after="0" w:line="250" w:lineRule="auto"/>
        <w:tabs>
          <w:tab w:leader="none" w:pos="350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Provided that Executive is then eligible for and timely elects continued coverage under COBRA, the Company shall directly pay, or reimburse Executive for,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7" w:name="page168"/>
    <w:bookmarkEnd w:id="167"/>
    <w:p>
      <w:pPr>
        <w:jc w:val="both"/>
        <w:spacing w:after="0" w:line="273" w:lineRule="auto"/>
        <w:rPr>
          <w:sz w:val="20"/>
          <w:szCs w:val="20"/>
          <w:color w:val="auto"/>
        </w:rPr>
      </w:pPr>
      <w:r>
        <w:rPr>
          <w:rFonts w:ascii="Arial" w:cs="Arial" w:eastAsia="Arial" w:hAnsi="Arial"/>
          <w:sz w:val="19"/>
          <w:szCs w:val="19"/>
          <w:color w:val="auto"/>
        </w:rPr>
        <w:t>the monthly COBRA premiums to continue Executive’s coverage (including coverage for eligible dependents, if applicable) through the period starting on Executive’s termination date and ending on the earliest to occur of: (a) nine (9)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55" w:lineRule="exact"/>
        <w:rPr>
          <w:sz w:val="20"/>
          <w:szCs w:val="20"/>
          <w:color w:val="auto"/>
        </w:rPr>
      </w:pPr>
    </w:p>
    <w:p>
      <w:pPr>
        <w:jc w:val="both"/>
        <w:ind w:firstLine="1727"/>
        <w:spacing w:after="0" w:line="283" w:lineRule="auto"/>
        <w:rPr>
          <w:sz w:val="20"/>
          <w:szCs w:val="20"/>
          <w:color w:val="auto"/>
        </w:rPr>
      </w:pPr>
      <w:r>
        <w:rPr>
          <w:rFonts w:ascii="Arial" w:cs="Arial" w:eastAsia="Arial" w:hAnsi="Arial"/>
          <w:sz w:val="19"/>
          <w:szCs w:val="19"/>
          <w:b w:val="1"/>
          <w:bCs w:val="1"/>
          <w:color w:val="010000"/>
        </w:rPr>
        <w:t xml:space="preserve">5.3 </w:t>
      </w:r>
      <w:r>
        <w:rPr>
          <w:rFonts w:ascii="Arial" w:cs="Arial" w:eastAsia="Arial" w:hAnsi="Arial"/>
          <w:sz w:val="19"/>
          <w:szCs w:val="19"/>
          <w:b w:val="1"/>
          <w:bCs w:val="1"/>
          <w:color w:val="000000"/>
        </w:rPr>
        <w:t>Severance Benefits for Termination Without Cause or Resignation with Good Reason</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 xml:space="preserve">Related to a Change of Control. </w:t>
      </w:r>
      <w:r>
        <w:rPr>
          <w:rFonts w:ascii="Arial" w:cs="Arial" w:eastAsia="Arial" w:hAnsi="Arial"/>
          <w:sz w:val="19"/>
          <w:szCs w:val="19"/>
          <w:color w:val="000000"/>
        </w:rPr>
        <w:t>In the event Executive’s employment with the Company is terminated by the Company without</w:t>
      </w:r>
      <w:r>
        <w:rPr>
          <w:rFonts w:ascii="Arial" w:cs="Arial" w:eastAsia="Arial" w:hAnsi="Arial"/>
          <w:sz w:val="19"/>
          <w:szCs w:val="19"/>
          <w:b w:val="1"/>
          <w:bCs w:val="1"/>
          <w:color w:val="000000"/>
        </w:rPr>
        <w:t xml:space="preserve"> </w:t>
      </w:r>
      <w:r>
        <w:rPr>
          <w:rFonts w:ascii="Arial" w:cs="Arial" w:eastAsia="Arial" w:hAnsi="Arial"/>
          <w:sz w:val="19"/>
          <w:szCs w:val="19"/>
          <w:color w:val="000000"/>
        </w:rPr>
        <w:t>Cause or Executive resigns for Good Reason in each case during the twelve (12) month period immediately following a Change of Control, the Company shall provide Executive with the following payments and benefits, provided that Executive remains in compliance with the terms of this Agreement and the Restrictive Covenant Agreement and subject to Section 6 below:</w:t>
      </w:r>
    </w:p>
    <w:p>
      <w:pPr>
        <w:spacing w:after="0" w:line="149" w:lineRule="exact"/>
        <w:rPr>
          <w:sz w:val="20"/>
          <w:szCs w:val="20"/>
          <w:color w:val="auto"/>
        </w:rPr>
      </w:pPr>
    </w:p>
    <w:p>
      <w:pPr>
        <w:jc w:val="both"/>
        <w:ind w:firstLine="2600"/>
        <w:spacing w:after="0" w:line="235" w:lineRule="auto"/>
        <w:tabs>
          <w:tab w:leader="none" w:pos="344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Company shall pay Executive, as severance, the equivalent of twelve (12) months of Executive’s Base Salary as in effect as of the date of Executive’s employment termination (disregarding any change to Executive’s Base Salary giving rise to Good Reason). This severance will be paid in the form of salary continuation, payable on the Company’s regular payroll dates, subject to standard payroll deductions and withholdings, starting on the 60</w:t>
      </w:r>
      <w:r>
        <w:rPr>
          <w:rFonts w:ascii="Arial" w:cs="Arial" w:eastAsia="Arial" w:hAnsi="Arial"/>
          <w:sz w:val="18"/>
          <w:szCs w:val="18"/>
          <w:color w:val="auto"/>
        </w:rPr>
        <w:t>th</w:t>
      </w:r>
      <w:r>
        <w:rPr>
          <w:rFonts w:ascii="Arial" w:cs="Arial" w:eastAsia="Arial" w:hAnsi="Arial"/>
          <w:sz w:val="22"/>
          <w:szCs w:val="22"/>
          <w:color w:val="auto"/>
        </w:rPr>
        <w:t xml:space="preserve"> day after Executive’s termination date, with the first payment to include those payments that would have occurred earlier but for the 60-day delay.</w:t>
      </w:r>
    </w:p>
    <w:p>
      <w:pPr>
        <w:spacing w:after="0" w:line="187" w:lineRule="exact"/>
        <w:rPr>
          <w:rFonts w:ascii="Arial" w:cs="Arial" w:eastAsia="Arial" w:hAnsi="Arial"/>
          <w:sz w:val="22"/>
          <w:szCs w:val="22"/>
          <w:color w:val="auto"/>
        </w:rPr>
      </w:pPr>
    </w:p>
    <w:p>
      <w:pPr>
        <w:jc w:val="both"/>
        <w:ind w:firstLine="2600"/>
        <w:spacing w:after="0" w:line="235" w:lineRule="auto"/>
        <w:tabs>
          <w:tab w:leader="none" w:pos="350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 addition, the Company shall pay Executive, as severance, an amount equal to one hundred percent (100%) of Executive’s target annual bonus as in effect as of the date of Executive’s employment termination (disregarding any change to Executive’s Base Salary giving rise to Good Reason), payable in a lump sum, less deductions and withholdings, at the same time as the first severance payment described in Section 5.3(i) above. For the avoidance of doubt, the amount payable pursuant to this Section 5.3(ii) shall not be subject to proration based on the portion of the year elapsed as of the date of termination.</w:t>
      </w:r>
    </w:p>
    <w:p>
      <w:pPr>
        <w:spacing w:after="0" w:line="187" w:lineRule="exact"/>
        <w:rPr>
          <w:rFonts w:ascii="Arial" w:cs="Arial" w:eastAsia="Arial" w:hAnsi="Arial"/>
          <w:sz w:val="22"/>
          <w:szCs w:val="22"/>
          <w:color w:val="auto"/>
        </w:rPr>
      </w:pPr>
    </w:p>
    <w:p>
      <w:pPr>
        <w:jc w:val="both"/>
        <w:ind w:firstLine="2600"/>
        <w:spacing w:after="0" w:line="234" w:lineRule="auto"/>
        <w:tabs>
          <w:tab w:leader="none" w:pos="356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twelve (12)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8" w:name="page169"/>
    <w:bookmarkEnd w:id="168"/>
    <w:p>
      <w:pPr>
        <w:jc w:val="both"/>
        <w:spacing w:after="0" w:line="248" w:lineRule="auto"/>
        <w:rPr>
          <w:sz w:val="20"/>
          <w:szCs w:val="20"/>
          <w:color w:val="auto"/>
        </w:rPr>
      </w:pPr>
      <w:r>
        <w:rPr>
          <w:rFonts w:ascii="Arial" w:cs="Arial" w:eastAsia="Arial" w:hAnsi="Arial"/>
          <w:sz w:val="21"/>
          <w:szCs w:val="21"/>
          <w:color w:val="auto"/>
        </w:rPr>
        <w:t>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77" w:lineRule="exact"/>
        <w:rPr>
          <w:sz w:val="20"/>
          <w:szCs w:val="20"/>
          <w:color w:val="auto"/>
        </w:rPr>
      </w:pPr>
    </w:p>
    <w:p>
      <w:pPr>
        <w:jc w:val="both"/>
        <w:ind w:firstLine="2600"/>
        <w:spacing w:after="0" w:line="235" w:lineRule="auto"/>
        <w:tabs>
          <w:tab w:leader="none" w:pos="355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The vesting of all unvested equity-based incentive compensation awards outstanding as of the date of such Change in Control and held by Executive as of the date of such termination shall be accelerated such that 100% of the shares underlying such awards shall be deemed immediately vested and exercisable; </w:t>
      </w:r>
      <w:r>
        <w:rPr>
          <w:rFonts w:ascii="Arial" w:cs="Arial" w:eastAsia="Arial" w:hAnsi="Arial"/>
          <w:sz w:val="22"/>
          <w:szCs w:val="22"/>
          <w:i w:val="1"/>
          <w:iCs w:val="1"/>
          <w:color w:val="auto"/>
        </w:rPr>
        <w:t>provided that</w:t>
      </w:r>
      <w:r>
        <w:rPr>
          <w:rFonts w:ascii="Arial" w:cs="Arial" w:eastAsia="Arial" w:hAnsi="Arial"/>
          <w:sz w:val="22"/>
          <w:szCs w:val="22"/>
          <w:color w:val="auto"/>
        </w:rPr>
        <w: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182"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010000"/>
        </w:rPr>
        <w:t>5.4</w:t>
      </w:r>
      <w:r>
        <w:rPr>
          <w:sz w:val="20"/>
          <w:szCs w:val="20"/>
          <w:color w:val="auto"/>
        </w:rPr>
        <w:tab/>
      </w:r>
      <w:r>
        <w:rPr>
          <w:rFonts w:ascii="Arial" w:cs="Arial" w:eastAsia="Arial" w:hAnsi="Arial"/>
          <w:sz w:val="19"/>
          <w:szCs w:val="19"/>
          <w:b w:val="1"/>
          <w:bCs w:val="1"/>
          <w:color w:val="auto"/>
        </w:rPr>
        <w:t>Termination for Cause; Resignation Without Good Reason; Death or Disability.</w:t>
      </w:r>
    </w:p>
    <w:p>
      <w:pPr>
        <w:spacing w:after="0" w:line="212" w:lineRule="exact"/>
        <w:rPr>
          <w:sz w:val="20"/>
          <w:szCs w:val="20"/>
          <w:color w:val="auto"/>
        </w:rPr>
      </w:pPr>
    </w:p>
    <w:p>
      <w:pPr>
        <w:jc w:val="both"/>
        <w:ind w:firstLine="2600"/>
        <w:spacing w:after="0" w:line="238" w:lineRule="auto"/>
        <w:tabs>
          <w:tab w:leader="none" w:pos="344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If Executive resigns for any reason prior to or more than twelve (12) months following a Change in Control, resigns without Good Reason within the twelve (12) months following a Change in Control, or the Company terminates Executive’s employment for Cause, Executive shall not be entitled to receive any payments or benefits under this Agreement, other than as set forth in Section 5.1.</w:t>
      </w:r>
    </w:p>
    <w:p>
      <w:pPr>
        <w:spacing w:after="0" w:line="184" w:lineRule="exact"/>
        <w:rPr>
          <w:rFonts w:ascii="Arial" w:cs="Arial" w:eastAsia="Arial" w:hAnsi="Arial"/>
          <w:sz w:val="22"/>
          <w:szCs w:val="22"/>
          <w:color w:val="auto"/>
        </w:rPr>
      </w:pPr>
    </w:p>
    <w:p>
      <w:pPr>
        <w:jc w:val="both"/>
        <w:ind w:firstLine="2600"/>
        <w:spacing w:after="0" w:line="274" w:lineRule="auto"/>
        <w:tabs>
          <w:tab w:leader="none" w:pos="350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Executive’s employment shall terminate automatically upon Executive’s death or Total Disability. “</w:t>
      </w:r>
      <w:r>
        <w:rPr>
          <w:rFonts w:ascii="Arial" w:cs="Arial" w:eastAsia="Arial" w:hAnsi="Arial"/>
          <w:sz w:val="19"/>
          <w:szCs w:val="19"/>
          <w:b w:val="1"/>
          <w:bCs w:val="1"/>
          <w:color w:val="auto"/>
        </w:rPr>
        <w:t>Total Disability</w:t>
      </w:r>
      <w:r>
        <w:rPr>
          <w:rFonts w:ascii="Arial" w:cs="Arial" w:eastAsia="Arial" w:hAnsi="Arial"/>
          <w:sz w:val="19"/>
          <w:szCs w:val="19"/>
          <w:color w:val="auto"/>
        </w:rPr>
        <w:t>” shall mean Executive’s inability, with reasonable accommodation, to perform the duties of Executive’s position for a period or periods aggregating ninety (90) calendar days in any period of one hundred eighty days (180) consecutive days as a result of physical or mental illness, loss of legal capacity or any other cause beyond Executive’s control. Executive and the Company hereby acknowledge that Executive’s ability to perform the duties specified in Section 1 is the essence of this Agreement. Termination hereunder shall be deemed to be effective (a) at the end of the calendar month in which Executive’s death occurs or (b) immediately upon a determination by the Board or the compensation committee thereof of Executive’s Total Disability. In the case of termination of employment under this Section 5.4(ii), Executive shall not be entitled to receive any payments or benefits under this Agreement, other than as set forth in Section 5.1.</w:t>
      </w:r>
    </w:p>
    <w:p>
      <w:pPr>
        <w:spacing w:after="0" w:line="152" w:lineRule="exact"/>
        <w:rPr>
          <w:sz w:val="20"/>
          <w:szCs w:val="20"/>
          <w:color w:val="auto"/>
        </w:rPr>
      </w:pPr>
    </w:p>
    <w:p>
      <w:pPr>
        <w:jc w:val="both"/>
        <w:ind w:firstLine="872"/>
        <w:spacing w:after="0" w:line="273" w:lineRule="auto"/>
        <w:tabs>
          <w:tab w:leader="none" w:pos="1674" w:val="left"/>
        </w:tabs>
        <w:numPr>
          <w:ilvl w:val="1"/>
          <w:numId w:val="130"/>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Conditions to Receipt of Severance Benefits. </w:t>
      </w:r>
      <w:r>
        <w:rPr>
          <w:rFonts w:ascii="Arial" w:cs="Arial" w:eastAsia="Arial" w:hAnsi="Arial"/>
          <w:sz w:val="19"/>
          <w:szCs w:val="19"/>
          <w:color w:val="auto"/>
        </w:rPr>
        <w:t>As a condition to receiving the payments and benefits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Section 5.2 and Section 5.3, (i) Executive must execute and deliver to the Company a release of claims in a form reasonably acceptable to the Company and such release must have become effective and the revocation period provided therein must have expired without Executive having revoked such release within the 60-day period following the date of termination, and</w:t>
      </w:r>
    </w:p>
    <w:p>
      <w:pPr>
        <w:spacing w:after="0" w:line="1" w:lineRule="exact"/>
        <w:rPr>
          <w:rFonts w:ascii="Arial" w:cs="Arial" w:eastAsia="Arial" w:hAnsi="Arial"/>
          <w:sz w:val="19"/>
          <w:szCs w:val="19"/>
          <w:b w:val="1"/>
          <w:bCs w:val="1"/>
          <w:color w:val="010000"/>
        </w:rPr>
      </w:pPr>
    </w:p>
    <w:p>
      <w:pPr>
        <w:jc w:val="both"/>
        <w:ind w:firstLine="8"/>
        <w:spacing w:after="0" w:line="234" w:lineRule="auto"/>
        <w:tabs>
          <w:tab w:leader="none" w:pos="343" w:val="left"/>
        </w:tabs>
        <w:numPr>
          <w:ilvl w:val="0"/>
          <w:numId w:val="131"/>
        </w:numPr>
        <w:rPr>
          <w:rFonts w:ascii="Arial" w:cs="Arial" w:eastAsia="Arial" w:hAnsi="Arial"/>
          <w:sz w:val="22"/>
          <w:szCs w:val="22"/>
          <w:color w:val="auto"/>
        </w:rPr>
      </w:pPr>
      <w:r>
        <w:rPr>
          <w:rFonts w:ascii="Arial" w:cs="Arial" w:eastAsia="Arial" w:hAnsi="Arial"/>
          <w:sz w:val="22"/>
          <w:szCs w:val="22"/>
          <w:color w:val="auto"/>
        </w:rPr>
        <w:t>Executive must not have revoked or breached the provisions of such release or breached the provisions of the Restrictive Covenant Agreement. In the event that Executive does not execute and deliver such release, such release does not become effective and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9" w:name="page170"/>
    <w:bookmarkEnd w:id="169"/>
    <w:p>
      <w:pPr>
        <w:jc w:val="both"/>
        <w:spacing w:after="0" w:line="235" w:lineRule="auto"/>
        <w:rPr>
          <w:sz w:val="20"/>
          <w:szCs w:val="20"/>
          <w:color w:val="auto"/>
        </w:rPr>
      </w:pPr>
      <w:r>
        <w:rPr>
          <w:rFonts w:ascii="Arial" w:cs="Arial" w:eastAsia="Arial" w:hAnsi="Arial"/>
          <w:sz w:val="22"/>
          <w:szCs w:val="22"/>
          <w:color w:val="auto"/>
        </w:rPr>
        <w:t>irrevocable within such period or Executive revokes or breaches the provisions of the release or breaches the provisions of the Restrictive Covenant Agreement, Executive (A) will be deemed to have voluntarily resigned Executive’s employment hereunder without Good Reason, (B) will not be entitled to the payments, benefits or accelerated vesting described in Section 5.2 or Section 5.3 and (C) will be required to reimburse the Company, in cash within five business days after written demand is made by the Company therefore, for an amount equal to the value of any payments or benefits Executive received pursuant to Section 5.2 or Section 5.3.</w:t>
      </w:r>
    </w:p>
    <w:p>
      <w:pPr>
        <w:spacing w:after="0" w:line="182" w:lineRule="exact"/>
        <w:rPr>
          <w:sz w:val="20"/>
          <w:szCs w:val="20"/>
          <w:color w:val="auto"/>
        </w:rPr>
      </w:pPr>
    </w:p>
    <w:p>
      <w:pPr>
        <w:jc w:val="both"/>
        <w:ind w:firstLine="872"/>
        <w:spacing w:after="0" w:line="275" w:lineRule="auto"/>
        <w:tabs>
          <w:tab w:leader="none" w:pos="1674" w:val="left"/>
        </w:tabs>
        <w:numPr>
          <w:ilvl w:val="1"/>
          <w:numId w:val="132"/>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It is intended that all of the severance benefits and other payments payable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satisfy, to the greatest extent possible, the exemptions from the application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w:t>
      </w:r>
      <w:r>
        <w:rPr>
          <w:rFonts w:ascii="Arial" w:cs="Arial" w:eastAsia="Arial" w:hAnsi="Arial"/>
          <w:sz w:val="19"/>
          <w:szCs w:val="19"/>
          <w:b w:val="1"/>
          <w:bCs w:val="1"/>
          <w:color w:val="auto"/>
        </w:rPr>
        <w:t>Section 409A</w:t>
      </w:r>
      <w:r>
        <w:rPr>
          <w:rFonts w:ascii="Arial" w:cs="Arial" w:eastAsia="Arial" w:hAnsi="Arial"/>
          <w:sz w:val="19"/>
          <w:szCs w:val="19"/>
          <w:color w:val="auto"/>
        </w:rPr>
        <w:t>”) provided under Treasury Regulations 1.409A-1(b)(4), 1.409A-1(b)</w:t>
      </w:r>
    </w:p>
    <w:p>
      <w:pPr>
        <w:spacing w:after="0" w:line="1" w:lineRule="exact"/>
        <w:rPr>
          <w:rFonts w:ascii="Arial" w:cs="Arial" w:eastAsia="Arial" w:hAnsi="Arial"/>
          <w:sz w:val="19"/>
          <w:szCs w:val="19"/>
          <w:b w:val="1"/>
          <w:bCs w:val="1"/>
          <w:color w:val="010000"/>
        </w:rPr>
      </w:pPr>
    </w:p>
    <w:p>
      <w:pPr>
        <w:jc w:val="both"/>
        <w:ind w:firstLine="8"/>
        <w:spacing w:after="0" w:line="269" w:lineRule="auto"/>
        <w:tabs>
          <w:tab w:leader="none" w:pos="31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and 1.409A-1(b)(9), and this Agreement will be construed to the greatest extent possible as consistent with those provisions, and to the extent not so exempt, this Agreement (and any definitions hereunder) will be construed in a manner that complies with Section 409A. All payments and benefits that are payable upon a termination of employment hereunder shall be paid or provided only upon Executive’s “separation from service” from the Company (within the meaning of Section 409A). For purposes of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termination to be a “specified employee” for purposes of Section 409A(a)(2) (B)(i), and if any of the payments upon termination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shall not be provided to Executive prior to the earliest of (i) the expiration of the six-month period measured from the date of Executive’s termination with the Company, (ii) the date of Executive’s death or (iii) such earlier date as permitted under Section 409A without the imposition of adverse taxation. Upon the first business day following the expiration of such applicable Section 409A(a)(2)(B)(i) period, all payments deferred pursuant to this Section 7 shall be paid in a lump sum to Executive, and any remaining payments due shall be paid as otherwise provided herein or in the applicable agreement. No interest shall be due on any amounts so deferred.</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firstLine="872"/>
        <w:spacing w:after="0" w:line="276" w:lineRule="auto"/>
        <w:tabs>
          <w:tab w:leader="none" w:pos="1674" w:val="left"/>
        </w:tabs>
        <w:numPr>
          <w:ilvl w:val="1"/>
          <w:numId w:val="133"/>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Section 280G. </w:t>
      </w:r>
      <w:r>
        <w:rPr>
          <w:rFonts w:ascii="Arial" w:cs="Arial" w:eastAsia="Arial" w:hAnsi="Arial"/>
          <w:sz w:val="19"/>
          <w:szCs w:val="19"/>
          <w:color w:val="auto"/>
        </w:rPr>
        <w:t>In the event that the severance and other benefits provided for in this Agreement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to Executive (i) constitute “parachute payments” within the meaning of Section 280G of the Code and (ii) but for this Section 8, would be subject to the excise tax imposed by Section 4999 of the Code, then,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Executive on an after-tax basis of the greatest amount of severance benefits under this Agreement, notwithstanding that all or some portion of such severance benefits may be</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color w:val="auto"/>
        </w:rPr>
        <w:t>taxable under Section 4999 of the Code. Any reduction shall be made in the following order: (i) reduction of cash payments,</w:t>
      </w:r>
    </w:p>
    <w:p>
      <w:pPr>
        <w:spacing w:after="0" w:line="43" w:lineRule="exact"/>
        <w:rPr>
          <w:sz w:val="20"/>
          <w:szCs w:val="20"/>
          <w:color w:val="auto"/>
        </w:rPr>
      </w:pPr>
    </w:p>
    <w:p>
      <w:pPr>
        <w:jc w:val="both"/>
        <w:ind w:firstLine="8"/>
        <w:spacing w:after="0" w:line="243" w:lineRule="auto"/>
        <w:tabs>
          <w:tab w:leader="none" w:pos="331" w:val="left"/>
        </w:tabs>
        <w:numPr>
          <w:ilvl w:val="0"/>
          <w:numId w:val="134"/>
        </w:numPr>
        <w:rPr>
          <w:rFonts w:ascii="Arial" w:cs="Arial" w:eastAsia="Arial" w:hAnsi="Arial"/>
          <w:sz w:val="21"/>
          <w:szCs w:val="21"/>
          <w:color w:val="auto"/>
        </w:rPr>
      </w:pPr>
      <w:r>
        <w:rPr>
          <w:rFonts w:ascii="Arial" w:cs="Arial" w:eastAsia="Arial" w:hAnsi="Arial"/>
          <w:sz w:val="21"/>
          <w:szCs w:val="21"/>
          <w:color w:val="auto"/>
        </w:rPr>
        <w:t>cancellation of accelerated vesting of equity awards, and (iii) reduction of other benefits payable to Executive. Unless the Company and Executive otherwise agree in writing, any determination required under this Section 8 shall be made in writing by the Company’s independent public accountants (the “</w:t>
      </w:r>
      <w:r>
        <w:rPr>
          <w:rFonts w:ascii="Arial" w:cs="Arial" w:eastAsia="Arial" w:hAnsi="Arial"/>
          <w:sz w:val="21"/>
          <w:szCs w:val="21"/>
          <w:b w:val="1"/>
          <w:bCs w:val="1"/>
          <w:color w:val="auto"/>
        </w:rPr>
        <w:t>Accountants</w:t>
      </w:r>
      <w:r>
        <w:rPr>
          <w:rFonts w:ascii="Arial" w:cs="Arial" w:eastAsia="Arial" w:hAnsi="Arial"/>
          <w:sz w:val="21"/>
          <w:szCs w:val="21"/>
          <w:color w:val="auto"/>
        </w:rPr>
        <w:t>”), whose determination shall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8. The Company shall bear all costs the Accountants may reasonably incur in connection with any calculations contemplated by this Section 8.</w:t>
      </w:r>
    </w:p>
    <w:p>
      <w:pPr>
        <w:spacing w:after="0" w:line="178" w:lineRule="exact"/>
        <w:rPr>
          <w:rFonts w:ascii="Arial" w:cs="Arial" w:eastAsia="Arial" w:hAnsi="Arial"/>
          <w:sz w:val="21"/>
          <w:szCs w:val="21"/>
          <w:color w:val="auto"/>
        </w:rPr>
      </w:pPr>
    </w:p>
    <w:p>
      <w:pPr>
        <w:ind w:left="1680" w:hanging="808"/>
        <w:spacing w:after="0"/>
        <w:tabs>
          <w:tab w:leader="none" w:pos="1680" w:val="left"/>
        </w:tabs>
        <w:numPr>
          <w:ilvl w:val="1"/>
          <w:numId w:val="134"/>
        </w:numPr>
        <w:rPr>
          <w:rFonts w:ascii="Arial" w:cs="Arial" w:eastAsia="Arial" w:hAnsi="Arial"/>
          <w:sz w:val="22"/>
          <w:szCs w:val="22"/>
          <w:b w:val="1"/>
          <w:bCs w:val="1"/>
          <w:color w:val="010000"/>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b w:val="1"/>
          <w:bCs w:val="1"/>
          <w:color w:val="010000"/>
        </w:rPr>
        <w:t xml:space="preserve">9.1 </w:t>
      </w:r>
      <w:r>
        <w:rPr>
          <w:rFonts w:ascii="Arial" w:cs="Arial" w:eastAsia="Arial" w:hAnsi="Arial"/>
          <w:sz w:val="22"/>
          <w:szCs w:val="22"/>
          <w:b w:val="1"/>
          <w:bCs w:val="1"/>
          <w:color w:val="000000"/>
        </w:rPr>
        <w:t>Cause.</w:t>
      </w:r>
      <w:r>
        <w:rPr>
          <w:rFonts w:ascii="Arial" w:cs="Arial" w:eastAsia="Arial" w:hAnsi="Arial"/>
          <w:sz w:val="22"/>
          <w:szCs w:val="22"/>
          <w:b w:val="1"/>
          <w:bCs w:val="1"/>
          <w:color w:val="010000"/>
        </w:rPr>
        <w:t xml:space="preserve"> </w:t>
      </w:r>
      <w:r>
        <w:rPr>
          <w:rFonts w:ascii="Arial" w:cs="Arial" w:eastAsia="Arial" w:hAnsi="Arial"/>
          <w:sz w:val="22"/>
          <w:szCs w:val="22"/>
          <w:color w:val="000000"/>
        </w:rPr>
        <w:t>For purposes of this Agreement, “</w:t>
      </w:r>
      <w:r>
        <w:rPr>
          <w:rFonts w:ascii="Arial" w:cs="Arial" w:eastAsia="Arial" w:hAnsi="Arial"/>
          <w:sz w:val="22"/>
          <w:szCs w:val="22"/>
          <w:b w:val="1"/>
          <w:bCs w:val="1"/>
          <w:color w:val="000000"/>
        </w:rPr>
        <w:t>Cause</w:t>
      </w:r>
      <w:r>
        <w:rPr>
          <w:rFonts w:ascii="Arial" w:cs="Arial" w:eastAsia="Arial" w:hAnsi="Arial"/>
          <w:sz w:val="22"/>
          <w:szCs w:val="22"/>
          <w:color w:val="000000"/>
        </w:rPr>
        <w:t>” for termination will mean: (i) a material breach</w:t>
      </w:r>
      <w:r>
        <w:rPr>
          <w:rFonts w:ascii="Arial" w:cs="Arial" w:eastAsia="Arial" w:hAnsi="Arial"/>
          <w:sz w:val="22"/>
          <w:szCs w:val="22"/>
          <w:b w:val="1"/>
          <w:bCs w:val="1"/>
          <w:color w:val="010000"/>
        </w:rPr>
        <w:t xml:space="preserve"> </w:t>
      </w:r>
      <w:r>
        <w:rPr>
          <w:rFonts w:ascii="Arial" w:cs="Arial" w:eastAsia="Arial" w:hAnsi="Arial"/>
          <w:sz w:val="22"/>
          <w:szCs w:val="22"/>
          <w:color w:val="000000"/>
        </w:rPr>
        <w:t>of any of Executive’s obligations or duties pursuant to this Agreement or the Restrictive Covenant Agreement, which remains uncured seven days after Executive becomes aware of the breach by formal written notification by the Company; (ii) gross negligence, willful misconduct or breach of fiduciary duty in the course of employment; (iii) any action or activity that is contrary to applicable insider trading rules or any other applicable securities rules or legislation; (iv) a material act or omission involving substantial dishonesty or fraud that harms or would reasonably be expected to harm the Company; or (v) commission of, conviction or indictment for, or plea of no contest to, any felony (or state law equivalent) or any crime involving moral turpitude.</w:t>
      </w:r>
    </w:p>
    <w:p>
      <w:pPr>
        <w:spacing w:after="0" w:line="187"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b w:val="1"/>
          <w:bCs w:val="1"/>
          <w:color w:val="010000"/>
        </w:rPr>
        <w:t xml:space="preserve">9.2 </w:t>
      </w:r>
      <w:r>
        <w:rPr>
          <w:rFonts w:ascii="Arial" w:cs="Arial" w:eastAsia="Arial" w:hAnsi="Arial"/>
          <w:sz w:val="19"/>
          <w:szCs w:val="19"/>
          <w:b w:val="1"/>
          <w:bCs w:val="1"/>
          <w:color w:val="000000"/>
        </w:rPr>
        <w:t>Good Reason.</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purposes of this Agreement, “</w:t>
      </w:r>
      <w:r>
        <w:rPr>
          <w:rFonts w:ascii="Arial" w:cs="Arial" w:eastAsia="Arial" w:hAnsi="Arial"/>
          <w:sz w:val="19"/>
          <w:szCs w:val="19"/>
          <w:b w:val="1"/>
          <w:bCs w:val="1"/>
          <w:color w:val="000000"/>
        </w:rPr>
        <w:t>Good Reason</w:t>
      </w:r>
      <w:r>
        <w:rPr>
          <w:rFonts w:ascii="Arial" w:cs="Arial" w:eastAsia="Arial" w:hAnsi="Arial"/>
          <w:sz w:val="19"/>
          <w:szCs w:val="19"/>
          <w:color w:val="000000"/>
        </w:rPr>
        <w:t>” will mean any of the following</w:t>
      </w:r>
      <w:r>
        <w:rPr>
          <w:rFonts w:ascii="Arial" w:cs="Arial" w:eastAsia="Arial" w:hAnsi="Arial"/>
          <w:sz w:val="19"/>
          <w:szCs w:val="19"/>
          <w:b w:val="1"/>
          <w:bCs w:val="1"/>
          <w:color w:val="010000"/>
        </w:rPr>
        <w:t xml:space="preserve"> </w:t>
      </w:r>
      <w:r>
        <w:rPr>
          <w:rFonts w:ascii="Arial" w:cs="Arial" w:eastAsia="Arial" w:hAnsi="Arial"/>
          <w:sz w:val="19"/>
          <w:szCs w:val="19"/>
          <w:color w:val="000000"/>
        </w:rPr>
        <w:t>actions taken by the Company without Executive’s prior written consent: (i) a material adverse change in Executive’s position, title, office or duties or assignment of any significant duties to Executive that are materially inconsistent with the position or offices held by Executive; (ii) Executive no longer serving as a Section 16 officer or, if the Company’s ultimate parent following a Change in Control is not a public company, not reporting to the Chief Executive Officer of the Company’s ultimate parent);</w:t>
      </w:r>
    </w:p>
    <w:p>
      <w:pPr>
        <w:spacing w:after="0" w:line="1" w:lineRule="exact"/>
        <w:rPr>
          <w:sz w:val="20"/>
          <w:szCs w:val="20"/>
          <w:color w:val="auto"/>
        </w:rPr>
      </w:pPr>
    </w:p>
    <w:p>
      <w:pPr>
        <w:jc w:val="both"/>
        <w:ind w:firstLine="8"/>
        <w:spacing w:after="0" w:line="243" w:lineRule="auto"/>
        <w:tabs>
          <w:tab w:leader="none" w:pos="39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 decrease in Executive’s base salary by more than 10% (other than in connection with a broad-based reduction in the base salaries of all other officers of the Company); or (iv) a relocation that increases Executive’s one-way commute by more than 25 miles. In order to resign for Good Reason, Executive must provide written notice to the Company’s Chief Executive Officer within 60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such cure period.</w:t>
      </w:r>
    </w:p>
    <w:p>
      <w:pPr>
        <w:spacing w:after="0" w:line="181" w:lineRule="exact"/>
        <w:rPr>
          <w:sz w:val="20"/>
          <w:szCs w:val="20"/>
          <w:color w:val="auto"/>
        </w:rPr>
      </w:pPr>
    </w:p>
    <w:p>
      <w:pPr>
        <w:jc w:val="both"/>
        <w:ind w:firstLine="1727"/>
        <w:spacing w:after="0" w:line="300" w:lineRule="auto"/>
        <w:rPr>
          <w:sz w:val="20"/>
          <w:szCs w:val="20"/>
          <w:color w:val="auto"/>
        </w:rPr>
      </w:pPr>
      <w:r>
        <w:rPr>
          <w:rFonts w:ascii="Arial" w:cs="Arial" w:eastAsia="Arial" w:hAnsi="Arial"/>
          <w:sz w:val="19"/>
          <w:szCs w:val="19"/>
          <w:b w:val="1"/>
          <w:bCs w:val="1"/>
          <w:color w:val="010000"/>
        </w:rPr>
        <w:t xml:space="preserve">9.3 </w:t>
      </w:r>
      <w:r>
        <w:rPr>
          <w:rFonts w:ascii="Arial" w:cs="Arial" w:eastAsia="Arial" w:hAnsi="Arial"/>
          <w:sz w:val="19"/>
          <w:szCs w:val="19"/>
          <w:b w:val="1"/>
          <w:bCs w:val="1"/>
          <w:color w:val="000000"/>
        </w:rPr>
        <w:t>Change of Control.</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purposes of this Agreement, “</w:t>
      </w:r>
      <w:r>
        <w:rPr>
          <w:rFonts w:ascii="Arial" w:cs="Arial" w:eastAsia="Arial" w:hAnsi="Arial"/>
          <w:sz w:val="19"/>
          <w:szCs w:val="19"/>
          <w:b w:val="1"/>
          <w:bCs w:val="1"/>
          <w:color w:val="000000"/>
        </w:rPr>
        <w:t>Change of Control</w:t>
      </w:r>
      <w:r>
        <w:rPr>
          <w:rFonts w:ascii="Arial" w:cs="Arial" w:eastAsia="Arial" w:hAnsi="Arial"/>
          <w:sz w:val="19"/>
          <w:szCs w:val="19"/>
          <w:color w:val="000000"/>
        </w:rPr>
        <w:t>” means the occurrence</w:t>
      </w:r>
      <w:r>
        <w:rPr>
          <w:rFonts w:ascii="Arial" w:cs="Arial" w:eastAsia="Arial" w:hAnsi="Arial"/>
          <w:sz w:val="19"/>
          <w:szCs w:val="19"/>
          <w:b w:val="1"/>
          <w:bCs w:val="1"/>
          <w:color w:val="010000"/>
        </w:rPr>
        <w:t xml:space="preserve"> </w:t>
      </w:r>
      <w:r>
        <w:rPr>
          <w:rFonts w:ascii="Arial" w:cs="Arial" w:eastAsia="Arial" w:hAnsi="Arial"/>
          <w:sz w:val="19"/>
          <w:szCs w:val="19"/>
          <w:color w:val="000000"/>
        </w:rPr>
        <w:t>of one or more of the following: (a) a merger, a consolidation, a reorganization or an arrangement that results in a transfer of more than fifty percent (50%) of the total voting power of the Company’s outstanding securities to a person or a group of persons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1" w:name="page172"/>
    <w:bookmarkEnd w:id="171"/>
    <w:p>
      <w:pPr>
        <w:jc w:val="both"/>
        <w:spacing w:after="0" w:line="270" w:lineRule="auto"/>
        <w:rPr>
          <w:sz w:val="20"/>
          <w:szCs w:val="20"/>
          <w:color w:val="auto"/>
        </w:rPr>
      </w:pPr>
      <w:r>
        <w:rPr>
          <w:rFonts w:ascii="Arial" w:cs="Arial" w:eastAsia="Arial" w:hAnsi="Arial"/>
          <w:sz w:val="19"/>
          <w:szCs w:val="19"/>
          <w:color w:val="auto"/>
        </w:rPr>
        <w:t xml:space="preserve">different from a person or a group of persons holding those securities immediately prior to such transaction (other than the Company or a person that directly or indirectly controls, is controlled by, or is under common control with, the Company); (b) a direct or indirect sale or other transfer of beneficial ownership of securities of the Company possessing more than fifty percent (50%) of the total combined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(c) a direct or indirect sale or other transfer of the right to appoint more than fifty percent (50%) of the directors of the Board or otherwise directly or indirectly control the management, affairs and business of the Company to a person or a group of persons different from a person or a group of persons holding this right immediately prior to such transaction (other than the Company or a person that directly or indirectly controls, is controlled by, or is under common control with, the Company); (d) a direct or indirect sale or other transfer of all or substantially all of the assets of the Company to a person or a group of persons different from a person or a group of persons holding those assets immediately prior to such transaction (other than the Company or a person that directly or indirectly controls, is controlled by, or is under common control with, the Company); or (e) a complete liquidation, dissolution or winding-up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Change in Control will not be deemed to have occurred if such Change in Control results solely from the issuance, in connection with a bona fide financing or series of financings by the Company, of voting securities of the Company or any rights to acquire voting securities of the Company which are convertible into voting securities.</w:t>
      </w:r>
    </w:p>
    <w:p>
      <w:pPr>
        <w:spacing w:after="0" w:line="200" w:lineRule="exact"/>
        <w:rPr>
          <w:sz w:val="20"/>
          <w:szCs w:val="20"/>
          <w:color w:val="auto"/>
        </w:rPr>
      </w:pPr>
    </w:p>
    <w:p>
      <w:pPr>
        <w:spacing w:after="0" w:line="208" w:lineRule="exact"/>
        <w:rPr>
          <w:sz w:val="20"/>
          <w:szCs w:val="20"/>
          <w:color w:val="auto"/>
        </w:rPr>
      </w:pPr>
    </w:p>
    <w:p>
      <w:pPr>
        <w:jc w:val="both"/>
        <w:ind w:firstLine="872"/>
        <w:spacing w:after="0" w:line="243" w:lineRule="auto"/>
        <w:tabs>
          <w:tab w:leader="none" w:pos="1782" w:val="left"/>
        </w:tabs>
        <w:numPr>
          <w:ilvl w:val="0"/>
          <w:numId w:val="136"/>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Proprietary Information Obligations. </w:t>
      </w:r>
      <w:r>
        <w:rPr>
          <w:rFonts w:ascii="Arial" w:cs="Arial" w:eastAsia="Arial" w:hAnsi="Arial"/>
          <w:sz w:val="22"/>
          <w:szCs w:val="22"/>
          <w:color w:val="auto"/>
        </w:rPr>
        <w:t>As a condition of employment, Executive has previously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shall continue to abide by the Employee Proprietary Information, Restrictive Covenant and Invention Assignment Agreement attached here 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b w:val="1"/>
          <w:bCs w:val="1"/>
          <w:color w:val="auto"/>
        </w:rPr>
        <w:t>Restrictive Covenant Agreement</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010000"/>
        </w:rPr>
      </w:pPr>
    </w:p>
    <w:p>
      <w:pPr>
        <w:ind w:left="1780" w:hanging="908"/>
        <w:spacing w:after="0"/>
        <w:tabs>
          <w:tab w:leader="none" w:pos="1780" w:val="left"/>
        </w:tabs>
        <w:numPr>
          <w:ilvl w:val="0"/>
          <w:numId w:val="136"/>
        </w:numPr>
        <w:rPr>
          <w:rFonts w:ascii="Arial" w:cs="Arial" w:eastAsia="Arial" w:hAnsi="Arial"/>
          <w:sz w:val="22"/>
          <w:szCs w:val="22"/>
          <w:b w:val="1"/>
          <w:bCs w:val="1"/>
          <w:color w:val="010000"/>
        </w:rPr>
      </w:pPr>
      <w:r>
        <w:rPr>
          <w:rFonts w:ascii="Arial" w:cs="Arial" w:eastAsia="Arial" w:hAnsi="Arial"/>
          <w:sz w:val="22"/>
          <w:szCs w:val="22"/>
          <w:b w:val="1"/>
          <w:bCs w:val="1"/>
          <w:color w:val="auto"/>
        </w:rPr>
        <w:t>Outside Activities During Employment.</w:t>
      </w:r>
    </w:p>
    <w:p>
      <w:pPr>
        <w:spacing w:after="0" w:line="206"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010000"/>
        </w:rPr>
        <w:t xml:space="preserve">11.1 </w:t>
      </w:r>
      <w:r>
        <w:rPr>
          <w:rFonts w:ascii="Arial" w:cs="Arial" w:eastAsia="Arial" w:hAnsi="Arial"/>
          <w:sz w:val="22"/>
          <w:szCs w:val="22"/>
          <w:b w:val="1"/>
          <w:bCs w:val="1"/>
          <w:color w:val="000000"/>
        </w:rPr>
        <w:t>Non-Company Business.</w:t>
      </w:r>
      <w:r>
        <w:rPr>
          <w:rFonts w:ascii="Arial" w:cs="Arial" w:eastAsia="Arial" w:hAnsi="Arial"/>
          <w:sz w:val="22"/>
          <w:szCs w:val="22"/>
          <w:b w:val="1"/>
          <w:bCs w:val="1"/>
          <w:color w:val="010000"/>
        </w:rPr>
        <w:t xml:space="preserve"> </w:t>
      </w:r>
      <w:r>
        <w:rPr>
          <w:rFonts w:ascii="Arial" w:cs="Arial" w:eastAsia="Arial" w:hAnsi="Arial"/>
          <w:sz w:val="22"/>
          <w:szCs w:val="22"/>
          <w:color w:val="000000"/>
        </w:rPr>
        <w:t>Except with the prior written consent of the Board, Executive will not</w:t>
      </w:r>
      <w:r>
        <w:rPr>
          <w:rFonts w:ascii="Arial" w:cs="Arial" w:eastAsia="Arial" w:hAnsi="Arial"/>
          <w:sz w:val="22"/>
          <w:szCs w:val="22"/>
          <w:b w:val="1"/>
          <w:bCs w:val="1"/>
          <w:color w:val="010000"/>
        </w:rPr>
        <w:t xml:space="preserve"> </w:t>
      </w:r>
      <w:r>
        <w:rPr>
          <w:rFonts w:ascii="Arial" w:cs="Arial" w:eastAsia="Arial" w:hAnsi="Arial"/>
          <w:sz w:val="22"/>
          <w:szCs w:val="22"/>
          <w:color w:val="000000"/>
        </w:rPr>
        <w:t>during the term of Executive’s employment with the Company undertake or engage in any other employment, occupation or business enterprise, other than ones in which Executive is a passive investor, provided that they do not violate the Restrictive Covenant Agreement. Executive may engage in civic and not-for-profit activities so long as such activities do not materially interfere with the performance of Executive’s duties hereunder.</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11.2 </w:t>
      </w:r>
      <w:r>
        <w:rPr>
          <w:rFonts w:ascii="Arial" w:cs="Arial" w:eastAsia="Arial" w:hAnsi="Arial"/>
          <w:sz w:val="22"/>
          <w:szCs w:val="22"/>
          <w:b w:val="1"/>
          <w:bCs w:val="1"/>
          <w:color w:val="000000"/>
        </w:rPr>
        <w:t>No Adverse Interests.</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Executive agrees not to acquire, assume or participate in, directly or</w:t>
      </w:r>
      <w:r>
        <w:rPr>
          <w:rFonts w:ascii="Arial" w:cs="Arial" w:eastAsia="Arial" w:hAnsi="Arial"/>
          <w:sz w:val="22"/>
          <w:szCs w:val="22"/>
          <w:b w:val="1"/>
          <w:bCs w:val="1"/>
          <w:color w:val="010000"/>
        </w:rPr>
        <w:t xml:space="preserve"> </w:t>
      </w:r>
      <w:r>
        <w:rPr>
          <w:rFonts w:ascii="Arial" w:cs="Arial" w:eastAsia="Arial" w:hAnsi="Arial"/>
          <w:sz w:val="22"/>
          <w:szCs w:val="22"/>
          <w:color w:val="000000"/>
        </w:rPr>
        <w:t>indirectly, any position, investment or interest known to be adverse or antagonistic to the Company, its business or prospects, financial or otherwise.</w:t>
      </w:r>
    </w:p>
    <w:p>
      <w:pPr>
        <w:spacing w:after="0" w:line="177" w:lineRule="exact"/>
        <w:rPr>
          <w:sz w:val="20"/>
          <w:szCs w:val="20"/>
          <w:color w:val="auto"/>
        </w:rPr>
      </w:pPr>
    </w:p>
    <w:p>
      <w:pPr>
        <w:jc w:val="both"/>
        <w:ind w:firstLine="872"/>
        <w:spacing w:after="0" w:line="251" w:lineRule="auto"/>
        <w:tabs>
          <w:tab w:leader="none" w:pos="1782" w:val="left"/>
        </w:tabs>
        <w:numPr>
          <w:ilvl w:val="0"/>
          <w:numId w:val="137"/>
        </w:numPr>
        <w:rPr>
          <w:rFonts w:ascii="Arial" w:cs="Arial" w:eastAsia="Arial" w:hAnsi="Arial"/>
          <w:sz w:val="21"/>
          <w:szCs w:val="21"/>
          <w:b w:val="1"/>
          <w:bCs w:val="1"/>
          <w:color w:val="010000"/>
        </w:rPr>
      </w:pPr>
      <w:r>
        <w:rPr>
          <w:rFonts w:ascii="Arial" w:cs="Arial" w:eastAsia="Arial" w:hAnsi="Arial"/>
          <w:sz w:val="21"/>
          <w:szCs w:val="21"/>
          <w:b w:val="1"/>
          <w:bCs w:val="1"/>
          <w:color w:val="auto"/>
        </w:rPr>
        <w:t xml:space="preserve">Dispute Resolution. </w:t>
      </w:r>
      <w:r>
        <w:rPr>
          <w:rFonts w:ascii="Arial" w:cs="Arial" w:eastAsia="Arial" w:hAnsi="Arial"/>
          <w:sz w:val="21"/>
          <w:szCs w:val="21"/>
          <w:color w:val="auto"/>
        </w:rPr>
        <w:t>To ensure the timely and economical resolution of disputes that may arise in connection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Executive’s employment with the Company, Executive and the Company agree that any and all disputes, claims, or causes of action arising from or relating to the enforcement, breach, performance, negotiation, execution, or interpretation of this Agreement, Executive’s employment, or the termination of Executive’s employment, including but not limited to statutory claims, shall be resolved to the fullest extent permitted by law by final, binding and</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2" w:name="page173"/>
    <w:bookmarkEnd w:id="172"/>
    <w:p>
      <w:pPr>
        <w:jc w:val="both"/>
        <w:spacing w:after="0" w:line="273" w:lineRule="auto"/>
        <w:rPr>
          <w:sz w:val="20"/>
          <w:szCs w:val="20"/>
          <w:color w:val="auto"/>
        </w:rPr>
      </w:pPr>
      <w:r>
        <w:rPr>
          <w:rFonts w:ascii="Arial" w:cs="Arial" w:eastAsia="Arial" w:hAnsi="Arial"/>
          <w:sz w:val="19"/>
          <w:szCs w:val="19"/>
          <w:color w:val="auto"/>
        </w:rPr>
        <w:t>confidential arbitration, by a single arbitrator, in Wilmington, Delaware conducted by JAMS, Inc. (“</w:t>
      </w:r>
      <w:r>
        <w:rPr>
          <w:rFonts w:ascii="Arial" w:cs="Arial" w:eastAsia="Arial" w:hAnsi="Arial"/>
          <w:sz w:val="19"/>
          <w:szCs w:val="19"/>
          <w:b w:val="1"/>
          <w:bCs w:val="1"/>
          <w:color w:val="auto"/>
        </w:rPr>
        <w:t>JAMS</w:t>
      </w:r>
      <w:r>
        <w:rPr>
          <w:rFonts w:ascii="Arial" w:cs="Arial" w:eastAsia="Arial" w:hAnsi="Arial"/>
          <w:sz w:val="19"/>
          <w:szCs w:val="19"/>
          <w:color w:val="auto"/>
        </w:rPr>
        <w:t>”) under the then applicable JAMS rules or by another arbitration company if mutually agreed upon by Executive and Board. By agreeing to this arbitration procedure, both Executive and the Company waive the right to resolve any such dispute through a trial by jury or judge or administrative proceeding. The Company acknowledges that Executive will have the right to be represented by legal counsel at any arbitration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50" w:lineRule="exact"/>
        <w:rPr>
          <w:sz w:val="20"/>
          <w:szCs w:val="20"/>
          <w:color w:val="auto"/>
        </w:rPr>
      </w:pPr>
    </w:p>
    <w:p>
      <w:pPr>
        <w:ind w:left="1780" w:hanging="908"/>
        <w:spacing w:after="0"/>
        <w:tabs>
          <w:tab w:leader="none" w:pos="1780" w:val="left"/>
        </w:tabs>
        <w:numPr>
          <w:ilvl w:val="0"/>
          <w:numId w:val="138"/>
        </w:numPr>
        <w:rPr>
          <w:rFonts w:ascii="Arial" w:cs="Arial" w:eastAsia="Arial" w:hAnsi="Arial"/>
          <w:sz w:val="22"/>
          <w:szCs w:val="22"/>
          <w:b w:val="1"/>
          <w:bCs w:val="1"/>
          <w:color w:val="010000"/>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13.1 </w:t>
      </w:r>
      <w:r>
        <w:rPr>
          <w:rFonts w:ascii="Arial" w:cs="Arial" w:eastAsia="Arial" w:hAnsi="Arial"/>
          <w:sz w:val="22"/>
          <w:szCs w:val="22"/>
          <w:b w:val="1"/>
          <w:bCs w:val="1"/>
          <w:color w:val="000000"/>
        </w:rPr>
        <w:t>Notices.</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notices provided must be in writing and will be deemed effective upon the earlier of</w:t>
      </w:r>
      <w:r>
        <w:rPr>
          <w:rFonts w:ascii="Arial" w:cs="Arial" w:eastAsia="Arial" w:hAnsi="Arial"/>
          <w:sz w:val="22"/>
          <w:szCs w:val="22"/>
          <w:b w:val="1"/>
          <w:bCs w:val="1"/>
          <w:color w:val="010000"/>
        </w:rPr>
        <w:t xml:space="preserve"> </w:t>
      </w:r>
      <w:r>
        <w:rPr>
          <w:rFonts w:ascii="Arial" w:cs="Arial" w:eastAsia="Arial" w:hAnsi="Arial"/>
          <w:sz w:val="22"/>
          <w:szCs w:val="22"/>
          <w:color w:val="000000"/>
        </w:rPr>
        <w:t>personal delivery (including personal delivery by fax) or the next day after sending by overnight carrier, to the Company at its primary office location and to Executive at the address as listed on the Company payroll.</w:t>
      </w:r>
    </w:p>
    <w:p>
      <w:pPr>
        <w:spacing w:after="0" w:line="177"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010000"/>
        </w:rPr>
        <w:t xml:space="preserve">13.2 </w:t>
      </w:r>
      <w:r>
        <w:rPr>
          <w:rFonts w:ascii="Arial" w:cs="Arial" w:eastAsia="Arial" w:hAnsi="Arial"/>
          <w:sz w:val="22"/>
          <w:szCs w:val="22"/>
          <w:b w:val="1"/>
          <w:bCs w:val="1"/>
          <w:color w:val="000000"/>
        </w:rPr>
        <w:t>Severability.</w:t>
      </w:r>
      <w:r>
        <w:rPr>
          <w:rFonts w:ascii="Arial" w:cs="Arial" w:eastAsia="Arial" w:hAnsi="Arial"/>
          <w:sz w:val="22"/>
          <w:szCs w:val="22"/>
          <w:b w:val="1"/>
          <w:bCs w:val="1"/>
          <w:color w:val="010000"/>
        </w:rPr>
        <w:t xml:space="preserve"> </w:t>
      </w:r>
      <w:r>
        <w:rPr>
          <w:rFonts w:ascii="Arial" w:cs="Arial" w:eastAsia="Arial" w:hAnsi="Arial"/>
          <w:sz w:val="22"/>
          <w:szCs w:val="22"/>
          <w:color w:val="000000"/>
        </w:rPr>
        <w:t>Whenever possible, each provision of this Agreement will be interpreted in such</w:t>
      </w:r>
      <w:r>
        <w:rPr>
          <w:rFonts w:ascii="Arial" w:cs="Arial" w:eastAsia="Arial" w:hAnsi="Arial"/>
          <w:sz w:val="22"/>
          <w:szCs w:val="22"/>
          <w:b w:val="1"/>
          <w:bCs w:val="1"/>
          <w:color w:val="010000"/>
        </w:rPr>
        <w:t xml:space="preserve"> </w:t>
      </w:r>
      <w:r>
        <w:rPr>
          <w:rFonts w:ascii="Arial" w:cs="Arial" w:eastAsia="Arial" w:hAnsi="Arial"/>
          <w:sz w:val="22"/>
          <w:szCs w:val="22"/>
          <w:color w:val="000000"/>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010000"/>
        </w:rPr>
        <w:t xml:space="preserve">13.3 </w:t>
      </w:r>
      <w:r>
        <w:rPr>
          <w:rFonts w:ascii="Arial" w:cs="Arial" w:eastAsia="Arial" w:hAnsi="Arial"/>
          <w:sz w:val="22"/>
          <w:szCs w:val="22"/>
          <w:b w:val="1"/>
          <w:bCs w:val="1"/>
          <w:color w:val="000000"/>
        </w:rPr>
        <w:t>Waiver.</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waiver of any breach of any provisions of this Agreement must be in writing to be</w:t>
      </w:r>
      <w:r>
        <w:rPr>
          <w:rFonts w:ascii="Arial" w:cs="Arial" w:eastAsia="Arial" w:hAnsi="Arial"/>
          <w:sz w:val="22"/>
          <w:szCs w:val="22"/>
          <w:b w:val="1"/>
          <w:bCs w:val="1"/>
          <w:color w:val="010000"/>
        </w:rPr>
        <w:t xml:space="preserve"> </w:t>
      </w:r>
      <w:r>
        <w:rPr>
          <w:rFonts w:ascii="Arial" w:cs="Arial" w:eastAsia="Arial" w:hAnsi="Arial"/>
          <w:sz w:val="22"/>
          <w:szCs w:val="22"/>
          <w:color w:val="000000"/>
        </w:rPr>
        <w:t>effective, and it shall not thereby be deemed to have waived any preceding or succeeding breach of the same or any other provision of this Agreement.</w:t>
      </w:r>
    </w:p>
    <w:p>
      <w:pPr>
        <w:spacing w:after="0" w:line="177"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b w:val="1"/>
          <w:bCs w:val="1"/>
          <w:color w:val="010000"/>
        </w:rPr>
        <w:t xml:space="preserve">13.4 </w:t>
      </w:r>
      <w:r>
        <w:rPr>
          <w:rFonts w:ascii="Arial" w:cs="Arial" w:eastAsia="Arial" w:hAnsi="Arial"/>
          <w:sz w:val="22"/>
          <w:szCs w:val="22"/>
          <w:b w:val="1"/>
          <w:bCs w:val="1"/>
          <w:color w:val="000000"/>
        </w:rPr>
        <w:t>Complete Agreement.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together with the Restrictive Covenant Agreement,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constitutes the entire agreement between Executive and the Company with regard to this subject matter and is the complete, final, and exclusive embodiment of the Parties’ agreement with regard to this subject matter, and supersedes all prior or contemporaneous offers, negotiations and agreements, whether written or oral, relating to such subject matter, including the offer letter entered into between Executive and the Company as of May 13, 2019.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3" w:name="page174"/>
    <w:bookmarkEnd w:id="173"/>
    <w:p>
      <w:pPr>
        <w:jc w:val="both"/>
        <w:ind w:right="20" w:firstLine="1727"/>
        <w:spacing w:after="0" w:line="334" w:lineRule="auto"/>
        <w:rPr>
          <w:sz w:val="20"/>
          <w:szCs w:val="20"/>
          <w:color w:val="auto"/>
        </w:rPr>
      </w:pPr>
      <w:r>
        <w:rPr>
          <w:rFonts w:ascii="Arial" w:cs="Arial" w:eastAsia="Arial" w:hAnsi="Arial"/>
          <w:sz w:val="19"/>
          <w:szCs w:val="19"/>
          <w:b w:val="1"/>
          <w:bCs w:val="1"/>
          <w:color w:val="010000"/>
        </w:rPr>
        <w:t xml:space="preserve">13.5 </w:t>
      </w:r>
      <w:r>
        <w:rPr>
          <w:rFonts w:ascii="Arial" w:cs="Arial" w:eastAsia="Arial" w:hAnsi="Arial"/>
          <w:sz w:val="19"/>
          <w:szCs w:val="19"/>
          <w:b w:val="1"/>
          <w:bCs w:val="1"/>
          <w:color w:val="000000"/>
        </w:rPr>
        <w:t>Counterparts.</w:t>
      </w:r>
      <w:r>
        <w:rPr>
          <w:rFonts w:ascii="Arial" w:cs="Arial" w:eastAsia="Arial" w:hAnsi="Arial"/>
          <w:sz w:val="19"/>
          <w:szCs w:val="19"/>
          <w:b w:val="1"/>
          <w:bCs w:val="1"/>
          <w:color w:val="010000"/>
        </w:rPr>
        <w:t xml:space="preserve"> </w:t>
      </w:r>
      <w:r>
        <w:rPr>
          <w:rFonts w:ascii="Arial" w:cs="Arial" w:eastAsia="Arial" w:hAnsi="Arial"/>
          <w:sz w:val="19"/>
          <w:szCs w:val="19"/>
          <w:color w:val="000000"/>
        </w:rPr>
        <w:t>This Agreement may be executed in separate counterparts, any one of which need</w:t>
      </w:r>
      <w:r>
        <w:rPr>
          <w:rFonts w:ascii="Arial" w:cs="Arial" w:eastAsia="Arial" w:hAnsi="Arial"/>
          <w:sz w:val="19"/>
          <w:szCs w:val="19"/>
          <w:b w:val="1"/>
          <w:bCs w:val="1"/>
          <w:color w:val="010000"/>
        </w:rPr>
        <w:t xml:space="preserve"> </w:t>
      </w:r>
      <w:r>
        <w:rPr>
          <w:rFonts w:ascii="Arial" w:cs="Arial" w:eastAsia="Arial" w:hAnsi="Arial"/>
          <w:sz w:val="19"/>
          <w:szCs w:val="19"/>
          <w:color w:val="000000"/>
        </w:rPr>
        <w:t>not contain signatures of more than one party, but all of which taken together will constitute one and the same Agreement.</w:t>
      </w:r>
    </w:p>
    <w:p>
      <w:pPr>
        <w:spacing w:after="0" w:line="94"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010000"/>
        </w:rPr>
        <w:t xml:space="preserve">13.6 </w:t>
      </w:r>
      <w:r>
        <w:rPr>
          <w:rFonts w:ascii="Arial" w:cs="Arial" w:eastAsia="Arial" w:hAnsi="Arial"/>
          <w:sz w:val="22"/>
          <w:szCs w:val="22"/>
          <w:b w:val="1"/>
          <w:bCs w:val="1"/>
          <w:color w:val="000000"/>
        </w:rPr>
        <w:t>Headings.</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headings of the paragraphs hereof are inserted for convenience only and shall not</w:t>
      </w:r>
      <w:r>
        <w:rPr>
          <w:rFonts w:ascii="Arial" w:cs="Arial" w:eastAsia="Arial" w:hAnsi="Arial"/>
          <w:sz w:val="22"/>
          <w:szCs w:val="22"/>
          <w:b w:val="1"/>
          <w:bCs w:val="1"/>
          <w:color w:val="010000"/>
        </w:rPr>
        <w:t xml:space="preserve"> </w:t>
      </w:r>
      <w:r>
        <w:rPr>
          <w:rFonts w:ascii="Arial" w:cs="Arial" w:eastAsia="Arial" w:hAnsi="Arial"/>
          <w:sz w:val="22"/>
          <w:szCs w:val="22"/>
          <w:color w:val="000000"/>
        </w:rPr>
        <w:t>be deemed to constitute a part hereof nor to affect the meaning thereof.</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010000"/>
        </w:rPr>
        <w:t xml:space="preserve">13.7 </w:t>
      </w:r>
      <w:r>
        <w:rPr>
          <w:rFonts w:ascii="Arial" w:cs="Arial" w:eastAsia="Arial" w:hAnsi="Arial"/>
          <w:sz w:val="22"/>
          <w:szCs w:val="22"/>
          <w:b w:val="1"/>
          <w:bCs w:val="1"/>
          <w:color w:val="000000"/>
        </w:rPr>
        <w:t>Successors and Assigns.</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Agreement is intended to bind and inure to the benefit of and be</w:t>
      </w:r>
      <w:r>
        <w:rPr>
          <w:rFonts w:ascii="Arial" w:cs="Arial" w:eastAsia="Arial" w:hAnsi="Arial"/>
          <w:sz w:val="22"/>
          <w:szCs w:val="22"/>
          <w:b w:val="1"/>
          <w:bCs w:val="1"/>
          <w:color w:val="010000"/>
        </w:rPr>
        <w:t xml:space="preserve"> </w:t>
      </w:r>
      <w:r>
        <w:rPr>
          <w:rFonts w:ascii="Arial" w:cs="Arial" w:eastAsia="Arial" w:hAnsi="Arial"/>
          <w:sz w:val="22"/>
          <w:szCs w:val="22"/>
          <w:color w:val="000000"/>
        </w:rPr>
        <w:t>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w:t>
      </w:r>
    </w:p>
    <w:p>
      <w:pPr>
        <w:spacing w:after="0" w:line="180"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b w:val="1"/>
          <w:bCs w:val="1"/>
          <w:color w:val="010000"/>
        </w:rPr>
        <w:t xml:space="preserve">13.8 </w:t>
      </w:r>
      <w:r>
        <w:rPr>
          <w:rFonts w:ascii="Arial" w:cs="Arial" w:eastAsia="Arial" w:hAnsi="Arial"/>
          <w:sz w:val="21"/>
          <w:szCs w:val="21"/>
          <w:b w:val="1"/>
          <w:bCs w:val="1"/>
          <w:color w:val="000000"/>
        </w:rPr>
        <w:t>Tax Withholding and Indemnification.</w:t>
      </w:r>
      <w:r>
        <w:rPr>
          <w:rFonts w:ascii="Arial" w:cs="Arial" w:eastAsia="Arial" w:hAnsi="Arial"/>
          <w:sz w:val="21"/>
          <w:szCs w:val="21"/>
          <w:b w:val="1"/>
          <w:bCs w:val="1"/>
          <w:color w:val="010000"/>
        </w:rPr>
        <w:t xml:space="preserve"> </w:t>
      </w:r>
      <w:r>
        <w:rPr>
          <w:rFonts w:ascii="Arial" w:cs="Arial" w:eastAsia="Arial" w:hAnsi="Arial"/>
          <w:sz w:val="21"/>
          <w:szCs w:val="21"/>
          <w:color w:val="000000"/>
        </w:rPr>
        <w:t>All payments and awards contemplated or made</w:t>
      </w:r>
      <w:r>
        <w:rPr>
          <w:rFonts w:ascii="Arial" w:cs="Arial" w:eastAsia="Arial" w:hAnsi="Arial"/>
          <w:sz w:val="21"/>
          <w:szCs w:val="21"/>
          <w:b w:val="1"/>
          <w:bCs w:val="1"/>
          <w:color w:val="010000"/>
        </w:rPr>
        <w:t xml:space="preserve"> </w:t>
      </w:r>
      <w:r>
        <w:rPr>
          <w:rFonts w:ascii="Arial" w:cs="Arial" w:eastAsia="Arial" w:hAnsi="Arial"/>
          <w:sz w:val="21"/>
          <w:szCs w:val="21"/>
          <w:color w:val="000000"/>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1"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010000"/>
        </w:rPr>
        <w:t xml:space="preserve">13.9 </w:t>
      </w:r>
      <w:r>
        <w:rPr>
          <w:rFonts w:ascii="Arial" w:cs="Arial" w:eastAsia="Arial" w:hAnsi="Arial"/>
          <w:sz w:val="22"/>
          <w:szCs w:val="22"/>
          <w:b w:val="1"/>
          <w:bCs w:val="1"/>
          <w:color w:val="000000"/>
        </w:rPr>
        <w:t>Choice of Law.</w:t>
      </w:r>
      <w:r>
        <w:rPr>
          <w:rFonts w:ascii="Arial" w:cs="Arial" w:eastAsia="Arial" w:hAnsi="Arial"/>
          <w:sz w:val="22"/>
          <w:szCs w:val="22"/>
          <w:b w:val="1"/>
          <w:bCs w:val="1"/>
          <w:color w:val="010000"/>
        </w:rPr>
        <w:t xml:space="preserve"> </w:t>
      </w:r>
      <w:r>
        <w:rPr>
          <w:rFonts w:ascii="Arial" w:cs="Arial" w:eastAsia="Arial" w:hAnsi="Arial"/>
          <w:sz w:val="22"/>
          <w:szCs w:val="22"/>
          <w:color w:val="000000"/>
        </w:rPr>
        <w:t>All questions concerning the construction, validity and interpretation of this</w:t>
      </w:r>
      <w:r>
        <w:rPr>
          <w:rFonts w:ascii="Arial" w:cs="Arial" w:eastAsia="Arial" w:hAnsi="Arial"/>
          <w:sz w:val="22"/>
          <w:szCs w:val="22"/>
          <w:b w:val="1"/>
          <w:bCs w:val="1"/>
          <w:color w:val="010000"/>
        </w:rPr>
        <w:t xml:space="preserve"> </w:t>
      </w:r>
      <w:r>
        <w:rPr>
          <w:rFonts w:ascii="Arial" w:cs="Arial" w:eastAsia="Arial" w:hAnsi="Arial"/>
          <w:sz w:val="22"/>
          <w:szCs w:val="22"/>
          <w:color w:val="000000"/>
        </w:rPr>
        <w:t>Agreement will be governed by the laws of the State of Delaware.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4" w:name="page175"/>
    <w:bookmarkEnd w:id="174"/>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executed this Agreement on the day and year first written above.</w:t>
      </w:r>
    </w:p>
    <w:p>
      <w:pPr>
        <w:sectPr>
          <w:pgSz w:w="11900" w:h="16838" w:orient="portrait"/>
          <w:cols w:equalWidth="0" w:num="1">
            <w:col w:w="9259"/>
          </w:cols>
          <w:pgMar w:left="1200" w:top="598"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right"/>
        <w:ind w:right="163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RELUDE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NCORPORATED</w:t>
      </w:r>
    </w:p>
    <w:p>
      <w:pPr>
        <w:spacing w:after="0" w:line="200" w:lineRule="exact"/>
        <w:rPr>
          <w:sz w:val="20"/>
          <w:szCs w:val="20"/>
          <w:color w:val="auto"/>
        </w:rPr>
      </w:pPr>
    </w:p>
    <w:p>
      <w:pPr>
        <w:spacing w:after="0" w:line="22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 Vaddi</w:t>
      </w:r>
    </w:p>
    <w:p>
      <w:pPr>
        <w:spacing w:after="0" w:line="9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Employment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85090</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98" w:right="1440"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executed this Agreement on the day and year first written above.</w:t>
      </w:r>
    </w:p>
    <w:p>
      <w:pPr>
        <w:sectPr>
          <w:pgSz w:w="11900" w:h="16838" w:orient="portrait"/>
          <w:cols w:equalWidth="0" w:num="1">
            <w:col w:w="9259"/>
          </w:cols>
          <w:pgMar w:left="1200" w:top="598"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right"/>
        <w:ind w:right="163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RELUDE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NCORPORATED</w:t>
      </w:r>
    </w:p>
    <w:p>
      <w:pPr>
        <w:spacing w:after="0" w:line="200" w:lineRule="exact"/>
        <w:rPr>
          <w:sz w:val="20"/>
          <w:szCs w:val="20"/>
          <w:color w:val="auto"/>
        </w:rPr>
      </w:pPr>
    </w:p>
    <w:p>
      <w:pPr>
        <w:spacing w:after="0" w:line="22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24"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RIAN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IPER</w:t>
      </w:r>
    </w:p>
    <w:p>
      <w:pPr>
        <w:spacing w:after="0" w:line="200" w:lineRule="exact"/>
        <w:rPr>
          <w:sz w:val="20"/>
          <w:szCs w:val="20"/>
          <w:color w:val="auto"/>
        </w:rPr>
      </w:pPr>
    </w:p>
    <w:p>
      <w:pPr>
        <w:spacing w:after="0" w:line="336" w:lineRule="exact"/>
        <w:rPr>
          <w:sz w:val="20"/>
          <w:szCs w:val="20"/>
          <w:color w:val="auto"/>
        </w:rPr>
      </w:pPr>
    </w:p>
    <w:p>
      <w:pPr>
        <w:ind w:left="4320"/>
        <w:spacing w:after="0"/>
        <w:rPr>
          <w:sz w:val="20"/>
          <w:szCs w:val="20"/>
          <w:color w:val="auto"/>
        </w:rPr>
      </w:pPr>
      <w:r>
        <w:rPr>
          <w:rFonts w:ascii="Arial" w:cs="Arial" w:eastAsia="Arial" w:hAnsi="Arial"/>
          <w:sz w:val="22"/>
          <w:szCs w:val="22"/>
          <w:u w:val="single" w:color="auto"/>
          <w:color w:val="auto"/>
        </w:rPr>
        <w:t>/s/ Brian Piper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Employment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85090</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98" w:right="1440" w:bottom="1440" w:gutter="0" w:footer="0" w:header="0"/>
          <w:type w:val="continuous"/>
        </w:sectPr>
      </w:pPr>
    </w:p>
    <w:bookmarkStart w:id="176" w:name="page177"/>
    <w:bookmarkEnd w:id="176"/>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Employee Proprietary Information, Restrictive Covenant and Invention Assignment Agreement</w:t>
      </w:r>
    </w:p>
    <w:p>
      <w:pPr>
        <w:sectPr>
          <w:pgSz w:w="11900" w:h="16838" w:orient="portrait"/>
          <w:cols w:equalWidth="0" w:num="1">
            <w:col w:w="9019"/>
          </w:cols>
          <w:pgMar w:left="1440" w:top="598" w:right="1440" w:bottom="1440" w:gutter="0" w:footer="0" w:header="0"/>
        </w:sectPr>
      </w:pPr>
    </w:p>
    <w:bookmarkStart w:id="177" w:name="page178"/>
    <w:bookmarkEnd w:id="177"/>
    <w:p>
      <w:pPr>
        <w:ind w:left="10120"/>
        <w:spacing w:after="0"/>
        <w:rPr>
          <w:sz w:val="20"/>
          <w:szCs w:val="20"/>
          <w:color w:val="auto"/>
        </w:rPr>
      </w:pPr>
      <w:r>
        <w:rPr>
          <w:rFonts w:ascii="Arial" w:cs="Arial" w:eastAsia="Arial" w:hAnsi="Arial"/>
          <w:sz w:val="18"/>
          <w:szCs w:val="18"/>
          <w:b w:val="1"/>
          <w:bCs w:val="1"/>
          <w:color w:val="auto"/>
        </w:rPr>
        <w:t>Exhibit 10.11</w:t>
      </w:r>
    </w:p>
    <w:p>
      <w:pPr>
        <w:spacing w:after="0" w:line="44" w:lineRule="exact"/>
        <w:rPr>
          <w:sz w:val="20"/>
          <w:szCs w:val="20"/>
          <w:color w:val="auto"/>
        </w:rPr>
      </w:pPr>
    </w:p>
    <w:p>
      <w:pPr>
        <w:jc w:val="center"/>
        <w:spacing w:after="0" w:line="241" w:lineRule="auto"/>
        <w:rPr>
          <w:sz w:val="20"/>
          <w:szCs w:val="20"/>
          <w:color w:val="auto"/>
        </w:rPr>
      </w:pPr>
      <w:r>
        <w:rPr>
          <w:rFonts w:ascii="Arial" w:cs="Arial" w:eastAsia="Arial" w:hAnsi="Arial"/>
          <w:sz w:val="20"/>
          <w:szCs w:val="20"/>
          <w:b w:val="1"/>
          <w:bCs w:val="1"/>
          <w:color w:val="auto"/>
        </w:rPr>
        <w:t>CERTAIN CONFIDENTIAL INFORMATION CONTAINED IN THIS DOCUMENT, MARKED BY [***], HAS BEEN OMITTED BECAUSE IT IS NOT MATERIAL AND WOULD LIKELY CAUSE COMPETITIVE HARM TO THE COMPANY IF PUBLICY DISCLOSED.</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SINGLE-TENANT TRIPLE NET LEASE</w:t>
      </w:r>
    </w:p>
    <w:p>
      <w:pPr>
        <w:spacing w:after="0" w:line="216"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0"/>
          <w:szCs w:val="20"/>
          <w:color w:val="auto"/>
        </w:rPr>
        <w:t>This Single-Tenant Triple Net Lease (this “</w:t>
      </w:r>
      <w:r>
        <w:rPr>
          <w:rFonts w:ascii="Arial" w:cs="Arial" w:eastAsia="Arial" w:hAnsi="Arial"/>
          <w:sz w:val="20"/>
          <w:szCs w:val="20"/>
          <w:b w:val="1"/>
          <w:bCs w:val="1"/>
          <w:color w:val="auto"/>
        </w:rPr>
        <w:t>Lease</w:t>
      </w:r>
      <w:r>
        <w:rPr>
          <w:rFonts w:ascii="Arial" w:cs="Arial" w:eastAsia="Arial" w:hAnsi="Arial"/>
          <w:sz w:val="20"/>
          <w:szCs w:val="20"/>
          <w:color w:val="auto"/>
        </w:rPr>
        <w:t>”) is made and entered into as of September 13, 2021 (the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CRISP PARTNERS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PRELUDE THERAPEUTICS</w:t>
      </w:r>
      <w:r>
        <w:rPr>
          <w:rFonts w:ascii="Arial" w:cs="Arial" w:eastAsia="Arial" w:hAnsi="Arial"/>
          <w:sz w:val="20"/>
          <w:szCs w:val="20"/>
          <w:color w:val="auto"/>
        </w:rPr>
        <w:t xml:space="preserve"> </w:t>
      </w:r>
      <w:r>
        <w:rPr>
          <w:rFonts w:ascii="Arial" w:cs="Arial" w:eastAsia="Arial" w:hAnsi="Arial"/>
          <w:sz w:val="20"/>
          <w:szCs w:val="20"/>
          <w:b w:val="1"/>
          <w:bCs w:val="1"/>
          <w:color w:val="auto"/>
        </w:rPr>
        <w:t>INCORPORATED</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77" w:lineRule="exact"/>
        <w:rPr>
          <w:sz w:val="20"/>
          <w:szCs w:val="20"/>
          <w:color w:val="auto"/>
        </w:rPr>
      </w:pPr>
    </w:p>
    <w:p>
      <w:pPr>
        <w:ind w:left="800" w:hanging="792"/>
        <w:spacing w:after="0"/>
        <w:tabs>
          <w:tab w:leader="none" w:pos="80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BASIC LEASE INFORMATION</w:t>
      </w:r>
      <w:r>
        <w:rPr>
          <w:rFonts w:ascii="Arial" w:cs="Arial" w:eastAsia="Arial" w:hAnsi="Arial"/>
          <w:sz w:val="20"/>
          <w:szCs w:val="20"/>
          <w:color w:val="auto"/>
        </w:rPr>
        <w:t>.</w:t>
      </w:r>
    </w:p>
    <w:p>
      <w:pPr>
        <w:spacing w:after="0" w:line="216" w:lineRule="exact"/>
        <w:rPr>
          <w:sz w:val="20"/>
          <w:szCs w:val="20"/>
          <w:color w:val="auto"/>
        </w:rPr>
      </w:pPr>
    </w:p>
    <w:p>
      <w:pPr>
        <w:ind w:right="20" w:firstLine="864"/>
        <w:spacing w:after="0" w:line="267" w:lineRule="auto"/>
        <w:rPr>
          <w:sz w:val="20"/>
          <w:szCs w:val="20"/>
          <w:color w:val="auto"/>
        </w:rPr>
      </w:pPr>
      <w:r>
        <w:rPr>
          <w:rFonts w:ascii="Arial" w:cs="Arial" w:eastAsia="Arial" w:hAnsi="Arial"/>
          <w:sz w:val="20"/>
          <w:szCs w:val="20"/>
          <w:color w:val="auto"/>
        </w:rPr>
        <w:t>1.1 “</w:t>
      </w:r>
      <w:r>
        <w:rPr>
          <w:rFonts w:ascii="Arial" w:cs="Arial" w:eastAsia="Arial" w:hAnsi="Arial"/>
          <w:sz w:val="20"/>
          <w:szCs w:val="20"/>
          <w:b w:val="1"/>
          <w:bCs w:val="1"/>
          <w:color w:val="auto"/>
        </w:rPr>
        <w:t>Building</w:t>
      </w:r>
      <w:r>
        <w:rPr>
          <w:rFonts w:ascii="Arial" w:cs="Arial" w:eastAsia="Arial" w:hAnsi="Arial"/>
          <w:sz w:val="20"/>
          <w:szCs w:val="20"/>
          <w:color w:val="auto"/>
        </w:rPr>
        <w:t>” shall mean the building known as Building 709 and located at Chestnut Run Plaza, 984 Centre Road, Wilmington, Delaware and containing approximately 80,874 rentable square feet.</w:t>
      </w:r>
    </w:p>
    <w:p>
      <w:pPr>
        <w:spacing w:after="0" w:line="163" w:lineRule="exact"/>
        <w:rPr>
          <w:sz w:val="20"/>
          <w:szCs w:val="20"/>
          <w:color w:val="auto"/>
        </w:rPr>
      </w:pPr>
    </w:p>
    <w:p>
      <w:pPr>
        <w:ind w:right="20" w:firstLine="864"/>
        <w:spacing w:after="0" w:line="267" w:lineRule="auto"/>
        <w:rPr>
          <w:sz w:val="20"/>
          <w:szCs w:val="20"/>
          <w:color w:val="auto"/>
        </w:rPr>
      </w:pPr>
      <w:r>
        <w:rPr>
          <w:rFonts w:ascii="Arial" w:cs="Arial" w:eastAsia="Arial" w:hAnsi="Arial"/>
          <w:sz w:val="20"/>
          <w:szCs w:val="20"/>
          <w:color w:val="auto"/>
        </w:rPr>
        <w:t>1.2 “</w:t>
      </w:r>
      <w:r>
        <w:rPr>
          <w:rFonts w:ascii="Arial" w:cs="Arial" w:eastAsia="Arial" w:hAnsi="Arial"/>
          <w:sz w:val="20"/>
          <w:szCs w:val="20"/>
          <w:b w:val="1"/>
          <w:bCs w:val="1"/>
          <w:color w:val="auto"/>
        </w:rPr>
        <w:t>Premises</w:t>
      </w:r>
      <w:r>
        <w:rPr>
          <w:rFonts w:ascii="Arial" w:cs="Arial" w:eastAsia="Arial" w:hAnsi="Arial"/>
          <w:sz w:val="20"/>
          <w:szCs w:val="20"/>
          <w:color w:val="auto"/>
        </w:rPr>
        <w:t xml:space="preserve">” shall mean all of the interior space within the Building walls and below the Building ceiling, containing approximately 80,874 rentable square feet and shown on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attached hereto.</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360" w:type="dxa"/>
            <w:vAlign w:val="bottom"/>
          </w:tcPr>
          <w:p>
            <w:pPr>
              <w:ind w:left="880"/>
              <w:spacing w:after="0"/>
              <w:rPr>
                <w:sz w:val="20"/>
                <w:szCs w:val="20"/>
                <w:color w:val="auto"/>
              </w:rPr>
            </w:pPr>
            <w:r>
              <w:rPr>
                <w:rFonts w:ascii="Arial" w:cs="Arial" w:eastAsia="Arial" w:hAnsi="Arial"/>
                <w:sz w:val="20"/>
                <w:szCs w:val="20"/>
                <w:color w:val="auto"/>
              </w:rPr>
              <w:t>1.3</w:t>
            </w:r>
          </w:p>
        </w:tc>
        <w:tc>
          <w:tcPr>
            <w:tcW w:w="3240" w:type="dxa"/>
            <w:vAlign w:val="bottom"/>
          </w:tcPr>
          <w:p>
            <w:pPr>
              <w:jc w:val="center"/>
              <w:ind w:right="1261"/>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color w:val="auto"/>
                <w:w w:val="92"/>
              </w:rPr>
              <w:t>Base Rent</w:t>
            </w:r>
            <w:r>
              <w:rPr>
                <w:rFonts w:ascii="Arial" w:cs="Arial" w:eastAsia="Arial" w:hAnsi="Arial"/>
                <w:sz w:val="20"/>
                <w:szCs w:val="20"/>
                <w:color w:val="auto"/>
                <w:w w:val="92"/>
              </w:rPr>
              <w:t>”:</w:t>
            </w:r>
          </w:p>
        </w:tc>
        <w:tc>
          <w:tcPr>
            <w:tcW w:w="1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60" w:type="dxa"/>
            <w:vAlign w:val="bottom"/>
            <w:tcBorders>
              <w:left w:val="single" w:sz="8" w:color="auto"/>
            </w:tcBorders>
          </w:tcPr>
          <w:p>
            <w:pPr>
              <w:spacing w:after="0"/>
              <w:rPr>
                <w:sz w:val="18"/>
                <w:szCs w:val="18"/>
                <w:color w:val="auto"/>
              </w:rPr>
            </w:pPr>
          </w:p>
        </w:tc>
        <w:tc>
          <w:tcPr>
            <w:tcW w:w="3240" w:type="dxa"/>
            <w:vAlign w:val="bottom"/>
            <w:tcBorders>
              <w:right w:val="single" w:sz="8" w:color="auto"/>
            </w:tcBorders>
          </w:tcPr>
          <w:p>
            <w:pPr>
              <w:jc w:val="center"/>
              <w:ind w:right="1261"/>
              <w:spacing w:after="0" w:line="213" w:lineRule="exact"/>
              <w:rPr>
                <w:sz w:val="20"/>
                <w:szCs w:val="20"/>
                <w:color w:val="auto"/>
              </w:rPr>
            </w:pPr>
            <w:r>
              <w:rPr>
                <w:rFonts w:ascii="Arial" w:cs="Arial" w:eastAsia="Arial" w:hAnsi="Arial"/>
                <w:sz w:val="20"/>
                <w:szCs w:val="20"/>
                <w:b w:val="1"/>
                <w:bCs w:val="1"/>
                <w:color w:val="auto"/>
                <w:w w:val="90"/>
              </w:rPr>
              <w:t>Months of Term</w:t>
            </w:r>
          </w:p>
        </w:tc>
        <w:tc>
          <w:tcPr>
            <w:tcW w:w="1200" w:type="dxa"/>
            <w:vAlign w:val="bottom"/>
            <w:tcBorders>
              <w:right w:val="single" w:sz="8" w:color="auto"/>
            </w:tcBorders>
          </w:tcPr>
          <w:p>
            <w:pPr>
              <w:ind w:left="400"/>
              <w:spacing w:after="0" w:line="213" w:lineRule="exact"/>
              <w:rPr>
                <w:sz w:val="20"/>
                <w:szCs w:val="20"/>
                <w:color w:val="auto"/>
              </w:rPr>
            </w:pPr>
            <w:r>
              <w:rPr>
                <w:rFonts w:ascii="Arial" w:cs="Arial" w:eastAsia="Arial" w:hAnsi="Arial"/>
                <w:sz w:val="20"/>
                <w:szCs w:val="20"/>
                <w:b w:val="1"/>
                <w:bCs w:val="1"/>
                <w:color w:val="auto"/>
              </w:rPr>
              <w:t>RSF</w:t>
            </w:r>
          </w:p>
        </w:tc>
        <w:tc>
          <w:tcPr>
            <w:tcW w:w="94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b w:val="1"/>
                <w:bCs w:val="1"/>
                <w:color w:val="auto"/>
                <w:w w:val="83"/>
              </w:rPr>
              <w:t>Base</w:t>
            </w:r>
          </w:p>
        </w:tc>
        <w:tc>
          <w:tcPr>
            <w:tcW w:w="178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b w:val="1"/>
                <w:bCs w:val="1"/>
                <w:color w:val="auto"/>
                <w:w w:val="93"/>
              </w:rPr>
              <w:t>Monthly</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60" w:type="dxa"/>
            <w:vAlign w:val="bottom"/>
            <w:tcBorders>
              <w:left w:val="single" w:sz="8" w:color="auto"/>
            </w:tcBorders>
          </w:tcPr>
          <w:p>
            <w:pPr>
              <w:spacing w:after="0"/>
              <w:rPr>
                <w:sz w:val="19"/>
                <w:szCs w:val="19"/>
                <w:color w:val="auto"/>
              </w:rPr>
            </w:pPr>
          </w:p>
        </w:tc>
        <w:tc>
          <w:tcPr>
            <w:tcW w:w="32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Rent Per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Base Rent</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360" w:type="dxa"/>
            <w:vAlign w:val="bottom"/>
            <w:tcBorders>
              <w:left w:val="single" w:sz="8" w:color="auto"/>
              <w:bottom w:val="single" w:sz="8" w:color="auto"/>
            </w:tcBorders>
          </w:tcPr>
          <w:p>
            <w:pPr>
              <w:spacing w:after="0"/>
              <w:rPr>
                <w:sz w:val="22"/>
                <w:szCs w:val="22"/>
                <w:color w:val="auto"/>
              </w:rPr>
            </w:pPr>
          </w:p>
        </w:tc>
        <w:tc>
          <w:tcPr>
            <w:tcW w:w="324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RSF</w:t>
            </w:r>
          </w:p>
        </w:tc>
        <w:tc>
          <w:tcPr>
            <w:tcW w:w="1780" w:type="dxa"/>
            <w:vAlign w:val="bottom"/>
            <w:tcBorders>
              <w:bottom w:val="single" w:sz="8" w:color="auto"/>
              <w:right w:val="single" w:sz="8" w:color="auto"/>
            </w:tcBorders>
          </w:tcPr>
          <w:p>
            <w:pPr>
              <w:spacing w:after="0"/>
              <w:rPr>
                <w:sz w:val="22"/>
                <w:szCs w:val="22"/>
                <w:color w:val="auto"/>
              </w:rPr>
            </w:pP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600" w:type="dxa"/>
            <w:vAlign w:val="bottom"/>
            <w:tcBorders>
              <w:left w:val="single" w:sz="8" w:color="auto"/>
              <w:right w:val="single" w:sz="8" w:color="auto"/>
            </w:tcBorders>
            <w:gridSpan w:val="2"/>
          </w:tcPr>
          <w:p>
            <w:pPr>
              <w:ind w:left="80"/>
              <w:spacing w:after="0" w:line="225" w:lineRule="exact"/>
              <w:rPr>
                <w:sz w:val="20"/>
                <w:szCs w:val="20"/>
                <w:color w:val="auto"/>
              </w:rPr>
            </w:pPr>
            <w:r>
              <w:rPr>
                <w:rFonts w:ascii="Arial" w:cs="Arial" w:eastAsia="Arial" w:hAnsi="Arial"/>
                <w:sz w:val="20"/>
                <w:szCs w:val="20"/>
                <w:color w:val="auto"/>
              </w:rPr>
              <w:t>*Commencement Date – Last day of the 6th full</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60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20"/>
                <w:szCs w:val="20"/>
                <w:color w:val="auto"/>
              </w:rPr>
              <w:t>calendar month of the Term</w:t>
            </w:r>
          </w:p>
        </w:tc>
        <w:tc>
          <w:tcPr>
            <w:tcW w:w="1200" w:type="dxa"/>
            <w:vAlign w:val="bottom"/>
            <w:tcBorders>
              <w:right w:val="single" w:sz="8" w:color="auto"/>
            </w:tcBorders>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600" w:type="dxa"/>
            <w:vAlign w:val="bottom"/>
            <w:tcBorders>
              <w:left w:val="single" w:sz="8" w:color="auto"/>
              <w:bottom w:val="single" w:sz="8" w:color="auto"/>
              <w:right w:val="single" w:sz="8" w:color="auto"/>
            </w:tcBorders>
            <w:gridSpan w:val="2"/>
            <w:vMerge w:val="continue"/>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600" w:type="dxa"/>
            <w:vAlign w:val="bottom"/>
            <w:tcBorders>
              <w:left w:val="single" w:sz="8" w:color="auto"/>
              <w:right w:val="single" w:sz="8" w:color="auto"/>
            </w:tcBorders>
            <w:gridSpan w:val="2"/>
          </w:tcPr>
          <w:p>
            <w:pPr>
              <w:ind w:left="80"/>
              <w:spacing w:after="0" w:line="225" w:lineRule="exact"/>
              <w:rPr>
                <w:sz w:val="20"/>
                <w:szCs w:val="20"/>
                <w:color w:val="auto"/>
              </w:rPr>
            </w:pPr>
            <w:r>
              <w:rPr>
                <w:rFonts w:ascii="Arial" w:cs="Arial" w:eastAsia="Arial" w:hAnsi="Arial"/>
                <w:sz w:val="20"/>
                <w:szCs w:val="20"/>
                <w:color w:val="auto"/>
                <w:w w:val="97"/>
              </w:rPr>
              <w:t>First day of the 7th full calendar month of the Term -</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60,000</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$28.00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$140,000.00</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w w:val="97"/>
              </w:rPr>
              <w:t>Last day of the 12th full calendar month of the Term</w:t>
            </w:r>
          </w:p>
        </w:tc>
        <w:tc>
          <w:tcPr>
            <w:tcW w:w="1200" w:type="dxa"/>
            <w:vAlign w:val="bottom"/>
            <w:tcBorders>
              <w:right w:val="single" w:sz="8" w:color="auto"/>
            </w:tcBorders>
            <w:vMerge w:val="continue"/>
          </w:tcPr>
          <w:p>
            <w:pPr>
              <w:spacing w:after="0"/>
              <w:rPr>
                <w:sz w:val="21"/>
                <w:szCs w:val="21"/>
                <w:color w:val="auto"/>
              </w:rPr>
            </w:pPr>
          </w:p>
        </w:tc>
        <w:tc>
          <w:tcPr>
            <w:tcW w:w="94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vMerge w:val="continue"/>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0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00" w:type="dxa"/>
            <w:vAlign w:val="bottom"/>
            <w:tcBorders>
              <w:left w:val="single" w:sz="8" w:color="auto"/>
              <w:right w:val="single" w:sz="8" w:color="auto"/>
            </w:tcBorders>
            <w:gridSpan w:val="2"/>
          </w:tcPr>
          <w:p>
            <w:pPr>
              <w:ind w:left="80"/>
              <w:spacing w:after="0" w:line="220" w:lineRule="exact"/>
              <w:rPr>
                <w:sz w:val="20"/>
                <w:szCs w:val="20"/>
                <w:color w:val="auto"/>
              </w:rPr>
            </w:pPr>
            <w:r>
              <w:rPr>
                <w:rFonts w:ascii="Arial" w:cs="Arial" w:eastAsia="Arial" w:hAnsi="Arial"/>
                <w:sz w:val="20"/>
                <w:szCs w:val="20"/>
                <w:color w:val="auto"/>
                <w:w w:val="95"/>
              </w:rPr>
              <w:t>First day of the 13th full calendar month of the Term -</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70,000</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$28.00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$163,333.33</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w w:val="97"/>
              </w:rPr>
              <w:t>Last day of the 18th full calendar month of the Term</w:t>
            </w:r>
          </w:p>
        </w:tc>
        <w:tc>
          <w:tcPr>
            <w:tcW w:w="1200" w:type="dxa"/>
            <w:vAlign w:val="bottom"/>
            <w:tcBorders>
              <w:right w:val="single" w:sz="8" w:color="auto"/>
            </w:tcBorders>
            <w:vMerge w:val="continue"/>
          </w:tcPr>
          <w:p>
            <w:pPr>
              <w:spacing w:after="0"/>
              <w:rPr>
                <w:sz w:val="21"/>
                <w:szCs w:val="21"/>
                <w:color w:val="auto"/>
              </w:rPr>
            </w:pPr>
          </w:p>
        </w:tc>
        <w:tc>
          <w:tcPr>
            <w:tcW w:w="94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vMerge w:val="continue"/>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0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00" w:type="dxa"/>
            <w:vAlign w:val="bottom"/>
            <w:tcBorders>
              <w:left w:val="single" w:sz="8" w:color="auto"/>
              <w:right w:val="single" w:sz="8" w:color="auto"/>
            </w:tcBorders>
            <w:gridSpan w:val="2"/>
          </w:tcPr>
          <w:p>
            <w:pPr>
              <w:ind w:left="80"/>
              <w:spacing w:after="0" w:line="220" w:lineRule="exact"/>
              <w:rPr>
                <w:sz w:val="20"/>
                <w:szCs w:val="20"/>
                <w:color w:val="auto"/>
              </w:rPr>
            </w:pPr>
            <w:r>
              <w:rPr>
                <w:rFonts w:ascii="Arial" w:cs="Arial" w:eastAsia="Arial" w:hAnsi="Arial"/>
                <w:sz w:val="20"/>
                <w:szCs w:val="20"/>
                <w:color w:val="auto"/>
                <w:w w:val="96"/>
              </w:rPr>
              <w:t>First day of the 19h full calendar month of the Term -</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80,874</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$28.70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$193,423.65</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w w:val="97"/>
              </w:rPr>
              <w:t>Last day of the 30th full calendar month of the Term</w:t>
            </w:r>
          </w:p>
        </w:tc>
        <w:tc>
          <w:tcPr>
            <w:tcW w:w="1200" w:type="dxa"/>
            <w:vAlign w:val="bottom"/>
            <w:tcBorders>
              <w:right w:val="single" w:sz="8" w:color="auto"/>
            </w:tcBorders>
            <w:vMerge w:val="continue"/>
          </w:tcPr>
          <w:p>
            <w:pPr>
              <w:spacing w:after="0"/>
              <w:rPr>
                <w:sz w:val="21"/>
                <w:szCs w:val="21"/>
                <w:color w:val="auto"/>
              </w:rPr>
            </w:pPr>
          </w:p>
        </w:tc>
        <w:tc>
          <w:tcPr>
            <w:tcW w:w="94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vMerge w:val="continue"/>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60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00" w:type="dxa"/>
            <w:vAlign w:val="bottom"/>
            <w:tcBorders>
              <w:left w:val="single" w:sz="8" w:color="auto"/>
              <w:right w:val="single" w:sz="8" w:color="auto"/>
            </w:tcBorders>
            <w:gridSpan w:val="2"/>
          </w:tcPr>
          <w:p>
            <w:pPr>
              <w:ind w:left="80"/>
              <w:spacing w:after="0" w:line="220" w:lineRule="exact"/>
              <w:rPr>
                <w:sz w:val="20"/>
                <w:szCs w:val="20"/>
                <w:color w:val="auto"/>
              </w:rPr>
            </w:pPr>
            <w:r>
              <w:rPr>
                <w:rFonts w:ascii="Arial" w:cs="Arial" w:eastAsia="Arial" w:hAnsi="Arial"/>
                <w:sz w:val="20"/>
                <w:szCs w:val="20"/>
                <w:color w:val="auto"/>
                <w:w w:val="95"/>
              </w:rPr>
              <w:t>First day of the 31st full calendar month of the Term -</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80,874</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$29.42</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$198,276.09</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w w:val="96"/>
              </w:rPr>
              <w:t>Last day of the 42nd full calendar month of the Term</w:t>
            </w:r>
          </w:p>
        </w:tc>
        <w:tc>
          <w:tcPr>
            <w:tcW w:w="1200" w:type="dxa"/>
            <w:vAlign w:val="bottom"/>
            <w:tcBorders>
              <w:right w:val="single" w:sz="8" w:color="auto"/>
            </w:tcBorders>
            <w:vMerge w:val="continue"/>
          </w:tcPr>
          <w:p>
            <w:pPr>
              <w:spacing w:after="0"/>
              <w:rPr>
                <w:sz w:val="21"/>
                <w:szCs w:val="21"/>
                <w:color w:val="auto"/>
              </w:rPr>
            </w:pPr>
          </w:p>
        </w:tc>
        <w:tc>
          <w:tcPr>
            <w:tcW w:w="94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vMerge w:val="continue"/>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60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00" w:type="dxa"/>
            <w:vAlign w:val="bottom"/>
            <w:tcBorders>
              <w:left w:val="single" w:sz="8" w:color="auto"/>
              <w:right w:val="single" w:sz="8" w:color="auto"/>
            </w:tcBorders>
            <w:gridSpan w:val="2"/>
          </w:tcPr>
          <w:p>
            <w:pPr>
              <w:ind w:left="80"/>
              <w:spacing w:after="0" w:line="220" w:lineRule="exact"/>
              <w:rPr>
                <w:sz w:val="20"/>
                <w:szCs w:val="20"/>
                <w:color w:val="auto"/>
              </w:rPr>
            </w:pPr>
            <w:r>
              <w:rPr>
                <w:rFonts w:ascii="Arial" w:cs="Arial" w:eastAsia="Arial" w:hAnsi="Arial"/>
                <w:sz w:val="20"/>
                <w:szCs w:val="20"/>
                <w:color w:val="auto"/>
                <w:w w:val="94"/>
              </w:rPr>
              <w:t>First day of the 43rd full calendar month of the Term -</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80,874</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$30.16</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$203,263.32</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w w:val="97"/>
              </w:rPr>
              <w:t>Last day of the 54th full calendar month of the Term</w:t>
            </w:r>
          </w:p>
        </w:tc>
        <w:tc>
          <w:tcPr>
            <w:tcW w:w="1200" w:type="dxa"/>
            <w:vAlign w:val="bottom"/>
            <w:tcBorders>
              <w:right w:val="single" w:sz="8" w:color="auto"/>
            </w:tcBorders>
            <w:vMerge w:val="continue"/>
          </w:tcPr>
          <w:p>
            <w:pPr>
              <w:spacing w:after="0"/>
              <w:rPr>
                <w:sz w:val="21"/>
                <w:szCs w:val="21"/>
                <w:color w:val="auto"/>
              </w:rPr>
            </w:pPr>
          </w:p>
        </w:tc>
        <w:tc>
          <w:tcPr>
            <w:tcW w:w="94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vMerge w:val="continue"/>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0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00" w:type="dxa"/>
            <w:vAlign w:val="bottom"/>
            <w:tcBorders>
              <w:left w:val="single" w:sz="8" w:color="auto"/>
              <w:right w:val="single" w:sz="8" w:color="auto"/>
            </w:tcBorders>
            <w:gridSpan w:val="2"/>
          </w:tcPr>
          <w:p>
            <w:pPr>
              <w:ind w:left="80"/>
              <w:spacing w:after="0" w:line="220" w:lineRule="exact"/>
              <w:rPr>
                <w:sz w:val="20"/>
                <w:szCs w:val="20"/>
                <w:color w:val="auto"/>
              </w:rPr>
            </w:pPr>
            <w:r>
              <w:rPr>
                <w:rFonts w:ascii="Arial" w:cs="Arial" w:eastAsia="Arial" w:hAnsi="Arial"/>
                <w:sz w:val="20"/>
                <w:szCs w:val="20"/>
                <w:color w:val="auto"/>
                <w:w w:val="95"/>
              </w:rPr>
              <w:t>First day of the 55th full calendar month of the Term -</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80,874</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$30.91</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$208,317.95</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w w:val="97"/>
              </w:rPr>
              <w:t>Last day of the 66th full calendar month of the Term</w:t>
            </w:r>
          </w:p>
        </w:tc>
        <w:tc>
          <w:tcPr>
            <w:tcW w:w="1200" w:type="dxa"/>
            <w:vAlign w:val="bottom"/>
            <w:tcBorders>
              <w:right w:val="single" w:sz="8" w:color="auto"/>
            </w:tcBorders>
            <w:vMerge w:val="continue"/>
          </w:tcPr>
          <w:p>
            <w:pPr>
              <w:spacing w:after="0"/>
              <w:rPr>
                <w:sz w:val="21"/>
                <w:szCs w:val="21"/>
                <w:color w:val="auto"/>
              </w:rPr>
            </w:pPr>
          </w:p>
        </w:tc>
        <w:tc>
          <w:tcPr>
            <w:tcW w:w="94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vMerge w:val="continue"/>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60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00" w:type="dxa"/>
            <w:vAlign w:val="bottom"/>
            <w:tcBorders>
              <w:left w:val="single" w:sz="8" w:color="auto"/>
              <w:right w:val="single" w:sz="8" w:color="auto"/>
            </w:tcBorders>
            <w:gridSpan w:val="2"/>
          </w:tcPr>
          <w:p>
            <w:pPr>
              <w:ind w:left="80"/>
              <w:spacing w:after="0" w:line="220" w:lineRule="exact"/>
              <w:rPr>
                <w:sz w:val="20"/>
                <w:szCs w:val="20"/>
                <w:color w:val="auto"/>
              </w:rPr>
            </w:pPr>
            <w:r>
              <w:rPr>
                <w:rFonts w:ascii="Arial" w:cs="Arial" w:eastAsia="Arial" w:hAnsi="Arial"/>
                <w:sz w:val="20"/>
                <w:szCs w:val="20"/>
                <w:color w:val="auto"/>
                <w:w w:val="95"/>
              </w:rPr>
              <w:t>First day of the 67th full calendar month of the Term -</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80,874</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$31.68</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$213,507.36</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w w:val="97"/>
              </w:rPr>
              <w:t>Last day of the 78th full calendar month of the Term</w:t>
            </w:r>
          </w:p>
        </w:tc>
        <w:tc>
          <w:tcPr>
            <w:tcW w:w="1200" w:type="dxa"/>
            <w:vAlign w:val="bottom"/>
            <w:tcBorders>
              <w:right w:val="single" w:sz="8" w:color="auto"/>
            </w:tcBorders>
            <w:vMerge w:val="continue"/>
          </w:tcPr>
          <w:p>
            <w:pPr>
              <w:spacing w:after="0"/>
              <w:rPr>
                <w:sz w:val="21"/>
                <w:szCs w:val="21"/>
                <w:color w:val="auto"/>
              </w:rPr>
            </w:pPr>
          </w:p>
        </w:tc>
        <w:tc>
          <w:tcPr>
            <w:tcW w:w="94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vMerge w:val="continue"/>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bottom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4"/>
        </w:trPr>
        <w:tc>
          <w:tcPr>
            <w:tcW w:w="13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0"/>
        </w:trPr>
        <w:tc>
          <w:tcPr>
            <w:tcW w:w="4700" w:type="dxa"/>
            <w:vAlign w:val="bottom"/>
          </w:tcPr>
          <w:p>
            <w:pPr>
              <w:ind w:left="1620"/>
              <w:spacing w:after="0"/>
              <w:rPr>
                <w:sz w:val="20"/>
                <w:szCs w:val="20"/>
                <w:color w:val="auto"/>
              </w:rPr>
            </w:pPr>
            <w:r>
              <w:rPr>
                <w:rFonts w:ascii="Arial" w:cs="Arial" w:eastAsia="Arial" w:hAnsi="Arial"/>
                <w:sz w:val="20"/>
                <w:szCs w:val="20"/>
                <w:b w:val="1"/>
                <w:bCs w:val="1"/>
                <w:color w:val="auto"/>
              </w:rPr>
              <w:t>Months of Term</w:t>
            </w:r>
          </w:p>
        </w:tc>
        <w:tc>
          <w:tcPr>
            <w:tcW w:w="980" w:type="dxa"/>
            <w:vAlign w:val="bottom"/>
          </w:tcPr>
          <w:p>
            <w:pPr>
              <w:jc w:val="center"/>
              <w:spacing w:after="0"/>
              <w:rPr>
                <w:sz w:val="20"/>
                <w:szCs w:val="20"/>
                <w:color w:val="auto"/>
              </w:rPr>
            </w:pPr>
            <w:r>
              <w:rPr>
                <w:rFonts w:ascii="Arial" w:cs="Arial" w:eastAsia="Arial" w:hAnsi="Arial"/>
                <w:sz w:val="20"/>
                <w:szCs w:val="20"/>
                <w:b w:val="1"/>
                <w:bCs w:val="1"/>
                <w:color w:val="auto"/>
                <w:w w:val="89"/>
              </w:rPr>
              <w:t>RSF</w:t>
            </w:r>
          </w:p>
        </w:tc>
        <w:tc>
          <w:tcPr>
            <w:tcW w:w="1200" w:type="dxa"/>
            <w:vAlign w:val="bottom"/>
          </w:tcPr>
          <w:p>
            <w:pPr>
              <w:jc w:val="center"/>
              <w:spacing w:after="0"/>
              <w:rPr>
                <w:sz w:val="20"/>
                <w:szCs w:val="20"/>
                <w:color w:val="auto"/>
              </w:rPr>
            </w:pPr>
            <w:r>
              <w:rPr>
                <w:rFonts w:ascii="Arial" w:cs="Arial" w:eastAsia="Arial" w:hAnsi="Arial"/>
                <w:sz w:val="20"/>
                <w:szCs w:val="20"/>
                <w:b w:val="1"/>
                <w:bCs w:val="1"/>
                <w:color w:val="auto"/>
                <w:w w:val="83"/>
              </w:rPr>
              <w:t>Base</w:t>
            </w:r>
          </w:p>
        </w:tc>
        <w:tc>
          <w:tcPr>
            <w:tcW w:w="1640" w:type="dxa"/>
            <w:vAlign w:val="bottom"/>
          </w:tcPr>
          <w:p>
            <w:pPr>
              <w:jc w:val="center"/>
              <w:ind w:right="61"/>
              <w:spacing w:after="0"/>
              <w:rPr>
                <w:sz w:val="20"/>
                <w:szCs w:val="20"/>
                <w:color w:val="auto"/>
              </w:rPr>
            </w:pPr>
            <w:r>
              <w:rPr>
                <w:rFonts w:ascii="Arial" w:cs="Arial" w:eastAsia="Arial" w:hAnsi="Arial"/>
                <w:sz w:val="20"/>
                <w:szCs w:val="20"/>
                <w:b w:val="1"/>
                <w:bCs w:val="1"/>
                <w:color w:val="auto"/>
                <w:w w:val="93"/>
              </w:rPr>
              <w:t>Monthly</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20"/>
                <w:szCs w:val="20"/>
                <w:b w:val="1"/>
                <w:bCs w:val="1"/>
                <w:color w:val="auto"/>
                <w:w w:val="92"/>
              </w:rPr>
              <w:t>Rent Per</w:t>
            </w:r>
          </w:p>
        </w:tc>
        <w:tc>
          <w:tcPr>
            <w:tcW w:w="1640" w:type="dxa"/>
            <w:vAlign w:val="bottom"/>
          </w:tcPr>
          <w:p>
            <w:pPr>
              <w:jc w:val="center"/>
              <w:ind w:right="81"/>
              <w:spacing w:after="0"/>
              <w:rPr>
                <w:sz w:val="20"/>
                <w:szCs w:val="20"/>
                <w:color w:val="auto"/>
              </w:rPr>
            </w:pPr>
            <w:r>
              <w:rPr>
                <w:rFonts w:ascii="Arial" w:cs="Arial" w:eastAsia="Arial" w:hAnsi="Arial"/>
                <w:sz w:val="20"/>
                <w:szCs w:val="20"/>
                <w:b w:val="1"/>
                <w:bCs w:val="1"/>
                <w:color w:val="auto"/>
                <w:w w:val="87"/>
              </w:rPr>
              <w:t>Base Rent</w:t>
            </w:r>
          </w:p>
        </w:tc>
        <w:tc>
          <w:tcPr>
            <w:tcW w:w="0" w:type="dxa"/>
            <w:vAlign w:val="bottom"/>
          </w:tcPr>
          <w:p>
            <w:pPr>
              <w:spacing w:after="0"/>
              <w:rPr>
                <w:sz w:val="1"/>
                <w:szCs w:val="1"/>
                <w:color w:val="auto"/>
              </w:rPr>
            </w:pPr>
          </w:p>
        </w:tc>
      </w:tr>
      <w:tr>
        <w:trPr>
          <w:trHeight w:val="261"/>
        </w:trPr>
        <w:tc>
          <w:tcPr>
            <w:tcW w:w="4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RSF</w:t>
            </w: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80"/>
              <w:spacing w:after="0" w:line="225" w:lineRule="exact"/>
              <w:rPr>
                <w:sz w:val="20"/>
                <w:szCs w:val="20"/>
                <w:color w:val="auto"/>
              </w:rPr>
            </w:pPr>
            <w:r>
              <w:rPr>
                <w:rFonts w:ascii="Arial" w:cs="Arial" w:eastAsia="Arial" w:hAnsi="Arial"/>
                <w:sz w:val="20"/>
                <w:szCs w:val="20"/>
                <w:color w:val="auto"/>
                <w:w w:val="97"/>
              </w:rPr>
              <w:t>First day of the 79th full calendar month of the Term -</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auto"/>
                <w:w w:val="91"/>
              </w:rPr>
              <w:t>80,874</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auto"/>
                <w:w w:val="88"/>
              </w:rPr>
              <w:t>$32.47</w:t>
            </w:r>
          </w:p>
        </w:tc>
        <w:tc>
          <w:tcPr>
            <w:tcW w:w="1640" w:type="dxa"/>
            <w:vAlign w:val="bottom"/>
            <w:vMerge w:val="restart"/>
          </w:tcPr>
          <w:p>
            <w:pPr>
              <w:jc w:val="center"/>
              <w:ind w:right="61"/>
              <w:spacing w:after="0"/>
              <w:rPr>
                <w:sz w:val="20"/>
                <w:szCs w:val="20"/>
                <w:color w:val="auto"/>
              </w:rPr>
            </w:pPr>
            <w:r>
              <w:rPr>
                <w:rFonts w:ascii="Arial" w:cs="Arial" w:eastAsia="Arial" w:hAnsi="Arial"/>
                <w:sz w:val="20"/>
                <w:szCs w:val="20"/>
                <w:color w:val="auto"/>
                <w:w w:val="89"/>
              </w:rPr>
              <w:t>$218,831.57</w:t>
            </w:r>
          </w:p>
        </w:tc>
        <w:tc>
          <w:tcPr>
            <w:tcW w:w="0" w:type="dxa"/>
            <w:vAlign w:val="bottom"/>
          </w:tcPr>
          <w:p>
            <w:pPr>
              <w:spacing w:after="0"/>
              <w:rPr>
                <w:sz w:val="1"/>
                <w:szCs w:val="1"/>
                <w:color w:val="auto"/>
              </w:rPr>
            </w:pPr>
          </w:p>
        </w:tc>
      </w:tr>
      <w:tr>
        <w:trPr>
          <w:trHeight w:val="250"/>
        </w:trPr>
        <w:tc>
          <w:tcPr>
            <w:tcW w:w="4700" w:type="dxa"/>
            <w:vAlign w:val="bottom"/>
          </w:tcPr>
          <w:p>
            <w:pPr>
              <w:ind w:left="80"/>
              <w:spacing w:after="0"/>
              <w:rPr>
                <w:sz w:val="20"/>
                <w:szCs w:val="20"/>
                <w:color w:val="auto"/>
              </w:rPr>
            </w:pPr>
            <w:r>
              <w:rPr>
                <w:rFonts w:ascii="Arial" w:cs="Arial" w:eastAsia="Arial" w:hAnsi="Arial"/>
                <w:sz w:val="20"/>
                <w:szCs w:val="20"/>
                <w:color w:val="auto"/>
              </w:rPr>
              <w:t>Last day of the 90th full calendar month of the Term</w:t>
            </w:r>
          </w:p>
        </w:tc>
        <w:tc>
          <w:tcPr>
            <w:tcW w:w="9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7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80"/>
              <w:spacing w:after="0" w:line="220" w:lineRule="exact"/>
              <w:rPr>
                <w:sz w:val="20"/>
                <w:szCs w:val="20"/>
                <w:color w:val="auto"/>
              </w:rPr>
            </w:pPr>
            <w:r>
              <w:rPr>
                <w:rFonts w:ascii="Arial" w:cs="Arial" w:eastAsia="Arial" w:hAnsi="Arial"/>
                <w:sz w:val="20"/>
                <w:szCs w:val="20"/>
                <w:color w:val="auto"/>
                <w:w w:val="97"/>
              </w:rPr>
              <w:t>First day of the 91st full calendar month of the Term -</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auto"/>
                <w:w w:val="91"/>
              </w:rPr>
              <w:t>80,874</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auto"/>
                <w:w w:val="88"/>
              </w:rPr>
              <w:t>$33.28</w:t>
            </w:r>
          </w:p>
        </w:tc>
        <w:tc>
          <w:tcPr>
            <w:tcW w:w="1640" w:type="dxa"/>
            <w:vAlign w:val="bottom"/>
            <w:vMerge w:val="restart"/>
          </w:tcPr>
          <w:p>
            <w:pPr>
              <w:jc w:val="center"/>
              <w:ind w:right="61"/>
              <w:spacing w:after="0"/>
              <w:rPr>
                <w:sz w:val="20"/>
                <w:szCs w:val="20"/>
                <w:color w:val="auto"/>
              </w:rPr>
            </w:pPr>
            <w:r>
              <w:rPr>
                <w:rFonts w:ascii="Arial" w:cs="Arial" w:eastAsia="Arial" w:hAnsi="Arial"/>
                <w:sz w:val="20"/>
                <w:szCs w:val="20"/>
                <w:color w:val="auto"/>
                <w:w w:val="89"/>
              </w:rPr>
              <w:t>$224,290.56</w:t>
            </w:r>
          </w:p>
        </w:tc>
        <w:tc>
          <w:tcPr>
            <w:tcW w:w="0" w:type="dxa"/>
            <w:vAlign w:val="bottom"/>
          </w:tcPr>
          <w:p>
            <w:pPr>
              <w:spacing w:after="0"/>
              <w:rPr>
                <w:sz w:val="1"/>
                <w:szCs w:val="1"/>
                <w:color w:val="auto"/>
              </w:rPr>
            </w:pPr>
          </w:p>
        </w:tc>
      </w:tr>
      <w:tr>
        <w:trPr>
          <w:trHeight w:val="250"/>
        </w:trPr>
        <w:tc>
          <w:tcPr>
            <w:tcW w:w="4700" w:type="dxa"/>
            <w:vAlign w:val="bottom"/>
          </w:tcPr>
          <w:p>
            <w:pPr>
              <w:ind w:left="80"/>
              <w:spacing w:after="0"/>
              <w:rPr>
                <w:sz w:val="20"/>
                <w:szCs w:val="20"/>
                <w:color w:val="auto"/>
              </w:rPr>
            </w:pPr>
            <w:r>
              <w:rPr>
                <w:rFonts w:ascii="Arial" w:cs="Arial" w:eastAsia="Arial" w:hAnsi="Arial"/>
                <w:sz w:val="20"/>
                <w:szCs w:val="20"/>
                <w:color w:val="auto"/>
                <w:w w:val="96"/>
              </w:rPr>
              <w:t>Last day of the 102nd full calendar month of the Term</w:t>
            </w:r>
          </w:p>
        </w:tc>
        <w:tc>
          <w:tcPr>
            <w:tcW w:w="9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7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80"/>
              <w:spacing w:after="0" w:line="220" w:lineRule="exact"/>
              <w:rPr>
                <w:sz w:val="20"/>
                <w:szCs w:val="20"/>
                <w:color w:val="auto"/>
              </w:rPr>
            </w:pPr>
            <w:r>
              <w:rPr>
                <w:rFonts w:ascii="Arial" w:cs="Arial" w:eastAsia="Arial" w:hAnsi="Arial"/>
                <w:sz w:val="20"/>
                <w:szCs w:val="20"/>
                <w:color w:val="auto"/>
                <w:w w:val="95"/>
              </w:rPr>
              <w:t>First day of the 103rd full calendar month of the Term -</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auto"/>
                <w:w w:val="91"/>
              </w:rPr>
              <w:t>80,874</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auto"/>
                <w:w w:val="88"/>
              </w:rPr>
              <w:t>$34.11</w:t>
            </w:r>
          </w:p>
        </w:tc>
        <w:tc>
          <w:tcPr>
            <w:tcW w:w="1640" w:type="dxa"/>
            <w:vAlign w:val="bottom"/>
            <w:vMerge w:val="restart"/>
          </w:tcPr>
          <w:p>
            <w:pPr>
              <w:jc w:val="center"/>
              <w:ind w:right="61"/>
              <w:spacing w:after="0"/>
              <w:rPr>
                <w:sz w:val="20"/>
                <w:szCs w:val="20"/>
                <w:color w:val="auto"/>
              </w:rPr>
            </w:pPr>
            <w:r>
              <w:rPr>
                <w:rFonts w:ascii="Arial" w:cs="Arial" w:eastAsia="Arial" w:hAnsi="Arial"/>
                <w:sz w:val="20"/>
                <w:szCs w:val="20"/>
                <w:color w:val="auto"/>
                <w:w w:val="89"/>
              </w:rPr>
              <w:t>$229,884.35</w:t>
            </w:r>
          </w:p>
        </w:tc>
        <w:tc>
          <w:tcPr>
            <w:tcW w:w="0" w:type="dxa"/>
            <w:vAlign w:val="bottom"/>
          </w:tcPr>
          <w:p>
            <w:pPr>
              <w:spacing w:after="0"/>
              <w:rPr>
                <w:sz w:val="1"/>
                <w:szCs w:val="1"/>
                <w:color w:val="auto"/>
              </w:rPr>
            </w:pPr>
          </w:p>
        </w:tc>
      </w:tr>
      <w:tr>
        <w:trPr>
          <w:trHeight w:val="250"/>
        </w:trPr>
        <w:tc>
          <w:tcPr>
            <w:tcW w:w="4700" w:type="dxa"/>
            <w:vAlign w:val="bottom"/>
          </w:tcPr>
          <w:p>
            <w:pPr>
              <w:ind w:left="80"/>
              <w:spacing w:after="0"/>
              <w:rPr>
                <w:sz w:val="20"/>
                <w:szCs w:val="20"/>
                <w:color w:val="auto"/>
              </w:rPr>
            </w:pPr>
            <w:r>
              <w:rPr>
                <w:rFonts w:ascii="Arial" w:cs="Arial" w:eastAsia="Arial" w:hAnsi="Arial"/>
                <w:sz w:val="20"/>
                <w:szCs w:val="20"/>
                <w:color w:val="auto"/>
                <w:w w:val="98"/>
              </w:rPr>
              <w:t>Last day of the 114th full calendar month of the Term</w:t>
            </w:r>
          </w:p>
        </w:tc>
        <w:tc>
          <w:tcPr>
            <w:tcW w:w="9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7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80"/>
              <w:spacing w:after="0" w:line="220" w:lineRule="exact"/>
              <w:rPr>
                <w:sz w:val="20"/>
                <w:szCs w:val="20"/>
                <w:color w:val="auto"/>
              </w:rPr>
            </w:pPr>
            <w:r>
              <w:rPr>
                <w:rFonts w:ascii="Arial" w:cs="Arial" w:eastAsia="Arial" w:hAnsi="Arial"/>
                <w:sz w:val="20"/>
                <w:szCs w:val="20"/>
                <w:color w:val="auto"/>
                <w:w w:val="95"/>
              </w:rPr>
              <w:t>First day of the 115th full calendar month of the Term -</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auto"/>
                <w:w w:val="91"/>
              </w:rPr>
              <w:t>80,874</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auto"/>
                <w:w w:val="88"/>
              </w:rPr>
              <w:t>$34.96</w:t>
            </w:r>
          </w:p>
        </w:tc>
        <w:tc>
          <w:tcPr>
            <w:tcW w:w="1640" w:type="dxa"/>
            <w:vAlign w:val="bottom"/>
            <w:vMerge w:val="restart"/>
          </w:tcPr>
          <w:p>
            <w:pPr>
              <w:jc w:val="center"/>
              <w:ind w:right="61"/>
              <w:spacing w:after="0"/>
              <w:rPr>
                <w:sz w:val="20"/>
                <w:szCs w:val="20"/>
                <w:color w:val="auto"/>
              </w:rPr>
            </w:pPr>
            <w:r>
              <w:rPr>
                <w:rFonts w:ascii="Arial" w:cs="Arial" w:eastAsia="Arial" w:hAnsi="Arial"/>
                <w:sz w:val="20"/>
                <w:szCs w:val="20"/>
                <w:color w:val="auto"/>
                <w:w w:val="89"/>
              </w:rPr>
              <w:t>$235,612.92</w:t>
            </w:r>
          </w:p>
        </w:tc>
        <w:tc>
          <w:tcPr>
            <w:tcW w:w="0" w:type="dxa"/>
            <w:vAlign w:val="bottom"/>
          </w:tcPr>
          <w:p>
            <w:pPr>
              <w:spacing w:after="0"/>
              <w:rPr>
                <w:sz w:val="1"/>
                <w:szCs w:val="1"/>
                <w:color w:val="auto"/>
              </w:rPr>
            </w:pPr>
          </w:p>
        </w:tc>
      </w:tr>
      <w:tr>
        <w:trPr>
          <w:trHeight w:val="250"/>
        </w:trPr>
        <w:tc>
          <w:tcPr>
            <w:tcW w:w="4700" w:type="dxa"/>
            <w:vAlign w:val="bottom"/>
          </w:tcPr>
          <w:p>
            <w:pPr>
              <w:ind w:left="80"/>
              <w:spacing w:after="0"/>
              <w:rPr>
                <w:sz w:val="20"/>
                <w:szCs w:val="20"/>
                <w:color w:val="auto"/>
              </w:rPr>
            </w:pPr>
            <w:r>
              <w:rPr>
                <w:rFonts w:ascii="Arial" w:cs="Arial" w:eastAsia="Arial" w:hAnsi="Arial"/>
                <w:sz w:val="20"/>
                <w:szCs w:val="20"/>
                <w:color w:val="auto"/>
                <w:w w:val="98"/>
              </w:rPr>
              <w:t>Last day of the 126th full calendar month of the Term</w:t>
            </w:r>
          </w:p>
        </w:tc>
        <w:tc>
          <w:tcPr>
            <w:tcW w:w="9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7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First day of the 127th full calendar month of the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80,874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$35.83</w:t>
            </w:r>
          </w:p>
        </w:tc>
        <w:tc>
          <w:tcPr>
            <w:tcW w:w="164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89"/>
              </w:rPr>
              <w:t>$241,476.29</w:t>
            </w:r>
          </w:p>
        </w:tc>
        <w:tc>
          <w:tcPr>
            <w:tcW w:w="0" w:type="dxa"/>
            <w:vAlign w:val="bottom"/>
          </w:tcPr>
          <w:p>
            <w:pPr>
              <w:spacing w:after="0"/>
              <w:rPr>
                <w:sz w:val="1"/>
                <w:szCs w:val="1"/>
                <w:color w:val="auto"/>
              </w:rPr>
            </w:pPr>
          </w:p>
        </w:tc>
      </w:tr>
      <w:tr>
        <w:trPr>
          <w:trHeight w:val="223"/>
        </w:trPr>
        <w:tc>
          <w:tcPr>
            <w:tcW w:w="4700" w:type="dxa"/>
            <w:vAlign w:val="bottom"/>
          </w:tcPr>
          <w:p>
            <w:pPr>
              <w:ind w:left="80"/>
              <w:spacing w:after="0" w:line="223" w:lineRule="exact"/>
              <w:rPr>
                <w:sz w:val="20"/>
                <w:szCs w:val="20"/>
                <w:color w:val="auto"/>
              </w:rPr>
            </w:pPr>
            <w:r>
              <w:rPr>
                <w:rFonts w:ascii="Arial" w:cs="Arial" w:eastAsia="Arial" w:hAnsi="Arial"/>
                <w:sz w:val="20"/>
                <w:szCs w:val="20"/>
                <w:color w:val="auto"/>
                <w:w w:val="95"/>
              </w:rPr>
              <w:t>Term - Last day of the 138th full calendar month of the</w:t>
            </w: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Term</w:t>
            </w:r>
          </w:p>
        </w:tc>
        <w:tc>
          <w:tcPr>
            <w:tcW w:w="9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80"/>
              <w:spacing w:after="0" w:line="225" w:lineRule="exact"/>
              <w:rPr>
                <w:sz w:val="20"/>
                <w:szCs w:val="20"/>
                <w:color w:val="auto"/>
              </w:rPr>
            </w:pPr>
            <w:r>
              <w:rPr>
                <w:rFonts w:ascii="Arial" w:cs="Arial" w:eastAsia="Arial" w:hAnsi="Arial"/>
                <w:sz w:val="20"/>
                <w:szCs w:val="20"/>
                <w:color w:val="auto"/>
                <w:w w:val="95"/>
              </w:rPr>
              <w:t>First day of the 139th full calendar month of the Term -</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auto"/>
                <w:w w:val="91"/>
              </w:rPr>
              <w:t>80,874</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auto"/>
                <w:w w:val="88"/>
              </w:rPr>
              <w:t>$36.73</w:t>
            </w:r>
          </w:p>
        </w:tc>
        <w:tc>
          <w:tcPr>
            <w:tcW w:w="1640" w:type="dxa"/>
            <w:vAlign w:val="bottom"/>
            <w:vMerge w:val="restart"/>
          </w:tcPr>
          <w:p>
            <w:pPr>
              <w:jc w:val="center"/>
              <w:ind w:right="61"/>
              <w:spacing w:after="0"/>
              <w:rPr>
                <w:sz w:val="20"/>
                <w:szCs w:val="20"/>
                <w:color w:val="auto"/>
              </w:rPr>
            </w:pPr>
            <w:r>
              <w:rPr>
                <w:rFonts w:ascii="Arial" w:cs="Arial" w:eastAsia="Arial" w:hAnsi="Arial"/>
                <w:sz w:val="20"/>
                <w:szCs w:val="20"/>
                <w:color w:val="auto"/>
                <w:w w:val="89"/>
              </w:rPr>
              <w:t>$247,541.84</w:t>
            </w:r>
          </w:p>
        </w:tc>
        <w:tc>
          <w:tcPr>
            <w:tcW w:w="0" w:type="dxa"/>
            <w:vAlign w:val="bottom"/>
          </w:tcPr>
          <w:p>
            <w:pPr>
              <w:spacing w:after="0"/>
              <w:rPr>
                <w:sz w:val="1"/>
                <w:szCs w:val="1"/>
                <w:color w:val="auto"/>
              </w:rPr>
            </w:pPr>
          </w:p>
        </w:tc>
      </w:tr>
      <w:tr>
        <w:trPr>
          <w:trHeight w:val="129"/>
        </w:trPr>
        <w:tc>
          <w:tcPr>
            <w:tcW w:w="4700" w:type="dxa"/>
            <w:vAlign w:val="bottom"/>
            <w:vMerge w:val="restart"/>
          </w:tcPr>
          <w:p>
            <w:pPr>
              <w:ind w:left="80"/>
              <w:spacing w:after="0"/>
              <w:rPr>
                <w:sz w:val="20"/>
                <w:szCs w:val="20"/>
                <w:color w:val="auto"/>
              </w:rPr>
            </w:pPr>
            <w:r>
              <w:rPr>
                <w:rFonts w:ascii="Arial" w:cs="Arial" w:eastAsia="Arial" w:hAnsi="Arial"/>
                <w:sz w:val="20"/>
                <w:szCs w:val="20"/>
                <w:color w:val="auto"/>
                <w:w w:val="98"/>
              </w:rPr>
              <w:t>Last day of the 150th full calendar month of the Term</w:t>
            </w:r>
          </w:p>
        </w:tc>
        <w:tc>
          <w:tcPr>
            <w:tcW w:w="9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700" w:type="dxa"/>
            <w:vAlign w:val="bottom"/>
            <w:tcBorders>
              <w:bottom w:val="single" w:sz="8" w:color="auto"/>
            </w:tcBorders>
            <w:vMerge w:val="continue"/>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80"/>
              <w:spacing w:after="0" w:line="225" w:lineRule="exact"/>
              <w:rPr>
                <w:sz w:val="20"/>
                <w:szCs w:val="20"/>
                <w:color w:val="auto"/>
              </w:rPr>
            </w:pPr>
            <w:r>
              <w:rPr>
                <w:rFonts w:ascii="Arial" w:cs="Arial" w:eastAsia="Arial" w:hAnsi="Arial"/>
                <w:sz w:val="20"/>
                <w:szCs w:val="20"/>
                <w:color w:val="auto"/>
                <w:w w:val="95"/>
              </w:rPr>
              <w:t>First day of the 151st full calendar month of the Term -</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auto"/>
                <w:w w:val="91"/>
              </w:rPr>
              <w:t>80,874</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auto"/>
                <w:w w:val="88"/>
              </w:rPr>
              <w:t>$37.65</w:t>
            </w:r>
          </w:p>
        </w:tc>
        <w:tc>
          <w:tcPr>
            <w:tcW w:w="1640" w:type="dxa"/>
            <w:vAlign w:val="bottom"/>
            <w:vMerge w:val="restart"/>
          </w:tcPr>
          <w:p>
            <w:pPr>
              <w:jc w:val="center"/>
              <w:ind w:right="61"/>
              <w:spacing w:after="0"/>
              <w:rPr>
                <w:sz w:val="20"/>
                <w:szCs w:val="20"/>
                <w:color w:val="auto"/>
              </w:rPr>
            </w:pPr>
            <w:r>
              <w:rPr>
                <w:rFonts w:ascii="Arial" w:cs="Arial" w:eastAsia="Arial" w:hAnsi="Arial"/>
                <w:sz w:val="20"/>
                <w:szCs w:val="20"/>
                <w:color w:val="auto"/>
                <w:w w:val="89"/>
              </w:rPr>
              <w:t>$253,742.18</w:t>
            </w:r>
          </w:p>
        </w:tc>
        <w:tc>
          <w:tcPr>
            <w:tcW w:w="0" w:type="dxa"/>
            <w:vAlign w:val="bottom"/>
          </w:tcPr>
          <w:p>
            <w:pPr>
              <w:spacing w:after="0"/>
              <w:rPr>
                <w:sz w:val="1"/>
                <w:szCs w:val="1"/>
                <w:color w:val="auto"/>
              </w:rPr>
            </w:pPr>
          </w:p>
        </w:tc>
      </w:tr>
      <w:tr>
        <w:trPr>
          <w:trHeight w:val="129"/>
        </w:trPr>
        <w:tc>
          <w:tcPr>
            <w:tcW w:w="4700" w:type="dxa"/>
            <w:vAlign w:val="bottom"/>
            <w:vMerge w:val="restart"/>
          </w:tcPr>
          <w:p>
            <w:pPr>
              <w:ind w:left="80"/>
              <w:spacing w:after="0"/>
              <w:rPr>
                <w:sz w:val="20"/>
                <w:szCs w:val="20"/>
                <w:color w:val="auto"/>
              </w:rPr>
            </w:pPr>
            <w:r>
              <w:rPr>
                <w:rFonts w:ascii="Arial" w:cs="Arial" w:eastAsia="Arial" w:hAnsi="Arial"/>
                <w:sz w:val="20"/>
                <w:szCs w:val="20"/>
                <w:color w:val="auto"/>
                <w:w w:val="96"/>
              </w:rPr>
              <w:t>Last day of the 162nd full calendar month of the Term</w:t>
            </w:r>
          </w:p>
        </w:tc>
        <w:tc>
          <w:tcPr>
            <w:tcW w:w="9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400675" cy="3343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5400675" cy="3343275"/>
                    </a:xfrm>
                    <a:prstGeom prst="rect">
                      <a:avLst/>
                    </a:prstGeom>
                    <a:noFill/>
                  </pic:spPr>
                </pic:pic>
              </a:graphicData>
            </a:graphic>
          </wp:anchor>
        </w:drawing>
      </w:r>
    </w:p>
    <w:p>
      <w:pPr>
        <w:jc w:val="both"/>
        <w:spacing w:after="0" w:line="260" w:lineRule="auto"/>
        <w:rPr>
          <w:sz w:val="20"/>
          <w:szCs w:val="20"/>
          <w:color w:val="auto"/>
        </w:rPr>
      </w:pPr>
      <w:r>
        <w:rPr>
          <w:rFonts w:ascii="Arial" w:cs="Arial" w:eastAsia="Arial" w:hAnsi="Arial"/>
          <w:sz w:val="20"/>
          <w:szCs w:val="20"/>
          <w:color w:val="auto"/>
        </w:rPr>
        <w:t>*This reflects an abatement of Base Rent in the amount of $140,000.00 per month, for a total of $840,000.00 for the first six full calendar months of the Term.</w:t>
      </w:r>
    </w:p>
    <w:p>
      <w:pPr>
        <w:spacing w:after="0" w:line="171"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color w:val="auto"/>
        </w:rPr>
        <w:t>1.4 “</w:t>
      </w:r>
      <w:r>
        <w:rPr>
          <w:rFonts w:ascii="Arial" w:cs="Arial" w:eastAsia="Arial" w:hAnsi="Arial"/>
          <w:sz w:val="19"/>
          <w:szCs w:val="19"/>
          <w:b w:val="1"/>
          <w:bCs w:val="1"/>
          <w:color w:val="auto"/>
        </w:rPr>
        <w:t>Estimated Expenses</w:t>
      </w:r>
      <w:r>
        <w:rPr>
          <w:rFonts w:ascii="Arial" w:cs="Arial" w:eastAsia="Arial" w:hAnsi="Arial"/>
          <w:sz w:val="19"/>
          <w:szCs w:val="19"/>
          <w:color w:val="auto"/>
        </w:rPr>
        <w:t>”: As of the date hereof, Estimated Expenses for the calendar year in which the Term commences are $562,883.04, payable in monthly installments of $46,906.92, subject to adjustment and reconciliation as provided for in this Lease. Notwithstanding the foregoing, monthly installments of Real Property Taxes and Operating Expenses shall be abated for the first six full calendar months of the Term, provided, however, that Tenant shall be obligated to pay for the cost of janitorial, electricity, gas, telecommunications, water, sewer, data and any other utility or service contracted directly by Tenant. For the avoidance of doubt, Tenant’s obligations to pay Estimated Expenses in accordance with the terms and conditions of this Lease shall be calculated using the entire rentable square feet of the Building in the amount of 80,874 (regardless that Base Rent for the first 18 full calendar months of the Term may be calculated using a lesser amount for rentable square feet).</w:t>
      </w:r>
    </w:p>
    <w:p>
      <w:pPr>
        <w:spacing w:after="0" w:line="17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1.5 “</w:t>
      </w:r>
      <w:r>
        <w:rPr>
          <w:rFonts w:ascii="Arial" w:cs="Arial" w:eastAsia="Arial" w:hAnsi="Arial"/>
          <w:sz w:val="20"/>
          <w:szCs w:val="20"/>
          <w:b w:val="1"/>
          <w:bCs w:val="1"/>
          <w:color w:val="auto"/>
        </w:rPr>
        <w:t>Tenant’s Share</w:t>
      </w:r>
      <w:r>
        <w:rPr>
          <w:rFonts w:ascii="Arial" w:cs="Arial" w:eastAsia="Arial" w:hAnsi="Arial"/>
          <w:sz w:val="20"/>
          <w:szCs w:val="20"/>
          <w:color w:val="auto"/>
        </w:rPr>
        <w:t>”: for the Building is 100.00%, which is obtained by dividing the rentable square feet of the Premises by the rentable square feet of the Building.</w:t>
      </w:r>
    </w:p>
    <w:p>
      <w:pPr>
        <w:spacing w:after="0" w:line="163"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1.6 “</w:t>
      </w:r>
      <w:r>
        <w:rPr>
          <w:rFonts w:ascii="Arial" w:cs="Arial" w:eastAsia="Arial" w:hAnsi="Arial"/>
          <w:sz w:val="20"/>
          <w:szCs w:val="20"/>
          <w:b w:val="1"/>
          <w:bCs w:val="1"/>
          <w:color w:val="auto"/>
        </w:rPr>
        <w:t>Term</w:t>
      </w:r>
      <w:r>
        <w:rPr>
          <w:rFonts w:ascii="Arial" w:cs="Arial" w:eastAsia="Arial" w:hAnsi="Arial"/>
          <w:sz w:val="20"/>
          <w:szCs w:val="20"/>
          <w:color w:val="auto"/>
        </w:rPr>
        <w:t>”: The period commencing on the Commencement Date (as defined below) and, unless terminated earlier in accordance with this Lease, ending on the date (the “</w:t>
      </w:r>
      <w:r>
        <w:rPr>
          <w:rFonts w:ascii="Arial" w:cs="Arial" w:eastAsia="Arial" w:hAnsi="Arial"/>
          <w:sz w:val="20"/>
          <w:szCs w:val="20"/>
          <w:b w:val="1"/>
          <w:bCs w:val="1"/>
          <w:color w:val="auto"/>
        </w:rPr>
        <w:t>Expiration Date</w:t>
      </w:r>
      <w:r>
        <w:rPr>
          <w:rFonts w:ascii="Arial" w:cs="Arial" w:eastAsia="Arial" w:hAnsi="Arial"/>
          <w:sz w:val="20"/>
          <w:szCs w:val="20"/>
          <w:color w:val="auto"/>
        </w:rPr>
        <w:t>”) that is the last day of the 162nd full calendar month after the Commencement Date. The “</w:t>
      </w:r>
      <w:r>
        <w:rPr>
          <w:rFonts w:ascii="Arial" w:cs="Arial" w:eastAsia="Arial" w:hAnsi="Arial"/>
          <w:sz w:val="20"/>
          <w:szCs w:val="20"/>
          <w:b w:val="1"/>
          <w:bCs w:val="1"/>
          <w:color w:val="auto"/>
        </w:rPr>
        <w:t>Commencement Date</w:t>
      </w:r>
      <w:r>
        <w:rPr>
          <w:rFonts w:ascii="Arial" w:cs="Arial" w:eastAsia="Arial" w:hAnsi="Arial"/>
          <w:sz w:val="20"/>
          <w:szCs w:val="20"/>
          <w:color w:val="auto"/>
        </w:rPr>
        <w:t xml:space="preserve">” shall mean the date that is the earlier of (i) the Landlord Work Substantial Completion Date (defined in </w:t>
      </w:r>
      <w:r>
        <w:rPr>
          <w:rFonts w:ascii="Arial" w:cs="Arial" w:eastAsia="Arial" w:hAnsi="Arial"/>
          <w:sz w:val="20"/>
          <w:szCs w:val="20"/>
          <w:b w:val="1"/>
          <w:bCs w:val="1"/>
          <w:color w:val="auto"/>
        </w:rPr>
        <w:t>Exhibit G</w:t>
      </w:r>
      <w:r>
        <w:rPr>
          <w:rFonts w:ascii="Arial" w:cs="Arial" w:eastAsia="Arial" w:hAnsi="Arial"/>
          <w:sz w:val="20"/>
          <w:szCs w:val="20"/>
          <w:color w:val="auto"/>
        </w:rPr>
        <w:t xml:space="preserve">), or (ii) the date Tenant takes possession of the Premises for the conduct of Tenant’s business. Landlord and Tenant shall confirm the Commencement Date and the Expiration Date by executing a “Confirmation of Lease Terms Certificate” in the form attached hereto as </w:t>
      </w:r>
      <w:r>
        <w:rPr>
          <w:rFonts w:ascii="Arial" w:cs="Arial" w:eastAsia="Arial" w:hAnsi="Arial"/>
          <w:sz w:val="20"/>
          <w:szCs w:val="20"/>
          <w:b w:val="1"/>
          <w:bCs w:val="1"/>
          <w:color w:val="auto"/>
        </w:rPr>
        <w:t>Exhibit F</w:t>
      </w:r>
      <w:r>
        <w:rPr>
          <w:rFonts w:ascii="Arial" w:cs="Arial" w:eastAsia="Arial" w:hAnsi="Arial"/>
          <w:sz w:val="20"/>
          <w:szCs w:val="20"/>
          <w:color w:val="auto"/>
        </w:rPr>
        <w:t>, provided, however,</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9" w:name="page180"/>
    <w:bookmarkEnd w:id="179"/>
    <w:p>
      <w:pPr>
        <w:jc w:val="both"/>
        <w:ind w:right="20"/>
        <w:spacing w:after="0" w:line="260" w:lineRule="auto"/>
        <w:rPr>
          <w:sz w:val="20"/>
          <w:szCs w:val="20"/>
          <w:color w:val="auto"/>
        </w:rPr>
      </w:pPr>
      <w:r>
        <w:rPr>
          <w:rFonts w:ascii="Arial" w:cs="Arial" w:eastAsia="Arial" w:hAnsi="Arial"/>
          <w:sz w:val="20"/>
          <w:szCs w:val="20"/>
          <w:color w:val="auto"/>
        </w:rPr>
        <w:t>that (i) the enforceability of this Lease, and (ii) the determination of the Commencement Date, in each case, shall not be affected should either party fail or refuse to execute such certificate.</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560" w:type="dxa"/>
            <w:vAlign w:val="bottom"/>
          </w:tcPr>
          <w:p>
            <w:pPr>
              <w:jc w:val="right"/>
              <w:ind w:right="221"/>
              <w:spacing w:after="0"/>
              <w:rPr>
                <w:sz w:val="20"/>
                <w:szCs w:val="20"/>
                <w:color w:val="auto"/>
              </w:rPr>
            </w:pPr>
            <w:r>
              <w:rPr>
                <w:rFonts w:ascii="Arial" w:cs="Arial" w:eastAsia="Arial" w:hAnsi="Arial"/>
                <w:sz w:val="20"/>
                <w:szCs w:val="20"/>
                <w:color w:val="auto"/>
                <w:w w:val="78"/>
              </w:rPr>
              <w:t>1.7</w:t>
            </w:r>
          </w:p>
        </w:tc>
        <w:tc>
          <w:tcPr>
            <w:tcW w:w="6120" w:type="dxa"/>
            <w:vAlign w:val="bottom"/>
          </w:tcPr>
          <w:p>
            <w:pPr>
              <w:ind w:left="32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color w:val="auto"/>
                <w:w w:val="89"/>
              </w:rPr>
              <w:t>Security Deposit</w:t>
            </w:r>
            <w:r>
              <w:rPr>
                <w:rFonts w:ascii="Arial" w:cs="Arial" w:eastAsia="Arial" w:hAnsi="Arial"/>
                <w:sz w:val="20"/>
                <w:szCs w:val="20"/>
                <w:color w:val="auto"/>
                <w:w w:val="89"/>
              </w:rPr>
              <w:t>”: $4,043,700.00, as more fully described in Section 5.</w:t>
            </w:r>
          </w:p>
        </w:tc>
      </w:tr>
      <w:tr>
        <w:trPr>
          <w:trHeight w:val="445"/>
        </w:trPr>
        <w:tc>
          <w:tcPr>
            <w:tcW w:w="560" w:type="dxa"/>
            <w:vAlign w:val="bottom"/>
          </w:tcPr>
          <w:p>
            <w:pPr>
              <w:jc w:val="right"/>
              <w:ind w:right="221"/>
              <w:spacing w:after="0"/>
              <w:rPr>
                <w:sz w:val="20"/>
                <w:szCs w:val="20"/>
                <w:color w:val="auto"/>
              </w:rPr>
            </w:pPr>
            <w:r>
              <w:rPr>
                <w:rFonts w:ascii="Arial" w:cs="Arial" w:eastAsia="Arial" w:hAnsi="Arial"/>
                <w:sz w:val="20"/>
                <w:szCs w:val="20"/>
                <w:color w:val="auto"/>
                <w:w w:val="78"/>
              </w:rPr>
              <w:t>1.8</w:t>
            </w:r>
          </w:p>
        </w:tc>
        <w:tc>
          <w:tcPr>
            <w:tcW w:w="612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Guarantor(s)</w:t>
            </w:r>
            <w:r>
              <w:rPr>
                <w:rFonts w:ascii="Arial" w:cs="Arial" w:eastAsia="Arial" w:hAnsi="Arial"/>
                <w:sz w:val="20"/>
                <w:szCs w:val="20"/>
                <w:color w:val="auto"/>
              </w:rPr>
              <w:t>”: Not required.</w:t>
            </w:r>
          </w:p>
        </w:tc>
      </w:tr>
      <w:tr>
        <w:trPr>
          <w:trHeight w:val="446"/>
        </w:trPr>
        <w:tc>
          <w:tcPr>
            <w:tcW w:w="560" w:type="dxa"/>
            <w:vAlign w:val="bottom"/>
          </w:tcPr>
          <w:p>
            <w:pPr>
              <w:jc w:val="right"/>
              <w:ind w:right="221"/>
              <w:spacing w:after="0"/>
              <w:rPr>
                <w:sz w:val="20"/>
                <w:szCs w:val="20"/>
                <w:color w:val="auto"/>
              </w:rPr>
            </w:pPr>
            <w:r>
              <w:rPr>
                <w:rFonts w:ascii="Arial" w:cs="Arial" w:eastAsia="Arial" w:hAnsi="Arial"/>
                <w:sz w:val="20"/>
                <w:szCs w:val="20"/>
                <w:color w:val="auto"/>
                <w:w w:val="78"/>
              </w:rPr>
              <w:t>1.9</w:t>
            </w:r>
          </w:p>
        </w:tc>
        <w:tc>
          <w:tcPr>
            <w:tcW w:w="612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Broker(s)</w:t>
            </w:r>
            <w:r>
              <w:rPr>
                <w:rFonts w:ascii="Arial" w:cs="Arial" w:eastAsia="Arial" w:hAnsi="Arial"/>
                <w:sz w:val="20"/>
                <w:szCs w:val="20"/>
                <w:color w:val="auto"/>
              </w:rPr>
              <w:t>”: JLL.</w:t>
            </w:r>
          </w:p>
        </w:tc>
      </w:tr>
    </w:tbl>
    <w:p>
      <w:pPr>
        <w:spacing w:after="0" w:line="189"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Permitted Use</w:t>
      </w:r>
      <w:r>
        <w:rPr>
          <w:rFonts w:ascii="Arial" w:cs="Arial" w:eastAsia="Arial" w:hAnsi="Arial"/>
          <w:sz w:val="18"/>
          <w:szCs w:val="18"/>
          <w:color w:val="auto"/>
        </w:rPr>
        <w:t>”: Subject to Section 2.2 below, general office and other lawful purposes, laboratory facilities (including biology, biochemical radio, chemistry and process chem laboratories) and vivarium/animal testing (rodent only), including without limitation the following ancillary uses: (i) kitchen and café areas; (ii) conference facilities; (iii) gym/health club; and (iv) health care clinic.</w:t>
      </w:r>
    </w:p>
    <w:p>
      <w:pPr>
        <w:sectPr>
          <w:pgSz w:w="11900" w:h="16838" w:orient="portrait"/>
          <w:cols w:equalWidth="0" w:num="1">
            <w:col w:w="11240"/>
          </w:cols>
          <w:pgMar w:left="320" w:top="339" w:right="339" w:bottom="1440" w:gutter="0" w:footer="0" w:header="0"/>
        </w:sectPr>
      </w:pPr>
    </w:p>
    <w:p>
      <w:pPr>
        <w:spacing w:after="0" w:line="14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Notice Address(es)</w:t>
      </w:r>
      <w:r>
        <w:rPr>
          <w:rFonts w:ascii="Arial" w:cs="Arial" w:eastAsia="Arial" w:hAnsi="Arial"/>
          <w:sz w:val="16"/>
          <w:szCs w:val="16"/>
          <w:color w:val="auto"/>
        </w:rPr>
        <w:t>”:</w:t>
      </w:r>
    </w:p>
    <w:p>
      <w:pPr>
        <w:spacing w:after="0" w:line="22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Landlord:</w:t>
      </w:r>
    </w:p>
    <w:p>
      <w:pPr>
        <w:spacing w:after="0" w:line="21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CRISP Partners LLC</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C/O MRA Group</w:t>
      </w:r>
    </w:p>
    <w:p>
      <w:pPr>
        <w:ind w:left="1740"/>
        <w:spacing w:after="0"/>
        <w:rPr>
          <w:sz w:val="20"/>
          <w:szCs w:val="20"/>
          <w:color w:val="auto"/>
        </w:rPr>
      </w:pPr>
      <w:r>
        <w:rPr>
          <w:rFonts w:ascii="Arial" w:cs="Arial" w:eastAsia="Arial" w:hAnsi="Arial"/>
          <w:sz w:val="20"/>
          <w:szCs w:val="20"/>
          <w:color w:val="auto"/>
        </w:rPr>
        <w:t>3 Village Rd,</w:t>
      </w:r>
    </w:p>
    <w:p>
      <w:pPr>
        <w:ind w:left="1740"/>
        <w:spacing w:after="0"/>
        <w:rPr>
          <w:sz w:val="20"/>
          <w:szCs w:val="20"/>
          <w:color w:val="auto"/>
        </w:rPr>
      </w:pPr>
      <w:r>
        <w:rPr>
          <w:rFonts w:ascii="Arial" w:cs="Arial" w:eastAsia="Arial" w:hAnsi="Arial"/>
          <w:sz w:val="20"/>
          <w:szCs w:val="20"/>
          <w:color w:val="auto"/>
        </w:rPr>
        <w:t>Suite 200</w:t>
      </w:r>
    </w:p>
    <w:p>
      <w:pPr>
        <w:ind w:left="1740"/>
        <w:spacing w:after="0"/>
        <w:rPr>
          <w:sz w:val="20"/>
          <w:szCs w:val="20"/>
          <w:color w:val="auto"/>
        </w:rPr>
      </w:pPr>
      <w:r>
        <w:rPr>
          <w:rFonts w:ascii="Arial" w:cs="Arial" w:eastAsia="Arial" w:hAnsi="Arial"/>
          <w:sz w:val="20"/>
          <w:szCs w:val="20"/>
          <w:color w:val="auto"/>
        </w:rPr>
        <w:t>Horsham, PA 19044</w:t>
      </w:r>
    </w:p>
    <w:p>
      <w:pPr>
        <w:ind w:left="1740"/>
        <w:spacing w:after="0"/>
        <w:rPr>
          <w:sz w:val="20"/>
          <w:szCs w:val="20"/>
          <w:color w:val="auto"/>
        </w:rPr>
      </w:pPr>
      <w:r>
        <w:rPr>
          <w:rFonts w:ascii="Arial" w:cs="Arial" w:eastAsia="Arial" w:hAnsi="Arial"/>
          <w:sz w:val="18"/>
          <w:szCs w:val="18"/>
          <w:color w:val="auto"/>
        </w:rPr>
        <w:t>Attention: Lease Administration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Tenant:</w:t>
      </w:r>
    </w:p>
    <w:p>
      <w:pPr>
        <w:spacing w:after="0" w:line="216" w:lineRule="exact"/>
        <w:rPr>
          <w:sz w:val="20"/>
          <w:szCs w:val="20"/>
          <w:color w:val="auto"/>
        </w:rPr>
      </w:pPr>
    </w:p>
    <w:p>
      <w:pPr>
        <w:jc w:val="center"/>
        <w:ind w:right="2060"/>
        <w:spacing w:after="0"/>
        <w:rPr>
          <w:sz w:val="20"/>
          <w:szCs w:val="20"/>
          <w:color w:val="auto"/>
        </w:rPr>
      </w:pPr>
      <w:r>
        <w:rPr>
          <w:rFonts w:ascii="Arial" w:cs="Arial" w:eastAsia="Arial" w:hAnsi="Arial"/>
          <w:sz w:val="16"/>
          <w:szCs w:val="16"/>
          <w:color w:val="auto"/>
        </w:rPr>
        <w:t>Prior to the Commencement Date: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Prelude Therapeutics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200 Powder Mill Road</w:t>
      </w:r>
    </w:p>
    <w:p>
      <w:pPr>
        <w:spacing w:after="0"/>
        <w:rPr>
          <w:sz w:val="20"/>
          <w:szCs w:val="20"/>
          <w:color w:val="auto"/>
        </w:rPr>
      </w:pPr>
      <w:r>
        <w:rPr>
          <w:rFonts w:ascii="Arial" w:cs="Arial" w:eastAsia="Arial" w:hAnsi="Arial"/>
          <w:sz w:val="20"/>
          <w:szCs w:val="20"/>
          <w:color w:val="auto"/>
        </w:rPr>
        <w:t>Wilmington, DE 19803</w:t>
      </w:r>
    </w:p>
    <w:p>
      <w:pPr>
        <w:spacing w:after="0"/>
        <w:rPr>
          <w:sz w:val="20"/>
          <w:szCs w:val="20"/>
          <w:color w:val="auto"/>
        </w:rPr>
      </w:pPr>
      <w:r>
        <w:rPr>
          <w:rFonts w:ascii="Arial" w:cs="Arial" w:eastAsia="Arial" w:hAnsi="Arial"/>
          <w:sz w:val="20"/>
          <w:szCs w:val="20"/>
          <w:color w:val="auto"/>
        </w:rPr>
        <w:t>Attention: Tim Mueller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From and after the Commencement Date: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Prelude Therapeutics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Chestnut Run Plaza, Building 709</w:t>
      </w:r>
    </w:p>
    <w:p>
      <w:pPr>
        <w:spacing w:after="0"/>
        <w:rPr>
          <w:sz w:val="20"/>
          <w:szCs w:val="20"/>
          <w:color w:val="auto"/>
        </w:rPr>
      </w:pPr>
      <w:r>
        <w:rPr>
          <w:rFonts w:ascii="Arial" w:cs="Arial" w:eastAsia="Arial" w:hAnsi="Arial"/>
          <w:sz w:val="20"/>
          <w:szCs w:val="20"/>
          <w:color w:val="auto"/>
        </w:rPr>
        <w:t>984 Centre Road</w:t>
      </w:r>
    </w:p>
    <w:p>
      <w:pPr>
        <w:spacing w:after="0"/>
        <w:rPr>
          <w:sz w:val="20"/>
          <w:szCs w:val="20"/>
          <w:color w:val="auto"/>
        </w:rPr>
      </w:pPr>
      <w:r>
        <w:rPr>
          <w:rFonts w:ascii="Arial" w:cs="Arial" w:eastAsia="Arial" w:hAnsi="Arial"/>
          <w:sz w:val="20"/>
          <w:szCs w:val="20"/>
          <w:color w:val="auto"/>
        </w:rPr>
        <w:t>Wilmington, DE 19805</w:t>
      </w:r>
    </w:p>
    <w:p>
      <w:pPr>
        <w:spacing w:after="0"/>
        <w:rPr>
          <w:sz w:val="20"/>
          <w:szCs w:val="20"/>
          <w:color w:val="auto"/>
        </w:rPr>
      </w:pPr>
      <w:r>
        <w:rPr>
          <w:rFonts w:ascii="Arial" w:cs="Arial" w:eastAsia="Arial" w:hAnsi="Arial"/>
          <w:sz w:val="20"/>
          <w:szCs w:val="20"/>
          <w:color w:val="auto"/>
        </w:rPr>
        <w:t>Attention: Tim Mueller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Troutman Pepper Hamilton Sanders LLP</w:t>
      </w:r>
    </w:p>
    <w:p>
      <w:pPr>
        <w:spacing w:after="0"/>
        <w:rPr>
          <w:sz w:val="20"/>
          <w:szCs w:val="20"/>
          <w:color w:val="auto"/>
        </w:rPr>
      </w:pPr>
      <w:r>
        <w:rPr>
          <w:rFonts w:ascii="Arial" w:cs="Arial" w:eastAsia="Arial" w:hAnsi="Arial"/>
          <w:sz w:val="20"/>
          <w:szCs w:val="20"/>
          <w:color w:val="auto"/>
        </w:rPr>
        <w:t>100 Market Street, Suite 200</w:t>
      </w:r>
    </w:p>
    <w:p>
      <w:pPr>
        <w:spacing w:after="0"/>
        <w:rPr>
          <w:sz w:val="20"/>
          <w:szCs w:val="20"/>
          <w:color w:val="auto"/>
        </w:rPr>
      </w:pPr>
      <w:r>
        <w:rPr>
          <w:rFonts w:ascii="Arial" w:cs="Arial" w:eastAsia="Arial" w:hAnsi="Arial"/>
          <w:sz w:val="20"/>
          <w:szCs w:val="20"/>
          <w:color w:val="auto"/>
        </w:rPr>
        <w:t>P.O. Box 1181</w:t>
      </w:r>
    </w:p>
    <w:p>
      <w:pPr>
        <w:spacing w:after="0"/>
        <w:rPr>
          <w:sz w:val="20"/>
          <w:szCs w:val="20"/>
          <w:color w:val="auto"/>
        </w:rPr>
      </w:pPr>
      <w:r>
        <w:rPr>
          <w:rFonts w:ascii="Arial" w:cs="Arial" w:eastAsia="Arial" w:hAnsi="Arial"/>
          <w:sz w:val="20"/>
          <w:szCs w:val="20"/>
          <w:color w:val="auto"/>
        </w:rPr>
        <w:t>Harrisburg, PA 17108-1181</w:t>
      </w:r>
    </w:p>
    <w:p>
      <w:pPr>
        <w:ind w:right="220"/>
        <w:spacing w:after="0" w:line="244" w:lineRule="auto"/>
        <w:rPr>
          <w:sz w:val="20"/>
          <w:szCs w:val="20"/>
          <w:color w:val="auto"/>
        </w:rPr>
      </w:pPr>
      <w:r>
        <w:rPr>
          <w:rFonts w:ascii="Arial" w:cs="Arial" w:eastAsia="Arial" w:hAnsi="Arial"/>
          <w:sz w:val="20"/>
          <w:szCs w:val="20"/>
          <w:color w:val="auto"/>
        </w:rPr>
        <w:t>Courier deliveries use ZIP code 17101 Attention: Hannah Dowd McPhelin, Esquire</w:t>
      </w:r>
    </w:p>
    <w:p>
      <w:pPr>
        <w:spacing w:after="0" w:line="185" w:lineRule="exact"/>
        <w:rPr>
          <w:sz w:val="20"/>
          <w:szCs w:val="20"/>
          <w:color w:val="auto"/>
        </w:rPr>
      </w:pPr>
    </w:p>
    <w:p>
      <w:pPr>
        <w:sectPr>
          <w:pgSz w:w="11900" w:h="16838" w:orient="portrait"/>
          <w:cols w:equalWidth="0" w:num="2">
            <w:col w:w="5740" w:space="720"/>
            <w:col w:w="4780"/>
          </w:cols>
          <w:pgMar w:left="320" w:top="339" w:right="339" w:bottom="1440" w:gutter="0" w:footer="0" w:header="0"/>
          <w:type w:val="continuous"/>
        </w:sectPr>
      </w:pPr>
    </w:p>
    <w:p>
      <w:pPr>
        <w:jc w:val="both"/>
        <w:ind w:firstLine="864"/>
        <w:spacing w:after="0" w:line="244"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b w:val="1"/>
          <w:bCs w:val="1"/>
          <w:color w:val="auto"/>
        </w:rPr>
        <w:t>Project</w:t>
      </w:r>
      <w:r>
        <w:rPr>
          <w:rFonts w:ascii="Arial" w:cs="Arial" w:eastAsia="Arial" w:hAnsi="Arial"/>
          <w:sz w:val="20"/>
          <w:szCs w:val="20"/>
          <w:color w:val="auto"/>
        </w:rPr>
        <w:t>” means the multi-building project on the Property and any adjacent properties, of which the Building is a part. To the extent the Building shares certain expenses with other buildings in the Project (such as real estate taxes, landscaping expenses, costs of Maintaining any parking lots, common access drive(s), driveway(s), road(s), irrigation systems, storm water facilities, detention ponds, central utility plant and common road lighting and traffic controls), Landlord shall reasonably allocate such expenses between such buildings, excluding any expense that does not benefit all buildings in the Project but exclusively benefits just one building therein. As of the date hereof, the Project contains approximately 780,000 rentable square feet. Tenant’s Share for the Project is obtained by dividing the rentable square feet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8"/>
          <w:szCs w:val="18"/>
          <w:color w:val="auto"/>
        </w:rPr>
        <w:t xml:space="preserve">of the Building by the rentable square feet of all buildings in the Project. A legal description for the Project is attached hereto as </w:t>
      </w:r>
      <w:r>
        <w:rPr>
          <w:rFonts w:ascii="Arial" w:cs="Arial" w:eastAsia="Arial" w:hAnsi="Arial"/>
          <w:sz w:val="18"/>
          <w:szCs w:val="18"/>
          <w:b w:val="1"/>
          <w:bCs w:val="1"/>
          <w:color w:val="auto"/>
        </w:rPr>
        <w:t>Exhibit P</w:t>
      </w:r>
      <w:r>
        <w:rPr>
          <w:rFonts w:ascii="Arial" w:cs="Arial" w:eastAsia="Arial" w:hAnsi="Arial"/>
          <w:sz w:val="18"/>
          <w:szCs w:val="18"/>
          <w:color w:val="auto"/>
        </w:rPr>
        <w:t>.</w:t>
      </w:r>
    </w:p>
    <w:p>
      <w:pPr>
        <w:spacing w:after="0" w:line="239"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b w:val="1"/>
          <w:bCs w:val="1"/>
          <w:color w:val="auto"/>
        </w:rPr>
        <w:t>Landlord Work</w:t>
      </w:r>
      <w:r>
        <w:rPr>
          <w:rFonts w:ascii="Arial" w:cs="Arial" w:eastAsia="Arial" w:hAnsi="Arial"/>
          <w:sz w:val="20"/>
          <w:szCs w:val="20"/>
          <w:color w:val="auto"/>
        </w:rPr>
        <w:t>” means the work that Landlord shall perform pursuant to the “</w:t>
      </w:r>
      <w:r>
        <w:rPr>
          <w:rFonts w:ascii="Arial" w:cs="Arial" w:eastAsia="Arial" w:hAnsi="Arial"/>
          <w:sz w:val="20"/>
          <w:szCs w:val="20"/>
          <w:b w:val="1"/>
          <w:bCs w:val="1"/>
          <w:color w:val="auto"/>
        </w:rPr>
        <w:t>Work Letter</w:t>
      </w:r>
      <w:r>
        <w:rPr>
          <w:rFonts w:ascii="Arial" w:cs="Arial" w:eastAsia="Arial" w:hAnsi="Arial"/>
          <w:sz w:val="20"/>
          <w:szCs w:val="20"/>
          <w:color w:val="auto"/>
        </w:rPr>
        <w:t xml:space="preserve">” attached hereto as </w:t>
      </w:r>
      <w:r>
        <w:rPr>
          <w:rFonts w:ascii="Arial" w:cs="Arial" w:eastAsia="Arial" w:hAnsi="Arial"/>
          <w:sz w:val="20"/>
          <w:szCs w:val="20"/>
          <w:b w:val="1"/>
          <w:bCs w:val="1"/>
          <w:color w:val="auto"/>
        </w:rPr>
        <w:t>Exhibit G</w:t>
      </w:r>
      <w:r>
        <w:rPr>
          <w:rFonts w:ascii="Arial" w:cs="Arial" w:eastAsia="Arial" w:hAnsi="Arial"/>
          <w:sz w:val="20"/>
          <w:szCs w:val="20"/>
          <w:color w:val="auto"/>
        </w:rPr>
        <w:t>.</w:t>
      </w:r>
    </w:p>
    <w:p>
      <w:pPr>
        <w:spacing w:after="0" w:line="16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b w:val="1"/>
          <w:bCs w:val="1"/>
          <w:color w:val="auto"/>
        </w:rPr>
        <w:t>Exhibits</w:t>
      </w:r>
      <w:r>
        <w:rPr>
          <w:rFonts w:ascii="Arial" w:cs="Arial" w:eastAsia="Arial" w:hAnsi="Arial"/>
          <w:sz w:val="18"/>
          <w:szCs w:val="18"/>
          <w:color w:val="auto"/>
        </w:rPr>
        <w:t>: The following exhibits are incorporated into and made a part of this Lease:</w:t>
      </w:r>
    </w:p>
    <w:p>
      <w:pPr>
        <w:spacing w:after="0" w:line="216" w:lineRule="exact"/>
        <w:rPr>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A </w:t>
      </w:r>
      <w:r>
        <w:rPr>
          <w:rFonts w:ascii="Arial" w:cs="Arial" w:eastAsia="Arial" w:hAnsi="Arial"/>
          <w:sz w:val="20"/>
          <w:szCs w:val="20"/>
          <w:color w:val="auto"/>
        </w:rPr>
        <w:t>(Definitions)</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B </w:t>
      </w:r>
      <w:r>
        <w:rPr>
          <w:rFonts w:ascii="Arial" w:cs="Arial" w:eastAsia="Arial" w:hAnsi="Arial"/>
          <w:sz w:val="20"/>
          <w:szCs w:val="20"/>
          <w:color w:val="auto"/>
        </w:rPr>
        <w:t>(Plan Showing Premises and Parking Areas)</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C </w:t>
      </w:r>
      <w:r>
        <w:rPr>
          <w:rFonts w:ascii="Arial" w:cs="Arial" w:eastAsia="Arial" w:hAnsi="Arial"/>
          <w:sz w:val="20"/>
          <w:szCs w:val="20"/>
          <w:color w:val="auto"/>
        </w:rPr>
        <w:t>(Rules and Regulations)</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D </w:t>
      </w:r>
      <w:r>
        <w:rPr>
          <w:rFonts w:ascii="Arial" w:cs="Arial" w:eastAsia="Arial" w:hAnsi="Arial"/>
          <w:sz w:val="20"/>
          <w:szCs w:val="20"/>
          <w:color w:val="auto"/>
        </w:rPr>
        <w:t>(Form of Lien Subordination)</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E </w:t>
      </w:r>
      <w:r>
        <w:rPr>
          <w:rFonts w:ascii="Arial" w:cs="Arial" w:eastAsia="Arial" w:hAnsi="Arial"/>
          <w:sz w:val="20"/>
          <w:szCs w:val="20"/>
          <w:color w:val="auto"/>
        </w:rPr>
        <w:t>(Minimum Service Contract Requirements)</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F </w:t>
      </w:r>
      <w:r>
        <w:rPr>
          <w:rFonts w:ascii="Arial" w:cs="Arial" w:eastAsia="Arial" w:hAnsi="Arial"/>
          <w:sz w:val="20"/>
          <w:szCs w:val="20"/>
          <w:color w:val="auto"/>
        </w:rPr>
        <w:t>(Confirmation of Lease Terms Certificate)</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G </w:t>
      </w:r>
      <w:r>
        <w:rPr>
          <w:rFonts w:ascii="Arial" w:cs="Arial" w:eastAsia="Arial" w:hAnsi="Arial"/>
          <w:sz w:val="20"/>
          <w:szCs w:val="20"/>
          <w:color w:val="auto"/>
        </w:rPr>
        <w:t>(Work Letter)</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H </w:t>
      </w:r>
      <w:r>
        <w:rPr>
          <w:rFonts w:ascii="Arial" w:cs="Arial" w:eastAsia="Arial" w:hAnsi="Arial"/>
          <w:sz w:val="20"/>
          <w:szCs w:val="20"/>
          <w:color w:val="auto"/>
        </w:rPr>
        <w:t>(Options to Renew)</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I </w:t>
      </w:r>
      <w:r>
        <w:rPr>
          <w:rFonts w:ascii="Arial" w:cs="Arial" w:eastAsia="Arial" w:hAnsi="Arial"/>
          <w:sz w:val="20"/>
          <w:szCs w:val="20"/>
          <w:color w:val="auto"/>
        </w:rPr>
        <w:t>(Option to Expand the Building)</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J </w:t>
      </w:r>
      <w:r>
        <w:rPr>
          <w:rFonts w:ascii="Arial" w:cs="Arial" w:eastAsia="Arial" w:hAnsi="Arial"/>
          <w:sz w:val="20"/>
          <w:szCs w:val="20"/>
          <w:color w:val="auto"/>
        </w:rPr>
        <w:t>(Option to Relocate)</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K </w:t>
      </w:r>
      <w:r>
        <w:rPr>
          <w:rFonts w:ascii="Arial" w:cs="Arial" w:eastAsia="Arial" w:hAnsi="Arial"/>
          <w:sz w:val="20"/>
          <w:szCs w:val="20"/>
          <w:color w:val="auto"/>
        </w:rPr>
        <w:t>(Right of First Offer)</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L </w:t>
      </w:r>
      <w:r>
        <w:rPr>
          <w:rFonts w:ascii="Arial" w:cs="Arial" w:eastAsia="Arial" w:hAnsi="Arial"/>
          <w:sz w:val="20"/>
          <w:szCs w:val="20"/>
          <w:color w:val="auto"/>
        </w:rPr>
        <w:t>(Form of Letter of Credit)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M </w:t>
      </w:r>
      <w:r>
        <w:rPr>
          <w:rFonts w:ascii="Arial" w:cs="Arial" w:eastAsia="Arial" w:hAnsi="Arial"/>
          <w:sz w:val="20"/>
          <w:szCs w:val="20"/>
          <w:color w:val="auto"/>
        </w:rPr>
        <w:t>(Form of SNDA)</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N </w:t>
      </w:r>
      <w:r>
        <w:rPr>
          <w:rFonts w:ascii="Arial" w:cs="Arial" w:eastAsia="Arial" w:hAnsi="Arial"/>
          <w:sz w:val="20"/>
          <w:szCs w:val="20"/>
          <w:color w:val="auto"/>
        </w:rPr>
        <w:t>(Form of Memorandum of Lease)</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O </w:t>
      </w:r>
      <w:r>
        <w:rPr>
          <w:rFonts w:ascii="Arial" w:cs="Arial" w:eastAsia="Arial" w:hAnsi="Arial"/>
          <w:sz w:val="20"/>
          <w:szCs w:val="20"/>
          <w:color w:val="auto"/>
        </w:rPr>
        <w:t>(Operating Expenses Exclusions)</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P </w:t>
      </w:r>
      <w:r>
        <w:rPr>
          <w:rFonts w:ascii="Arial" w:cs="Arial" w:eastAsia="Arial" w:hAnsi="Arial"/>
          <w:sz w:val="20"/>
          <w:szCs w:val="20"/>
          <w:color w:val="auto"/>
        </w:rPr>
        <w:t>(Project Legal Description)</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Exhibit Q </w:t>
      </w:r>
      <w:r>
        <w:rPr>
          <w:rFonts w:ascii="Arial" w:cs="Arial" w:eastAsia="Arial" w:hAnsi="Arial"/>
          <w:sz w:val="20"/>
          <w:szCs w:val="20"/>
          <w:color w:val="auto"/>
        </w:rPr>
        <w:t>(Permitted Exceptions)</w:t>
      </w:r>
    </w:p>
    <w:p>
      <w:pPr>
        <w:spacing w:after="0" w:line="215" w:lineRule="exact"/>
        <w:rPr>
          <w:rFonts w:ascii="Arial" w:cs="Arial" w:eastAsia="Arial" w:hAnsi="Arial"/>
          <w:sz w:val="20"/>
          <w:szCs w:val="20"/>
          <w:color w:val="auto"/>
        </w:rPr>
      </w:pPr>
    </w:p>
    <w:p>
      <w:pPr>
        <w:ind w:left="800" w:hanging="792"/>
        <w:spacing w:after="0"/>
        <w:tabs>
          <w:tab w:leader="none" w:pos="800" w:val="left"/>
        </w:tabs>
        <w:numPr>
          <w:ilvl w:val="0"/>
          <w:numId w:val="140"/>
        </w:numPr>
        <w:rPr>
          <w:rFonts w:ascii="Arial" w:cs="Arial" w:eastAsia="Arial" w:hAnsi="Arial"/>
          <w:sz w:val="20"/>
          <w:szCs w:val="20"/>
          <w:color w:val="auto"/>
        </w:rPr>
      </w:pPr>
      <w:r>
        <w:rPr>
          <w:rFonts w:ascii="Arial" w:cs="Arial" w:eastAsia="Arial" w:hAnsi="Arial"/>
          <w:sz w:val="20"/>
          <w:szCs w:val="20"/>
          <w:b w:val="1"/>
          <w:bCs w:val="1"/>
          <w:u w:val="single" w:color="auto"/>
          <w:color w:val="auto"/>
        </w:rPr>
        <w:t>PREMISES; USE</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b w:val="1"/>
          <w:bCs w:val="1"/>
          <w:u w:val="single" w:color="auto"/>
          <w:color w:val="auto"/>
        </w:rPr>
        <w:t>Premises</w:t>
      </w:r>
      <w:r>
        <w:rPr>
          <w:rFonts w:ascii="Arial" w:cs="Arial" w:eastAsia="Arial" w:hAnsi="Arial"/>
          <w:sz w:val="20"/>
          <w:szCs w:val="20"/>
          <w:color w:val="auto"/>
        </w:rPr>
        <w:t>. Landlord hereby leases to Tenant the Premises, together with the right to use the Exterior Areas for their intended purposes as driveways, sidewalks, parking, loading and landscaped areas. Tenant accepts the Premises, the Building and the Exterior Areas “AS-IS”, with all defects, if any, and without any representation or warranty of any kind, express or implied, by Landlord, other than as otherwise expressly set forth in this Lease, but subject to all of Landlord’s obligations expressly set forth in this Lease. Landlord warrants to Tenant that, (i) as of the date hereof, the Permitted Use has been approved (without the need for a special use permit) by the governmental authority having jurisdiction over</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1" w:name="page182"/>
    <w:bookmarkEnd w:id="181"/>
    <w:p>
      <w:pPr>
        <w:jc w:val="both"/>
        <w:spacing w:after="0" w:line="255" w:lineRule="auto"/>
        <w:rPr>
          <w:sz w:val="20"/>
          <w:szCs w:val="20"/>
          <w:color w:val="auto"/>
        </w:rPr>
      </w:pPr>
      <w:r>
        <w:rPr>
          <w:rFonts w:ascii="Arial" w:cs="Arial" w:eastAsia="Arial" w:hAnsi="Arial"/>
          <w:sz w:val="19"/>
          <w:szCs w:val="19"/>
          <w:color w:val="auto"/>
        </w:rPr>
        <w:t>the Property, and (ii) as of the Commencement Date, the Premises and the Exterior Areas (and access thereto) shall be in material compliance with all Applicable Laws, unless and to the extent a compliance obligation arises as a result of the acts or omissions of Tenant or any Tenant Party. In the event that, as of the Commencement Date, the Premises and the Exterior Areas (and access thereto) is not in compliance with all Applicable Laws other than as a result of the acts or omissions of Tenant or any Tenant Party, Landlord shall promptly remedy any such non-compliance at its sole cost and expense and indemnify and hold harmless Tenant and the Tenant Indemnitees with respect to any liability, damage, costs or losses incurred as a result of such non-compliance. Landlord shall have exclusive control of all Exterior Areas at all times, subject to Tenant’s right to use same consistent with the provisions of this Lease. Within thirty (30) days following the Landlord Work Substantial Completion Date, Landlord shall provide to Tenant a certificate from Tenant’s Design Professional certifying to Landlord and Tenant the rentable square footages of the Premises and the Building (based on a calculation in accordance with the applicable Building Owners and Managers Association (BOMA) standards) and the parties hereto shall enter into an amendment to this Lease to correct any inaccuracy in the terms of this Lease that are dependent on such square footage as may be determined by such measurement, including without limitation the Allowance.</w:t>
      </w:r>
    </w:p>
    <w:p>
      <w:pPr>
        <w:spacing w:after="0" w:line="178"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Use</w:t>
      </w:r>
      <w:r>
        <w:rPr>
          <w:rFonts w:ascii="Arial" w:cs="Arial" w:eastAsia="Arial" w:hAnsi="Arial"/>
          <w:sz w:val="18"/>
          <w:szCs w:val="18"/>
          <w:color w:val="auto"/>
        </w:rPr>
        <w:t xml:space="preserve">. The Premises shall be used only for the Permitted Use and for no other use or purpose. Tenant shall not commit, or permit to be committed by any Tenant Party, any conduct or condition which would constitute a nuisance or would disturb, endanger or otherwise unreasonably interfere with any occupants of the Project (whether through odors, noise, vibrations or otherwise), the management of the Project or the performance of Landlord’s obligations under this Lease. Tenant shall not use or permit any Tenant Party to use of any portion of the Property or the Project for outdoor storage or auction. Tenant will, at its sole cost, promptly comply with, and cause Tenant’s Parties to promptly comply with, all Applicable Laws now or subsequently pertaining to Tenant’s specific use or manner of use of the Premises or to Alterations made by Tenant or to the acts or omissions of Tenant or any Tenant Party (other than mere use of the Premises for the Permitted Use). Tenant shall not use the Building in any manner that would cause the Building or the Property to be deemed a “place of public accommodation” under the ADA. Tenant, at its sole cost, shall be responsible for obtaining any permit, license, or other approval required by any governmental agency permitting Tenant’s conduct of business in the Building, other than the C/O (as defined in the Work Letter), which shall be obtained by Landlord in accordance with the Work Letter. If an Alteration to the Building, the Property or the Project becomes required under any Applicable Law (or if any such requirement is enforced) as a result of Tenant’s specific use or manner of use of the Premises or to Alterations made by Tenant or to the acts or omissions of Tenant or any Tenant Party (other than mere use of the Premises for the Permitted Use), then Tenant shall upon Landlord’s demand and at Tenant’s option, either make such Alteration at Tenant’s sole cost or pay Landlord the cost of making such change within 30 days after being billed therefor. Tenant shall comply with the rules and regulations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 together with such additional rules and regulations as Landlord may from time to time reasonably prescribe upon not less than 30 days’ prior notice to Tenant and any such additional rules and regulations shall not materially increase Tenant’s obligations or materially decrease Tenant’s rights under this Lease (“</w:t>
      </w: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have access to the Building, Premises and Exterior Areas 24 hours per day, 7 days per week, 365 days per year during the Term, except and to the extent of an emergency or any required repair or maintenance activities required by this Lease. In the event of any conflict or inconsistency between the Rules and Regulations and this Lease, this Lease shall control.</w:t>
      </w:r>
    </w:p>
    <w:p>
      <w:pPr>
        <w:spacing w:after="0" w:line="182" w:lineRule="exact"/>
        <w:rPr>
          <w:sz w:val="20"/>
          <w:szCs w:val="20"/>
          <w:color w:val="auto"/>
        </w:rPr>
      </w:pPr>
    </w:p>
    <w:p>
      <w:pPr>
        <w:jc w:val="both"/>
        <w:ind w:firstLine="8"/>
        <w:spacing w:after="0" w:line="245" w:lineRule="auto"/>
        <w:tabs>
          <w:tab w:leader="none" w:pos="796" w:val="left"/>
        </w:tabs>
        <w:numPr>
          <w:ilvl w:val="0"/>
          <w:numId w:val="141"/>
        </w:numPr>
        <w:rPr>
          <w:rFonts w:ascii="Arial" w:cs="Arial" w:eastAsia="Arial" w:hAnsi="Arial"/>
          <w:sz w:val="20"/>
          <w:szCs w:val="20"/>
          <w:color w:val="auto"/>
        </w:rPr>
      </w:pPr>
      <w:r>
        <w:rPr>
          <w:rFonts w:ascii="Arial" w:cs="Arial" w:eastAsia="Arial" w:hAnsi="Arial"/>
          <w:sz w:val="20"/>
          <w:szCs w:val="20"/>
          <w:b w:val="1"/>
          <w:bCs w:val="1"/>
          <w:u w:val="single" w:color="auto"/>
          <w:color w:val="auto"/>
        </w:rPr>
        <w:t>POSSESSION</w:t>
      </w:r>
      <w:r>
        <w:rPr>
          <w:rFonts w:ascii="Arial" w:cs="Arial" w:eastAsia="Arial" w:hAnsi="Arial"/>
          <w:sz w:val="20"/>
          <w:szCs w:val="20"/>
          <w:color w:val="auto"/>
        </w:rPr>
        <w:t>. Landlord shall not be liable for any loss or damage to Tenant resulting from any delay in delivering possession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Premises due to circumstances outside of Landlord’s reasonable control. Notwithstanding the foregoing, if the Landlord Work Substantial Completion Date and delivery of possession of the Premises to Tenant is not achieved on or before October 21, 2022, as such date shall be extended for Excusable Delays (as defined below) (such date, as extended, the “</w:t>
      </w:r>
      <w:r>
        <w:rPr>
          <w:rFonts w:ascii="Arial" w:cs="Arial" w:eastAsia="Arial" w:hAnsi="Arial"/>
          <w:sz w:val="20"/>
          <w:szCs w:val="20"/>
          <w:b w:val="1"/>
          <w:bCs w:val="1"/>
          <w:color w:val="auto"/>
        </w:rPr>
        <w:t>First Penalty Date</w:t>
      </w:r>
      <w:r>
        <w:rPr>
          <w:rFonts w:ascii="Arial" w:cs="Arial" w:eastAsia="Arial" w:hAnsi="Arial"/>
          <w:sz w:val="20"/>
          <w:szCs w:val="20"/>
          <w:color w:val="auto"/>
        </w:rPr>
        <w:t>”), then Tenant shall receive a credit, which credit shall be applied against Base Rent next due and owing under the Lease, of one day’s Base Rent for each day after the First Penalty Date until the earlier of (a) the date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2" w:name="page183"/>
    <w:bookmarkEnd w:id="182"/>
    <w:p>
      <w:pPr>
        <w:jc w:val="both"/>
        <w:spacing w:after="0" w:line="269" w:lineRule="auto"/>
        <w:rPr>
          <w:sz w:val="20"/>
          <w:szCs w:val="20"/>
          <w:color w:val="auto"/>
        </w:rPr>
      </w:pPr>
      <w:r>
        <w:rPr>
          <w:rFonts w:ascii="Arial" w:cs="Arial" w:eastAsia="Arial" w:hAnsi="Arial"/>
          <w:sz w:val="18"/>
          <w:szCs w:val="18"/>
          <w:color w:val="auto"/>
        </w:rPr>
        <w:t>that the Landlord Work Substantial Completion Date is achieved and possession of the Premises is delivered to Tenant, or (b) the Second Penalty Date (as defined below). Notwithstanding the foregoing, if the Landlord Work Substantial Completion Date and delivery of possession of the Premises to Tenant is not achieved on or before December 5, 2022, as such date shall be extended for Excusable Delays (such date, as extended, the “</w:t>
      </w:r>
      <w:r>
        <w:rPr>
          <w:rFonts w:ascii="Arial" w:cs="Arial" w:eastAsia="Arial" w:hAnsi="Arial"/>
          <w:sz w:val="18"/>
          <w:szCs w:val="18"/>
          <w:b w:val="1"/>
          <w:bCs w:val="1"/>
          <w:color w:val="auto"/>
        </w:rPr>
        <w:t>Second Penalty Date</w:t>
      </w:r>
      <w:r>
        <w:rPr>
          <w:rFonts w:ascii="Arial" w:cs="Arial" w:eastAsia="Arial" w:hAnsi="Arial"/>
          <w:sz w:val="18"/>
          <w:szCs w:val="18"/>
          <w:color w:val="auto"/>
        </w:rPr>
        <w:t>”), then Tenant shall receive a credit, which credit shall be applied against Base Rent next due and owing under the Lease, of two days’ Base Rent for each day after the Second Penalty Date until the date that the Landlord Work Substantial Completion Date is achieved and possession of the Premises is delivered to Tenant. Tenant shall have the right, at Tenant’s own risk, expense and responsibility, at all reasonable times prior to the Commencement Date (as reasonably determined by Landlord), to enter the Premises for the sole and exclusive purpose of reviewing the condition of the Premises, provided that (a) Tenant obtains Landlord’s prior written consent, not to be unreasonably withheld, conditioned or delayed, (b) Tenant does not interfere with or delay the Landlord Work, (c) Tenant uses contractors and workers compatible with the contractors and workers engaged by Landlord to complete the Landlord Work. If Tenant enters the Premises prior to the Commencement Date, then Tenant shall abide by the terms and conditions of this Lease as if the term of this Lease had already commenced, except that (i) Tenant shall have no maintenance and repair obligations (unless and to the extent something is damaged by the acts or omissions of Tenant or any Tenant Party) and no obligation to pay Base Rent, Real Property Taxes and Operating Expenses until the first day of the seventh full calendar month of the Term, unless and to the extent Base Rent, Real Property Taxes and Operating Expenses are payable during any partial month, as set forth in Section 4 of this Lease, and (ii) Tenant shall have obligations hereunder that are dependent upon Tenant having full and exclusive control of the Premises.</w:t>
      </w:r>
    </w:p>
    <w:p>
      <w:pPr>
        <w:spacing w:after="0" w:line="170" w:lineRule="exact"/>
        <w:rPr>
          <w:sz w:val="20"/>
          <w:szCs w:val="20"/>
          <w:color w:val="auto"/>
        </w:rPr>
      </w:pPr>
    </w:p>
    <w:p>
      <w:pPr>
        <w:jc w:val="both"/>
        <w:ind w:firstLine="8"/>
        <w:spacing w:after="0" w:line="268" w:lineRule="auto"/>
        <w:tabs>
          <w:tab w:leader="none" w:pos="796"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 During the Term, Tenant shall pay Landlord, in monthly installments of 1/12th, annual Base Rent and Estimated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notice, demand, abatement, offset or deduction except as otherwise expressly provided herein, in advance, on the first day of each calendar month, in accordance with the terms of this Lease. All other items of Rent shall be due and payable by Tenant on or before 30 days after billing by Landlord. All Rent shall be made by Tenant payable to the entity and sent to the address Landlord designates and shall be made by good and sufficient check payable in United States of America currency or by other means acceptable to Landlord or by Electronic Fund Transfer of immediately available federal funds. Base Rent, Real Property Taxes and Operating Expenses shall be appropriately prorated on a per diem basis for any partial month during the Term. The obligation of Tenant to pay Base Rent and other sums to Landlord and the obligations of Landlord under this Lease are independent obligations, except as otherwise expressly provided herein. If this Lease or Tenant’s right to possess the Premises is terminated on account of a monetary Event of Default by Tenant or material non-monetary Event of Default by Tenant, then (in addition to all other rights and remedies available to Landlord) Landlord shall be entitled to recover from Tenant that amount that is equal to the product of the sum of all abated Base Rent, Real Property Taxes and Operating Expenses multiplied by a fraction, the numerator of which is the difference between 162 and the number of months in the Term that Tenant has paid monthly installments of Base Rent, Real Property Taxes and Operating Expenses, in full, to Landlord and the denominator of which is 162; provided, however, to the extent Landlord otherwise recovers Rent hereunder it shall not recover any such amount. Landlord’s management fee shall not be reduced on account of any abatement in Base Rent, Real Property Taxes and Operating Expenses, and any such abatement shall be disregarded for purposes of calculating any management fee based on a percentage of rental revenues. If Tenant is delinquent in the payment of any Rent for more than 5 days, then Tenant shall pay to Landlord on demand a late charge equal to 3% of such delinquent sum (provided that such charge shall not be due with respect to the first three late payments in any 12 consecutive month period, unless Landlord fails to receive such late payment within 5 days after Tenant’s receipt of written notice from Landlord that such payment has not been received) and such delinquent sum shall also bear interest from the date such amount was due until paid in full at the Applicable Interest Rate. Tenant shall pay Landlord on demand for any cost incurred by Landlord and charged by its bank in connection with any check presented by Tenant which is not paid by the bank due to insufficient funds.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3" w:name="page184"/>
    <w:bookmarkEnd w:id="183"/>
    <w:p>
      <w:pPr>
        <w:ind w:left="800" w:hanging="792"/>
        <w:spacing w:after="0"/>
        <w:tabs>
          <w:tab w:leader="none" w:pos="800" w:val="left"/>
        </w:tabs>
        <w:numPr>
          <w:ilvl w:val="0"/>
          <w:numId w:val="143"/>
        </w:numPr>
        <w:rPr>
          <w:rFonts w:ascii="Arial" w:cs="Arial" w:eastAsia="Arial" w:hAnsi="Arial"/>
          <w:sz w:val="20"/>
          <w:szCs w:val="20"/>
          <w:color w:val="auto"/>
        </w:rPr>
      </w:pPr>
      <w:r>
        <w:rPr>
          <w:rFonts w:ascii="Arial" w:cs="Arial" w:eastAsia="Arial" w:hAnsi="Arial"/>
          <w:sz w:val="20"/>
          <w:szCs w:val="20"/>
          <w:b w:val="1"/>
          <w:bCs w:val="1"/>
          <w:u w:val="single" w:color="auto"/>
          <w:color w:val="auto"/>
        </w:rPr>
        <w:t>SECURITY DEPOSIT</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5.1 Tenant shall post the Security Deposit with Landlord in the form of an unconditional, irrevocable, stand-by documentary letter of credit (“</w:t>
      </w:r>
      <w:r>
        <w:rPr>
          <w:rFonts w:ascii="Arial" w:cs="Arial" w:eastAsia="Arial" w:hAnsi="Arial"/>
          <w:sz w:val="18"/>
          <w:szCs w:val="18"/>
          <w:b w:val="1"/>
          <w:bCs w:val="1"/>
          <w:color w:val="auto"/>
        </w:rPr>
        <w:t>Letter of Credit</w:t>
      </w:r>
      <w:r>
        <w:rPr>
          <w:rFonts w:ascii="Arial" w:cs="Arial" w:eastAsia="Arial" w:hAnsi="Arial"/>
          <w:sz w:val="18"/>
          <w:szCs w:val="18"/>
          <w:color w:val="auto"/>
        </w:rPr>
        <w:t>”), as security for the full and faithful performance of each provision of this Lease to be performed by Tenant, and Tenant shall be required to maintain the Letter of Credit with Landlord, during the entire Term and any extended Term of this Lease. Notwithstanding anything to the contrary in this Lease, the Security Deposit shall be posted with the Landlord as follows: (i) cash in the sum of $200,000.00 upon the full execution and delivery of this Lease (the “</w:t>
      </w:r>
      <w:r>
        <w:rPr>
          <w:rFonts w:ascii="Arial" w:cs="Arial" w:eastAsia="Arial" w:hAnsi="Arial"/>
          <w:sz w:val="18"/>
          <w:szCs w:val="18"/>
          <w:b w:val="1"/>
          <w:bCs w:val="1"/>
          <w:color w:val="auto"/>
        </w:rPr>
        <w:t>Initial Security Deposit</w:t>
      </w:r>
      <w:r>
        <w:rPr>
          <w:rFonts w:ascii="Arial" w:cs="Arial" w:eastAsia="Arial" w:hAnsi="Arial"/>
          <w:sz w:val="18"/>
          <w:szCs w:val="18"/>
          <w:color w:val="auto"/>
        </w:rPr>
        <w:t xml:space="preserve">”), and (ii) a Letter of Credit in the full amount of the Security Deposit within 10 business days following Tenant’s receipt of the Contingency Notice. Within 10 business days following Landlord’s receipt of such Letter of Credit, Landlord shall return the Initial Security Deposit to Tenant. The Security Deposit is not an advance rental deposit or a measure of Landlord’s damages in the case of an Event of Default by Tenant. The Letter of Credit shall be in substantially the form attached hereto as </w:t>
      </w:r>
      <w:r>
        <w:rPr>
          <w:rFonts w:ascii="Arial" w:cs="Arial" w:eastAsia="Arial" w:hAnsi="Arial"/>
          <w:sz w:val="18"/>
          <w:szCs w:val="18"/>
          <w:b w:val="1"/>
          <w:bCs w:val="1"/>
          <w:color w:val="auto"/>
        </w:rPr>
        <w:t>Exhibit L</w:t>
      </w:r>
      <w:r>
        <w:rPr>
          <w:rFonts w:ascii="Arial" w:cs="Arial" w:eastAsia="Arial" w:hAnsi="Arial"/>
          <w:sz w:val="18"/>
          <w:szCs w:val="18"/>
          <w:color w:val="auto"/>
        </w:rPr>
        <w:t>, which form is hereby approved by Landlord, and shall be issued by Silicon Valley Bank or a United States commercial bank with a Moody’s rating of A2 or above. The Letter of Credit must be presentable and payable at the counters of such bank and by facsimile presentation. The Letter of Credit shall specifically provide that Landlord is entitled to make partial draws thereon and shall impose no condition upon the beneficiary’s rights to draw funds under it, other than a written statement by the beneficiary that such sums are due and owing to Landlord under the Lease or similar. The beneficiary of the Letter of Credit shall be Landlord, and the Letter of Credit shall be transferable by Landlord to any person or entity succeeding to Landlord’s ownership of the Premises at Landlord’s cost. The Letter of Credit shall provide for an initial term of at least one year and shall provide that it renews automatically for additional one year terms successively unless the issuer delivers to Landlord at least 60 days’ advance notice of non-renewal by certified mail, return receipt requested, or overnight courier. Failure of Tenant to provide Landlord with a replacement letter of credit satisfactory to Landlord at least 30 days prior to the expiration of the letter of credit, in the event the issuer delivers to Landlord the notice of non- renewal set forth in the foregoing sentence, shall be deemed an Event of Default under the terms of this Lease which shall not require the giving of notice or the allowance of any grace period, and shall entitle Landlord to immediately draw funds under the Letter of Credit; provided, however, that Landlord shall not have the right to avail itself of any remedies with respect to such Event of Default unless funds under the Letter of Credit are not available to be drawn. In the event Landlord receives such funds under the Letter of Credit from the issuing bank in accordance with the terms of the foregoing sentence: (A) such Event of Default shall be deemed to be cured and Landlord shall hold and apply the funds so drawn, without interest, and only in accordance with the provisions of this Section as if cash in such amount had been posted by Tenant in lieu of the Letter of Credit; and (B) Tenant shall have the right to substitute a new Letter of Credit meeting the foregoing requirements, in which event Landlord will return the funds received from the issuing bank to Tenant within 30 days after receipt of such new Letter of Credit.</w:t>
      </w:r>
    </w:p>
    <w:p>
      <w:pPr>
        <w:spacing w:after="0" w:line="200" w:lineRule="exact"/>
        <w:rPr>
          <w:sz w:val="20"/>
          <w:szCs w:val="20"/>
          <w:color w:val="auto"/>
        </w:rPr>
      </w:pPr>
    </w:p>
    <w:p>
      <w:pPr>
        <w:spacing w:after="0" w:line="203"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5.2 If Tenant breaches any provision hereof, Landlord may, at its option, without limiting its remedies and without notice to Tenant, draw all sums which are necessary to cure such breach and compensate Landlord for any loss or damage caused by such breach to the extent Landlord is permitted to recover same pursuant to this Lease. If Landlord uses all or any portion of the Security Deposit as herein provided, then, on demand, Tenant shall, at Tenant’s option, either (i) pay Landlord cash in an amount equal to that portion of the Security Deposit used by Landlord, or (ii) amend the letter of credit to increase the amount thereof by the amount used by Landlord or provide Landlord with an additional letter of credit in the amount used by Landlord. If at any time during the Term or any extended Term of this Lease the Security Deposit is then being held in cash, Tenant shall not be entitled to any interest on the Security Deposit and Landlord shall have the right to commingle the Security Deposit with its other funds. If Tenant complies fully and faithfully with all of the provisions of this Lease, the Security Deposit and/or the Letter of Credit shall be returned to Tenant within thirty (30) days after the Expiration Date and surrender of the Premises to Landlord. Landlord shall be released from any obligation with respect to the Security Deposit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4" w:name="page185"/>
    <w:bookmarkEnd w:id="184"/>
    <w:p>
      <w:pPr>
        <w:spacing w:after="0"/>
        <w:rPr>
          <w:sz w:val="20"/>
          <w:szCs w:val="20"/>
          <w:color w:val="auto"/>
        </w:rPr>
      </w:pPr>
      <w:r>
        <w:rPr>
          <w:rFonts w:ascii="Arial" w:cs="Arial" w:eastAsia="Arial" w:hAnsi="Arial"/>
          <w:sz w:val="20"/>
          <w:szCs w:val="20"/>
          <w:color w:val="auto"/>
        </w:rPr>
        <w:t>upon transfer of this Lease and the Premises to a person or entity assuming Landlord’s obligations under this Lease.</w:t>
      </w:r>
    </w:p>
    <w:p>
      <w:pPr>
        <w:spacing w:after="0" w:line="216"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5.3 Provided that there then exists no Event of Default by Tenant under this Lease, nor any event that with the giving of notice and/or the passage of time would constitute an Event of Default, the amount of the Security Deposit (if the Security Deposit is then held in cash) or the Letter of Credit (if the Security Deposit is maintained as a letter of credit) shall be reduced to (i) $3,234,960.00 after Tenant’s payment of the installment of Base Rent due in the 18th full calendar month of the Term (but in no event shall Tenant make such payment more than 30 days in advance of the due date), (ii) $2,587,968.00 after Tenant’s payment of the installment of Base Rent due in the 30th full calendar month of the Term (but in no event shall Tenant make such payment more than 30 days in advance of the due date), (iii) $2,070,374.40 after Tenant’s payment of the installment of Base Rent due in the 42nd full calendar month of the Term (but in no event shall Tenant make such payment more than 30 days in advance of the due date), (iv) $1,656,299.52 after Tenant’s payment of the installment of Base Rent due in the 54th full calendar month of the Term (but in no event shall Tenant make such payment more than 30 days in advance of the due date), (v) $1,325,039.62 after Tenant’s payment of the installment of Base Rent due in the 66th full calendar month of the Term (but in no event shall Tenant make such payment more than 30 days in advance of the due date), (vi) $1,060,031.69 after Tenant’s payment of the installment of Base Rent due in the 78th full calendar month of the Term (but in no event shall Tenant make such payment more than 30 days in advance of the due date), (vii) $848,025.35 after Tenant’s payment of the installment of Base Rent due in the 90th full calendar month of the Term (but in no event shall Tenant make such payment more than 30 days in advance of the due date), (viii) $678,420.28 after Tenant’s payment of the installment of Base Rent due in the 102nd full calendar month of the Term (but in no event shall Tenant make such payment more than 30 days in advance of the due date), (ix) $542,736.23 after Tenant’s payment of the installment of Base Rent due in the 114th full calendar month of the Term (but in no event shall Tenant make such payment more than 30 days in advance of the due date), (x) $471,225.84 after Tenant’s payment of the installment of Base Rent due in the 126th full calendar month of the Term (but in no event shall Tenant make such payment more than 30 days in advance of the due date), and shall remain at $471,225.84 for the balance of the Term and any extended Term of this Lease. In the event that any such reduction in the amount of the Security Deposit shall apply, Landlord will refund the appropriate amount of the Security Deposit to Tenant (if the Security Deposit is then held in cash) or accept an endorsement or reasonably cooperate with Tenant to amend the Letter of Credit, in either case reducing the amount of the Letter of Credit to the appropriate amount (if the Security Deposit is maintained as a letter of credit).</w:t>
      </w:r>
    </w:p>
    <w:p>
      <w:pPr>
        <w:spacing w:after="0" w:line="172" w:lineRule="exact"/>
        <w:rPr>
          <w:sz w:val="20"/>
          <w:szCs w:val="20"/>
          <w:color w:val="auto"/>
        </w:rPr>
      </w:pPr>
    </w:p>
    <w:p>
      <w:pPr>
        <w:jc w:val="both"/>
        <w:ind w:firstLine="8"/>
        <w:spacing w:after="0" w:line="270" w:lineRule="auto"/>
        <w:tabs>
          <w:tab w:leader="none" w:pos="796"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UTILITIES; SERVICES</w:t>
      </w:r>
      <w:r>
        <w:rPr>
          <w:rFonts w:ascii="Arial" w:cs="Arial" w:eastAsia="Arial" w:hAnsi="Arial"/>
          <w:sz w:val="18"/>
          <w:szCs w:val="18"/>
          <w:color w:val="auto"/>
        </w:rPr>
        <w:t>. Tenant shall pay for water, gas, electricity, sewer, trash collection and removal, janitorial supplies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telecommunications, data and any other utilities or services used on or provided to the Building and/or the Exterior Areas. Tenant shall obtain all utilities and services in Tenant’s own name and timely pay for the costs therefor directly to the respective utility and/or service provider. Notwithstanding the foregoing, if a utility cannot be obtained in Tenant’s own name (e.g., because the utility (such as water or sewer) must be in the name of the owner of the Building), then Landlord shall retain any such utility in Landlord’s own name, in which event Tenant (at Landlord’s option) shall either pay for the costs therefor (i) directly to Landlord (outside of Operating Expenses), as Additional Rent, within 30 days after being billed, or (ii) through Operating Expenses. The cost of any utility or service supplied to the Exterior Areas shall be included in Operating Expenses to the extent permitted under this Lease. All utility and service costs shall include any taxes or other customary charges imposed in connection therewith by the utility or service provider, supplier or governmental authority having jurisdiction. Landlord shall not be responsible or liable for any interruption in utilities or services, or for any injury to property caused thereby, nor shall such interruption affect the continuation or validity of this Lease, give rise to an abatement or relieve Tenant from full performance of Tenant’s obligations under this Lease, except pursuant to Applicable Laws. Notwithstanding the foregoing, except for events related to Force Majeure, in the event that any utility is not delivered for a period in excess of 3 consecutive business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5" w:name="page186"/>
    <w:bookmarkEnd w:id="185"/>
    <w:p>
      <w:pPr>
        <w:jc w:val="both"/>
        <w:spacing w:after="0" w:line="269" w:lineRule="auto"/>
        <w:rPr>
          <w:sz w:val="20"/>
          <w:szCs w:val="20"/>
          <w:color w:val="auto"/>
        </w:rPr>
      </w:pPr>
      <w:r>
        <w:rPr>
          <w:rFonts w:ascii="Arial" w:cs="Arial" w:eastAsia="Arial" w:hAnsi="Arial"/>
          <w:sz w:val="18"/>
          <w:szCs w:val="18"/>
          <w:color w:val="auto"/>
        </w:rPr>
        <w:t>days, and as a result of such circumstance any portion of the Premises is rendered untenantable (including inability to access the Premises or the Building), Rent shall abate for the duration of such circumstance until the Premises is again tenantable or Tenant conducts business in the Premises or the affected portion thereof, as applicable. Notwithstanding the foregoing, subject to Section 16 below, and except for events related to the acts or omissions of Tenant and/or any Tenant Party, in the event that any utility is not delivered for a period in excess of 180 consecutive days, and as a result of such circumstance 20% or more of the Premises are rendered untenantable, then Tenant, at any time thereafter prior to the date the Premises or the affected portion thereof, as applicable, is again tenantable or Tenant conducts business in the Premises or the affected portion thereof, as applicable, shall have the right to terminate this Lease by giving Landlord prior written notice thereof, in which event this Lease shall automatically terminate and the parties shall be released from any further obligations or liabilities under this Lease, except for such obligations or liabilities set forth herein that expressly survive the termination of this Lease. In the event that any utility is not being delivered to the Premises and as a result of such circumstance any portion of the Premises is rendered untenantable (including inability to access the Premises or the Building), Landlord shall use commercially reasonable efforts, under the circumstances, to cause the interrupted utility to the Premises to be restored as soon as reasonably practicable. Landlord shall have the exclusive right to select, and, upon 30 days prior written notice to Tenant, to change, the companies providing such utilities or services to the Building or the Premises; provided, however, that (i) the rates for such utilities or services are commercially reasonable, (ii) such change is without unreasonable diminution in quantity or quality of services, and (iii) Tenant may select its own telecommunication and data services provider (provided, however, that if such telecommunication and/or data services provider is not then serving the Building, then Tenant, at its sole cost and expense, is responsible for bringing connectivity of any such provider to the Building and the Premises in compliance with Section 13 of this Lease).</w:t>
      </w:r>
    </w:p>
    <w:p>
      <w:pPr>
        <w:spacing w:after="0" w:line="165" w:lineRule="exact"/>
        <w:rPr>
          <w:sz w:val="20"/>
          <w:szCs w:val="20"/>
          <w:color w:val="auto"/>
        </w:rPr>
      </w:pPr>
    </w:p>
    <w:p>
      <w:pPr>
        <w:jc w:val="both"/>
        <w:ind w:firstLine="8"/>
        <w:spacing w:after="0" w:line="305" w:lineRule="auto"/>
        <w:tabs>
          <w:tab w:leader="none" w:pos="796" w:val="left"/>
        </w:tabs>
        <w:numPr>
          <w:ilvl w:val="0"/>
          <w:numId w:val="145"/>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w:t>
      </w:r>
      <w:r>
        <w:rPr>
          <w:rFonts w:ascii="Arial" w:cs="Arial" w:eastAsia="Arial" w:hAnsi="Arial"/>
          <w:sz w:val="16"/>
          <w:szCs w:val="16"/>
          <w:b w:val="1"/>
          <w:bCs w:val="1"/>
          <w:color w:val="auto"/>
        </w:rPr>
        <w:t>Real Property Taxes</w:t>
      </w:r>
      <w:r>
        <w:rPr>
          <w:rFonts w:ascii="Arial" w:cs="Arial" w:eastAsia="Arial" w:hAnsi="Arial"/>
          <w:sz w:val="16"/>
          <w:szCs w:val="16"/>
          <w:color w:val="auto"/>
        </w:rPr>
        <w:t>” shall mean all taxes (including real estate taxes, sales taxes and gross receipt taxes), assessments,</w:t>
      </w:r>
      <w:r>
        <w:rPr>
          <w:rFonts w:ascii="Arial" w:cs="Arial" w:eastAsia="Arial" w:hAnsi="Arial"/>
          <w:sz w:val="16"/>
          <w:szCs w:val="16"/>
          <w:b w:val="1"/>
          <w:bCs w:val="1"/>
          <w:color w:val="auto"/>
        </w:rPr>
        <w:t xml:space="preserve"> </w:t>
      </w:r>
      <w:r>
        <w:rPr>
          <w:rFonts w:ascii="Arial" w:cs="Arial" w:eastAsia="Arial" w:hAnsi="Arial"/>
          <w:sz w:val="16"/>
          <w:szCs w:val="16"/>
          <w:color w:val="auto"/>
        </w:rPr>
        <w:t>liens, license and permit fees, together with the reasonable cost of contesting any of the foregoing, which are applicable to the Term, and which are imposed by any authority or under any Law, or pursuant to any recorded covenants or agreements, upon or with respect to the Property, or directly upon this Lease or the Rent or upon amounts payable by any subtenants or other occupants of the Premises, or against Landlord because of Landlord’s estate or interest in the Property. Prior to delinquency, Tenant shall pay (and, upon request, provide Landlord with evidence of payment thereof of) all taxes and assessments, together with any interest, charges, fees and penalties in connection therewith, levied upon or arising from (a) Tenant’s Property, (b) the conduct of Tenant’s business, or (c) Tenant’s leasehold estate. Notwithstanding the foregoing, Real Property Taxes shall not include: (i) federal, state, or local income taxes, franchise, gift, transfer, estate, inheritance, succession, inheritance, excise, gross receipts, excess profits or corporate capital stock tax imposed or assessed upon Landlord, unless such tax or any similar tax is levied or assessed in lieu of all or any part of any taxes includable in Operating Expenses below; and (ii) any interest or penalties due for late payment by Landlord of Real Property Taxes. In the event Tenant desires Landlord to contest any increase in real estate taxes or assessments pertaining to the Premises, Tenant shall advise Landlord in writing and Landlord shall review such request (and the merits and likelihood of success of contesting such increase) and make a good faith determination in its commercially reasonable discretion as to whether or not to contest same. In the event Landlord elects not to contest any such increase in real estate taxes or assessments, Tenant, at Tenant’s sole cost and expense but with Landlord’s reasonable cooperation, shall have the right, upon prior written notice to Landlord, to contest any such increase in real estate taxes or assessments, in good faith and in compliance with all Laws, provided that such contest by Tenant does not subject Landlord or the Premises to any fines, penalties, liens and/or liability. Tenant shall continue, during the pendency of any such contest by Tenant, to pay the tax or assessment due pursuant to this Lease.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left="800" w:hanging="792"/>
        <w:spacing w:after="0"/>
        <w:tabs>
          <w:tab w:leader="none" w:pos="800" w:val="left"/>
        </w:tabs>
        <w:numPr>
          <w:ilvl w:val="0"/>
          <w:numId w:val="145"/>
        </w:numPr>
        <w:rPr>
          <w:rFonts w:ascii="Arial" w:cs="Arial" w:eastAsia="Arial" w:hAnsi="Arial"/>
          <w:sz w:val="20"/>
          <w:szCs w:val="20"/>
          <w:color w:val="auto"/>
        </w:rPr>
      </w:pPr>
      <w:r>
        <w:rPr>
          <w:rFonts w:ascii="Arial" w:cs="Arial" w:eastAsia="Arial" w:hAnsi="Arial"/>
          <w:sz w:val="20"/>
          <w:szCs w:val="20"/>
          <w:b w:val="1"/>
          <w:bCs w:val="1"/>
          <w:u w:val="single" w:color="auto"/>
          <w:color w:val="auto"/>
        </w:rPr>
        <w:t>OPERATING EXPENSES</w:t>
      </w:r>
      <w:r>
        <w:rPr>
          <w:rFonts w:ascii="Arial" w:cs="Arial" w:eastAsia="Arial" w:hAnsi="Arial"/>
          <w:sz w:val="20"/>
          <w:szCs w:val="20"/>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6" w:name="page187"/>
    <w:bookmarkEnd w:id="186"/>
    <w:p>
      <w:pPr>
        <w:jc w:val="both"/>
        <w:ind w:firstLine="864"/>
        <w:spacing w:after="0" w:line="268" w:lineRule="auto"/>
        <w:rPr>
          <w:sz w:val="20"/>
          <w:szCs w:val="20"/>
          <w:color w:val="auto"/>
        </w:rPr>
      </w:pPr>
      <w:r>
        <w:rPr>
          <w:rFonts w:ascii="Arial" w:cs="Arial" w:eastAsia="Arial" w:hAnsi="Arial"/>
          <w:sz w:val="18"/>
          <w:szCs w:val="18"/>
          <w:color w:val="auto"/>
        </w:rPr>
        <w:t>8.1 “</w:t>
      </w:r>
      <w:r>
        <w:rPr>
          <w:rFonts w:ascii="Arial" w:cs="Arial" w:eastAsia="Arial" w:hAnsi="Arial"/>
          <w:sz w:val="18"/>
          <w:szCs w:val="18"/>
          <w:b w:val="1"/>
          <w:bCs w:val="1"/>
          <w:color w:val="auto"/>
        </w:rPr>
        <w:t>Operating Expenses</w:t>
      </w:r>
      <w:r>
        <w:rPr>
          <w:rFonts w:ascii="Arial" w:cs="Arial" w:eastAsia="Arial" w:hAnsi="Arial"/>
          <w:sz w:val="18"/>
          <w:szCs w:val="18"/>
          <w:color w:val="auto"/>
        </w:rPr>
        <w:t>” means the total costs and expenses incurred, or sums paid, by Landlord in the ownership, operation, Maintenance and management of the Building, the Property and/or the Project, including, but not limited to: (1) the costs of any utilities provided by Landlord pursuant to Section 6 of this Lease; (2) Landlord’s cost to Maintain the Property and/or the Project as set forth in Sections 1.12 and 12.2; (3) the costs relating to the insurance maintained by Landlord as described in Section 11.1 below, including, without limitation, Landlord’s cost of any deductible or self-insurance retention; (4) the annual amortization (over their estimated economic useful life) of the costs of improvements or replacements that would be classified as a capital expenditure under generally accepted accounting principles consistently applied and are (a) required by any Applicable Laws enacted or first effective after the Commencement Date, or (b) made for the purpose of reducing Operating Expenses but not in excess of the actual savings of Operating Expenses resulting therefrom (and such reduction shall not benefit any particular tenant more than Tenant), provided that Tenant’s obligation to pay for such capital improvement or replacement shall be calculated based on the portion of such amortized costs that is applicable to the remaining Term or any extended Term of this Lease (collectively, “</w:t>
      </w:r>
      <w:r>
        <w:rPr>
          <w:rFonts w:ascii="Arial" w:cs="Arial" w:eastAsia="Arial" w:hAnsi="Arial"/>
          <w:sz w:val="18"/>
          <w:szCs w:val="18"/>
          <w:b w:val="1"/>
          <w:bCs w:val="1"/>
          <w:color w:val="auto"/>
        </w:rPr>
        <w:t>Permitted Capital Items</w:t>
      </w:r>
      <w:r>
        <w:rPr>
          <w:rFonts w:ascii="Arial" w:cs="Arial" w:eastAsia="Arial" w:hAnsi="Arial"/>
          <w:sz w:val="18"/>
          <w:szCs w:val="18"/>
          <w:color w:val="auto"/>
        </w:rPr>
        <w:t>”); (5) assessments, association fees and all other costs assessed or charged under the CC&amp;Rs, if any, that are attributable to the Land, the Building and/or the Project in connection with any property owners or maintenance association or operator; (6) the costs of maintaining and/or improving the energy efficiency or sustainability of the Building;</w:t>
      </w:r>
    </w:p>
    <w:p>
      <w:pPr>
        <w:spacing w:after="0" w:line="1" w:lineRule="exact"/>
        <w:rPr>
          <w:sz w:val="20"/>
          <w:szCs w:val="20"/>
          <w:color w:val="auto"/>
        </w:rPr>
      </w:pPr>
    </w:p>
    <w:p>
      <w:pPr>
        <w:jc w:val="both"/>
        <w:ind w:firstLine="8"/>
        <w:spacing w:after="0" w:line="269" w:lineRule="auto"/>
        <w:tabs>
          <w:tab w:leader="none" w:pos="30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management fee, which is equal to 5% of gross receipts from leases at the Building and/or the Project, for the management of this Lease, the Premises, the Building, the Land and/or the Project including the cost of those services which are customarily performed by a property management services company, whether performed by Landlord or by an affiliate of Landlord or through an outside management company or any combination of the foregoing (the “</w:t>
      </w:r>
      <w:r>
        <w:rPr>
          <w:rFonts w:ascii="Arial" w:cs="Arial" w:eastAsia="Arial" w:hAnsi="Arial"/>
          <w:sz w:val="18"/>
          <w:szCs w:val="18"/>
          <w:b w:val="1"/>
          <w:bCs w:val="1"/>
          <w:color w:val="auto"/>
        </w:rPr>
        <w:t>Permitted Management Fee</w:t>
      </w:r>
      <w:r>
        <w:rPr>
          <w:rFonts w:ascii="Arial" w:cs="Arial" w:eastAsia="Arial" w:hAnsi="Arial"/>
          <w:sz w:val="18"/>
          <w:szCs w:val="18"/>
          <w:color w:val="auto"/>
        </w:rPr>
        <w:t xml:space="preserve">”); and (8) a property service fee, which covers employees of and vehicles utilized by Landlord providing repair, maintenance and related services to the Building, the Property or the Project, and equipment, tools and materials used in connection with and other costs related to such services. Operating Expenses shall not include the costs and items described on </w:t>
      </w:r>
      <w:r>
        <w:rPr>
          <w:rFonts w:ascii="Arial" w:cs="Arial" w:eastAsia="Arial" w:hAnsi="Arial"/>
          <w:sz w:val="18"/>
          <w:szCs w:val="18"/>
          <w:b w:val="1"/>
          <w:bCs w:val="1"/>
          <w:color w:val="auto"/>
        </w:rPr>
        <w:t>Exhibit O</w:t>
      </w:r>
      <w:r>
        <w:rPr>
          <w:rFonts w:ascii="Arial" w:cs="Arial" w:eastAsia="Arial" w:hAnsi="Arial"/>
          <w:sz w:val="18"/>
          <w:szCs w:val="18"/>
          <w:color w:val="auto"/>
        </w:rPr>
        <w:t xml:space="preserve"> attached hereto If the Project is less than fully occupied during any calendar year, then the components of Operating Expenses that vary based upon occupancy as reasonably determined by Landlord shall be calculated as if the Project had been fully occupied for the full calendar year. Landlord’s books and records relating to Operating Expenses shall be kept in accordance with generally accepted accounting principles (US GAAP) consistently applied on a calendar year basis.</w:t>
      </w:r>
    </w:p>
    <w:p>
      <w:pPr>
        <w:spacing w:after="0" w:line="175"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8.2 Tenant’s Share of the Controllable Operating Expenses (as defined below) for the first Cap Year shall not exceed 104% of the Controllable Operating Expenses for the Base Year (as defined below). Commencing in the second Cap Year and in any Cap Year thereafter, Tenant’s Share of Controllable Operating Expenses shall not exceed 104% of the amount of the cap on Controllable Operating Expenses for the immediately preceding Cap Year on a non-compounding and non-cumulative basis over the course of the Term. For purposes hereof: (i) “</w:t>
      </w:r>
      <w:r>
        <w:rPr>
          <w:rFonts w:ascii="Arial" w:cs="Arial" w:eastAsia="Arial" w:hAnsi="Arial"/>
          <w:sz w:val="18"/>
          <w:szCs w:val="18"/>
          <w:b w:val="1"/>
          <w:bCs w:val="1"/>
          <w:color w:val="auto"/>
        </w:rPr>
        <w:t>Base Year</w:t>
      </w:r>
      <w:r>
        <w:rPr>
          <w:rFonts w:ascii="Arial" w:cs="Arial" w:eastAsia="Arial" w:hAnsi="Arial"/>
          <w:sz w:val="18"/>
          <w:szCs w:val="18"/>
          <w:color w:val="auto"/>
        </w:rPr>
        <w:t>” means the first full 12 months after the month in which the expiration of the builders standard one year warranty (with respect to the construction of Landlord Work) occurs; (ii) “</w:t>
      </w:r>
      <w:r>
        <w:rPr>
          <w:rFonts w:ascii="Arial" w:cs="Arial" w:eastAsia="Arial" w:hAnsi="Arial"/>
          <w:sz w:val="18"/>
          <w:szCs w:val="18"/>
          <w:b w:val="1"/>
          <w:bCs w:val="1"/>
          <w:color w:val="auto"/>
        </w:rPr>
        <w:t>Cap Year</w:t>
      </w:r>
      <w:r>
        <w:rPr>
          <w:rFonts w:ascii="Arial" w:cs="Arial" w:eastAsia="Arial" w:hAnsi="Arial"/>
          <w:sz w:val="18"/>
          <w:szCs w:val="18"/>
          <w:color w:val="auto"/>
        </w:rPr>
        <w:t>” means the period from the first day of the first calendar year after the Base Year through the succeeding 12 full calendar months and each successive calendar year thereafter during the Term; and</w:t>
      </w:r>
    </w:p>
    <w:p>
      <w:pPr>
        <w:spacing w:after="0" w:line="5" w:lineRule="exact"/>
        <w:rPr>
          <w:sz w:val="20"/>
          <w:szCs w:val="20"/>
          <w:color w:val="auto"/>
        </w:rPr>
      </w:pPr>
    </w:p>
    <w:p>
      <w:pPr>
        <w:jc w:val="both"/>
        <w:ind w:firstLine="8"/>
        <w:spacing w:after="0" w:line="365" w:lineRule="auto"/>
        <w:tabs>
          <w:tab w:leader="none" w:pos="3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Controllable Operating Expenses</w:t>
      </w:r>
      <w:r>
        <w:rPr>
          <w:rFonts w:ascii="Arial" w:cs="Arial" w:eastAsia="Arial" w:hAnsi="Arial"/>
          <w:sz w:val="16"/>
          <w:szCs w:val="16"/>
          <w:color w:val="auto"/>
        </w:rPr>
        <w:t>” are defined herein to include all Operating Expenses, except for taxes, insurance, utilities, snow removal, waste removal and/or dumpster costs, the annual charge-off of any Permitted Capital Items, and labor costs tied to union labor rates.</w:t>
      </w:r>
    </w:p>
    <w:p>
      <w:pPr>
        <w:spacing w:after="0" w:line="93" w:lineRule="exact"/>
        <w:rPr>
          <w:sz w:val="20"/>
          <w:szCs w:val="20"/>
          <w:color w:val="auto"/>
        </w:rPr>
      </w:pPr>
    </w:p>
    <w:p>
      <w:pPr>
        <w:jc w:val="both"/>
        <w:ind w:firstLine="8"/>
        <w:spacing w:after="0" w:line="262" w:lineRule="auto"/>
        <w:tabs>
          <w:tab w:leader="none" w:pos="796" w:val="left"/>
        </w:tabs>
        <w:numPr>
          <w:ilvl w:val="0"/>
          <w:numId w:val="148"/>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RECONCILIATION</w:t>
      </w:r>
      <w:r>
        <w:rPr>
          <w:rFonts w:ascii="Arial" w:cs="Arial" w:eastAsia="Arial" w:hAnsi="Arial"/>
          <w:sz w:val="19"/>
          <w:szCs w:val="19"/>
          <w:color w:val="auto"/>
        </w:rPr>
        <w:t>. On or before December 31st of each calendar year (unless this Lease shall expire 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 at the expiration of such calendar year), Landlord shall endeavor to provide Tenant with written notice (“</w:t>
      </w:r>
      <w:r>
        <w:rPr>
          <w:rFonts w:ascii="Arial" w:cs="Arial" w:eastAsia="Arial" w:hAnsi="Arial"/>
          <w:sz w:val="19"/>
          <w:szCs w:val="19"/>
          <w:b w:val="1"/>
          <w:bCs w:val="1"/>
          <w:color w:val="auto"/>
        </w:rPr>
        <w:t>Estimated Expenses</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of the Estimated Expenses due and payable by Tenant under this Lease for the following calendar year (subject to the availability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reasonably necessary to prepare such estimate). If Landlord does not so provide Tenant with the Estimated Expenses Notice on or before December 31st (unless this Lease shall expire or terminate at the expiration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7" w:name="page188"/>
    <w:bookmarkEnd w:id="187"/>
    <w:p>
      <w:pPr>
        <w:jc w:val="both"/>
        <w:spacing w:after="0" w:line="267" w:lineRule="auto"/>
        <w:rPr>
          <w:sz w:val="20"/>
          <w:szCs w:val="20"/>
          <w:color w:val="auto"/>
        </w:rPr>
      </w:pPr>
      <w:r>
        <w:rPr>
          <w:rFonts w:ascii="Arial" w:cs="Arial" w:eastAsia="Arial" w:hAnsi="Arial"/>
          <w:sz w:val="18"/>
          <w:szCs w:val="18"/>
          <w:color w:val="auto"/>
        </w:rPr>
        <w:t>of such calendar year), then Tenant shall continue to pay the Estimated Expenses then in effect until such time as Landlord provides Tenant with the Estimated Expenses Notice. Upon any delivery of the Estimated Expenses Notice to Tenant after January 1st, Landlord or Tenant shall promptly pay to the other the amount of any overpayment or deficiency then due from one to the other, or at Landlord’s option, Landlord may credit Tenant’s account for any overpayment. Landlord may adjust the amount of Estimated Expenses from time to time if same increase or decrease; Landlord may also invoice Tenant separately from time to time for any extraordinary or unanticipated Estimated Expenses. As soon as practical following the end of each calendar year (and as soon as practical after the expiration or termination of this Lease or, at Landlord’s option, after a sale of the Property) but not later than 120 days thereafter, Landlord shall provide Tenant with a statement of Tenant’s Share of the actual Real Property Taxes and Operating Expenses for the preceding calendar year or part thereof. Within 30 days after delivery of such statement to Tenant, Landlord or Tenant shall pay to the other the amount of any overpayment or deficiency then due from one to the other or, at Landlord’s option, Landlord may credit Tenant’s account for any overpayment. If an Event of Default by Tenant occurs, then Landlord may, but shall not be required to, pay or credit any overpayment to Tenant, but shall apply such overpayment to amounts owed or to be owed by Tenant under this Lease. If Tenant does not give Landlord notice within 120 days after receiving Landlord’s statement (or the final determination by the taxing authorities of Real Property Taxes for a given year) that Tenant disagrees with the statement and specifying the items and amounts in dispute, then Tenant shall be deemed to have waived the right to contest the statement. During such 120 day period, Tenant shall be entitled, during regular business hours, after giving to Landlord at least 14 days prior written notice, to (i) have Tenant’s employees inspect in Landlord’s business office all Landlord’s records necessary to satisfy itself that all charges set forth in the statement have been correctly allocated to Tenant, and (ii) obtain an audit (“</w:t>
      </w:r>
      <w:r>
        <w:rPr>
          <w:rFonts w:ascii="Arial" w:cs="Arial" w:eastAsia="Arial" w:hAnsi="Arial"/>
          <w:sz w:val="18"/>
          <w:szCs w:val="18"/>
          <w:b w:val="1"/>
          <w:bCs w:val="1"/>
          <w:color w:val="auto"/>
        </w:rPr>
        <w:t>Audit</w:t>
      </w:r>
      <w:r>
        <w:rPr>
          <w:rFonts w:ascii="Arial" w:cs="Arial" w:eastAsia="Arial" w:hAnsi="Arial"/>
          <w:sz w:val="18"/>
          <w:szCs w:val="18"/>
          <w:color w:val="auto"/>
        </w:rPr>
        <w:t>”) thereof on a non-contingent fee basis by a nationally or regionally recognized independent certified public accountant (“</w:t>
      </w:r>
      <w:r>
        <w:rPr>
          <w:rFonts w:ascii="Arial" w:cs="Arial" w:eastAsia="Arial" w:hAnsi="Arial"/>
          <w:sz w:val="18"/>
          <w:szCs w:val="18"/>
          <w:b w:val="1"/>
          <w:bCs w:val="1"/>
          <w:color w:val="auto"/>
        </w:rPr>
        <w:t>CPA Firm</w:t>
      </w:r>
      <w:r>
        <w:rPr>
          <w:rFonts w:ascii="Arial" w:cs="Arial" w:eastAsia="Arial" w:hAnsi="Arial"/>
          <w:sz w:val="18"/>
          <w:szCs w:val="18"/>
          <w:color w:val="auto"/>
        </w:rPr>
        <w:t>”) to determine the accuracy of Landlord’s certification of the amount of Tenant’s Share of the actual Real Property Taxes and Operating Expenses charged to Tenant for the preceding calendar year. Notwithstanding the foregoing, Tenant may not utilize a third party examiner who (a) is representing, or has within the last 2 years prior to Tenant’s request represented, any other tenant at the Project in connection with an audit of Operating Expenses (provided that this subsection (a) shall not apply to a CPA Firm), or (b) does not have at least 5 years’ experience auditing or reviewing operating expense accounting. If it is determined by the Audit of the CPA Firm (the results of which shall be provided to Landlord in writing during such 120 day period) that Tenant’s liability is less than 95% of that amount which Landlord previously certified to Tenant in such statement, Landlord shall pay to Tenant the reasonable cost of such Audit (not to exceed $5,000.00 for any such Audit) and regardless of such percentage shall refund promptly to Tenant the amount paid by Tenant which exceeds the amount for which Tenant actually is liable, as determined following such Audit. Except as set forth above, Tenant shall bear the total cost of any such audit. Landlord’s and Tenant’s obligation to pay any overpayment or deficiency due the other pursuant to this Section shall survive the expiration or termination of this Lease. As a condition to performing any such Audit, Tenant and its examiner(s) shall be required to execute and deliver to Landlord an agreement, in commercially reasonable form, agreeing to keep confidential any information which it discovers about Landlord or the Building or Project in connection with such examination, subject to customary commercially reasonable carveouts.</w:t>
      </w:r>
    </w:p>
    <w:p>
      <w:pPr>
        <w:spacing w:after="0" w:line="186" w:lineRule="exact"/>
        <w:rPr>
          <w:sz w:val="20"/>
          <w:szCs w:val="20"/>
          <w:color w:val="auto"/>
        </w:rPr>
      </w:pPr>
    </w:p>
    <w:p>
      <w:pPr>
        <w:ind w:left="900" w:hanging="892"/>
        <w:spacing w:after="0"/>
        <w:tabs>
          <w:tab w:leader="none" w:pos="900" w:val="left"/>
        </w:tabs>
        <w:numPr>
          <w:ilvl w:val="0"/>
          <w:numId w:val="149"/>
        </w:numPr>
        <w:rPr>
          <w:rFonts w:ascii="Arial" w:cs="Arial" w:eastAsia="Arial" w:hAnsi="Arial"/>
          <w:sz w:val="20"/>
          <w:szCs w:val="20"/>
          <w:color w:val="auto"/>
        </w:rPr>
      </w:pPr>
      <w:r>
        <w:rPr>
          <w:rFonts w:ascii="Arial" w:cs="Arial" w:eastAsia="Arial" w:hAnsi="Arial"/>
          <w:sz w:val="20"/>
          <w:szCs w:val="20"/>
          <w:b w:val="1"/>
          <w:bCs w:val="1"/>
          <w:u w:val="single" w:color="auto"/>
          <w:color w:val="auto"/>
        </w:rPr>
        <w:t>INDEMNITY AND WAIVER OF CLAIMS</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b w:val="1"/>
          <w:bCs w:val="1"/>
          <w:color w:val="auto"/>
        </w:rPr>
        <w:t>Indemnity</w:t>
      </w:r>
      <w:r>
        <w:rPr>
          <w:rFonts w:ascii="Arial" w:cs="Arial" w:eastAsia="Arial" w:hAnsi="Arial"/>
          <w:sz w:val="20"/>
          <w:szCs w:val="20"/>
          <w:color w:val="auto"/>
        </w:rPr>
        <w:t>. Tenant shall indemnify, protect, defend (by counsel reasonably acceptable to Landlord) and hold harmless Landlord and the Indemnitees from and against any and all claims, judgments, causes of action, damages, obligations, penalties, fines, taxes, costs, liens, liabilities, losses, charges and expenses, including without limitation all reasonable attorneys’ fees and other professional fees (collectively referred to as “</w:t>
      </w:r>
      <w:r>
        <w:rPr>
          <w:rFonts w:ascii="Arial" w:cs="Arial" w:eastAsia="Arial" w:hAnsi="Arial"/>
          <w:sz w:val="20"/>
          <w:szCs w:val="20"/>
          <w:b w:val="1"/>
          <w:bCs w:val="1"/>
          <w:color w:val="auto"/>
        </w:rPr>
        <w:t>Losses</w:t>
      </w:r>
      <w:r>
        <w:rPr>
          <w:rFonts w:ascii="Arial" w:cs="Arial" w:eastAsia="Arial" w:hAnsi="Arial"/>
          <w:sz w:val="20"/>
          <w:szCs w:val="20"/>
          <w:color w:val="auto"/>
        </w:rPr>
        <w:t>”) which may be imposed upon, incurred by or asserted against Landlord or any of the Indemnitees at any time prior to, during or after the Term by any third party and arising out of or in connection with any damages or injury occurring in the Premises during the Term, Tenant’s</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8" w:name="page189"/>
    <w:bookmarkEnd w:id="188"/>
    <w:p>
      <w:pPr>
        <w:jc w:val="both"/>
        <w:spacing w:after="0" w:line="272" w:lineRule="auto"/>
        <w:rPr>
          <w:sz w:val="20"/>
          <w:szCs w:val="20"/>
          <w:color w:val="auto"/>
        </w:rPr>
      </w:pPr>
      <w:r>
        <w:rPr>
          <w:rFonts w:ascii="Arial" w:cs="Arial" w:eastAsia="Arial" w:hAnsi="Arial"/>
          <w:sz w:val="18"/>
          <w:szCs w:val="18"/>
          <w:color w:val="auto"/>
        </w:rPr>
        <w:t>occupancy or use of the Premises, any acts or omissions of Tenant or any Tenant Party before, during or after the Term, or the conduct of Tenant’s business, except to the extent caused by Landlord’s negligence or willful misconduct or that of the Indemnitees. Landlord shall indemnify, protect, defend (by counsel reasonably acceptable to Tenant) and hold harmless Tenant, and Tenant’s affiliated entities, and each of their respective trustees, members, managers, principals, beneficiaries, partners, directors, officers, employees, shareholders, agents, contractors, representatives, successors and assigns (individually and collectively, “</w:t>
      </w:r>
      <w:r>
        <w:rPr>
          <w:rFonts w:ascii="Arial" w:cs="Arial" w:eastAsia="Arial" w:hAnsi="Arial"/>
          <w:sz w:val="18"/>
          <w:szCs w:val="18"/>
          <w:b w:val="1"/>
          <w:bCs w:val="1"/>
          <w:color w:val="auto"/>
        </w:rPr>
        <w:t>Tenant Indemnitees</w:t>
      </w:r>
      <w:r>
        <w:rPr>
          <w:rFonts w:ascii="Arial" w:cs="Arial" w:eastAsia="Arial" w:hAnsi="Arial"/>
          <w:sz w:val="18"/>
          <w:szCs w:val="18"/>
          <w:color w:val="auto"/>
        </w:rPr>
        <w:t>”) from and against any and all Losses which may be imposed upon, incurred by or asserted against Tenant or any of the Tenant Indemnitees at any time prior to, during or after the Term by any third party and arising out of or in connection with the negligence or willful misconduct of Landlord or any Indemnitees, except to the extent caused by the negligence or willful misconduct of Tenant or any Tenant Indemnitee. The obligations of Tenant and Landlord under this Section 10.1 shall survive the expiration or earlier termination of this Lease.</w:t>
      </w:r>
    </w:p>
    <w:p>
      <w:pPr>
        <w:spacing w:after="0" w:line="164"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Waiver of Claims</w:t>
      </w:r>
      <w:r>
        <w:rPr>
          <w:rFonts w:ascii="Arial" w:cs="Arial" w:eastAsia="Arial" w:hAnsi="Arial"/>
          <w:sz w:val="18"/>
          <w:szCs w:val="18"/>
          <w:color w:val="auto"/>
        </w:rPr>
        <w:t>. Tenant, as a material part of the consideration to Landlord, hereby assumes all loss due to business interruption and all risk of illness or injury to persons in, upon or about the Premises, the Property and/or the Project arising from any cause and all risk of damage to property including, but not limited to, Tenant’s Property and all Alterations, except as otherwise provided in this Lease and except to the extent caused by the gross negligence or willful misconduct of Landlord or the Indemnitees, and Tenant hereby expressly releases Landlord and the Indemnities and waives all claims in respect thereof against Landlord and the Indemnitees.</w:t>
      </w:r>
    </w:p>
    <w:p>
      <w:pPr>
        <w:spacing w:after="0" w:line="156" w:lineRule="exact"/>
        <w:rPr>
          <w:sz w:val="20"/>
          <w:szCs w:val="20"/>
          <w:color w:val="auto"/>
        </w:rPr>
      </w:pPr>
    </w:p>
    <w:p>
      <w:pPr>
        <w:ind w:left="900" w:hanging="892"/>
        <w:spacing w:after="0"/>
        <w:tabs>
          <w:tab w:leader="none" w:pos="900" w:val="left"/>
        </w:tabs>
        <w:numPr>
          <w:ilvl w:val="0"/>
          <w:numId w:val="150"/>
        </w:numPr>
        <w:rPr>
          <w:rFonts w:ascii="Arial" w:cs="Arial" w:eastAsia="Arial" w:hAnsi="Arial"/>
          <w:sz w:val="20"/>
          <w:szCs w:val="20"/>
          <w:color w:val="auto"/>
        </w:rPr>
      </w:pPr>
      <w:r>
        <w:rPr>
          <w:rFonts w:ascii="Arial" w:cs="Arial" w:eastAsia="Arial" w:hAnsi="Arial"/>
          <w:sz w:val="20"/>
          <w:szCs w:val="20"/>
          <w:b w:val="1"/>
          <w:bCs w:val="1"/>
          <w:u w:val="single" w:color="auto"/>
          <w:color w:val="auto"/>
        </w:rPr>
        <w:t>INSURANCE</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color w:val="auto"/>
        </w:rPr>
        <w:t>Landlord</w:t>
      </w:r>
      <w:r>
        <w:rPr>
          <w:rFonts w:ascii="Arial" w:cs="Arial" w:eastAsia="Arial" w:hAnsi="Arial"/>
          <w:sz w:val="19"/>
          <w:szCs w:val="19"/>
          <w:color w:val="auto"/>
        </w:rPr>
        <w:t>. Landlord shall maintain insurance policies insuring the Building against fire and extended coverage (including, if Landlord elects, “special cause of loss form” coverage, earthquake/volcanic action, flood and/or surface water insurance) for the full replacement cost of the Building (including coverage of any Alteration made by Landlord, but excluding coverage of Tenant’s Property and any Alterations made by Tenant or a Tenant Party), with deductibles in the form and endorsements of such coverage as selected by Landlord, together with business interruption insurance against loss of Rent in an amount equal to the amount of Rent for a period of at least 12 months commencing on the date of loss. Landlord may also carry such other insurance as Landlord may deem prudent or advisable, including, without limitation, liability insurance in such amounts and on such terms as Landlord shall determine. The Building may be included in a blanket policy or captive insurance program.</w:t>
      </w:r>
    </w:p>
    <w:p>
      <w:pPr>
        <w:spacing w:after="0" w:line="17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b w:val="1"/>
          <w:bCs w:val="1"/>
          <w:color w:val="auto"/>
        </w:rPr>
        <w:t>Tenant</w:t>
      </w:r>
      <w:r>
        <w:rPr>
          <w:rFonts w:ascii="Arial" w:cs="Arial" w:eastAsia="Arial" w:hAnsi="Arial"/>
          <w:sz w:val="20"/>
          <w:szCs w:val="20"/>
          <w:color w:val="auto"/>
        </w:rPr>
        <w:t>. Tenant shall, at Tenant’s sole expense, obtain and keep in force at all times the following insurance (and any other commercially reasonable form(s) of insurance Landlord may reasonably require from time to time) in the following coverage amounts, which coverage amounts Landlord may reasonably increase from time to time upon reasonable advance written notice to Tenant in the event Tenant’s operations change or Landlord otherwise reasonably determines that such coverage amounts are inadequate under the circumstances:</w:t>
      </w:r>
    </w:p>
    <w:p>
      <w:pPr>
        <w:spacing w:after="0" w:line="191"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19"/>
          <w:szCs w:val="19"/>
          <w:color w:val="010000"/>
        </w:rPr>
        <w:t xml:space="preserve">11.2.1 </w:t>
      </w:r>
      <w:r>
        <w:rPr>
          <w:rFonts w:ascii="Arial" w:cs="Arial" w:eastAsia="Arial" w:hAnsi="Arial"/>
          <w:sz w:val="19"/>
          <w:szCs w:val="19"/>
          <w:u w:val="single" w:color="auto"/>
          <w:color w:val="000000"/>
        </w:rPr>
        <w:t>Commercial General Liability Insurance (Occurrence Form)</w:t>
      </w:r>
      <w:r>
        <w:rPr>
          <w:rFonts w:ascii="Arial" w:cs="Arial" w:eastAsia="Arial" w:hAnsi="Arial"/>
          <w:sz w:val="19"/>
          <w:szCs w:val="19"/>
          <w:color w:val="000000"/>
        </w:rPr>
        <w:t>. A policy of commercial general liability</w:t>
      </w:r>
      <w:r>
        <w:rPr>
          <w:rFonts w:ascii="Arial" w:cs="Arial" w:eastAsia="Arial" w:hAnsi="Arial"/>
          <w:sz w:val="19"/>
          <w:szCs w:val="19"/>
          <w:color w:val="010000"/>
        </w:rPr>
        <w:t xml:space="preserve"> </w:t>
      </w:r>
      <w:r>
        <w:rPr>
          <w:rFonts w:ascii="Arial" w:cs="Arial" w:eastAsia="Arial" w:hAnsi="Arial"/>
          <w:sz w:val="19"/>
          <w:szCs w:val="19"/>
          <w:color w:val="000000"/>
        </w:rPr>
        <w:t>insurance (“</w:t>
      </w:r>
      <w:r>
        <w:rPr>
          <w:rFonts w:ascii="Arial" w:cs="Arial" w:eastAsia="Arial" w:hAnsi="Arial"/>
          <w:sz w:val="19"/>
          <w:szCs w:val="19"/>
          <w:b w:val="1"/>
          <w:bCs w:val="1"/>
          <w:color w:val="000000"/>
        </w:rPr>
        <w:t>CGL Policy</w:t>
      </w:r>
      <w:r>
        <w:rPr>
          <w:rFonts w:ascii="Arial" w:cs="Arial" w:eastAsia="Arial" w:hAnsi="Arial"/>
          <w:sz w:val="19"/>
          <w:szCs w:val="19"/>
          <w:color w:val="000000"/>
        </w:rPr>
        <w:t>”) (occurrence form) having a combined single limit of not less than $1,000,000.00 per occurrence and $2,000,000.00 aggregate per location (if Tenant has multiple locations), providing coverage for defense costs outside of the policy limits and including coverage for, among other things, bodily injury, personal injury, property damages arising out of Tenant’s operating and contractual liabilities, including coverage formerly known as broad form, blanket contractual liability for both oral and written contracts, premises and operations, products/completed operations, owners and contractors protective, personal and advertising injury, and with an “Additional Insured-Managers or Lessors of Premises Endorsement” and containing the “Amendment of the Pollution Exclusion Endorsement” for damage caused by heat, smoke or fumes from a hostile fire. The CGL Policy shall (a)</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9" w:name="page190"/>
    <w:bookmarkEnd w:id="189"/>
    <w:p>
      <w:pPr>
        <w:jc w:val="both"/>
        <w:spacing w:after="0" w:line="246" w:lineRule="auto"/>
        <w:rPr>
          <w:sz w:val="20"/>
          <w:szCs w:val="20"/>
          <w:color w:val="auto"/>
        </w:rPr>
      </w:pPr>
      <w:r>
        <w:rPr>
          <w:rFonts w:ascii="Arial" w:cs="Arial" w:eastAsia="Arial" w:hAnsi="Arial"/>
          <w:sz w:val="20"/>
          <w:szCs w:val="20"/>
          <w:color w:val="auto"/>
        </w:rPr>
        <w:t>delete the exclusion for operations within 50 feet of a railroad track (railroad protective liability), if applicable, and if applicable, and, if necessary, Tenant shall provide for restoration of the aggregate limit, and (b) not contain any intra-insured exclusions as between insured persons or organizations, but shall include coverage for liability assumed under this Lease as an “insured contract” for the performance of Tenant’s indemnity obligations under this Lease;</w:t>
      </w:r>
    </w:p>
    <w:p>
      <w:pPr>
        <w:spacing w:after="0" w:line="19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010000"/>
        </w:rPr>
        <w:t xml:space="preserve">11.2.2 </w:t>
      </w:r>
      <w:r>
        <w:rPr>
          <w:rFonts w:ascii="Arial" w:cs="Arial" w:eastAsia="Arial" w:hAnsi="Arial"/>
          <w:sz w:val="20"/>
          <w:szCs w:val="20"/>
          <w:u w:val="single" w:color="auto"/>
          <w:color w:val="000000"/>
        </w:rPr>
        <w:t>Automobile Liability Insurance.</w:t>
      </w:r>
      <w:r>
        <w:rPr>
          <w:rFonts w:ascii="Arial" w:cs="Arial" w:eastAsia="Arial" w:hAnsi="Arial"/>
          <w:sz w:val="20"/>
          <w:szCs w:val="20"/>
          <w:color w:val="010000"/>
        </w:rPr>
        <w:t xml:space="preserve"> </w:t>
      </w:r>
      <w:r>
        <w:rPr>
          <w:rFonts w:ascii="Arial" w:cs="Arial" w:eastAsia="Arial" w:hAnsi="Arial"/>
          <w:sz w:val="20"/>
          <w:szCs w:val="20"/>
          <w:color w:val="000000"/>
        </w:rPr>
        <w:t>Business automobile liability insurance having a combined single limit</w:t>
      </w:r>
      <w:r>
        <w:rPr>
          <w:rFonts w:ascii="Arial" w:cs="Arial" w:eastAsia="Arial" w:hAnsi="Arial"/>
          <w:sz w:val="20"/>
          <w:szCs w:val="20"/>
          <w:color w:val="010000"/>
        </w:rPr>
        <w:t xml:space="preserve"> </w:t>
      </w:r>
      <w:r>
        <w:rPr>
          <w:rFonts w:ascii="Arial" w:cs="Arial" w:eastAsia="Arial" w:hAnsi="Arial"/>
          <w:sz w:val="20"/>
          <w:szCs w:val="20"/>
          <w:color w:val="000000"/>
        </w:rPr>
        <w:t>of not less than $1,000,000.00 per occurrence and insuring Tenant against liability for claims arising out of ownership, maintenance, or use of any owned, hired or non-owned automobiles;</w:t>
      </w:r>
    </w:p>
    <w:p>
      <w:pPr>
        <w:spacing w:after="0" w:line="186"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010000"/>
        </w:rPr>
        <w:t xml:space="preserve">11.2.3 </w:t>
      </w:r>
      <w:r>
        <w:rPr>
          <w:rFonts w:ascii="Arial" w:cs="Arial" w:eastAsia="Arial" w:hAnsi="Arial"/>
          <w:sz w:val="20"/>
          <w:szCs w:val="20"/>
          <w:u w:val="single" w:color="auto"/>
          <w:color w:val="000000"/>
        </w:rPr>
        <w:t>Workers’ Compensation and Employer’s Liability Insurance.</w:t>
      </w:r>
      <w:r>
        <w:rPr>
          <w:rFonts w:ascii="Arial" w:cs="Arial" w:eastAsia="Arial" w:hAnsi="Arial"/>
          <w:sz w:val="20"/>
          <w:szCs w:val="20"/>
          <w:color w:val="010000"/>
        </w:rPr>
        <w:t xml:space="preserve"> </w:t>
      </w:r>
      <w:r>
        <w:rPr>
          <w:rFonts w:ascii="Arial" w:cs="Arial" w:eastAsia="Arial" w:hAnsi="Arial"/>
          <w:sz w:val="20"/>
          <w:szCs w:val="20"/>
          <w:color w:val="000000"/>
        </w:rPr>
        <w:t>Workers’ compensation insurance having</w:t>
      </w:r>
      <w:r>
        <w:rPr>
          <w:rFonts w:ascii="Arial" w:cs="Arial" w:eastAsia="Arial" w:hAnsi="Arial"/>
          <w:sz w:val="20"/>
          <w:szCs w:val="20"/>
          <w:color w:val="010000"/>
        </w:rPr>
        <w:t xml:space="preserve"> </w:t>
      </w:r>
      <w:r>
        <w:rPr>
          <w:rFonts w:ascii="Arial" w:cs="Arial" w:eastAsia="Arial" w:hAnsi="Arial"/>
          <w:sz w:val="20"/>
          <w:szCs w:val="20"/>
          <w:color w:val="000000"/>
        </w:rPr>
        <w:t>limits not less than those required by applicable state and federal statute, and covering all persons employed by Tenant, including volunteers, in the conduct of its operations on the Premises, together with employer’s liability insurance coverage in the amount of at least $1,000,000.00;</w:t>
      </w:r>
    </w:p>
    <w:p>
      <w:pPr>
        <w:spacing w:after="0" w:line="191" w:lineRule="exact"/>
        <w:rPr>
          <w:sz w:val="20"/>
          <w:szCs w:val="20"/>
          <w:color w:val="auto"/>
        </w:rPr>
      </w:pPr>
    </w:p>
    <w:p>
      <w:pPr>
        <w:jc w:val="both"/>
        <w:ind w:firstLine="1727"/>
        <w:spacing w:after="0" w:line="259" w:lineRule="auto"/>
        <w:rPr>
          <w:sz w:val="20"/>
          <w:szCs w:val="20"/>
          <w:color w:val="auto"/>
        </w:rPr>
      </w:pPr>
      <w:r>
        <w:rPr>
          <w:rFonts w:ascii="Arial" w:cs="Arial" w:eastAsia="Arial" w:hAnsi="Arial"/>
          <w:sz w:val="19"/>
          <w:szCs w:val="19"/>
          <w:color w:val="010000"/>
        </w:rPr>
        <w:t xml:space="preserve">11.2.4 </w:t>
      </w:r>
      <w:r>
        <w:rPr>
          <w:rFonts w:ascii="Arial" w:cs="Arial" w:eastAsia="Arial" w:hAnsi="Arial"/>
          <w:sz w:val="19"/>
          <w:szCs w:val="19"/>
          <w:u w:val="single" w:color="auto"/>
          <w:color w:val="000000"/>
        </w:rPr>
        <w:t>Property Insurance.</w:t>
      </w:r>
      <w:r>
        <w:rPr>
          <w:rFonts w:ascii="Arial" w:cs="Arial" w:eastAsia="Arial" w:hAnsi="Arial"/>
          <w:sz w:val="19"/>
          <w:szCs w:val="19"/>
          <w:color w:val="010000"/>
        </w:rPr>
        <w:t xml:space="preserve"> </w:t>
      </w:r>
      <w:r>
        <w:rPr>
          <w:rFonts w:ascii="Arial" w:cs="Arial" w:eastAsia="Arial" w:hAnsi="Arial"/>
          <w:sz w:val="19"/>
          <w:szCs w:val="19"/>
          <w:color w:val="000000"/>
        </w:rPr>
        <w:t>“All risk” or “special cause of loss form” property insurance including coverage for</w:t>
      </w:r>
      <w:r>
        <w:rPr>
          <w:rFonts w:ascii="Arial" w:cs="Arial" w:eastAsia="Arial" w:hAnsi="Arial"/>
          <w:sz w:val="19"/>
          <w:szCs w:val="19"/>
          <w:color w:val="010000"/>
        </w:rPr>
        <w:t xml:space="preserve"> </w:t>
      </w:r>
      <w:r>
        <w:rPr>
          <w:rFonts w:ascii="Arial" w:cs="Arial" w:eastAsia="Arial" w:hAnsi="Arial"/>
          <w:sz w:val="19"/>
          <w:szCs w:val="19"/>
          <w:color w:val="000000"/>
        </w:rPr>
        <w:t>vandalism, malicious mischief, sprinkler leakage and, if applicable, boiler and machinery comprehensive form, on a replacement cost basis, insuring (a) all Tenant’s Property, and (b) all Alterations made by Tenant or a Tenant Party), in each case, in an amount equal to the then applicable full replacement cost thereof. In the event property of Tenant’s invitees or customers are kept in the Premises or Project, Tenant shall maintain warehouser’s legal liability or bailee customers insurance for the full value of the property of such invitees or customers as determined by the warehouse contract between Tenant and its customer;</w:t>
      </w:r>
    </w:p>
    <w:p>
      <w:pPr>
        <w:spacing w:after="0" w:line="178"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010000"/>
        </w:rPr>
        <w:t xml:space="preserve">11.2.5 </w:t>
      </w:r>
      <w:r>
        <w:rPr>
          <w:rFonts w:ascii="Arial" w:cs="Arial" w:eastAsia="Arial" w:hAnsi="Arial"/>
          <w:sz w:val="20"/>
          <w:szCs w:val="20"/>
          <w:u w:val="single" w:color="auto"/>
          <w:color w:val="000000"/>
        </w:rPr>
        <w:t>Business Interruption.</w:t>
      </w:r>
      <w:r>
        <w:rPr>
          <w:rFonts w:ascii="Arial" w:cs="Arial" w:eastAsia="Arial" w:hAnsi="Arial"/>
          <w:sz w:val="20"/>
          <w:szCs w:val="20"/>
          <w:color w:val="010000"/>
        </w:rPr>
        <w:t xml:space="preserve"> </w:t>
      </w:r>
      <w:r>
        <w:rPr>
          <w:rFonts w:ascii="Arial" w:cs="Arial" w:eastAsia="Arial" w:hAnsi="Arial"/>
          <w:sz w:val="20"/>
          <w:szCs w:val="20"/>
          <w:color w:val="000000"/>
        </w:rPr>
        <w:t>Loss of income and extra expense insurance in amounts as will reimburse Tenant</w:t>
      </w:r>
      <w:r>
        <w:rPr>
          <w:rFonts w:ascii="Arial" w:cs="Arial" w:eastAsia="Arial" w:hAnsi="Arial"/>
          <w:sz w:val="20"/>
          <w:szCs w:val="20"/>
          <w:color w:val="010000"/>
        </w:rPr>
        <w:t xml:space="preserve"> </w:t>
      </w:r>
      <w:r>
        <w:rPr>
          <w:rFonts w:ascii="Arial" w:cs="Arial" w:eastAsia="Arial" w:hAnsi="Arial"/>
          <w:sz w:val="20"/>
          <w:szCs w:val="20"/>
          <w:color w:val="000000"/>
        </w:rPr>
        <w:t>for direct or indirect loss of earnings for a period of not less than 12 months, attributable to all perils included in the “all risk” or “special cause of loss form” property insurance policy required in Section 11.2.4 above or attributable to prevention of access to the Premises as a result of such perils;</w:t>
      </w:r>
    </w:p>
    <w:p>
      <w:pPr>
        <w:spacing w:after="0" w:line="19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010000"/>
        </w:rPr>
        <w:t xml:space="preserve">11.2.6 </w:t>
      </w:r>
      <w:r>
        <w:rPr>
          <w:rFonts w:ascii="Arial" w:cs="Arial" w:eastAsia="Arial" w:hAnsi="Arial"/>
          <w:sz w:val="20"/>
          <w:szCs w:val="20"/>
          <w:color w:val="000000"/>
        </w:rPr>
        <w:t>Environmental Insurance. If Tenant handles, stores or utilizes Hazardous Materials in its business</w:t>
      </w:r>
      <w:r>
        <w:rPr>
          <w:rFonts w:ascii="Arial" w:cs="Arial" w:eastAsia="Arial" w:hAnsi="Arial"/>
          <w:sz w:val="20"/>
          <w:szCs w:val="20"/>
          <w:color w:val="010000"/>
        </w:rPr>
        <w:t xml:space="preserve"> </w:t>
      </w:r>
      <w:r>
        <w:rPr>
          <w:rFonts w:ascii="Arial" w:cs="Arial" w:eastAsia="Arial" w:hAnsi="Arial"/>
          <w:sz w:val="20"/>
          <w:szCs w:val="20"/>
          <w:color w:val="000000"/>
        </w:rPr>
        <w:t>operations, Pollution Legal Liability Insurance and/or Environmental Impairment Insurance covering claims for damage or injury caused by hazardous materials, with limits of liability reasonably determined by Landlord;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-325120</wp:posOffset>
            </wp:positionV>
            <wp:extent cx="14465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166"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010000"/>
        </w:rPr>
        <w:t xml:space="preserve">11.2.7 </w:t>
      </w:r>
      <w:r>
        <w:rPr>
          <w:rFonts w:ascii="Arial" w:cs="Arial" w:eastAsia="Arial" w:hAnsi="Arial"/>
          <w:sz w:val="20"/>
          <w:szCs w:val="20"/>
          <w:u w:val="single" w:color="auto"/>
          <w:color w:val="000000"/>
        </w:rPr>
        <w:t>Umbrella/Excess Insurance.</w:t>
      </w:r>
      <w:r>
        <w:rPr>
          <w:rFonts w:ascii="Arial" w:cs="Arial" w:eastAsia="Arial" w:hAnsi="Arial"/>
          <w:sz w:val="20"/>
          <w:szCs w:val="20"/>
          <w:color w:val="010000"/>
        </w:rPr>
        <w:t xml:space="preserve"> </w:t>
      </w:r>
      <w:r>
        <w:rPr>
          <w:rFonts w:ascii="Arial" w:cs="Arial" w:eastAsia="Arial" w:hAnsi="Arial"/>
          <w:sz w:val="20"/>
          <w:szCs w:val="20"/>
          <w:color w:val="000000"/>
        </w:rPr>
        <w:t>An umbrella liability policy or excess liability policy having a limit of not</w:t>
      </w:r>
      <w:r>
        <w:rPr>
          <w:rFonts w:ascii="Arial" w:cs="Arial" w:eastAsia="Arial" w:hAnsi="Arial"/>
          <w:sz w:val="20"/>
          <w:szCs w:val="20"/>
          <w:color w:val="010000"/>
        </w:rPr>
        <w:t xml:space="preserve"> </w:t>
      </w:r>
      <w:r>
        <w:rPr>
          <w:rFonts w:ascii="Arial" w:cs="Arial" w:eastAsia="Arial" w:hAnsi="Arial"/>
          <w:sz w:val="20"/>
          <w:szCs w:val="20"/>
          <w:color w:val="000000"/>
        </w:rPr>
        <w:t>less than $3,000,000.00, which policy shall be in “following form” and shall provide that if the underlying aggregate is exhausted, the excess coverage will drop down as primary insurance. Such umbrella liability policy or excess liability policy shall include coverage for additional insureds.</w:t>
      </w:r>
    </w:p>
    <w:p>
      <w:pPr>
        <w:spacing w:after="0" w:line="191"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19"/>
          <w:szCs w:val="19"/>
          <w:color w:val="010000"/>
        </w:rPr>
        <w:t xml:space="preserve">11.2.8 </w:t>
      </w:r>
      <w:r>
        <w:rPr>
          <w:rFonts w:ascii="Arial" w:cs="Arial" w:eastAsia="Arial" w:hAnsi="Arial"/>
          <w:sz w:val="19"/>
          <w:szCs w:val="19"/>
          <w:u w:val="single" w:color="auto"/>
          <w:color w:val="000000"/>
        </w:rPr>
        <w:t>General</w:t>
      </w:r>
      <w:r>
        <w:rPr>
          <w:rFonts w:ascii="Arial" w:cs="Arial" w:eastAsia="Arial" w:hAnsi="Arial"/>
          <w:sz w:val="19"/>
          <w:szCs w:val="19"/>
          <w:color w:val="000000"/>
        </w:rPr>
        <w:t>. The insurer shall be authorized to do business in the state in which the Premises is located and</w:t>
      </w:r>
      <w:r>
        <w:rPr>
          <w:rFonts w:ascii="Arial" w:cs="Arial" w:eastAsia="Arial" w:hAnsi="Arial"/>
          <w:sz w:val="19"/>
          <w:szCs w:val="19"/>
          <w:color w:val="010000"/>
        </w:rPr>
        <w:t xml:space="preserve"> </w:t>
      </w:r>
      <w:r>
        <w:rPr>
          <w:rFonts w:ascii="Arial" w:cs="Arial" w:eastAsia="Arial" w:hAnsi="Arial"/>
          <w:sz w:val="19"/>
          <w:szCs w:val="19"/>
          <w:color w:val="000000"/>
        </w:rPr>
        <w:t>be rated at least “A VIII” (or higher if required by a Mortgagee) as determined by A.M. Best Company. Tenant shall deliver to Landlord certificates of insurance for all insurance required to be maintained by Tenant in the form of ACORD 28 and ACORD 25-S (or in a form acceptable to Landlord in its reasonable discretion), on or before the Commencement Date or any earlier date on which Tenant or any Tenant Party accesses the Premises and, at least 10 days prior to the expiration of any required coverage. If Tenant shall fail, refuse or neglect to maintain any insurance that Tenant is required to provide hereunder, or to furnish Landlord with satisfactory evidence of coverage within the time required, then, in addition to other remedies available to Tenant, Landlord may immediately obtain such insurance and the cost thereof shall be payable by Tenant to Landlord upon demand, as Additional Rent, or at Landlord’s sole option, Landlord may impose on Tenant, as Additional Rent, a monthly delinquency fee, for each month</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0" w:name="page191"/>
    <w:bookmarkEnd w:id="190"/>
    <w:p>
      <w:pPr>
        <w:jc w:val="both"/>
        <w:spacing w:after="0" w:line="270" w:lineRule="auto"/>
        <w:rPr>
          <w:sz w:val="20"/>
          <w:szCs w:val="20"/>
          <w:color w:val="auto"/>
        </w:rPr>
      </w:pPr>
      <w:r>
        <w:rPr>
          <w:rFonts w:ascii="Arial" w:cs="Arial" w:eastAsia="Arial" w:hAnsi="Arial"/>
          <w:sz w:val="18"/>
          <w:szCs w:val="18"/>
          <w:color w:val="auto"/>
        </w:rPr>
        <w:t>during which Tenant fails to comply with the foregoing obligation, in an amount equal to 5% of the Base Rent then in effect. If Tenant does anything or fails to do anything which increases the cost of Landlord’s insurance or prevents Landlord from procuring policies from companies and in form satisfactory to Landlord, then Tenant shall pay the amount of such increase as Additional Rent within 30 days after being billed therefor. Landlord, Landlord’s Mortgagee, if any, and any other party designated by Landlord, as their interests may appear, shall be named as additional insureds (“</w:t>
      </w:r>
      <w:r>
        <w:rPr>
          <w:rFonts w:ascii="Arial" w:cs="Arial" w:eastAsia="Arial" w:hAnsi="Arial"/>
          <w:sz w:val="18"/>
          <w:szCs w:val="18"/>
          <w:b w:val="1"/>
          <w:bCs w:val="1"/>
          <w:color w:val="auto"/>
        </w:rPr>
        <w:t>Additional Insureds</w:t>
      </w:r>
      <w:r>
        <w:rPr>
          <w:rFonts w:ascii="Arial" w:cs="Arial" w:eastAsia="Arial" w:hAnsi="Arial"/>
          <w:sz w:val="18"/>
          <w:szCs w:val="18"/>
          <w:color w:val="auto"/>
        </w:rPr>
        <w:t>”) under Insurance Services Office endorsement CG 20 10 04 13 or equivalent under all of the policies required by Sections 11.2.1, 11.2.2, 11.2.6 and 11.2.7, which (a) endorsement shall be included with Tenant’s certificates of insurance, and (b) policies shall provide for severability of interest and shall be primary as respects the Additional Insureds, and any insurance maintained by the Additional Insureds shall be excess and non-contributing. The limits and types of insurance maintained by Tenant shall not limit Tenant’s liability under this Lease. Tenant shall notify Landlord within 24 hours after the occurrence of any accidents or incidents in the Premises, the Property or the Project which could give rise to a claim under any of the insurance policies required under this Section 11. Tenant shall not be permitted to satisfy any of its insurance obligations set forth in this Lease with deductible amounts, or through any self-insurance or self-insured retention, in excess of $25,000.00.</w:t>
      </w:r>
    </w:p>
    <w:p>
      <w:pPr>
        <w:spacing w:after="0" w:line="17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color w:val="auto"/>
        </w:rPr>
        <w:t>Mutual Waiver of Subrogation</w:t>
      </w:r>
      <w:r>
        <w:rPr>
          <w:rFonts w:ascii="Arial" w:cs="Arial" w:eastAsia="Arial" w:hAnsi="Arial"/>
          <w:sz w:val="19"/>
          <w:szCs w:val="19"/>
          <w:color w:val="auto"/>
        </w:rPr>
        <w:t>. Each party waives, and shall cause its insurance carrier to waive, any right of recovery against the other for any loss of or damage to property which loss or damage is (or, if the insurance required hereunder had been carried, would have been) covered under the terms of any property, general liability or other policy of insurance, to the extent such releases or waivers are permitted under applicable law; provided, however, such waiver by Landlord shall not be effective with respect to Tenant’s liability described in Section 15 below. The failure of a party to insure its property shall not void this waiver. For purposes of this Section 11.3 (but subject to the terms of Section 12.1 below), any deductible with respect to a party’s insurance shall be deemed covered by, and recoverable by such party under, valid and collectible policies of insurance.</w:t>
      </w:r>
    </w:p>
    <w:p>
      <w:pPr>
        <w:spacing w:after="0" w:line="172" w:lineRule="exact"/>
        <w:rPr>
          <w:sz w:val="20"/>
          <w:szCs w:val="20"/>
          <w:color w:val="auto"/>
        </w:rPr>
      </w:pPr>
    </w:p>
    <w:p>
      <w:pPr>
        <w:ind w:left="900" w:hanging="892"/>
        <w:spacing w:after="0"/>
        <w:tabs>
          <w:tab w:leader="none" w:pos="900" w:val="left"/>
        </w:tabs>
        <w:numPr>
          <w:ilvl w:val="0"/>
          <w:numId w:val="151"/>
        </w:numPr>
        <w:rPr>
          <w:rFonts w:ascii="Arial" w:cs="Arial" w:eastAsia="Arial" w:hAnsi="Arial"/>
          <w:sz w:val="20"/>
          <w:szCs w:val="20"/>
          <w:color w:val="auto"/>
        </w:rPr>
      </w:pPr>
      <w:r>
        <w:rPr>
          <w:rFonts w:ascii="Arial" w:cs="Arial" w:eastAsia="Arial" w:hAnsi="Arial"/>
          <w:sz w:val="20"/>
          <w:szCs w:val="20"/>
          <w:b w:val="1"/>
          <w:bCs w:val="1"/>
          <w:u w:val="single" w:color="auto"/>
          <w:color w:val="auto"/>
        </w:rPr>
        <w:t>REPAIRS AND MAINTENANCE</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Tenant Obligations</w:t>
      </w:r>
      <w:r>
        <w:rPr>
          <w:rFonts w:ascii="Arial" w:cs="Arial" w:eastAsia="Arial" w:hAnsi="Arial"/>
          <w:sz w:val="18"/>
          <w:szCs w:val="18"/>
          <w:color w:val="auto"/>
        </w:rPr>
        <w:t>. Tenant, at Tenant’s sole cost and expense, shall (a) subject to Landlord’s obligations set forth in this Lease, keep the Premises in a neat and orderly condition, and (b) Maintain all telephone, telecommunications, data and other communication lines and equipment and vivarium spaces within the Premises and Tenant shall have the option to Maintain those areas of the Building that are Landlord’s responsibility pursuant to Section 12.2 below (except for the Building footings, foundations, structural steel columns and girders and the Building roof and exterior walls), upon 30 days’ prior written notice to Landlord. Notwithstanding the foregoing, in the event Tenant thereafter fails to Maintain those areas of the Building that Tenant elected to Maintain in accordance with the aforesaid sentence to Landlord’s reasonable satisfaction, Landlord may elect to Maintain such areas again pursuant to Section 12.2 below. In addition to the foregoing, Tenant, at its sole cost, shall be responsible for the following: security; janitorial; trash and recyclables collection services (including dumpsters). Tenant Maintenance work shall be subject to the applicable provisions of Section 13.1 of this Lease. Tenant, at Tenant’s option upon written notice to Landlord and then at Tenant’s sole cost, shall enter into a regularly scheduled preventive maintenance/service contract (“</w:t>
      </w:r>
      <w:r>
        <w:rPr>
          <w:rFonts w:ascii="Arial" w:cs="Arial" w:eastAsia="Arial" w:hAnsi="Arial"/>
          <w:sz w:val="18"/>
          <w:szCs w:val="18"/>
          <w:b w:val="1"/>
          <w:bCs w:val="1"/>
          <w:color w:val="auto"/>
        </w:rPr>
        <w:t>Service Contract</w:t>
      </w:r>
      <w:r>
        <w:rPr>
          <w:rFonts w:ascii="Arial" w:cs="Arial" w:eastAsia="Arial" w:hAnsi="Arial"/>
          <w:sz w:val="18"/>
          <w:szCs w:val="18"/>
          <w:color w:val="auto"/>
        </w:rPr>
        <w:t>”) with a maintenance contractor reasonably acceptable to Landlord for servicing (a) all heating ventilation, and air conditioning systems and equipment inside or serving the Building (collectively, the “</w:t>
      </w:r>
      <w:r>
        <w:rPr>
          <w:rFonts w:ascii="Arial" w:cs="Arial" w:eastAsia="Arial" w:hAnsi="Arial"/>
          <w:sz w:val="18"/>
          <w:szCs w:val="18"/>
          <w:b w:val="1"/>
          <w:bCs w:val="1"/>
          <w:color w:val="auto"/>
        </w:rPr>
        <w:t>HVAC System</w:t>
      </w:r>
      <w:r>
        <w:rPr>
          <w:rFonts w:ascii="Arial" w:cs="Arial" w:eastAsia="Arial" w:hAnsi="Arial"/>
          <w:sz w:val="18"/>
          <w:szCs w:val="18"/>
          <w:color w:val="auto"/>
        </w:rPr>
        <w:t xml:space="preserve">”) in compliance with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attached hereto, and (b) all dock equipment serving the Building. If Tenant elects to maintain the Service Contract, Tenant shall deliver full and complete copies of the Service Contract to Landlord at the commencement of each Lease Year and upon demand from Landlord. All Maintenance by Tenant shall utilize materials and equipment which meet or exceed the quality of those originally used in constructing the Building and Premises. In the event Tenant fails, in the reasonable judgment of Landlord, to Maintain the Building in accordance with this Lease, which failure continues at the end of 15 days following Tenant’s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1" w:name="page192"/>
    <w:bookmarkEnd w:id="191"/>
    <w:p>
      <w:pPr>
        <w:jc w:val="both"/>
        <w:spacing w:after="0" w:line="257" w:lineRule="auto"/>
        <w:rPr>
          <w:sz w:val="20"/>
          <w:szCs w:val="20"/>
          <w:color w:val="auto"/>
        </w:rPr>
      </w:pPr>
      <w:r>
        <w:rPr>
          <w:rFonts w:ascii="Arial" w:cs="Arial" w:eastAsia="Arial" w:hAnsi="Arial"/>
          <w:sz w:val="19"/>
          <w:szCs w:val="19"/>
          <w:color w:val="auto"/>
        </w:rPr>
        <w:t>receipt of written notice from Landlord stating the nature of the failure, or in the case of an emergency immediately without prior notice, Landlord shall have the right to enter the Building and perform such Maintenance at Tenant’s sole cost and expense (including a sum for overhead to Landlord equal to 10% of the costs of maintenance, repairs or refurbishing). Notwithstanding anything contained in this Lease to the contrary, Tenant shall be solely responsible for all costs and expenses incurred by Landlord for any Alterations, or other Maintenance made necessary because of the negligence or willful misconduct of Tenant or any Tenant Party, Tenant Alterations, Tenant’s special or particular use of the Building and Tenant voiding a warranty that would otherwise have covered a cost, in each case, to the extent not covered by applicable insurance proceeds paid to Landlord (Tenant being responsible for Landlord’s commercially reasonable deductible notwithstanding the waiver of claims set forth in Section 11.3).</w:t>
      </w:r>
    </w:p>
    <w:p>
      <w:pPr>
        <w:spacing w:after="0" w:line="174"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Landlord Obligations</w:t>
      </w:r>
      <w:r>
        <w:rPr>
          <w:rFonts w:ascii="Arial" w:cs="Arial" w:eastAsia="Arial" w:hAnsi="Arial"/>
          <w:sz w:val="18"/>
          <w:szCs w:val="18"/>
          <w:color w:val="auto"/>
        </w:rPr>
        <w:t>. Landlord, in accordance with first-class standards of other similar buildings in the Wilmington, Delaware market area, shall: (a) at Landlord’s sole expense, without reimbursement from Tenant, Maintain the Building footings, foundations, structural steel columns and girders; and (b) as an Operating Expense, Maintain (i) the Building roof and exterior walls (including, without limitation, exterior façade painting and caulk repair); (ii) the base Building life safety systems (including, but not limited to, fire sprinkler systems, fire pumps and fire alarm panels and devices); (iii) the main utility lines to the point of connection into the Building (e.g., main electricity and water/sewer service to the Building); (iv) the irrigation systems, storm water facilities and detention ponds; (v) the Exterior Areas (including, without limitation, exterior landscaping, asphalt/concrete, sidewalks, parking areas, loading areas, driveways and any fencing on the Property); and (vi) all other portions of the Premises, including without limitation the Building Systems (including, without limitation, exterior lighting and supplemental life safety systems relating to Tenant’s use of the Premises, specialty sprinkler systems and fire suppression systems, the floor/concrete slab, subfloors and floor coverings, all interior and exterior doors and windows, all dock equipment (including dock doors, levelers, bumpers, dock shelters, ramps and dock lights), and the demarcation point or any other point of utility hook up or connection, in each case except as expressly set forth in Section 13.1 above as Tenant’s responsibility. In addition to the foregoing, Landlord, as Operating Expenses to the extent permitted under this Lease, shall be responsible for the following: maintaining the Service Contract; interior pest control; interior window cleaning; elevators; office/warehouse lighting (including all bulbs and ballasts); ceiling tiles; snow and ice removal; exterior pest control; exterior window cleaning; exterior stair systems; and sanitary lift stations. Notwithstanding the foregoing, Landlord shall not be required to make any repairs resulting from fire or other casualty or a Taking, except as provided in Sections 16 or 17 below. Landlord may change the shape and size of the Exterior Areas, including the addition of, elimination of or change to any improvements located in the Exterior Areas, so long as such change does not materially adversely affect Tenant’s ability to use the Premises for the Permitted Use. Tenant shall immediately notify Landlord in writing if Tenant becomes aware of (a) any areas of water intrusion or mold in or about the Premises, or (b) any condition that is Landlord’s responsibility to Maintain.</w:t>
      </w:r>
    </w:p>
    <w:p>
      <w:pPr>
        <w:spacing w:after="0" w:line="166" w:lineRule="exact"/>
        <w:rPr>
          <w:sz w:val="20"/>
          <w:szCs w:val="20"/>
          <w:color w:val="auto"/>
        </w:rPr>
      </w:pPr>
    </w:p>
    <w:p>
      <w:pPr>
        <w:ind w:left="900" w:hanging="892"/>
        <w:spacing w:after="0"/>
        <w:tabs>
          <w:tab w:leader="none" w:pos="900" w:val="left"/>
        </w:tabs>
        <w:numPr>
          <w:ilvl w:val="0"/>
          <w:numId w:val="152"/>
        </w:numPr>
        <w:rPr>
          <w:rFonts w:ascii="Arial" w:cs="Arial" w:eastAsia="Arial" w:hAnsi="Arial"/>
          <w:sz w:val="20"/>
          <w:szCs w:val="20"/>
          <w:color w:val="auto"/>
        </w:rPr>
      </w:pPr>
      <w:r>
        <w:rPr>
          <w:rFonts w:ascii="Arial" w:cs="Arial" w:eastAsia="Arial" w:hAnsi="Arial"/>
          <w:sz w:val="20"/>
          <w:szCs w:val="20"/>
          <w:b w:val="1"/>
          <w:bCs w:val="1"/>
          <w:u w:val="single" w:color="auto"/>
          <w:color w:val="auto"/>
        </w:rPr>
        <w:t>ALTERATIONS; LIENS</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b w:val="1"/>
          <w:bCs w:val="1"/>
          <w:color w:val="auto"/>
        </w:rPr>
        <w:t>Alterations</w:t>
      </w:r>
      <w:r>
        <w:rPr>
          <w:rFonts w:ascii="Arial" w:cs="Arial" w:eastAsia="Arial" w:hAnsi="Arial"/>
          <w:sz w:val="19"/>
          <w:szCs w:val="19"/>
          <w:color w:val="auto"/>
        </w:rPr>
        <w:t>. Tenant, at its sole cost, may install necessary trade fixtures, equipment and furniture in the Premises (it being agreed that such installation shall not be deemed an Alteration), provided that the installation and removal of them will not adversely affect any structural portion of the Property, any Building System or any other equipment or facilities serving the Building. Except for any Alterations or Tenant Maintenance work that, in either instance, (a) does not exceed $50,000.00 in any one instance, (b) does not require a building permit or other similar instrument issued by the applicable governmental authority having jurisdiction, and (c) does not affect any Building System or any structural components of the Building, Tenant shall not construct, nor allow to be constructed, any Alterations or Tenant Maintenance work in the Premises or on the Property or the Project without obtaining the prior written consent of Landlord, which consent shall not be unreasonably withheld, conditioned or delayed. With respect to any</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2" w:name="page193"/>
    <w:bookmarkEnd w:id="192"/>
    <w:p>
      <w:pPr>
        <w:jc w:val="both"/>
        <w:spacing w:after="0" w:line="269" w:lineRule="auto"/>
        <w:rPr>
          <w:sz w:val="20"/>
          <w:szCs w:val="20"/>
          <w:color w:val="auto"/>
        </w:rPr>
      </w:pPr>
      <w:r>
        <w:rPr>
          <w:rFonts w:ascii="Arial" w:cs="Arial" w:eastAsia="Arial" w:hAnsi="Arial"/>
          <w:sz w:val="18"/>
          <w:szCs w:val="18"/>
          <w:color w:val="auto"/>
        </w:rPr>
        <w:t>Alterations or Tenant Maintenance work made by or on behalf of Tenant (whether or not it requires Landlord’s consent): (a) not less than 10 days prior to commencing any Alteration or Tenant Maintenance work, Tenant shall deliver to Landlord the plans, specifications and necessary permits for the Alteration or Tenant Maintenance work; (b) Tenant shall obtain Landlord’s prior written approval of any contractor or subcontractor, not to be unreasonably withheld, conditioned or delayed; (c) the Alteration or Tenant Maintenance work shall be constructed with new materials, in a good and workmanlike manner, and in compliance with all Applicable Laws and the plans and specifications delivered to and, if required hereunder, approved by Landlord; (d) the Alteration or Tenant Maintenance work shall be completed promptly after the commencement thereof; and (e) Tenant shall pay Landlord all reasonable and actual out of pocket costs and expenses in connection with Landlord’s review of Tenant’s plans and specifications that affects any structural portion of the Property or any Building System; and (f) if the cost of the Alteration or Tenant Maintenance work exceeds $500,000.00 (excluding the cost of any equipment being installed as a part thereof), then upon Landlord’s request (which request shall take into consideration Tenant’s then tangible net worth), in the exercise of Landlord’s reasonable discretion, Tenant shall, prior to commencing any Alteration or Tenant Maintenance work, provide Landlord reasonable security against liens arising out of such construction. Upon completion, Tenant shall furnish Landlord with (i) “as-built” plans (in CAD format, if requested by Landlord) for Alterations (at Landlord’s expense), completion affidavits and full and final waivers of lien, and (ii) the warranties from Tenant’s contractor(s), which shall be for the benefit of Landlord as well as Tenant. Any Alteration by Tenant shall be the property of Tenant until the expiration or earlier termination of this Lease and Tenant shall have the right, but not the obligation to remove same at such time unless if, with respect to any specialty Alteration only, such removal is directed by Landlord at the time of its consent to an Alteration (which shall not be unreasonably required) in which case, Tenant, at its sole cost, shall remove any such specialty Alteration(s) and repair all damage caused by the installation or removal thereof.</w:t>
      </w:r>
    </w:p>
    <w:p>
      <w:pPr>
        <w:spacing w:after="0" w:line="16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Liens</w:t>
      </w:r>
      <w:r>
        <w:rPr>
          <w:rFonts w:ascii="Arial" w:cs="Arial" w:eastAsia="Arial" w:hAnsi="Arial"/>
          <w:sz w:val="18"/>
          <w:szCs w:val="18"/>
          <w:color w:val="auto"/>
        </w:rPr>
        <w:t>. Tenant, at its sole cost, shall promptly pay and discharge all claims for labor performed, supplies furnished and services rendered at the request of Tenant and shall keep the Premises free of all mechanics’ and materialmen’s liens in connection therewith. Tenant, at its sole cost, shall remove any such lien within 45 days after notice from Landlord, and if Tenant fails to do so, an Event of Default by Tenant shall have occurred, and thereafter, Landlord, without limiting its remedies, may bond, insure over or otherwise pay the amount necessary to cause such removal, whether or not such lien is valid. The amount so paid, together with reasonable attorneys’ fees and expenses, shall be reimbursed by Tenant upon demand accompanied by reasonable backup documentation.</w:t>
      </w:r>
    </w:p>
    <w:p>
      <w:pPr>
        <w:spacing w:after="0" w:line="16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13.3 Tenant shall have the right, at Tenant’s sole cost and expense, to purchase, use, install and Maintain a controlled access system to the Premises (including within the office space, in the base Building stairwells connecting Tenant’s floors, Building lobby [key card system and/or turnstiles] and elevator cabs), without consent by Landlord provided that Tenant complies with Sections 12 and 13 of this Lease. If Tenant elects to install its own controlled access system, Landlord shall ensure that the Building’s system will integrate with Tenant’s systems such that they will work off a single key card or the Building’s system will recognize Tenant’s access cards.</w:t>
      </w:r>
    </w:p>
    <w:p>
      <w:pPr>
        <w:spacing w:after="0" w:line="159" w:lineRule="exact"/>
        <w:rPr>
          <w:sz w:val="20"/>
          <w:szCs w:val="20"/>
          <w:color w:val="auto"/>
        </w:rPr>
      </w:pPr>
    </w:p>
    <w:p>
      <w:pPr>
        <w:jc w:val="both"/>
        <w:ind w:firstLine="8"/>
        <w:spacing w:after="0" w:line="275" w:lineRule="auto"/>
        <w:tabs>
          <w:tab w:leader="none" w:pos="895"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RIGHT OF ENTRY</w:t>
      </w:r>
      <w:r>
        <w:rPr>
          <w:rFonts w:ascii="Arial" w:cs="Arial" w:eastAsia="Arial" w:hAnsi="Arial"/>
          <w:sz w:val="18"/>
          <w:szCs w:val="18"/>
          <w:color w:val="auto"/>
        </w:rPr>
        <w:t>. Landlord reserves the right to enter the office portions of the Premises or any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other than the Excluded Areas (except as required by an emergency that constitutes an imminent danger to persons or property or as required by this Lease or as required by any Applicable Laws), in each case when accompanied by a representative of Tenant and upon reasonable advance notice to Tenant (including telephonic notice to Tim Mueller at (302) 530-0529 with receipt confirmed by Tim Mueller [which contact person may be updated at any time by Tenant upon notice to Landlord], but excluding notice in case of an emergency, which shall be provided as soon as reasonably practicable following entry) and/or to undertake the following, all without abatement of rent or liability to Tenant except due to the gross negligence or willful misconduct of Landlord, its employees, agents and</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3" w:name="page194"/>
    <w:bookmarkEnd w:id="193"/>
    <w:p>
      <w:pPr>
        <w:jc w:val="both"/>
        <w:spacing w:after="0" w:line="270" w:lineRule="auto"/>
        <w:rPr>
          <w:sz w:val="20"/>
          <w:szCs w:val="20"/>
          <w:color w:val="auto"/>
        </w:rPr>
      </w:pPr>
      <w:r>
        <w:rPr>
          <w:rFonts w:ascii="Arial" w:cs="Arial" w:eastAsia="Arial" w:hAnsi="Arial"/>
          <w:sz w:val="18"/>
          <w:szCs w:val="18"/>
          <w:color w:val="auto"/>
        </w:rPr>
        <w:t>contractors: to inspect, monitor, investigate, test or Maintain the Premises and/or the Property; to verify Tenant is complying with its obligations hereunder; to perform Landlord’s obligations hereunder; to make permitted, or inspect Tenant, Alterations; to install, use, Maintain, alter or relocate any pipes, ducts, conduits, wires, equipment and other facilities in the Exterior Area or the Building as requested by Tenant or as required by an emergency, any Applicable Laws or any governmental authority having jurisdiction; to install, Maintain and operate conduit cabling within the utility and/or conduit ducts and risers within the Building as requested by Tenant or as required by an emergency, any Applicable Laws or any governmental authority having jurisdiction; or to show the Premises for the purpose of sale, insurance or financing, or, during the last 12 months of the Term (or following any Event of Default), to show the Premises to prospective tenants. If reasonably necessary, Landlord may temporarily close all or a portion of the Premises to perform repairs, alterations and additions. However, except in emergencies, Landlord will not close the Premises if the work can reasonably be completed on weekends and after normal business hours. Landlord will make reasonable efforts not to inconvenience Tenant in exercising such rights. Such entry by Landlord shall not constitute a constructive eviction (so long as Landlord complies with its obligations hereunder) or entitle Tenant to an abatement or reduction of Rent. The “</w:t>
      </w:r>
      <w:r>
        <w:rPr>
          <w:rFonts w:ascii="Arial" w:cs="Arial" w:eastAsia="Arial" w:hAnsi="Arial"/>
          <w:sz w:val="18"/>
          <w:szCs w:val="18"/>
          <w:b w:val="1"/>
          <w:bCs w:val="1"/>
          <w:color w:val="auto"/>
        </w:rPr>
        <w:t>Excluded Areas</w:t>
      </w:r>
      <w:r>
        <w:rPr>
          <w:rFonts w:ascii="Arial" w:cs="Arial" w:eastAsia="Arial" w:hAnsi="Arial"/>
          <w:sz w:val="18"/>
          <w:szCs w:val="18"/>
          <w:color w:val="auto"/>
        </w:rPr>
        <w:t>” shall mean all non-office areas of the Premises.</w:t>
      </w:r>
    </w:p>
    <w:p>
      <w:pPr>
        <w:spacing w:after="0" w:line="170" w:lineRule="exact"/>
        <w:rPr>
          <w:sz w:val="20"/>
          <w:szCs w:val="20"/>
          <w:color w:val="auto"/>
        </w:rPr>
      </w:pPr>
    </w:p>
    <w:p>
      <w:pPr>
        <w:ind w:left="900" w:hanging="892"/>
        <w:spacing w:after="0"/>
        <w:tabs>
          <w:tab w:leader="none" w:pos="900" w:val="left"/>
        </w:tabs>
        <w:numPr>
          <w:ilvl w:val="0"/>
          <w:numId w:val="154"/>
        </w:numPr>
        <w:rPr>
          <w:rFonts w:ascii="Arial" w:cs="Arial" w:eastAsia="Arial" w:hAnsi="Arial"/>
          <w:sz w:val="20"/>
          <w:szCs w:val="20"/>
          <w:color w:val="auto"/>
        </w:rPr>
      </w:pPr>
      <w:r>
        <w:rPr>
          <w:rFonts w:ascii="Arial" w:cs="Arial" w:eastAsia="Arial" w:hAnsi="Arial"/>
          <w:sz w:val="20"/>
          <w:szCs w:val="20"/>
          <w:b w:val="1"/>
          <w:bCs w:val="1"/>
          <w:u w:val="single" w:color="auto"/>
          <w:color w:val="auto"/>
        </w:rPr>
        <w:t>ENVIRONMENTAL MATTERS</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15.1 Tenant shall not cause, nor allow any of Tenant’s Parties to cause, any Hazardous Materials to be brought upon, stored, manufactured, generated, blended, handled, recycled, treated, disposed or used on, in, under or about the Premises, the Property or the Project, except in accordance with all applicable Environmental Laws. Tenant shall not install, operate or maintain any above or below grade tank, sump, pit, pond, lagoon or other storage or treatment vessel or device on the Property without Landlord’s prior written consent which may be withheld in Landlord’s sole discretion. Tenant shall neither create, nor permit any Tenant Party to create any environmental lien of any kind with respect to the Property, including without limitation, any lien imposed pursuant to Section 107(f) of the Superfund Amendments and Reauthorization Act of 1986 (42 U.S.C. Section 9607(1)) or any similar state statute. As defined in Environmental Laws, Tenant is and shall be deemed to be the “operator” of Tenant’s “facility” and the “owner” of all Hazardous Materials brought on the Premises by Tenant, its agents, employees, contractors or invitees, and the wastes, by-products, or residues generated, resulting, or produced therefrom. Tenant and Tenant’s Parties shall promptly notify Landlord and the respective property manager in writing of the violation of any Environmental Law or presence or suspected presence of any Hazardous Materials, in, on, under or about the Premises or the improvements or the soil or groundwater thereunder, except as set forth in the Reports. Landlord shall have the right to enter upon and inspect the Premises and to conduct tests, monitoring and investigations with respect to any contamination at the Premises at Landlord’s sole cost and expense in accordance with the terms of this Lease, provided Landlord shall use commercially reasonable efforts not to interfere with Tenant’s use and occupancy of the Premises. Within 10 business days following receipt by Tenant of a written request therefor from Landlord from time to time (which request shall not be made more often than once annually), Tenant shall provide Landlord with a list of all Hazardous Materials then being used by Tenant in the Premises where the quantity of any such applicable solid exceeds 1 kilogram and any such applicable solvent exceeds 10 liters; any such information shall be treated as confidential by Landlord and any party that receives same must first enter into a commercially reasonable non-disclosure agreement with Tenant. Tenant shall indemnify, protect, defend (by counsel reasonably acceptable to Landlord) and hold harmless the Indemnitees from and against any and all Losses in connection with (a) Tenant and/or any Tenant Party’s breach of this Section 15, or (b) the presence of Hazardous Materials on, in, under or about the Premises, the Property, the Project or other property as a result (directly or indirectly) of the acts or omissions (with respect to omissions, only to the extent in violation of this Lease or Applicable Laws) of Tenant and/or any Tenant Party. This indemnity shall include, without limitation, any Losses arising from or in connection with (i) the effects of any contamination or injury to person, property or the environment created by the acts or omissions (with</w:t>
      </w:r>
    </w:p>
    <w:p>
      <w:pPr>
        <w:spacing w:after="0" w:line="200" w:lineRule="exact"/>
        <w:rPr>
          <w:sz w:val="20"/>
          <w:szCs w:val="20"/>
          <w:color w:val="auto"/>
        </w:rPr>
      </w:pPr>
    </w:p>
    <w:p>
      <w:pPr>
        <w:spacing w:after="0" w:line="20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4" w:name="page195"/>
    <w:bookmarkEnd w:id="194"/>
    <w:p>
      <w:pPr>
        <w:jc w:val="both"/>
        <w:spacing w:after="0" w:line="254" w:lineRule="auto"/>
        <w:rPr>
          <w:sz w:val="20"/>
          <w:szCs w:val="20"/>
          <w:color w:val="auto"/>
        </w:rPr>
      </w:pPr>
      <w:r>
        <w:rPr>
          <w:rFonts w:ascii="Arial" w:cs="Arial" w:eastAsia="Arial" w:hAnsi="Arial"/>
          <w:sz w:val="19"/>
          <w:szCs w:val="19"/>
          <w:color w:val="auto"/>
        </w:rPr>
        <w:t>respect to omissions, only to the extent in violation of this Lease or Applicable Laws) of Tenant and/or any Tenant Party, (ii) the cost of any required or necessary repair, cleanup or detoxification, and the preparation and implementation of any closure, monitoring or other required plans, due to any such contamination created by the acts or omissions (with respect to omissions, only to the extent in violation of this Lease or Applicable Laws) of Tenant and/or any Tenant Party, (iii) interest, penalties and damages arising from claims brought by or on behalf of employees of Tenant with respect to any such contamination created by Tenant or a Tenant Party (with respect to which Tenant waives any right to raise as a defense against Landlord any immunity to which it may be entitled under any worker’s compensation laws), and (iv) fees, costs or expenses incurred for the services of attorneys, consultants, contractors, experts, laboratories, and all other costs incurred in connection with the remediation of such introduction of Hazardous Materials or violation of such Environmental Laws by the acts or omissions (with respect to omissions, only to the extent in violation of this Lease or Applicable Laws) of Tenant and/or any Tenant Party. Landlord shall have the right to direct any and all remediation activities due to any such contamination created by the acts or omissions (with respect to omissions, only to the extent in violation of this Lease or Applicable Laws) of Tenant and/or any Tenant Party, all of which shall be performed at Tenant’s sole cost; provided that, if Landlord elects to direct such remediation, any cost or expense incurred to implement remediation that exceeds the minimum standard required by Environmental Laws or any governmental authority having jurisdiction shall be borne solely by Landlord. Neither the written consent by Landlord to the presence of Hazardous Materials on, in, under or about the Premises, nor the strict compliance by Tenant with all Environmental Laws, shall excuse Tenant from Tenant’s obligation of indemnification pursuant hereto. Tenant’s obligations pursuant to the foregoing indemnity shall survive the expiration or termination of this Lease.</w:t>
      </w:r>
    </w:p>
    <w:p>
      <w:pPr>
        <w:spacing w:after="0" w:line="187" w:lineRule="exact"/>
        <w:rPr>
          <w:sz w:val="20"/>
          <w:szCs w:val="20"/>
          <w:color w:val="auto"/>
        </w:rPr>
      </w:pPr>
    </w:p>
    <w:p>
      <w:pPr>
        <w:jc w:val="both"/>
        <w:ind w:firstLine="864"/>
        <w:spacing w:after="0" w:line="302" w:lineRule="auto"/>
        <w:rPr>
          <w:sz w:val="20"/>
          <w:szCs w:val="20"/>
          <w:color w:val="auto"/>
        </w:rPr>
      </w:pPr>
      <w:r>
        <w:rPr>
          <w:rFonts w:ascii="Arial" w:cs="Arial" w:eastAsia="Arial" w:hAnsi="Arial"/>
          <w:sz w:val="16"/>
          <w:szCs w:val="16"/>
          <w:color w:val="auto"/>
        </w:rPr>
        <w:t>15.2 Notwithstanding the foregoing, Tenant shall not be responsible for any contamination of the Premises which (i) exists in, on or about the Premises or Project prior to the Commencement Date, or (ii) results from any activity which occurred in, on or about the Premises prior to the Commencement Date, in each case, unless and to the extent caused by the acts or omissions (with respect to omissions, only to the extent in violation of this Lease or Applicable Laws) of Tenant or any Tenant Party. Landlord represents and warrants to Tenant that, to its actual knowledge except as set forth in that certain Phase I Environmental Site Assessment of the Property prepared by TRC Environmental Corporation, Inc. dated June 21, 2021, and that certain Phase II Environmental Site Assessment of the Property prepared by TRC Environmental Corporation, Inc. dated August 13, 2021, including any documents mentioned or cited to in either the Phase I or Phase</w:t>
      </w:r>
    </w:p>
    <w:p>
      <w:pPr>
        <w:spacing w:after="0" w:line="2" w:lineRule="exact"/>
        <w:rPr>
          <w:sz w:val="20"/>
          <w:szCs w:val="20"/>
          <w:color w:val="auto"/>
        </w:rPr>
      </w:pPr>
    </w:p>
    <w:p>
      <w:pPr>
        <w:jc w:val="both"/>
        <w:ind w:firstLine="8"/>
        <w:spacing w:after="0" w:line="266" w:lineRule="auto"/>
        <w:tabs>
          <w:tab w:leader="none" w:pos="2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Reports</w:t>
      </w:r>
      <w:r>
        <w:rPr>
          <w:rFonts w:ascii="Arial" w:cs="Arial" w:eastAsia="Arial" w:hAnsi="Arial"/>
          <w:sz w:val="18"/>
          <w:szCs w:val="18"/>
          <w:color w:val="auto"/>
        </w:rPr>
        <w:t>”), true, correct and complete copies of which have been provided to Tenant, the Property does not contain Hazardous Materials in amounts exceeding legally established maximum thresholds or that require reporting or remediation. Landlord shall</w:t>
      </w:r>
    </w:p>
    <w:p>
      <w:pPr>
        <w:jc w:val="both"/>
        <w:spacing w:after="0" w:line="267" w:lineRule="auto"/>
        <w:rPr>
          <w:rFonts w:ascii="Arial" w:cs="Arial" w:eastAsia="Arial" w:hAnsi="Arial"/>
          <w:sz w:val="18"/>
          <w:szCs w:val="18"/>
          <w:color w:val="auto"/>
        </w:rPr>
      </w:pPr>
      <w:r>
        <w:rPr>
          <w:rFonts w:ascii="Arial" w:cs="Arial" w:eastAsia="Arial" w:hAnsi="Arial"/>
          <w:sz w:val="18"/>
          <w:szCs w:val="18"/>
          <w:color w:val="auto"/>
        </w:rPr>
        <w:t>(i) take all actions required by Applicable Laws based on or arising as a result of the data, observations or findings set forth in the Reports (including without limitation designing, installing and maintaining vapor mitigation systems, where required, based upon data in the Reports or, where such data is inconclusive, upon subsequent vapor intrusion testing to be performed by Landlord, at its sole cost and expense, at each of the buildings included in the Premises at any time during the Term), all at Landlord’s sole cost and expense, (ii) except to the extent required by any governmental authority having jurisdiction or any Applicable Laws, during the Term, not agree to the placement of any use restrictions on the Premises or Property or Building 700 during the Term, without Tenant's prior written consent, such consent not to be unreasonably withheld, conditioned or delayed and to be promptly given by Tenant so long as such use restrictions do not materially interfere with Tenant’s business operations at the Premises or do not materially and adversely modify either Tenant’s obligations or rights and/or Landlord’s duties under the terms of this Lease, (iii) as a condition of the Landlord Work Substantial Completion Date, deliver to Tenant a reliance letter in commercially reasonable form permitting Tenant to rely on the Reports. If at any time during or after the Term, any portion of the Project is found to be contaminated from or as a result of any activity which occurred in or about the Project prior to the Commencement Date of this Lease, unless and to the extent caused by the acts or omissions (with respect to omissions, only to the extent in violation of this Lease or Applicable Laws) of Tenant or any Tenant Party, then Landlord will indemnify, defend and hold Tenant harmless from all claims, demands, actions, liabilities, costs, expenses, attorneys’ fees, damages and obligations of any nature arising from or as a result thereof, and Landlord shall cause the remediation thereof at no cost to Tenant. Landlord’s obligations pursuant to this subsection shall survive the expiration or termination of this Lease. If at any time during the Term of this Lease, any portion of the Property is found to be contaminated other than as a result of the acts or omissions (with respect to omissions, only to the extent in violation of this Lease or Applicable Laws) of Tenant or any Tenant Party, then Landlord will cause the performance of all necessary remediation activities to the extent required by Applicable Laws, at no cost to Tenant, unless and to the extent caused by the acts or omissions (with respect to omissions, only to the extent in violation of this Lease or Applicable Laws) of Tenant or</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5" w:name="page196"/>
    <w:bookmarkEnd w:id="195"/>
    <w:p>
      <w:pPr>
        <w:spacing w:after="0"/>
        <w:rPr>
          <w:sz w:val="20"/>
          <w:szCs w:val="20"/>
          <w:color w:val="auto"/>
        </w:rPr>
      </w:pPr>
      <w:r>
        <w:rPr>
          <w:rFonts w:ascii="Arial" w:cs="Arial" w:eastAsia="Arial" w:hAnsi="Arial"/>
          <w:sz w:val="20"/>
          <w:szCs w:val="20"/>
          <w:color w:val="auto"/>
        </w:rPr>
        <w:t>any Tenant Party.</w:t>
      </w:r>
    </w:p>
    <w:p>
      <w:pPr>
        <w:spacing w:after="0" w:line="210" w:lineRule="exact"/>
        <w:rPr>
          <w:sz w:val="20"/>
          <w:szCs w:val="20"/>
          <w:color w:val="auto"/>
        </w:rPr>
      </w:pPr>
    </w:p>
    <w:p>
      <w:pPr>
        <w:jc w:val="both"/>
        <w:ind w:firstLine="8"/>
        <w:spacing w:after="0" w:line="268" w:lineRule="auto"/>
        <w:tabs>
          <w:tab w:leader="none" w:pos="895"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DAMAGE AND DESTRUCTION</w:t>
      </w:r>
      <w:r>
        <w:rPr>
          <w:rFonts w:ascii="Arial" w:cs="Arial" w:eastAsia="Arial" w:hAnsi="Arial"/>
          <w:sz w:val="18"/>
          <w:szCs w:val="18"/>
          <w:color w:val="auto"/>
        </w:rPr>
        <w:t>. If at any time during the Term all or a portion of the Premises are damaged by a fire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casualty, then Tenant shall promptly notify Landlord upon becoming aware thereof. Within 30 days after Landlord becomes aware of such damage, Landlord shall notify Tenant as to the amount of time Landlord reasonably estimates it will take to restore the Premises (including the restoration of Landlord’s Work and any Alteration made by Landlord), including for modifications required by Applicable Laws, and excluding the repair, restoration or replacement of the fixtures, equipment, or Alterations made by Tenant or a Tenant Party (“</w:t>
      </w:r>
      <w:r>
        <w:rPr>
          <w:rFonts w:ascii="Arial" w:cs="Arial" w:eastAsia="Arial" w:hAnsi="Arial"/>
          <w:sz w:val="18"/>
          <w:szCs w:val="18"/>
          <w:b w:val="1"/>
          <w:bCs w:val="1"/>
          <w:color w:val="auto"/>
        </w:rPr>
        <w:t>Landlord’s</w:t>
      </w:r>
      <w:r>
        <w:rPr>
          <w:rFonts w:ascii="Arial" w:cs="Arial" w:eastAsia="Arial" w:hAnsi="Arial"/>
          <w:sz w:val="18"/>
          <w:szCs w:val="18"/>
          <w:color w:val="auto"/>
        </w:rPr>
        <w:t xml:space="preserve"> </w:t>
      </w:r>
      <w:r>
        <w:rPr>
          <w:rFonts w:ascii="Arial" w:cs="Arial" w:eastAsia="Arial" w:hAnsi="Arial"/>
          <w:sz w:val="18"/>
          <w:szCs w:val="18"/>
          <w:b w:val="1"/>
          <w:bCs w:val="1"/>
          <w:color w:val="auto"/>
        </w:rPr>
        <w:t>Repair Notice</w:t>
      </w:r>
      <w:r>
        <w:rPr>
          <w:rFonts w:ascii="Arial" w:cs="Arial" w:eastAsia="Arial" w:hAnsi="Arial"/>
          <w:sz w:val="18"/>
          <w:szCs w:val="18"/>
          <w:color w:val="auto"/>
        </w:rPr>
        <w:t>”). If the restoration time is estimated to exceed 9 months from the issuance of all permits, then either Landlord or Tenant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damage was caused by Tenant) may elect to terminate this Lease effective as of the date of casualty by giving notice to the other within 15 days after Landlord’s notice. Notwithstanding anything to the contrary contained in this Section, in the event such restoration is not, in fact, substantially completed within the time period set forth in Landlord’s Repair Notice, as such time period shall be extended for delays caused by Tenant or any Tenant Party and/or delays due to Force Majeure, then Tenant (unless the damage was caused by Tenant) shall have the option to terminate this Lease on 30 days prior written notice, provided, however, that if Tenant gives such notice of termination pursuant to this paragraph and Landlord then substantially completes the restoration and repair within such 30 day time period, then Tenant’s notice of termination shall be deemed revoked and this Lease shall continue in full force and effect. In addition, Landlord, by notice to Tenant within 30 days after the date of the fire or other casualty, shall have the right to terminate this Lease if the loss is not covered by the insurance maintained or required to be maintained by Landlord under this Lease. If this Lease is not, or cannot be, terminated in accordance with the foregoing, then, subject to delays due to Force Majeure (as defined below), Landlord shall commence to restore the Premises to substantially the same condition that existed immediately prior to the fire or other casualty (including Landlord’s Work and any Alteration made by Landlord), including modifications required by Applicable Laws, and excluding the repair, restoration or replacement of the fixtures, equipment, or Alterations made by Tenant or a Tenant Party Notwithstanding the foregoing, either party may terminate this Lease if the Premises are damaged by a fire or other casualty during the last year of the Term and Landlord reasonably estimates that it will take more than 3 months to repair such damage. Base Rent and Tenant’s Share of Real Property Taxes and Operating Expenses shall be abated for the period of Landlord’s repair and restoration obligations commencing on the date of such casualty event in the proportion which the area of the Premises, if any, which is untenantable bears to the total area of the Premises. Tenant agrees that the terms of this Section 16 shall govern any damage or destruction and shall accordingly supersede any contrary statute or rule of law.</w:t>
      </w:r>
    </w:p>
    <w:p>
      <w:pPr>
        <w:spacing w:after="0" w:line="176" w:lineRule="exact"/>
        <w:rPr>
          <w:rFonts w:ascii="Arial" w:cs="Arial" w:eastAsia="Arial" w:hAnsi="Arial"/>
          <w:sz w:val="18"/>
          <w:szCs w:val="18"/>
          <w:color w:val="auto"/>
        </w:rPr>
      </w:pPr>
    </w:p>
    <w:p>
      <w:pPr>
        <w:ind w:left="900" w:hanging="892"/>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CONDEMNATION</w:t>
      </w:r>
      <w:r>
        <w:rPr>
          <w:rFonts w:ascii="Arial" w:cs="Arial" w:eastAsia="Arial" w:hAnsi="Arial"/>
          <w:sz w:val="18"/>
          <w:szCs w:val="18"/>
          <w:color w:val="auto"/>
        </w:rPr>
        <w:t>. If all of the Premises is Taken, then this Lease shall terminate. If (a) any part of the Premises is Taken and</w:t>
      </w:r>
    </w:p>
    <w:p>
      <w:pPr>
        <w:spacing w:after="0" w:line="44" w:lineRule="exact"/>
        <w:rPr>
          <w:rFonts w:ascii="Arial" w:cs="Arial" w:eastAsia="Arial" w:hAnsi="Arial"/>
          <w:sz w:val="18"/>
          <w:szCs w:val="18"/>
          <w:color w:val="auto"/>
        </w:rPr>
      </w:pPr>
    </w:p>
    <w:p>
      <w:pPr>
        <w:jc w:val="both"/>
        <w:spacing w:after="0"/>
        <w:rPr>
          <w:rFonts w:ascii="Arial" w:cs="Arial" w:eastAsia="Arial" w:hAnsi="Arial"/>
          <w:sz w:val="18"/>
          <w:szCs w:val="18"/>
          <w:color w:val="auto"/>
        </w:rPr>
      </w:pPr>
      <w:r>
        <w:rPr>
          <w:rFonts w:ascii="Arial" w:cs="Arial" w:eastAsia="Arial" w:hAnsi="Arial"/>
          <w:sz w:val="20"/>
          <w:szCs w:val="20"/>
          <w:color w:val="auto"/>
        </w:rPr>
        <w:t>(i) the Taking would materially interfere with or impair Landlord’s ownership or operation of the Property and/or the Project, as determined in Landlord’s reasonable business judgment, and Landlord terminates or causes to be terminated all similarly situated leases in the Project whose spaces are similarly affected, or (ii) the remainder is insufficient for the reasonable operation of Tenant’s business, or (b) any of the Property or the Project is Taken and in Landlord’s opinion it would be impractical or the condemnation proceeds are insufficient to restore the remainder, in each case as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6" w:name="page197"/>
    <w:bookmarkEnd w:id="196"/>
    <w:p>
      <w:pPr>
        <w:jc w:val="both"/>
        <w:spacing w:after="0" w:line="269" w:lineRule="auto"/>
        <w:rPr>
          <w:sz w:val="20"/>
          <w:szCs w:val="20"/>
          <w:color w:val="auto"/>
        </w:rPr>
      </w:pPr>
      <w:r>
        <w:rPr>
          <w:rFonts w:ascii="Arial" w:cs="Arial" w:eastAsia="Arial" w:hAnsi="Arial"/>
          <w:sz w:val="18"/>
          <w:szCs w:val="18"/>
          <w:color w:val="auto"/>
        </w:rPr>
        <w:t>determined in Landlord’s reasonable business judgment, and Landlord terminates or causes to be terminated all similarly situated leases in the Project whose spaces are similarly affected, then, in each case, upon written notice by Landlord, this Lease shall terminate. In the event this Lease is terminated in accordance with either of the foregoing sentences, then this Lease shall terminate as of the date the condemning authority takes possession and Rent shall be apportioned as of said date. If this Lease is not terminated as provided above, then, subject to any delays due to Force Majeure, Landlord shall restore the Building and Project to a condition as near as reasonably possible to the condition prior to the Taking (including any Alteration made by Landlord) (including modifications required by Applicable Laws, and excluding the repair, restoration or replacement of the fixtures, equipment, or Alterations made by Tenant or a Tenant Party (collectively, the “</w:t>
      </w:r>
      <w:r>
        <w:rPr>
          <w:rFonts w:ascii="Arial" w:cs="Arial" w:eastAsia="Arial" w:hAnsi="Arial"/>
          <w:sz w:val="18"/>
          <w:szCs w:val="18"/>
          <w:b w:val="1"/>
          <w:bCs w:val="1"/>
          <w:color w:val="auto"/>
        </w:rPr>
        <w:t>Tenant Excluded Items</w:t>
      </w:r>
      <w:r>
        <w:rPr>
          <w:rFonts w:ascii="Arial" w:cs="Arial" w:eastAsia="Arial" w:hAnsi="Arial"/>
          <w:sz w:val="18"/>
          <w:szCs w:val="18"/>
          <w:color w:val="auto"/>
        </w:rPr>
        <w:t>”)), and the Rent payable hereunder during the unexpired Term shall be equitably reduced under the circumstances. In the event of any such Taking, Landlord shall be entitled to receive the entire price or award from any such Taking without any payment to Tenant, and Tenant hereby assigns to Landlord Tenant’s interest, if any, in such award, except in each case with respect to the Tenant Excluded Items. Notwithstanding the foregoing, Tenant shall have the right, to the extent that same shall not diminish Landlord’s award, to make a separate claim against the condemning authority (but not Landlord) for such compensation as may be separately awarded or recoverable by Tenant for moving expenses, business interruption benefits and losses and damage to Tenant’s trade fixtures, equipment, Alterations or other personal property, including without limitation the Tenant Excluded Items, if a separate award for such items is made to Tenant. Tenant agrees that the terms of this Section 17 shall govern any Taking and shall accordingly supersede any contrary statute or rule of law.</w:t>
      </w:r>
    </w:p>
    <w:p>
      <w:pPr>
        <w:spacing w:after="0" w:line="170" w:lineRule="exact"/>
        <w:rPr>
          <w:sz w:val="20"/>
          <w:szCs w:val="20"/>
          <w:color w:val="auto"/>
        </w:rPr>
      </w:pPr>
    </w:p>
    <w:p>
      <w:pPr>
        <w:ind w:left="900" w:hanging="892"/>
        <w:spacing w:after="0"/>
        <w:tabs>
          <w:tab w:leader="none" w:pos="900" w:val="left"/>
        </w:tabs>
        <w:numPr>
          <w:ilvl w:val="0"/>
          <w:numId w:val="157"/>
        </w:numPr>
        <w:rPr>
          <w:rFonts w:ascii="Arial" w:cs="Arial" w:eastAsia="Arial" w:hAnsi="Arial"/>
          <w:sz w:val="20"/>
          <w:szCs w:val="20"/>
          <w:color w:val="auto"/>
        </w:rPr>
      </w:pPr>
      <w:r>
        <w:rPr>
          <w:rFonts w:ascii="Arial" w:cs="Arial" w:eastAsia="Arial" w:hAnsi="Arial"/>
          <w:sz w:val="20"/>
          <w:szCs w:val="20"/>
          <w:b w:val="1"/>
          <w:bCs w:val="1"/>
          <w:u w:val="single" w:color="auto"/>
          <w:color w:val="auto"/>
        </w:rPr>
        <w:t>DEFAULT</w:t>
      </w: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b w:val="1"/>
          <w:bCs w:val="1"/>
          <w:color w:val="auto"/>
        </w:rPr>
        <w:t>Event of Default</w:t>
      </w:r>
      <w:r>
        <w:rPr>
          <w:rFonts w:ascii="Arial" w:cs="Arial" w:eastAsia="Arial" w:hAnsi="Arial"/>
          <w:sz w:val="18"/>
          <w:szCs w:val="18"/>
          <w:color w:val="auto"/>
        </w:rPr>
        <w:t>. The occurrence of any of the following events shall, at Landlord’s option, constitute an “</w:t>
      </w:r>
      <w:r>
        <w:rPr>
          <w:rFonts w:ascii="Arial" w:cs="Arial" w:eastAsia="Arial" w:hAnsi="Arial"/>
          <w:sz w:val="18"/>
          <w:szCs w:val="18"/>
          <w:b w:val="1"/>
          <w:bCs w:val="1"/>
          <w:color w:val="auto"/>
        </w:rPr>
        <w:t>Event of</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Default</w:t>
      </w:r>
      <w:r>
        <w:rPr>
          <w:rFonts w:ascii="Arial" w:cs="Arial" w:eastAsia="Arial" w:hAnsi="Arial"/>
          <w:sz w:val="20"/>
          <w:szCs w:val="20"/>
          <w:color w:val="auto"/>
        </w:rPr>
        <w:t>”:</w:t>
      </w:r>
    </w:p>
    <w:p>
      <w:pPr>
        <w:spacing w:after="0" w:line="200"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0"/>
          <w:szCs w:val="20"/>
          <w:color w:val="010000"/>
        </w:rPr>
        <w:t xml:space="preserve">18.1.1 </w:t>
      </w:r>
      <w:r>
        <w:rPr>
          <w:rFonts w:ascii="Arial" w:cs="Arial" w:eastAsia="Arial" w:hAnsi="Arial"/>
          <w:sz w:val="20"/>
          <w:szCs w:val="20"/>
          <w:color w:val="000000"/>
        </w:rPr>
        <w:t>Tenant shall fail to pay in full any and all Rent when due, and, except as provided in Section 18.3.1</w:t>
      </w:r>
      <w:r>
        <w:rPr>
          <w:rFonts w:ascii="Arial" w:cs="Arial" w:eastAsia="Arial" w:hAnsi="Arial"/>
          <w:sz w:val="20"/>
          <w:szCs w:val="20"/>
          <w:color w:val="010000"/>
        </w:rPr>
        <w:t xml:space="preserve"> </w:t>
      </w:r>
      <w:r>
        <w:rPr>
          <w:rFonts w:ascii="Arial" w:cs="Arial" w:eastAsia="Arial" w:hAnsi="Arial"/>
          <w:sz w:val="20"/>
          <w:szCs w:val="20"/>
          <w:color w:val="000000"/>
        </w:rPr>
        <w:t>below, such failure shall continue for a period of 5 business days after written notice to Tenant.</w:t>
      </w:r>
    </w:p>
    <w:p>
      <w:pPr>
        <w:spacing w:after="0" w:line="177"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0"/>
          <w:szCs w:val="20"/>
          <w:color w:val="010000"/>
        </w:rPr>
        <w:t xml:space="preserve">18.1.2 </w:t>
      </w:r>
      <w:r>
        <w:rPr>
          <w:rFonts w:ascii="Arial" w:cs="Arial" w:eastAsia="Arial" w:hAnsi="Arial"/>
          <w:sz w:val="20"/>
          <w:szCs w:val="20"/>
          <w:color w:val="000000"/>
        </w:rPr>
        <w:t>Tenant or any guarantor or surety of Tenant’s obligations hereunder shall (a) make a general assignment</w:t>
      </w:r>
      <w:r>
        <w:rPr>
          <w:rFonts w:ascii="Arial" w:cs="Arial" w:eastAsia="Arial" w:hAnsi="Arial"/>
          <w:sz w:val="20"/>
          <w:szCs w:val="20"/>
          <w:color w:val="010000"/>
        </w:rPr>
        <w:t xml:space="preserve"> </w:t>
      </w:r>
      <w:r>
        <w:rPr>
          <w:rFonts w:ascii="Arial" w:cs="Arial" w:eastAsia="Arial" w:hAnsi="Arial"/>
          <w:sz w:val="20"/>
          <w:szCs w:val="20"/>
          <w:color w:val="000000"/>
        </w:rPr>
        <w:t>for the benefit of creditors; (b) commence any case, proceeding or other action seeking to have an order for relief entered on its behalf as a debtor or to adjudicate it as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20"/>
          <w:szCs w:val="20"/>
          <w:b w:val="1"/>
          <w:bCs w:val="1"/>
          <w:color w:val="000000"/>
        </w:rPr>
        <w:t>proceeding for relief</w:t>
      </w:r>
      <w:r>
        <w:rPr>
          <w:rFonts w:ascii="Arial" w:cs="Arial" w:eastAsia="Arial" w:hAnsi="Arial"/>
          <w:sz w:val="20"/>
          <w:szCs w:val="20"/>
          <w:color w:val="000000"/>
        </w:rPr>
        <w:t>”); (c) become the subject of any proceeding for relief which is not dismissed within 60 days of its filing or entry; or (d) be dissolved.</w:t>
      </w:r>
    </w:p>
    <w:p>
      <w:pPr>
        <w:spacing w:after="0" w:line="196" w:lineRule="exact"/>
        <w:rPr>
          <w:sz w:val="20"/>
          <w:szCs w:val="20"/>
          <w:color w:val="auto"/>
        </w:rPr>
      </w:pPr>
    </w:p>
    <w:p>
      <w:pPr>
        <w:ind w:left="1740"/>
        <w:spacing w:after="0"/>
        <w:tabs>
          <w:tab w:leader="none" w:pos="2860" w:val="left"/>
        </w:tabs>
        <w:rPr>
          <w:sz w:val="20"/>
          <w:szCs w:val="20"/>
          <w:color w:val="auto"/>
        </w:rPr>
      </w:pPr>
      <w:r>
        <w:rPr>
          <w:rFonts w:ascii="Arial" w:cs="Arial" w:eastAsia="Arial" w:hAnsi="Arial"/>
          <w:sz w:val="20"/>
          <w:szCs w:val="20"/>
          <w:color w:val="010000"/>
        </w:rPr>
        <w:t>18.1.3</w:t>
      </w:r>
      <w:r>
        <w:rPr>
          <w:sz w:val="20"/>
          <w:szCs w:val="20"/>
          <w:color w:val="auto"/>
        </w:rPr>
        <w:tab/>
      </w:r>
      <w:r>
        <w:rPr>
          <w:rFonts w:ascii="Arial" w:cs="Arial" w:eastAsia="Arial" w:hAnsi="Arial"/>
          <w:sz w:val="18"/>
          <w:szCs w:val="18"/>
          <w:color w:val="auto"/>
        </w:rPr>
        <w:t>Tenant enters into or permits any Transfer in violation of Section 19 below.</w:t>
      </w:r>
    </w:p>
    <w:p>
      <w:pPr>
        <w:spacing w:after="0" w:line="21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0"/>
          <w:szCs w:val="20"/>
          <w:color w:val="010000"/>
        </w:rPr>
        <w:t xml:space="preserve">18.1.4 </w:t>
      </w:r>
      <w:r>
        <w:rPr>
          <w:rFonts w:ascii="Arial" w:cs="Arial" w:eastAsia="Arial" w:hAnsi="Arial"/>
          <w:sz w:val="20"/>
          <w:szCs w:val="20"/>
          <w:color w:val="000000"/>
        </w:rPr>
        <w:t>Tenant shall fail to observe or comply with any provision of this Lease other than those specifically</w:t>
      </w:r>
      <w:r>
        <w:rPr>
          <w:rFonts w:ascii="Arial" w:cs="Arial" w:eastAsia="Arial" w:hAnsi="Arial"/>
          <w:sz w:val="20"/>
          <w:szCs w:val="20"/>
          <w:color w:val="010000"/>
        </w:rPr>
        <w:t xml:space="preserve"> </w:t>
      </w:r>
      <w:r>
        <w:rPr>
          <w:rFonts w:ascii="Arial" w:cs="Arial" w:eastAsia="Arial" w:hAnsi="Arial"/>
          <w:sz w:val="20"/>
          <w:szCs w:val="20"/>
          <w:color w:val="000000"/>
        </w:rPr>
        <w:t>referred to in Section 18.1.1, and except as provided in Section 18.3.1 below, such default shall continue for more than 30 days after Landlord shall have given Tenant written notice of such default; provided, however, if the default cannot reasonably be cured within 30 days following Landlord’s giving of notice, Tenant shall be afforded additional reasonable time (not to exceed 60 days following Landlord’s notice) to cure the default if Tenant begins to cure the default within 30 days following Landlord’s notice and continues diligently in good faith to completely cure the default.</w:t>
      </w:r>
    </w:p>
    <w:p>
      <w:pPr>
        <w:spacing w:after="0" w:line="19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 xml:space="preserve">18.2 </w:t>
      </w:r>
      <w:r>
        <w:rPr>
          <w:rFonts w:ascii="Arial" w:cs="Arial" w:eastAsia="Arial" w:hAnsi="Arial"/>
          <w:sz w:val="20"/>
          <w:szCs w:val="20"/>
          <w:b w:val="1"/>
          <w:bCs w:val="1"/>
          <w:color w:val="auto"/>
        </w:rPr>
        <w:t>Landlord’s Remedies</w:t>
      </w:r>
      <w:r>
        <w:rPr>
          <w:rFonts w:ascii="Arial" w:cs="Arial" w:eastAsia="Arial" w:hAnsi="Arial"/>
          <w:sz w:val="20"/>
          <w:szCs w:val="20"/>
          <w:color w:val="auto"/>
        </w:rPr>
        <w:t>. Upon any Event of Default, Landlord shall have, in addition to any other remedies available to Landlord at law or in equity (which shall be cumulative and nonexclusive),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the option to pursue any one or more of the following remedies (which shall be cumulative and nonexclusive) without any notice or demand:</w:t>
      </w:r>
    </w:p>
    <w:p>
      <w:pPr>
        <w:spacing w:after="0" w:line="239"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8"/>
          <w:szCs w:val="18"/>
          <w:color w:val="010000"/>
        </w:rPr>
        <w:t xml:space="preserve">18.2.1 </w:t>
      </w:r>
      <w:r>
        <w:rPr>
          <w:rFonts w:ascii="Arial" w:cs="Arial" w:eastAsia="Arial" w:hAnsi="Arial"/>
          <w:sz w:val="18"/>
          <w:szCs w:val="18"/>
          <w:color w:val="000000"/>
        </w:rPr>
        <w:t>Landlord may terminate this Lease, in which event Tenant shall immediately surrender the Premises to</w:t>
      </w:r>
      <w:r>
        <w:rPr>
          <w:rFonts w:ascii="Arial" w:cs="Arial" w:eastAsia="Arial" w:hAnsi="Arial"/>
          <w:sz w:val="18"/>
          <w:szCs w:val="18"/>
          <w:color w:val="010000"/>
        </w:rPr>
        <w:t xml:space="preserve"> </w:t>
      </w:r>
      <w:r>
        <w:rPr>
          <w:rFonts w:ascii="Arial" w:cs="Arial" w:eastAsia="Arial" w:hAnsi="Arial"/>
          <w:sz w:val="18"/>
          <w:szCs w:val="18"/>
          <w:color w:val="000000"/>
        </w:rPr>
        <w:t>Landlord, and if Tenant fails to do so, Landlord may, without prejudice to any other remedy it may have for possession or arrearages in Rent, enter upon and take possession of the Premises and expel or remove Tenant and any other person who may be occupying the Premises or any part thereof, without being liable for prosecution or any claim of damages therefor; and Landlord may recover from Tenant the following: (a) the worth at the time of award of the unpaid Rent which had been earned at the time of such termination; (b) the worth at the time of award of the amount by which the unpaid Rent which would have been earned after termination until the time of award exceeds the amount of such rental loss that Tenant proves could have been reasonably avoided; (c) the worth at the time of award of the amount by which the unpaid Rent for the balance of the Term after the time of award exceeds the fair market rental value of the Premises; (d) any other amount necessary to compensate Landlord for all the detriment proximately caused by Tenant’s failure to perform its obligations hereunder or which in the ordinary course of things would be likely to result therefrom, including brokerage commissions, advertising expenses, expenses of remodeling any portion of the Premises for a new tenant (whether for the same or a different use), and any special concessions made to obtain a new tenant (“</w:t>
      </w:r>
      <w:r>
        <w:rPr>
          <w:rFonts w:ascii="Arial" w:cs="Arial" w:eastAsia="Arial" w:hAnsi="Arial"/>
          <w:sz w:val="18"/>
          <w:szCs w:val="18"/>
          <w:b w:val="1"/>
          <w:bCs w:val="1"/>
          <w:color w:val="000000"/>
        </w:rPr>
        <w:t>Costs of Reletting</w:t>
      </w:r>
      <w:r>
        <w:rPr>
          <w:rFonts w:ascii="Arial" w:cs="Arial" w:eastAsia="Arial" w:hAnsi="Arial"/>
          <w:sz w:val="18"/>
          <w:szCs w:val="18"/>
          <w:color w:val="000000"/>
        </w:rPr>
        <w:t>”); plus (e) at Landlord’s option, such other amounts in addition to or in lieu of the foregoing as may be permitted from time to time by law. As used in subsection (a) and subsection (b) above, the “</w:t>
      </w:r>
      <w:r>
        <w:rPr>
          <w:rFonts w:ascii="Arial" w:cs="Arial" w:eastAsia="Arial" w:hAnsi="Arial"/>
          <w:sz w:val="18"/>
          <w:szCs w:val="18"/>
          <w:b w:val="1"/>
          <w:bCs w:val="1"/>
          <w:color w:val="000000"/>
        </w:rPr>
        <w:t>worth at the time of award</w:t>
      </w:r>
      <w:r>
        <w:rPr>
          <w:rFonts w:ascii="Arial" w:cs="Arial" w:eastAsia="Arial" w:hAnsi="Arial"/>
          <w:sz w:val="18"/>
          <w:szCs w:val="18"/>
          <w:color w:val="000000"/>
        </w:rPr>
        <w:t>” shall be computed by allowing interest at a rate per annum equal to the lesser of (i) the annual “Bank Prime Loan” rate cited in the Federal Reserve Statistical Release Publication H.15 (or such other comparable index as Landlord shall reasonably designate if such rate ceases to be published) plus 2 percentage points, or (ii) the highest rate permitted by Applicable Laws. As used in subsection (c) above, the “</w:t>
      </w:r>
      <w:r>
        <w:rPr>
          <w:rFonts w:ascii="Arial" w:cs="Arial" w:eastAsia="Arial" w:hAnsi="Arial"/>
          <w:sz w:val="18"/>
          <w:szCs w:val="18"/>
          <w:b w:val="1"/>
          <w:bCs w:val="1"/>
          <w:color w:val="000000"/>
        </w:rPr>
        <w:t>worth at the time of award</w:t>
      </w:r>
      <w:r>
        <w:rPr>
          <w:rFonts w:ascii="Arial" w:cs="Arial" w:eastAsia="Arial" w:hAnsi="Arial"/>
          <w:sz w:val="18"/>
          <w:szCs w:val="18"/>
          <w:color w:val="000000"/>
        </w:rPr>
        <w:t>” shall be computed by discounting such amount at the discount rate of the Federal Reserve Bank of San Francisco at the time of award plus 1%.</w:t>
      </w:r>
    </w:p>
    <w:p>
      <w:pPr>
        <w:spacing w:after="0" w:line="171" w:lineRule="exact"/>
        <w:rPr>
          <w:sz w:val="20"/>
          <w:szCs w:val="20"/>
          <w:color w:val="auto"/>
        </w:rPr>
      </w:pPr>
    </w:p>
    <w:p>
      <w:pPr>
        <w:jc w:val="both"/>
        <w:ind w:firstLine="1727"/>
        <w:spacing w:after="0" w:line="255" w:lineRule="auto"/>
        <w:rPr>
          <w:sz w:val="20"/>
          <w:szCs w:val="20"/>
          <w:color w:val="auto"/>
        </w:rPr>
      </w:pPr>
      <w:r>
        <w:rPr>
          <w:rFonts w:ascii="Arial" w:cs="Arial" w:eastAsia="Arial" w:hAnsi="Arial"/>
          <w:sz w:val="19"/>
          <w:szCs w:val="19"/>
          <w:color w:val="010000"/>
        </w:rPr>
        <w:t xml:space="preserve">18.2.2 </w:t>
      </w:r>
      <w:r>
        <w:rPr>
          <w:rFonts w:ascii="Arial" w:cs="Arial" w:eastAsia="Arial" w:hAnsi="Arial"/>
          <w:sz w:val="19"/>
          <w:szCs w:val="19"/>
          <w:color w:val="000000"/>
        </w:rPr>
        <w:t>If Landlord does not elect to terminate this Lease on account of any Event of Default by Tenant, then</w:t>
      </w:r>
      <w:r>
        <w:rPr>
          <w:rFonts w:ascii="Arial" w:cs="Arial" w:eastAsia="Arial" w:hAnsi="Arial"/>
          <w:sz w:val="19"/>
          <w:szCs w:val="19"/>
          <w:color w:val="010000"/>
        </w:rPr>
        <w:t xml:space="preserve"> </w:t>
      </w:r>
      <w:r>
        <w:rPr>
          <w:rFonts w:ascii="Arial" w:cs="Arial" w:eastAsia="Arial" w:hAnsi="Arial"/>
          <w:sz w:val="19"/>
          <w:szCs w:val="19"/>
          <w:color w:val="000000"/>
        </w:rPr>
        <w:t>Landlord may, from time to time, without terminating this Lease, terminate Tenant’s right to possession of the Premises and, in compliance with Applicable Laws, remove Tenant, Tenant’s Property and any parties occupying the Premises. Landlord may (but shall not be obligated to) relet all or any part of the Premises, without notice to Tenant, for such period of time and on such terms and conditions (which may include concessions, free rent and work allowances) as Landlord in its absolute discretion shall determine. Landlord may collect and receive all rents and other income from the reletting, which shall be applied to amounts owed by Tenant hereunder. Tenant shall pay Landlord on demand all past due Rent, all Costs of Reletting and any deficiency arising from the reletting or failure to relet the Premises. In the event of reletting without termination of this Lease, Landlord may at any time thereafter elect to terminate this Lease for such previous breach. Notwithstanding anything to the contrary in this Lease, Landlord shall use commercially reasonable efforts to relet the Premises in order to mitigate its damages hereunder, but Landlord shall not be required to prefer the Premises over other space available for lease in the Project.</w:t>
      </w:r>
    </w:p>
    <w:p>
      <w:pPr>
        <w:spacing w:after="0" w:line="187"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010000"/>
        </w:rPr>
        <w:t xml:space="preserve">18.2.3 </w:t>
      </w:r>
      <w:r>
        <w:rPr>
          <w:rFonts w:ascii="Arial" w:cs="Arial" w:eastAsia="Arial" w:hAnsi="Arial"/>
          <w:sz w:val="20"/>
          <w:szCs w:val="20"/>
          <w:color w:val="000000"/>
        </w:rPr>
        <w:t>Landlord may, at Landlord’s option, without any obligation to do so, cure an Event of Default by</w:t>
      </w:r>
      <w:r>
        <w:rPr>
          <w:rFonts w:ascii="Arial" w:cs="Arial" w:eastAsia="Arial" w:hAnsi="Arial"/>
          <w:sz w:val="20"/>
          <w:szCs w:val="20"/>
          <w:color w:val="010000"/>
        </w:rPr>
        <w:t xml:space="preserve"> </w:t>
      </w:r>
      <w:r>
        <w:rPr>
          <w:rFonts w:ascii="Arial" w:cs="Arial" w:eastAsia="Arial" w:hAnsi="Arial"/>
          <w:sz w:val="20"/>
          <w:szCs w:val="20"/>
          <w:color w:val="000000"/>
        </w:rPr>
        <w:t>Tenant. Tenant agrees to pay Landlord an amount equal to 105% of any expenses which Landlord may incur in thus effecting compliance with Tenant’s obligations under this Lease, including without limitation, reasonable attorney’s fees, together with interest thereon at the Applicable Interest Rate from the date of expenditure until paid.</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8" w:name="page199"/>
    <w:bookmarkEnd w:id="198"/>
    <w:tbl>
      <w:tblPr>
        <w:tblLayout w:type="fixed"/>
        <w:tblInd w:w="880" w:type="dxa"/>
        <w:tblCellMar>
          <w:top w:w="0" w:type="dxa"/>
          <w:left w:w="0" w:type="dxa"/>
          <w:bottom w:w="0" w:type="dxa"/>
          <w:right w:w="0" w:type="dxa"/>
        </w:tblCellMar>
      </w:tblPr>
      <w:tr>
        <w:trPr>
          <w:trHeight w:val="230"/>
        </w:trPr>
        <w:tc>
          <w:tcPr>
            <w:tcW w:w="600" w:type="dxa"/>
            <w:vAlign w:val="bottom"/>
          </w:tcPr>
          <w:p>
            <w:pPr>
              <w:jc w:val="right"/>
              <w:ind w:right="161"/>
              <w:spacing w:after="0"/>
              <w:rPr>
                <w:sz w:val="20"/>
                <w:szCs w:val="20"/>
                <w:color w:val="auto"/>
              </w:rPr>
            </w:pPr>
            <w:r>
              <w:rPr>
                <w:rFonts w:ascii="Arial" w:cs="Arial" w:eastAsia="Arial" w:hAnsi="Arial"/>
                <w:sz w:val="20"/>
                <w:szCs w:val="20"/>
                <w:color w:val="auto"/>
                <w:w w:val="82"/>
              </w:rPr>
              <w:t>18.3</w:t>
            </w:r>
          </w:p>
        </w:tc>
        <w:tc>
          <w:tcPr>
            <w:tcW w:w="38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20"/>
                <w:szCs w:val="20"/>
                <w:b w:val="1"/>
                <w:bCs w:val="1"/>
                <w:color w:val="auto"/>
              </w:rPr>
              <w:t>General</w:t>
            </w:r>
            <w:r>
              <w:rPr>
                <w:rFonts w:ascii="Arial" w:cs="Arial" w:eastAsia="Arial" w:hAnsi="Arial"/>
                <w:sz w:val="20"/>
                <w:szCs w:val="20"/>
                <w:color w:val="auto"/>
              </w:rPr>
              <w:t>.</w:t>
            </w:r>
          </w:p>
        </w:tc>
        <w:tc>
          <w:tcPr>
            <w:tcW w:w="850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465"/>
        </w:trPr>
        <w:tc>
          <w:tcPr>
            <w:tcW w:w="600" w:type="dxa"/>
            <w:vAlign w:val="bottom"/>
          </w:tcPr>
          <w:p>
            <w:pPr>
              <w:spacing w:after="0"/>
              <w:rPr>
                <w:sz w:val="24"/>
                <w:szCs w:val="24"/>
                <w:color w:val="auto"/>
              </w:rPr>
            </w:pPr>
          </w:p>
        </w:tc>
        <w:tc>
          <w:tcPr>
            <w:tcW w:w="1060" w:type="dxa"/>
            <w:vAlign w:val="bottom"/>
            <w:gridSpan w:val="2"/>
          </w:tcPr>
          <w:p>
            <w:pPr>
              <w:jc w:val="right"/>
              <w:ind w:right="201"/>
              <w:spacing w:after="0"/>
              <w:rPr>
                <w:sz w:val="20"/>
                <w:szCs w:val="20"/>
                <w:color w:val="auto"/>
              </w:rPr>
            </w:pPr>
            <w:r>
              <w:rPr>
                <w:rFonts w:ascii="Arial" w:cs="Arial" w:eastAsia="Arial" w:hAnsi="Arial"/>
                <w:sz w:val="20"/>
                <w:szCs w:val="20"/>
                <w:color w:val="010000"/>
              </w:rPr>
              <w:t>18.3.1</w:t>
            </w:r>
          </w:p>
        </w:tc>
        <w:tc>
          <w:tcPr>
            <w:tcW w:w="200" w:type="dxa"/>
            <w:vAlign w:val="bottom"/>
          </w:tcPr>
          <w:p>
            <w:pPr>
              <w:spacing w:after="0"/>
              <w:rPr>
                <w:sz w:val="24"/>
                <w:szCs w:val="24"/>
                <w:color w:val="auto"/>
              </w:rPr>
            </w:pPr>
          </w:p>
        </w:tc>
        <w:tc>
          <w:tcPr>
            <w:tcW w:w="8500" w:type="dxa"/>
            <w:vAlign w:val="bottom"/>
          </w:tcPr>
          <w:p>
            <w:pPr>
              <w:ind w:left="140"/>
              <w:spacing w:after="0"/>
              <w:rPr>
                <w:sz w:val="20"/>
                <w:szCs w:val="20"/>
                <w:color w:val="auto"/>
              </w:rPr>
            </w:pPr>
            <w:r>
              <w:rPr>
                <w:rFonts w:ascii="Arial" w:cs="Arial" w:eastAsia="Arial" w:hAnsi="Arial"/>
                <w:sz w:val="20"/>
                <w:szCs w:val="20"/>
                <w:color w:val="auto"/>
                <w:w w:val="90"/>
              </w:rPr>
              <w:t>Any notice periods provided for in this Lease shall run concurrently with any statutory notice periods and</w:t>
            </w:r>
          </w:p>
        </w:tc>
      </w:tr>
    </w:tbl>
    <w:p>
      <w:pPr>
        <w:jc w:val="both"/>
        <w:spacing w:after="0" w:line="268" w:lineRule="auto"/>
        <w:rPr>
          <w:sz w:val="20"/>
          <w:szCs w:val="20"/>
          <w:color w:val="auto"/>
        </w:rPr>
      </w:pPr>
      <w:r>
        <w:rPr>
          <w:rFonts w:ascii="Arial" w:cs="Arial" w:eastAsia="Arial" w:hAnsi="Arial"/>
          <w:sz w:val="18"/>
          <w:szCs w:val="18"/>
          <w:color w:val="auto"/>
        </w:rPr>
        <w:t>any notice given hereunder may be given simultaneously with or incorporated into any such statutory notice. Notwithstanding any provision to the contrary in this Section: (a) Landlord shall not be required to give Tenant any notice and opportunity to cure provided in Section 18.1.1 above with respect to any specific monetary default that occurs more than twice in any consecutive 12-month period, and thereafter Landlord may declare an Event of Default without affording Tenant any of the notice and cure rights provided under this Lease; (b) only an additional 5 day notice and cure period to Tenant shall be required by Landlord prior to Landlord exercising its rights under Section 18.2 if Tenant fails to restore the Security Deposit to its original amount during the 3 day cure period provided in Section 5; (c) only an additional 5 day notice and cure period to Tenant shall be required by Landlord prior to Landlord exercising its rights under Section 18.2 if Tenant fails to remove any lien or claim during the 45 day cure period provided in Section 13.2; (d) if Tenant fails, during the 15 day time period provided in Section 20.1, to (A) execute and deliver to Landlord (and those parties reasonably requested by Landlord) an estoppel certificate, or (B) furnish to Landlord, Landlord’s Mortgagee, prospective Mortgagee and/or prospective purchaser reasonably requested financial information certified in accordance with Section 20.1, then Landlord shall only be required to give Tenant an additional 5 day notice and cure period prior to Landlord exercising its rights under Section 18.2; (e) Landlord shall not be required to give such notice prior to exercising its rights under 18.2 if Tenant fails to comply with the provisions of Sections 23 or 26.13; (f) only 5 days’ notice and opportunity to cure to Tenant shall be required by Landlord prior to Landlord exercising its rights under Section 18.2 if Tenant makes any recording in violation of Section 26.6 below; and (g) Landlord shall not be required to give such notice prior to exercising its rights under Section 18.2.3 in the event of an emergency that constitutes an imminent danger to persons or property or which requires emergency repairs to the Premises or the Property in order to prevent imminent injury to persons or property.</w:t>
      </w:r>
    </w:p>
    <w:p>
      <w:pPr>
        <w:spacing w:after="0" w:line="172"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8"/>
          <w:szCs w:val="18"/>
          <w:color w:val="010000"/>
        </w:rPr>
        <w:t xml:space="preserve">18.3.2 </w:t>
      </w:r>
      <w:r>
        <w:rPr>
          <w:rFonts w:ascii="Arial" w:cs="Arial" w:eastAsia="Arial" w:hAnsi="Arial"/>
          <w:sz w:val="18"/>
          <w:szCs w:val="18"/>
          <w:color w:val="000000"/>
        </w:rPr>
        <w:t>Tenant waives, for Tenant and for all those claiming by, through or under Tenant, by order or judgment of</w:t>
      </w:r>
      <w:r>
        <w:rPr>
          <w:rFonts w:ascii="Arial" w:cs="Arial" w:eastAsia="Arial" w:hAnsi="Arial"/>
          <w:sz w:val="18"/>
          <w:szCs w:val="18"/>
          <w:color w:val="010000"/>
        </w:rPr>
        <w:t xml:space="preserve"> </w:t>
      </w:r>
      <w:r>
        <w:rPr>
          <w:rFonts w:ascii="Arial" w:cs="Arial" w:eastAsia="Arial" w:hAnsi="Arial"/>
          <w:sz w:val="18"/>
          <w:szCs w:val="18"/>
          <w:color w:val="000000"/>
        </w:rPr>
        <w:t>any court or by any legal process or writ, Tenant’s right of occupancy of the Premises after any termination hereof. Exercise by Landlord of any right or remedy shall not be deemed to be an acceptance of surrender of the Premises, a termination of this Lease by Landlord or a release of Tenant from any of its obligations hereunder. No waiver by Landlord of any breach by Tenant shall be a waiver of any subsequent breach, nor shall any forbearance by Landlord to seek a remedy for any breach by Tenant be a waiver by Landlord of any rights and remedies with respect to such or any subsequent breach. Efforts by Landlord to mitigate the damages caused by Tenant’s default shall not constitute a waiver of Landlord’s right to recover damages hereunder. No right or remedy herein conferred upon or reserved to Landlord is intended to be exclusive of any other right or remedy provided herein or by law, but each shall be cumulative and in addition to every other right or remedy given herein or now or hereafter existing at law or in equity. No payment by Tenant or receipt or acceptance by Landlord of a lesser amount than the total amount due Landlord under this Lease shall be deemed to be other than on account, nor shall any endorsement or statement on any check or payment be deemed an accord and satisfaction, and Landlord may accept such check or payment without prejudice to Landlord’s right to recover the balance of Rent due, or Landlord’s right to pursue any other available remedy. Landlord shall not be liable, nor shall Tenant’s obligations hereunder be diminished because of, Landlord’s failure to relet the Premises or collect rent due in respect of such reletting so long as Landlord complies with its obligations under this Lease. If either party commences an action against the other party arising out of or in connection with this Lease, then the prevailing party shall be entitled to have and recover from the other party reasonable attorneys’ fees, costs of suit, investigation expenses and discovery and other litigation costs, including costs of appeal. Landlord and Tenant waive the right to a trial by jury in any action or proceeding based upon or related to, the subject matter of this Lease.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99" w:name="page200"/>
    <w:bookmarkEnd w:id="199"/>
    <w:p>
      <w:pPr>
        <w:jc w:val="both"/>
        <w:ind w:firstLine="1727"/>
        <w:spacing w:after="0" w:line="268" w:lineRule="auto"/>
        <w:rPr>
          <w:sz w:val="20"/>
          <w:szCs w:val="20"/>
          <w:color w:val="auto"/>
        </w:rPr>
      </w:pPr>
      <w:r>
        <w:rPr>
          <w:rFonts w:ascii="Arial" w:cs="Arial" w:eastAsia="Arial" w:hAnsi="Arial"/>
          <w:sz w:val="18"/>
          <w:szCs w:val="18"/>
          <w:color w:val="010000"/>
        </w:rPr>
        <w:t xml:space="preserve">18.3.3 </w:t>
      </w:r>
      <w:r>
        <w:rPr>
          <w:rFonts w:ascii="Arial" w:cs="Arial" w:eastAsia="Arial" w:hAnsi="Arial"/>
          <w:sz w:val="18"/>
          <w:szCs w:val="18"/>
          <w:color w:val="000000"/>
        </w:rPr>
        <w:t>Landlord shall not be in default under this Lease unless Landlord fails to complete performance of the</w:t>
      </w:r>
      <w:r>
        <w:rPr>
          <w:rFonts w:ascii="Arial" w:cs="Arial" w:eastAsia="Arial" w:hAnsi="Arial"/>
          <w:sz w:val="18"/>
          <w:szCs w:val="18"/>
          <w:color w:val="010000"/>
        </w:rPr>
        <w:t xml:space="preserve"> </w:t>
      </w:r>
      <w:r>
        <w:rPr>
          <w:rFonts w:ascii="Arial" w:cs="Arial" w:eastAsia="Arial" w:hAnsi="Arial"/>
          <w:sz w:val="18"/>
          <w:szCs w:val="18"/>
          <w:color w:val="000000"/>
        </w:rPr>
        <w:t>obligations required of Landlord within 30 days (or such shorter time period as may be reasonable under the circumstances in the event of an emergency) after receipt of written notice by Tenant to Landlord specifying that Landlord has failed to perform such obligation, provided, however, that if the nature of Landlord’s obligation is such that more than the specified cure period is required for performance, then Landlord shall not be in default if Landlord commences performance within the specified cure period and thereafter diligently prosecutes the same to completion; further, no notice and cure period shall be required if Landlord fails to comply with the provisions of Section 26.13. In the event Landlord does not perform within the period provided herein, then in addition to any other rights of Tenant granted under this Lease, upon not less than 5 days additional prior written notice from Tenant to Landlord after the end of the cure period that Tenant intends to perform the obligation on Landlord’s behalf (which notice and 5 day period shall not be required in the event of an emergency), Tenant shall have the right, but not the obligation, to take such commercially reasonable action as is reasonably necessary under the circumstances to perform such obligation. All work done in accordance herewith must be performed in a commercially reasonable time period and at a reasonable and competitive cost and expense (taking into account the circumstances of the obligation). To the extent such work performed by Tenant is Landlord’s responsibility under this Lease, Landlord shall reimburse Tenant, within 30 days after Landlord’s receipt of a reasonably documented invoice therefor, for any reasonable sums paid or reasonable costs incurred by Tenant in curing the default. Landlord expressly agrees that in the event that Landlord is in default under this Lease and such default continues beyond any applicable notice and cure periods under this Lease, Tenant, at its option, may pursue any and all rights and remedies available to Tenant at law or in equity. If Landlord fails to reimburse Tenant within 30 days after Landlord’s receipt of a reasonably documented invoice therefor, for any reasonable sums paid or reasonable costs incurred by Tenant in curing Landlord’s default in accordance with the terms, conditions and provisions of this Section, then, upon not less than 5 days additional prior written notice from Tenant to Landlord after the end of such 30 day period that Tenant intends to deduct such amounts from the next succeeding payments of Base Rent (which notification of Tenant’s intention must be conspicuous and in bold capital letters), Tenant shall be entitled to deduct such amounts from the next succeeding payments of Base Rent until such amounts have been fully reimbursed to Tenant, provided that no deduction in any month may exceed 20% of the monthly installment of Base Rent due for such month (unless there are insufficient months prior to the end of the Term to completely deduct such amounts, in which event such percentage shall be increased in order to allow Tenant to completely deduct such amounts prior to the end of the Term).</w:t>
      </w:r>
    </w:p>
    <w:p>
      <w:pPr>
        <w:spacing w:after="0" w:line="200" w:lineRule="exact"/>
        <w:rPr>
          <w:sz w:val="20"/>
          <w:szCs w:val="20"/>
          <w:color w:val="auto"/>
        </w:rPr>
      </w:pPr>
    </w:p>
    <w:p>
      <w:pPr>
        <w:spacing w:after="0" w:line="206"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9"/>
          <w:szCs w:val="19"/>
          <w:color w:val="010000"/>
        </w:rPr>
        <w:t xml:space="preserve">18.3.4 </w:t>
      </w:r>
      <w:r>
        <w:rPr>
          <w:rFonts w:ascii="Arial" w:cs="Arial" w:eastAsia="Arial" w:hAnsi="Arial"/>
          <w:sz w:val="19"/>
          <w:szCs w:val="19"/>
          <w:color w:val="000000"/>
        </w:rPr>
        <w:t>Tenant shall not be liable to Landlord for any loss of business or profits of Landlord or for consequential</w:t>
      </w:r>
      <w:r>
        <w:rPr>
          <w:rFonts w:ascii="Arial" w:cs="Arial" w:eastAsia="Arial" w:hAnsi="Arial"/>
          <w:sz w:val="19"/>
          <w:szCs w:val="19"/>
          <w:color w:val="010000"/>
        </w:rPr>
        <w:t xml:space="preserve"> </w:t>
      </w:r>
      <w:r>
        <w:rPr>
          <w:rFonts w:ascii="Arial" w:cs="Arial" w:eastAsia="Arial" w:hAnsi="Arial"/>
          <w:sz w:val="19"/>
          <w:szCs w:val="19"/>
          <w:color w:val="000000"/>
        </w:rPr>
        <w:t>or punitive damages of any kind under this Lease, unless due to contamination of the Premises, the Property or the Project by Tenant or any Tenant Party pursuant to Section 15 or unless due to a holdover by Tenant pursuant to Section 25.</w:t>
      </w:r>
    </w:p>
    <w:p>
      <w:pPr>
        <w:spacing w:after="0" w:line="164" w:lineRule="exact"/>
        <w:rPr>
          <w:sz w:val="20"/>
          <w:szCs w:val="20"/>
          <w:color w:val="auto"/>
        </w:rPr>
      </w:pPr>
    </w:p>
    <w:p>
      <w:pPr>
        <w:ind w:left="900" w:hanging="892"/>
        <w:spacing w:after="0"/>
        <w:tabs>
          <w:tab w:leader="none" w:pos="900" w:val="left"/>
        </w:tabs>
        <w:numPr>
          <w:ilvl w:val="0"/>
          <w:numId w:val="158"/>
        </w:numPr>
        <w:rPr>
          <w:rFonts w:ascii="Arial" w:cs="Arial" w:eastAsia="Arial" w:hAnsi="Arial"/>
          <w:sz w:val="20"/>
          <w:szCs w:val="20"/>
          <w:color w:val="auto"/>
        </w:rPr>
      </w:pPr>
      <w:r>
        <w:rPr>
          <w:rFonts w:ascii="Arial" w:cs="Arial" w:eastAsia="Arial" w:hAnsi="Arial"/>
          <w:sz w:val="20"/>
          <w:szCs w:val="20"/>
          <w:b w:val="1"/>
          <w:bCs w:val="1"/>
          <w:u w:val="single" w:color="auto"/>
          <w:color w:val="auto"/>
        </w:rPr>
        <w:t>ASSIGNMENT AND SUBLETTING</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19.1 Except as provided below, Tenant shall not enter into nor permit any Transfer, whether voluntarily or involuntarily or by operation of law, without Landlord’s prior written approval, which approval shall not be unreasonably withheld, conditioned or delayed. Without limitation, Tenant agrees that Landlord’s consent shall not be considered unreasonably withheld if Tenant is in default under this Lease beyond all applicable notice and cure periods. Notwithstanding the foregoing, Landlord’s consent shall not be required in the event of (i) any Transfer by Tenant to an Affiliate, provided that any such Affiliate not referenced in subsection (i) of the definition of “Affiliate” set forth in </w:t>
      </w:r>
      <w:r>
        <w:rPr>
          <w:rFonts w:ascii="Arial" w:cs="Arial" w:eastAsia="Arial" w:hAnsi="Arial"/>
          <w:sz w:val="19"/>
          <w:szCs w:val="19"/>
          <w:b w:val="1"/>
          <w:bCs w:val="1"/>
          <w:color w:val="auto"/>
        </w:rPr>
        <w:t>Exhibit A</w:t>
      </w:r>
      <w:r>
        <w:rPr>
          <w:rFonts w:ascii="Arial" w:cs="Arial" w:eastAsia="Arial" w:hAnsi="Arial"/>
          <w:sz w:val="19"/>
          <w:szCs w:val="19"/>
          <w:color w:val="auto"/>
        </w:rPr>
        <w:t>, has a tangible net worth at least equal to $50,000,000.00 as of the date of the Transfer as evidenced by current financial statements of such Affiliate certified by an officer of such Affiliate, or (ii) any sublease of a portion of the Premises consisting of 10,000 rentable square feet or less (each, a “</w:t>
      </w:r>
      <w:r>
        <w:rPr>
          <w:rFonts w:ascii="Arial" w:cs="Arial" w:eastAsia="Arial" w:hAnsi="Arial"/>
          <w:sz w:val="19"/>
          <w:szCs w:val="19"/>
          <w:b w:val="1"/>
          <w:bCs w:val="1"/>
          <w:color w:val="auto"/>
        </w:rPr>
        <w:t>Permitted Transfer</w:t>
      </w:r>
      <w:r>
        <w:rPr>
          <w:rFonts w:ascii="Arial" w:cs="Arial" w:eastAsia="Arial" w:hAnsi="Arial"/>
          <w:sz w:val="19"/>
          <w:szCs w:val="19"/>
          <w:color w:val="auto"/>
        </w:rPr>
        <w:t>”); provided that the next 4 sentences of this Section 19 shall not apply to any such Permitted Transfer except Tenant shall</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0" w:name="page201"/>
    <w:bookmarkEnd w:id="200"/>
    <w:p>
      <w:pPr>
        <w:jc w:val="both"/>
        <w:spacing w:after="0" w:line="268" w:lineRule="auto"/>
        <w:rPr>
          <w:sz w:val="20"/>
          <w:szCs w:val="20"/>
          <w:color w:val="auto"/>
        </w:rPr>
      </w:pPr>
      <w:r>
        <w:rPr>
          <w:rFonts w:ascii="Arial" w:cs="Arial" w:eastAsia="Arial" w:hAnsi="Arial"/>
          <w:sz w:val="18"/>
          <w:szCs w:val="18"/>
          <w:color w:val="auto"/>
        </w:rPr>
        <w:t>give Landlord written notice of such Permitted Transfer within 15 days after the effective date of any such Permitted Transfer and a copy of the Permitted Transfer document(s). If Tenant desires to undertake a Transfer other than a Permitted Transfer, then Tenant shall give Landlord (a) prior to the anticipated effective date of the Transfer, prior written notice thereof, current financial statements of the proposed transferee certified by an officer of the transferee, complete copies of the proposed Transfer documents and any other information Landlord reasonably requests, and (b) on or before the effective date of the Transfer, an assumption agreement or a sublease, as applicable, in form reasonably acceptable to Landlord (executed by Tenant and the transferee), together with a certificate of insurance evidencing the transferee’s compliance with the insurance requirements of Tenant hereunder. Landlord shall respond to any written request by Tenant for consent to a Transfer within 20 days after the date of Landlord’s receipt of Tenant’s written request for such consent (which written request shall advise Landlord in bold capital letters that Landlord’s consent to the Transfer will be deemed granted if Landlord fails to respond to Tenant’s written request for such consent within such 20 day period), along with all information and documentation required to be provided to Landlord hereunder. If Landlord fails to respond to Tenant’s written request for such consent within such 20 day time period, then Landlord’s consent to the Transfer will be deemed granted. Whether or not a Transfer is consummated or approval is granted, Tenant shall pay Landlord’s reasonable attorneys’ and financial consultant’s fees incurred in the review of such Transfer, not to exceed $2,000.00 with respect to each Transfer. Landlord shall provide a non-disturbance and recognition agreement in commercially reasonable form for any subtenant with a tangible net worth at least equal to $50,000,000.00 as of the date of the Transfer as evidenced by current financial statements of such subtenant certified by an officer of such subtenant. This Lease may not be assigned by operation of law except as provided herein. A consent to one Transfer shall not be deemed to be a consent to any subsequent Transfer. In no event shall any Transfer relieve Tenant from any obligation under this Lease. Landlord’s acceptance of Rent from any person shall not be deemed to be a waiver by Landlord of any provision of this Lease or to be a consent to any Transfer. Any Transfer not in conformity with this Section 19 shall be void at the option of Landlord. Tenant shall not collaterally mortgage, pledge, hypothecate or otherwise similarly encumber this Lease or any of Tenant’s rights hereunder.</w:t>
      </w:r>
    </w:p>
    <w:p>
      <w:pPr>
        <w:spacing w:after="0" w:line="200" w:lineRule="exact"/>
        <w:rPr>
          <w:sz w:val="20"/>
          <w:szCs w:val="20"/>
          <w:color w:val="auto"/>
        </w:rPr>
      </w:pPr>
    </w:p>
    <w:p>
      <w:pPr>
        <w:spacing w:after="0" w:line="213"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19.2 The provisions of Section 19.1 above notwithstanding, if Tenant proposes to Transfer all of the Premises via a sublease for the remainder of the Term, other than pursuant to a Permitted Transfer, Landlord may terminate this Lease by providing written notice of such termination to Tenant within 10 business days after such proposal. Provided that Tenant is not then in default under this Lease beyond applicable notice and cure periods, if this Lease is not so terminated, Tenant shall retain all of the excess of (i) all compensation received by Tenant for the Transfer over (ii) the Rent allocable to the Premises transferred; provided, however, if Tenant is then in default under this Lease beyond all applicable notice and cure periods, Landlord shall retain all such excess and apply same to Rent hereunder. Tenant shall continue to be liable as a principal and not as a guarantor or surety to the same extent as though no assignment had been made.</w:t>
      </w:r>
    </w:p>
    <w:p>
      <w:pPr>
        <w:spacing w:after="0" w:line="19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19.3 Notwithstanding the foregoing, Landlord hereby grants its consent to desk-sharing arrangements with persons or entities with which Tenant has a direct business relationship, subject to Landlord’s receipt of a sublease, license or other occupancy agreement by and between Tenant and any such sublessee. Notwithstanding the foregoing, under no circumstances shall any such desk-sharing sublessee have any right to Building signage.</w:t>
      </w:r>
    </w:p>
    <w:p>
      <w:pPr>
        <w:spacing w:after="0" w:line="185" w:lineRule="exact"/>
        <w:rPr>
          <w:sz w:val="20"/>
          <w:szCs w:val="20"/>
          <w:color w:val="auto"/>
        </w:rPr>
      </w:pPr>
    </w:p>
    <w:p>
      <w:pPr>
        <w:ind w:left="900" w:hanging="892"/>
        <w:spacing w:after="0"/>
        <w:tabs>
          <w:tab w:leader="none" w:pos="900" w:val="left"/>
        </w:tabs>
        <w:numPr>
          <w:ilvl w:val="0"/>
          <w:numId w:val="159"/>
        </w:numPr>
        <w:rPr>
          <w:rFonts w:ascii="Arial" w:cs="Arial" w:eastAsia="Arial" w:hAnsi="Arial"/>
          <w:sz w:val="20"/>
          <w:szCs w:val="20"/>
          <w:color w:val="auto"/>
        </w:rPr>
      </w:pPr>
      <w:r>
        <w:rPr>
          <w:rFonts w:ascii="Arial" w:cs="Arial" w:eastAsia="Arial" w:hAnsi="Arial"/>
          <w:sz w:val="20"/>
          <w:szCs w:val="20"/>
          <w:b w:val="1"/>
          <w:bCs w:val="1"/>
          <w:u w:val="single" w:color="auto"/>
          <w:color w:val="auto"/>
        </w:rPr>
        <w:t>ESTOPPEL, FINANCIALS; SUBORDINATION, ATTORNMENT</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20.1 </w:t>
      </w:r>
      <w:r>
        <w:rPr>
          <w:rFonts w:ascii="Arial" w:cs="Arial" w:eastAsia="Arial" w:hAnsi="Arial"/>
          <w:sz w:val="20"/>
          <w:szCs w:val="20"/>
          <w:b w:val="1"/>
          <w:bCs w:val="1"/>
          <w:color w:val="auto"/>
        </w:rPr>
        <w:t>Estoppel; Financials</w:t>
      </w:r>
      <w:r>
        <w:rPr>
          <w:rFonts w:ascii="Arial" w:cs="Arial" w:eastAsia="Arial" w:hAnsi="Arial"/>
          <w:sz w:val="20"/>
          <w:szCs w:val="20"/>
          <w:color w:val="auto"/>
        </w:rPr>
        <w:t>. Tenant shall, within 15 days after Landlord’s written request from time to time: (a) execute and deliver to Landlord a commercially reasonable estoppel certificate to those named parties as are reasonably requested by Landlord (including a Mortgagee or prospective purchaser) (it being agreed that, without limitation, such estoppel certificate may include a certification as to the status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1" w:name="page202"/>
    <w:bookmarkEnd w:id="201"/>
    <w:p>
      <w:pPr>
        <w:jc w:val="both"/>
        <w:spacing w:after="0" w:line="242" w:lineRule="auto"/>
        <w:rPr>
          <w:sz w:val="20"/>
          <w:szCs w:val="20"/>
          <w:color w:val="auto"/>
        </w:rPr>
      </w:pPr>
      <w:r>
        <w:rPr>
          <w:rFonts w:ascii="Arial" w:cs="Arial" w:eastAsia="Arial" w:hAnsi="Arial"/>
          <w:sz w:val="20"/>
          <w:szCs w:val="20"/>
          <w:color w:val="auto"/>
        </w:rPr>
        <w:t>of this Lease, the existence of any Events of Default to Tenant’s knowledge and the amount of Rent that is due and payable); and (b) and at the commencement of each Lease Year (commencing with the second Lease Year), provide to Landlord, any existing or prospective Mortgagee and/or any prospective purchaser the following financial information certified by an officer of the Tenant as being true and correct, upon request by Landlord and after Landlord and any such other party enters into a commercially reasonable form of non-disclosure agreement provided by Tenant, (i) current, accurate, audited financial statements for Tenant and Tenant’s business, and (ii) unaudited financial statements (which shall at least include a balance sheet, an income statement and a statement of cash flow) for Tenant and Tenant’s business for each of the 3 years prior to the current financial statement year prepared under generally accepted accounting principles consistently applied.</w:t>
      </w:r>
    </w:p>
    <w:p>
      <w:pPr>
        <w:spacing w:after="0" w:line="19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Subordination; Attornment</w:t>
      </w:r>
      <w:r>
        <w:rPr>
          <w:rFonts w:ascii="Arial" w:cs="Arial" w:eastAsia="Arial" w:hAnsi="Arial"/>
          <w:sz w:val="18"/>
          <w:szCs w:val="18"/>
          <w:color w:val="auto"/>
        </w:rPr>
        <w:t>. Tenant accepts that this Lease shall be and at all times remain subject and subordinate to any Mortgage now or in the future affecting the Premises, all without the necessity of Tenant’s executing further instruments to effect such subordination except as required below, provided that Tenant’s rights under this Lease are not materially modified by the Mortgagee and that Tenant’s right of possession of the Premises shall not be disturbed by the Mortgagee, or anyone claiming by, through or under such Mortgagee, so long as Tenant is not in default beyond any applicable notice and cure periods under this Lease; provided that Landlord obtains a subordination, non-disturbance and attornment agreement (“</w:t>
      </w:r>
      <w:r>
        <w:rPr>
          <w:rFonts w:ascii="Arial" w:cs="Arial" w:eastAsia="Arial" w:hAnsi="Arial"/>
          <w:sz w:val="18"/>
          <w:szCs w:val="18"/>
          <w:b w:val="1"/>
          <w:bCs w:val="1"/>
          <w:color w:val="auto"/>
        </w:rPr>
        <w:t>SNDA</w:t>
      </w:r>
      <w:r>
        <w:rPr>
          <w:rFonts w:ascii="Arial" w:cs="Arial" w:eastAsia="Arial" w:hAnsi="Arial"/>
          <w:sz w:val="18"/>
          <w:szCs w:val="18"/>
          <w:color w:val="auto"/>
        </w:rPr>
        <w:t xml:space="preserve">”) in the form attached hereto as </w:t>
      </w:r>
      <w:r>
        <w:rPr>
          <w:rFonts w:ascii="Arial" w:cs="Arial" w:eastAsia="Arial" w:hAnsi="Arial"/>
          <w:sz w:val="18"/>
          <w:szCs w:val="18"/>
          <w:b w:val="1"/>
          <w:bCs w:val="1"/>
          <w:color w:val="auto"/>
        </w:rPr>
        <w:t>Exhibit M</w:t>
      </w:r>
      <w:r>
        <w:rPr>
          <w:rFonts w:ascii="Arial" w:cs="Arial" w:eastAsia="Arial" w:hAnsi="Arial"/>
          <w:sz w:val="18"/>
          <w:szCs w:val="18"/>
          <w:color w:val="auto"/>
        </w:rPr>
        <w:t>, from the holder of any current or future Mortgage affecting the Property. So long as Landlord has delivered all required SNDAs, Tenant shall execute and deliver to Landlord, within 15 days after Landlord’s request, any further commercially reasonable instruments confirming the subordination of this Lease and any further commercially reasonable instruments of attornment that the Mortgagee may reasonably request, including an SNDA. Notwithstanding anything to the contrary contained in this Section 20.2, the holder of any such Mortgage may at any time subordinate its Mortgage to this Lease, without Tenant’s consent, by notice in writing to Tenant, and thereupon this Lease shall be deemed prior to such Mortgage without regard to their respective dates of executing, delivery or recording and in the event such Mortgagee shall have the same rights with respect to this Lease as though this Lease has been executed prior to the executing, delivery and recording of such Mortgage. Tenant agrees to give any Mortgagee, a written copy of any notice of default served upon the Landlord by Tenant concurrently with delivery to Landlord, provided that, prior to such notice, Tenant has been notified in writing of the address of such Mortgagee. Landlord represents and warrants to Tenant that, as of the Effective Date, there is no Mortgage affecting the Premises.</w:t>
      </w:r>
    </w:p>
    <w:p>
      <w:pPr>
        <w:spacing w:after="0" w:line="17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 xml:space="preserve">20.3 </w:t>
      </w:r>
      <w:r>
        <w:rPr>
          <w:rFonts w:ascii="Arial" w:cs="Arial" w:eastAsia="Arial" w:hAnsi="Arial"/>
          <w:sz w:val="19"/>
          <w:szCs w:val="19"/>
          <w:b w:val="1"/>
          <w:bCs w:val="1"/>
          <w:color w:val="auto"/>
        </w:rPr>
        <w:t>Landlord’s Subordination</w:t>
      </w:r>
      <w:r>
        <w:rPr>
          <w:rFonts w:ascii="Arial" w:cs="Arial" w:eastAsia="Arial" w:hAnsi="Arial"/>
          <w:sz w:val="19"/>
          <w:szCs w:val="19"/>
          <w:color w:val="auto"/>
        </w:rPr>
        <w:t xml:space="preserve">. Provided that there then exists no Event of Default by Tenant under this Lease, within ten (10) business days following Tenant’s prior written request thereof, Landlord shall execute and deliver a subordination of Landlord’s right and lien to any removable fixtures, inventory and equipment installed by Tenant in the Premises, in Landlord’s standard form attached hereto as </w:t>
      </w:r>
      <w:r>
        <w:rPr>
          <w:rFonts w:ascii="Arial" w:cs="Arial" w:eastAsia="Arial" w:hAnsi="Arial"/>
          <w:sz w:val="19"/>
          <w:szCs w:val="19"/>
          <w:b w:val="1"/>
          <w:bCs w:val="1"/>
          <w:color w:val="auto"/>
        </w:rPr>
        <w:t>Exhibit D</w:t>
      </w:r>
      <w:r>
        <w:rPr>
          <w:rFonts w:ascii="Arial" w:cs="Arial" w:eastAsia="Arial" w:hAnsi="Arial"/>
          <w:sz w:val="19"/>
          <w:szCs w:val="19"/>
          <w:color w:val="auto"/>
        </w:rPr>
        <w:t xml:space="preserve"> (which form shall be revised include such commercially reasonable changes that Tenant’s lender or lessee shall reasonably request), to enable Tenant to secure financing of such removable fixtures, inventory and equipment. Tenant shall pay Landlord’s reasonable attorneys’ and consultant’s fees incurred in connection with the processing and documentation of any subordination for which Landlord’s consent is requested, not to exceed $2,000.00 with respect to each such request.</w:t>
      </w:r>
    </w:p>
    <w:p>
      <w:pPr>
        <w:spacing w:after="0" w:line="172" w:lineRule="exact"/>
        <w:rPr>
          <w:sz w:val="20"/>
          <w:szCs w:val="20"/>
          <w:color w:val="auto"/>
        </w:rPr>
      </w:pPr>
    </w:p>
    <w:p>
      <w:pPr>
        <w:jc w:val="both"/>
        <w:ind w:firstLine="8"/>
        <w:spacing w:after="0" w:line="260" w:lineRule="auto"/>
        <w:tabs>
          <w:tab w:leader="none" w:pos="895" w:val="left"/>
        </w:tabs>
        <w:numPr>
          <w:ilvl w:val="0"/>
          <w:numId w:val="160"/>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LIMITATION OF LIABILITY</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CONTAINED IN THIS LEASE,</w:t>
      </w:r>
      <w:r>
        <w:rPr>
          <w:rFonts w:ascii="Arial" w:cs="Arial" w:eastAsia="Arial" w:hAnsi="Arial"/>
          <w:sz w:val="19"/>
          <w:szCs w:val="19"/>
          <w:b w:val="1"/>
          <w:bCs w:val="1"/>
          <w:color w:val="auto"/>
        </w:rPr>
        <w:t xml:space="preserve"> </w:t>
      </w:r>
      <w:r>
        <w:rPr>
          <w:rFonts w:ascii="Arial" w:cs="Arial" w:eastAsia="Arial" w:hAnsi="Arial"/>
          <w:sz w:val="19"/>
          <w:szCs w:val="19"/>
          <w:color w:val="auto"/>
        </w:rPr>
        <w:t>THE LIABILITY OF LANDLORD (AND OF ANY SUCCESSOR LANDLORD) SHALL BE LIMITED TO THE INTEREST OF LANDLORD IN THE PROJECT. TENANT SHALL LOOK SOLELY TO LANDLORD’S INTEREST IN THE PROJECT FOR THE RECOVERY OF ANY JUDGMENT OR AWARD AGAINST LANDLORD OR ANY LANDLORD INDEMNITEES. NEITHER LANDLORD NOR ANY LANDLORD INDEMNITEES SHALL BE PERSONALLY LIABLE FOR ANY JUDGMENT OR DEFICIENCY, AND IN NO EVENT SHALL LANDLORD OR ANY LANDLORD INDEMNITEES BE LIABLE TO TENANT FOR LOST PROFIT,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2" w:name="page203"/>
    <w:bookmarkEnd w:id="202"/>
    <w:p>
      <w:pPr>
        <w:jc w:val="both"/>
        <w:spacing w:after="0" w:line="243" w:lineRule="auto"/>
        <w:rPr>
          <w:sz w:val="20"/>
          <w:szCs w:val="20"/>
          <w:color w:val="auto"/>
        </w:rPr>
      </w:pPr>
      <w:r>
        <w:rPr>
          <w:rFonts w:ascii="Arial" w:cs="Arial" w:eastAsia="Arial" w:hAnsi="Arial"/>
          <w:sz w:val="20"/>
          <w:szCs w:val="20"/>
          <w:color w:val="auto"/>
        </w:rPr>
        <w:t>DAMAGE TO OR LOSS OF BUSINESS OR ANY FORM OF PUNITIVE, SPECIAL, INDIRECT OR CONSEQUENTIAL DAMAGE, UNLESS DUE TO CONTAMINATION OF THE PREMISES, THE PROPERTY OR THE PROJECT BY LANDLORD OR ANY LANDLORD INDEMNITEES. WHENEVER LANDLORD TRANSFERS ITS INTEREST AND SUCH TRANSFEREE ASSUMES LANDLORD’S OBLIGATIONS UNDER THIS LEASE, LANDLORD SHALL BE AUTOMATICALLY RELEASED FROM FURTHER PERFORMANCE UNDER THIS LEASE AND FROM ALL FURTHER LIABILITIES AND EXPENSES HEREUNDER AND THE TRANSFEREE OF LANDLORD’S INTEREST SHALL ASSUME ALL LIABILITIES AND OBLIGATIONS OF LANDLORD HEREUNDER ARISING FROM THE DATE OF SUCH TRANSFER.</w:t>
      </w:r>
    </w:p>
    <w:p>
      <w:pPr>
        <w:spacing w:after="0" w:line="187" w:lineRule="exact"/>
        <w:rPr>
          <w:sz w:val="20"/>
          <w:szCs w:val="20"/>
          <w:color w:val="auto"/>
        </w:rPr>
      </w:pPr>
    </w:p>
    <w:p>
      <w:pPr>
        <w:ind w:left="900" w:hanging="892"/>
        <w:spacing w:after="0"/>
        <w:tabs>
          <w:tab w:leader="none" w:pos="900" w:val="left"/>
        </w:tabs>
        <w:numPr>
          <w:ilvl w:val="0"/>
          <w:numId w:val="161"/>
        </w:numPr>
        <w:rPr>
          <w:rFonts w:ascii="Arial" w:cs="Arial" w:eastAsia="Arial" w:hAnsi="Arial"/>
          <w:sz w:val="20"/>
          <w:szCs w:val="20"/>
          <w:color w:val="auto"/>
        </w:rPr>
      </w:pPr>
      <w:r>
        <w:rPr>
          <w:rFonts w:ascii="Arial" w:cs="Arial" w:eastAsia="Arial" w:hAnsi="Arial"/>
          <w:sz w:val="20"/>
          <w:szCs w:val="20"/>
          <w:b w:val="1"/>
          <w:bCs w:val="1"/>
          <w:u w:val="single" w:color="auto"/>
          <w:color w:val="auto"/>
        </w:rPr>
        <w:t>RELOCATION</w:t>
      </w:r>
      <w:r>
        <w:rPr>
          <w:rFonts w:ascii="Arial" w:cs="Arial" w:eastAsia="Arial" w:hAnsi="Arial"/>
          <w:sz w:val="20"/>
          <w:szCs w:val="20"/>
          <w:color w:val="auto"/>
        </w:rPr>
        <w:t>. Intentionally Deleted.</w:t>
      </w:r>
    </w:p>
    <w:p>
      <w:pPr>
        <w:spacing w:after="0" w:line="215" w:lineRule="exact"/>
        <w:rPr>
          <w:rFonts w:ascii="Arial" w:cs="Arial" w:eastAsia="Arial" w:hAnsi="Arial"/>
          <w:sz w:val="20"/>
          <w:szCs w:val="20"/>
          <w:color w:val="auto"/>
        </w:rPr>
      </w:pPr>
    </w:p>
    <w:p>
      <w:pPr>
        <w:jc w:val="both"/>
        <w:ind w:firstLine="8"/>
        <w:spacing w:after="0" w:line="268" w:lineRule="auto"/>
        <w:tabs>
          <w:tab w:leader="none" w:pos="895"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HOLDING OVER</w:t>
      </w:r>
      <w:r>
        <w:rPr>
          <w:rFonts w:ascii="Arial" w:cs="Arial" w:eastAsia="Arial" w:hAnsi="Arial"/>
          <w:sz w:val="18"/>
          <w:szCs w:val="18"/>
          <w:color w:val="auto"/>
        </w:rPr>
        <w:t>. If Tenant remains in possession of all or any part of the Premises after the expiration or earlier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Term, then such holding over shall be a tenancy at sufferance, for the entire Premises, subject to the terms and conditions of this Lease, except that Tenant monthly installments of Base Rent shall be determined on a per month basis without reduction for partial months during the holdover and shall be 150% of the monthly installment of Base Rent payable for the last full month immediately preceding the holdover plus 100% of the monthly installment of Real Property Taxes and Operating Expenses payable by Tenant for the last full month immediately preceding the holdover. This Section shall not be construed as Landlord’s permission for Tenant to holdover. Acceptance of Rent by Landlord following expiration or termination shall not constitute an extension of the Term or prevent Landlord from immediate recovery of possession of the Premises by summary proceedings or otherwise. Notwithstanding any provision in this Lease to the contrary, any holdover by Tenant shall constitute an Event of Default on the part of Tenant under this Lease entitling Landlord to exercise, without obligation to provide Tenant any notice or cure period, all of the remedies available to Landlord in the case of an Event of Default by Tenant. If Tenant remains in possession of all or any part of the Premises after the expiration or earlier termination of the Term, then Tenant shall indemnify and hold Landlord harmless from and against all Losses (including, without limitation, consequential damages) resulting from or arising out of Tenant’s failure to surrender the Premises, including, but not limited to, any amounts required to be paid to any tenant or prospective tenant who was to have occupied the Premises after the expiration or earlier termination of this Lease and any related reasonable attorneys’ fees and brokerage commissions. Landlord shall advise Tenant in writing promptly after Landlord enters into a lease providing for occupancy of any portion of the Premises by a tenant after the Expiration Date (“</w:t>
      </w:r>
      <w:r>
        <w:rPr>
          <w:rFonts w:ascii="Arial" w:cs="Arial" w:eastAsia="Arial" w:hAnsi="Arial"/>
          <w:sz w:val="18"/>
          <w:szCs w:val="18"/>
          <w:b w:val="1"/>
          <w:bCs w:val="1"/>
          <w:color w:val="auto"/>
        </w:rPr>
        <w:t>Landlord’s New Lease Notice</w:t>
      </w:r>
      <w:r>
        <w:rPr>
          <w:rFonts w:ascii="Arial" w:cs="Arial" w:eastAsia="Arial" w:hAnsi="Arial"/>
          <w:sz w:val="18"/>
          <w:szCs w:val="18"/>
          <w:color w:val="auto"/>
        </w:rPr>
        <w:t>”). Notwithstanding anything to the contrary herein contained, Tenant shall not be liable for any damages as a result of a holdover (other than increased Base Rent as set forth above) unless such holdover continues for a period of more than 60 days after Tenant’s receipt of Landlord’s New Lease Notice. (For example, (i) if Tenant receives Landlord’s New Lease Notice 60 or more days prior to the Expiration Date, Tenant will be liable for damages as a result of any holdover after the Expiration Date, and (ii) if Tenant receives Landlord’s New Lease Notice 30 days prior to the Expiration Date, Tenant will be liable for damages as a result of the holdover only if it holds over for more than 30 days after the Expiration Date.).</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jc w:val="both"/>
        <w:ind w:firstLine="8"/>
        <w:spacing w:after="0" w:line="258" w:lineRule="auto"/>
        <w:tabs>
          <w:tab w:leader="none" w:pos="895" w:val="left"/>
        </w:tabs>
        <w:numPr>
          <w:ilvl w:val="0"/>
          <w:numId w:val="161"/>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demands, approvals, consents or notices (collectively referred to as a “</w:t>
      </w:r>
      <w:r>
        <w:rPr>
          <w:rFonts w:ascii="Arial" w:cs="Arial" w:eastAsia="Arial" w:hAnsi="Arial"/>
          <w:sz w:val="19"/>
          <w:szCs w:val="19"/>
          <w:b w:val="1"/>
          <w:bCs w:val="1"/>
          <w:color w:val="auto"/>
        </w:rPr>
        <w:t>notice</w:t>
      </w:r>
      <w:r>
        <w:rPr>
          <w:rFonts w:ascii="Arial" w:cs="Arial" w:eastAsia="Arial" w:hAnsi="Arial"/>
          <w:sz w:val="19"/>
          <w:szCs w:val="19"/>
          <w:color w:val="auto"/>
        </w:rPr>
        <w:t>”) shall be in writing and delivered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(except as otherwise permitted under Section 14 above) by hand or sent by registered, express, or certified mail, with return receipt requested or with delivery confirmation requested from the U.S. postal service, or sent by overnight or same day courier service at the party’s respective Notice Address(es) set forth in Section 1; provided, however, notices sent by Landlord regarding general Building operational matters may be sent via e-mail to the e-mail address provided by Tenant to Landlord for such purpose (which shall be sent to Tim Mueller at </w:t>
      </w:r>
      <w:r>
        <w:rPr>
          <w:rFonts w:ascii="Arial" w:cs="Arial" w:eastAsia="Arial" w:hAnsi="Arial"/>
          <w:sz w:val="19"/>
          <w:szCs w:val="19"/>
          <w:u w:val="single" w:color="auto"/>
          <w:color w:val="auto"/>
        </w:rPr>
        <w:t>tmueller@preludetx.com</w:t>
      </w:r>
      <w:r>
        <w:rPr>
          <w:rFonts w:ascii="Arial" w:cs="Arial" w:eastAsia="Arial" w:hAnsi="Arial"/>
          <w:sz w:val="19"/>
          <w:szCs w:val="19"/>
          <w:color w:val="auto"/>
        </w:rPr>
        <w:t xml:space="preserve"> until changed by Tenant upon notice to Landlord). In addition, if the Building is closed (whether due to emergency, governmental order or any other reason), then any notice address at the Building shall not be deemed a required notice address during such closure, and, unless Tenant has provided an alternative valid notice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3" w:name="page204"/>
    <w:bookmarkEnd w:id="203"/>
    <w:p>
      <w:pPr>
        <w:jc w:val="both"/>
        <w:spacing w:after="0" w:line="244" w:lineRule="auto"/>
        <w:rPr>
          <w:sz w:val="20"/>
          <w:szCs w:val="20"/>
          <w:color w:val="auto"/>
        </w:rPr>
      </w:pPr>
      <w:r>
        <w:rPr>
          <w:rFonts w:ascii="Arial" w:cs="Arial" w:eastAsia="Arial" w:hAnsi="Arial"/>
          <w:sz w:val="20"/>
          <w:szCs w:val="20"/>
          <w:color w:val="auto"/>
        </w:rPr>
        <w:t>address to Landlord for use during such closure, any notices sent during such closure may be sent via e-mail or in any other practical manner reasonably designed to ensure receipt by the intended recipient but shall also be sent to the Building. Each notice shall be deemed to have been received on the earlier to occur of actual delivery or the date on which delivery is refused. Either party may, at any time, change its Notice Address (other than to a post office box address) by giving the other party written notice of the new address. Counsel for any party may give notice on its behalf.</w:t>
      </w:r>
    </w:p>
    <w:p>
      <w:pPr>
        <w:spacing w:after="0" w:line="188" w:lineRule="exact"/>
        <w:rPr>
          <w:sz w:val="20"/>
          <w:szCs w:val="20"/>
          <w:color w:val="auto"/>
        </w:rPr>
      </w:pPr>
    </w:p>
    <w:p>
      <w:pPr>
        <w:jc w:val="both"/>
        <w:ind w:firstLine="8"/>
        <w:spacing w:after="0" w:line="269" w:lineRule="auto"/>
        <w:tabs>
          <w:tab w:leader="none" w:pos="895"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SURRENDER</w:t>
      </w:r>
      <w:r>
        <w:rPr>
          <w:rFonts w:ascii="Arial" w:cs="Arial" w:eastAsia="Arial" w:hAnsi="Arial"/>
          <w:sz w:val="18"/>
          <w:szCs w:val="18"/>
          <w:color w:val="auto"/>
        </w:rPr>
        <w:t>. On the date in which this Lease expires or terminates, Tenant, at its sole cost, shall return possession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to Landlord in accordance with Tenant’s obligations under this Lease, and otherwise in broom clean good condition, ordinary wear and tear and damage by fire or casualty, condemnation and unperformed Landlord obligations excepted. Conditions existing because of Tenant’s failure to perform any of its Maintenance obligations hereunder or as a result of the presence of Hazardous Materials on, in, under or about the Premises, the Property, the Project or other property as a result of the acts or omissions (with respect to omissions, only to the extent in violation of this Lease or Applicable Laws) of Tenant and/or any Tenant Party shall not be deemed “ordinary wear and tear”. On or before the expiration or earlier termination of this Lease, except as otherwise expressly set forth under this Lease, Tenant, at its sole cost, shall remove Tenant’s Property from the Property and repair all damage resulting from such removal and restore the Property and the Project to the condition required in this Lease, subject to Section 13.1 above, unless otherwise expressly agreed to in writing by the parties hereto. If Tenant fails to remove any Tenant’s Property as required hereunder, then Landlord may deem all or any part of Tenant’s Property to be abandoned and, at Landlord’s option, title to Tenant’s Property shall vest in Landlord and/or Landlord, at Tenant’s sole cost, may remove and/or dispose of any Tenant’s Property in any manner Landlord deems appropriate. Tenant shall have no obligation to remove the Landlord Work or any portion thereof or any Alteration except for any specialty Alteration pursuant to Section 13.1. If Tenant does not return possession of the Premises to Landlord in the condition required under this Lease, then Landlord shall promptly notify Tenant thereof and Tenant shall pay Landlord, upon demand and presentation of reasonable supporting documentation all reasonable costs incurred by Landlord necessary to put the Premises in the condition required under this Lease.</w:t>
      </w:r>
    </w:p>
    <w:p>
      <w:pPr>
        <w:spacing w:after="0" w:line="176" w:lineRule="exact"/>
        <w:rPr>
          <w:rFonts w:ascii="Arial" w:cs="Arial" w:eastAsia="Arial" w:hAnsi="Arial"/>
          <w:sz w:val="18"/>
          <w:szCs w:val="18"/>
          <w:color w:val="auto"/>
        </w:rPr>
      </w:pPr>
    </w:p>
    <w:p>
      <w:pPr>
        <w:ind w:left="900" w:hanging="892"/>
        <w:spacing w:after="0"/>
        <w:tabs>
          <w:tab w:leader="none" w:pos="900" w:val="left"/>
        </w:tabs>
        <w:numPr>
          <w:ilvl w:val="0"/>
          <w:numId w:val="162"/>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26.1 </w:t>
      </w:r>
      <w:r>
        <w:rPr>
          <w:rFonts w:ascii="Arial" w:cs="Arial" w:eastAsia="Arial" w:hAnsi="Arial"/>
          <w:sz w:val="19"/>
          <w:szCs w:val="19"/>
          <w:b w:val="1"/>
          <w:bCs w:val="1"/>
          <w:color w:val="auto"/>
        </w:rPr>
        <w:t>Entire Agreement</w:t>
      </w:r>
      <w:r>
        <w:rPr>
          <w:rFonts w:ascii="Arial" w:cs="Arial" w:eastAsia="Arial" w:hAnsi="Arial"/>
          <w:sz w:val="19"/>
          <w:szCs w:val="19"/>
          <w:color w:val="auto"/>
        </w:rPr>
        <w:t>. This Lease, Addenda, Exhibits and Schedules set forth all the agreements between Landlord and Tenant concerning the Premises; and there are no agreements either oral or written other than as set forth herein. This Lease may be modified only by a written agreement signed by an authorized representative of Landlord and Tenant.</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18"/>
          <w:szCs w:val="18"/>
          <w:b w:val="1"/>
          <w:bCs w:val="1"/>
          <w:color w:val="auto"/>
        </w:rPr>
        <w:t>Time of Essence</w:t>
      </w:r>
      <w:r>
        <w:rPr>
          <w:rFonts w:ascii="Arial" w:cs="Arial" w:eastAsia="Arial" w:hAnsi="Arial"/>
          <w:sz w:val="18"/>
          <w:szCs w:val="18"/>
          <w:color w:val="auto"/>
        </w:rPr>
        <w:t>. Time is of the essence with respect to Tenant’s obligations and Landlord’s obligations under this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Lease.</w:t>
      </w:r>
    </w:p>
    <w:p>
      <w:pPr>
        <w:spacing w:after="0" w:line="19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26.3 </w:t>
      </w:r>
      <w:r>
        <w:rPr>
          <w:rFonts w:ascii="Arial" w:cs="Arial" w:eastAsia="Arial" w:hAnsi="Arial"/>
          <w:sz w:val="20"/>
          <w:szCs w:val="20"/>
          <w:b w:val="1"/>
          <w:bCs w:val="1"/>
          <w:color w:val="auto"/>
        </w:rPr>
        <w:t>Severability</w:t>
      </w:r>
      <w:r>
        <w:rPr>
          <w:rFonts w:ascii="Arial" w:cs="Arial" w:eastAsia="Arial" w:hAnsi="Arial"/>
          <w:sz w:val="20"/>
          <w:szCs w:val="20"/>
          <w:color w:val="auto"/>
        </w:rPr>
        <w:t>. If any provision of this Lease or the application of any such provision shall be held by a court of competent jurisdiction to be invalid, void or unenforceable to any extent, then the remaining provisions of this Lease and the application thereof shall remain in full force and effect and shall not be affected, impaired or invalidated.</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26.4</w:t>
      </w:r>
      <w:r>
        <w:rPr>
          <w:sz w:val="20"/>
          <w:szCs w:val="20"/>
          <w:color w:val="auto"/>
        </w:rPr>
        <w:tab/>
      </w:r>
      <w:r>
        <w:rPr>
          <w:rFonts w:ascii="Arial" w:cs="Arial" w:eastAsia="Arial" w:hAnsi="Arial"/>
          <w:sz w:val="18"/>
          <w:szCs w:val="18"/>
          <w:b w:val="1"/>
          <w:bCs w:val="1"/>
          <w:color w:val="auto"/>
        </w:rPr>
        <w:t>Law</w:t>
      </w:r>
      <w:r>
        <w:rPr>
          <w:rFonts w:ascii="Arial" w:cs="Arial" w:eastAsia="Arial" w:hAnsi="Arial"/>
          <w:sz w:val="18"/>
          <w:szCs w:val="18"/>
          <w:color w:val="auto"/>
        </w:rPr>
        <w:t>. This Lease shall be construed and enforced in accordance with the laws of the state in which the Premises are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located.</w:t>
      </w:r>
    </w:p>
    <w:p>
      <w:pPr>
        <w:spacing w:after="0" w:line="194"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 xml:space="preserve">26.5 </w:t>
      </w:r>
      <w:r>
        <w:rPr>
          <w:rFonts w:ascii="Arial" w:cs="Arial" w:eastAsia="Arial" w:hAnsi="Arial"/>
          <w:sz w:val="20"/>
          <w:szCs w:val="20"/>
          <w:b w:val="1"/>
          <w:bCs w:val="1"/>
          <w:color w:val="auto"/>
        </w:rPr>
        <w:t>Successors and Assigns</w:t>
      </w:r>
      <w:r>
        <w:rPr>
          <w:rFonts w:ascii="Arial" w:cs="Arial" w:eastAsia="Arial" w:hAnsi="Arial"/>
          <w:sz w:val="20"/>
          <w:szCs w:val="20"/>
          <w:color w:val="auto"/>
        </w:rPr>
        <w:t>. This Lease shall be binding upon and inure to the benefit of the successors and assigns of Landlord and, subject to compliance with the terms of Section 19, Tenant.</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4" w:name="page205"/>
    <w:bookmarkEnd w:id="204"/>
    <w:p>
      <w:pPr>
        <w:jc w:val="both"/>
        <w:ind w:firstLine="864"/>
        <w:spacing w:after="0" w:line="265" w:lineRule="auto"/>
        <w:rPr>
          <w:sz w:val="20"/>
          <w:szCs w:val="20"/>
          <w:color w:val="auto"/>
        </w:rPr>
      </w:pPr>
      <w:r>
        <w:rPr>
          <w:rFonts w:ascii="Arial" w:cs="Arial" w:eastAsia="Arial" w:hAnsi="Arial"/>
          <w:sz w:val="19"/>
          <w:szCs w:val="19"/>
          <w:color w:val="auto"/>
        </w:rPr>
        <w:t xml:space="preserve">26.6 </w:t>
      </w:r>
      <w:r>
        <w:rPr>
          <w:rFonts w:ascii="Arial" w:cs="Arial" w:eastAsia="Arial" w:hAnsi="Arial"/>
          <w:sz w:val="19"/>
          <w:szCs w:val="19"/>
          <w:b w:val="1"/>
          <w:bCs w:val="1"/>
          <w:color w:val="auto"/>
        </w:rPr>
        <w:t>Memorandum of Lease</w:t>
      </w:r>
      <w:r>
        <w:rPr>
          <w:rFonts w:ascii="Arial" w:cs="Arial" w:eastAsia="Arial" w:hAnsi="Arial"/>
          <w:sz w:val="19"/>
          <w:szCs w:val="19"/>
          <w:color w:val="auto"/>
        </w:rPr>
        <w:t xml:space="preserve">. Tenant shall not record this Lease or a short form memorandum hereof. Notwithstanding the foregoing, Tenant, at its sole cost and expense, shall have the right to record a memorandum of this Lease substantially in the form attached hereto as </w:t>
      </w:r>
      <w:r>
        <w:rPr>
          <w:rFonts w:ascii="Arial" w:cs="Arial" w:eastAsia="Arial" w:hAnsi="Arial"/>
          <w:sz w:val="19"/>
          <w:szCs w:val="19"/>
          <w:b w:val="1"/>
          <w:bCs w:val="1"/>
          <w:color w:val="auto"/>
        </w:rPr>
        <w:t>Exhibit N</w:t>
      </w:r>
      <w:r>
        <w:rPr>
          <w:rFonts w:ascii="Arial" w:cs="Arial" w:eastAsia="Arial" w:hAnsi="Arial"/>
          <w:sz w:val="19"/>
          <w:szCs w:val="19"/>
          <w:color w:val="auto"/>
        </w:rPr>
        <w:t>. Landlord shall reasonably cooperate with Tenant to effectuate any such recording. Tenant shall reasonably cooperate with Landlord to discharge such recording at the expiration or earlier termination of the Term.</w:t>
      </w:r>
    </w:p>
    <w:p>
      <w:pPr>
        <w:spacing w:after="0" w:line="16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26.7 </w:t>
      </w:r>
      <w:r>
        <w:rPr>
          <w:rFonts w:ascii="Arial" w:cs="Arial" w:eastAsia="Arial" w:hAnsi="Arial"/>
          <w:sz w:val="20"/>
          <w:szCs w:val="20"/>
          <w:b w:val="1"/>
          <w:bCs w:val="1"/>
          <w:color w:val="auto"/>
        </w:rPr>
        <w:t>Agency, Partnership or Joint Venture</w:t>
      </w:r>
      <w:r>
        <w:rPr>
          <w:rFonts w:ascii="Arial" w:cs="Arial" w:eastAsia="Arial" w:hAnsi="Arial"/>
          <w:sz w:val="20"/>
          <w:szCs w:val="20"/>
          <w:color w:val="auto"/>
        </w:rPr>
        <w:t>. Nothing contained herein nor any acts of the parties hereto shall be deemed or construed by the parties hereto, nor by any third party, as creating the relationship of principal and agent or of partnership or of joint venture by the parties hereto or any relationship other than the relationship of landlord and tenant.</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26.8 </w:t>
      </w:r>
      <w:r>
        <w:rPr>
          <w:rFonts w:ascii="Arial" w:cs="Arial" w:eastAsia="Arial" w:hAnsi="Arial"/>
          <w:sz w:val="20"/>
          <w:szCs w:val="20"/>
          <w:b w:val="1"/>
          <w:bCs w:val="1"/>
          <w:color w:val="auto"/>
        </w:rPr>
        <w:t>Merger</w:t>
      </w:r>
      <w:r>
        <w:rPr>
          <w:rFonts w:ascii="Arial" w:cs="Arial" w:eastAsia="Arial" w:hAnsi="Arial"/>
          <w:sz w:val="20"/>
          <w:szCs w:val="20"/>
          <w:color w:val="auto"/>
        </w:rPr>
        <w:t>. The voluntary or other surrender of this Lease by Tenant or a mutual cancellation thereof or a termination by Landlord shall not work a merger and shall, at the option of Landlord, terminate all or any existing sub-tenancies or may, at the option of Landlord, operate as an assignment to Landlord of any or all of such sub-tenancies.</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 xml:space="preserve">26.9 </w:t>
      </w:r>
      <w:r>
        <w:rPr>
          <w:rFonts w:ascii="Arial" w:cs="Arial" w:eastAsia="Arial" w:hAnsi="Arial"/>
          <w:sz w:val="20"/>
          <w:szCs w:val="20"/>
          <w:b w:val="1"/>
          <w:bCs w:val="1"/>
          <w:color w:val="auto"/>
        </w:rPr>
        <w:t>Headings</w:t>
      </w:r>
      <w:r>
        <w:rPr>
          <w:rFonts w:ascii="Arial" w:cs="Arial" w:eastAsia="Arial" w:hAnsi="Arial"/>
          <w:sz w:val="20"/>
          <w:szCs w:val="20"/>
          <w:color w:val="auto"/>
        </w:rPr>
        <w:t>. Section headings have been inserted solely as a matter of convenience and are not intended to define or limit the scope of any of the provisions contained therein.</w:t>
      </w:r>
    </w:p>
    <w:p>
      <w:pPr>
        <w:spacing w:after="0" w:line="163"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 xml:space="preserve">26.10 </w:t>
      </w:r>
      <w:r>
        <w:rPr>
          <w:rFonts w:ascii="Arial" w:cs="Arial" w:eastAsia="Arial" w:hAnsi="Arial"/>
          <w:sz w:val="18"/>
          <w:szCs w:val="18"/>
          <w:b w:val="1"/>
          <w:bCs w:val="1"/>
          <w:color w:val="auto"/>
        </w:rPr>
        <w:t>Signs</w:t>
      </w:r>
      <w:r>
        <w:rPr>
          <w:rFonts w:ascii="Arial" w:cs="Arial" w:eastAsia="Arial" w:hAnsi="Arial"/>
          <w:sz w:val="18"/>
          <w:szCs w:val="18"/>
          <w:color w:val="auto"/>
        </w:rPr>
        <w:t>. Landlord will furnish Tenant Building standard identification signage on or beside the main entrance door to the Premises and Building standard, shared signage on a Building monument sign to be located on the Property, in common with other tenants of the Project. Tenant shall not place any signs on the Property without the prior consent of Landlord (which consent shall not be unreasonably withheld, conditioned or delayed so long as such signage is reasonably consistent with the Project standard signage), other than signs that are located wholly within the interior of the Premises and not visible from the exterior of the Premises. Notwithstanding the foregoing, provided that Tenant continues to lease at least 52% of the Building, Tenant, at its sole cost and expense, shall be permitted to install illuminated signage on the exterior of the Building, subject to (i) Tenant’s compliance with all Applicable Laws, and (ii) Landlord’s prior written approval (which approval shall not be unreasonably withheld, conditioned or delayed so long as such signage is consistent with the signage of other tenants of Landlord in the Project) of such signage, including, without limitation, approval of its appearance, size, lighting, materials and location. Provided that Tenant continues to lease at least 52% of the Building, Landlord shall not permit other tenants in the Building to have signage on the exterior of the Building, except at entrances exclusively serving such tenants. Tenant shall Maintain all signs installed by Tenant in good condition. Tenant shall remove its signs at the termination of this Lease, shall repair any resulting damage, and shall restore any damage due to the installation thereof.</w:t>
      </w:r>
    </w:p>
    <w:p>
      <w:pPr>
        <w:spacing w:after="0" w:line="17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 xml:space="preserve">26.11 </w:t>
      </w:r>
      <w:r>
        <w:rPr>
          <w:rFonts w:ascii="Arial" w:cs="Arial" w:eastAsia="Arial" w:hAnsi="Arial"/>
          <w:sz w:val="18"/>
          <w:szCs w:val="18"/>
          <w:b w:val="1"/>
          <w:bCs w:val="1"/>
          <w:color w:val="auto"/>
        </w:rPr>
        <w:t>Brokers</w:t>
      </w:r>
      <w:r>
        <w:rPr>
          <w:rFonts w:ascii="Arial" w:cs="Arial" w:eastAsia="Arial" w:hAnsi="Arial"/>
          <w:sz w:val="18"/>
          <w:szCs w:val="18"/>
          <w:color w:val="auto"/>
        </w:rPr>
        <w:t>. Tenant agrees that it has dealt with no brokers in connection with this Lease, except the Broker(s). Landlord agrees to pay any commission due by Landlord to the Broker(s) pursuant to a separate agreement. Tenant agrees to indemnify and hold Landlord harmless from any and all claims for commissions or fees in connection with the Premises and this Lease from any other real estate brokers or agents with whom Tenant may have dealt. Landlord agrees that it has dealt with no brokers in connection with this Lease, except the Broker(s). Landlord agrees to indemnify and hold Tenant harmless from any and all claims for commissions or fees in connection with the Premises and this Lease from any other real estate brokers or agents with whom Landlord may have dealt.</w:t>
      </w:r>
    </w:p>
    <w:p>
      <w:pPr>
        <w:spacing w:after="0" w:line="16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26.12 </w:t>
      </w:r>
      <w:r>
        <w:rPr>
          <w:rFonts w:ascii="Arial" w:cs="Arial" w:eastAsia="Arial" w:hAnsi="Arial"/>
          <w:sz w:val="20"/>
          <w:szCs w:val="20"/>
          <w:b w:val="1"/>
          <w:bCs w:val="1"/>
          <w:color w:val="auto"/>
        </w:rPr>
        <w:t>Joint and Several</w:t>
      </w:r>
      <w:r>
        <w:rPr>
          <w:rFonts w:ascii="Arial" w:cs="Arial" w:eastAsia="Arial" w:hAnsi="Arial"/>
          <w:sz w:val="20"/>
          <w:szCs w:val="20"/>
          <w:color w:val="auto"/>
        </w:rPr>
        <w:t>. If Tenant or Landlord consists of more than one person, then the obligation of all such persons shall be joint and several. In such event, requests or demands from any one person or entity comprising Tenant or Landlord, as applicable, shall be deemed to have been made by all such persons or entities, and notices to any one person or entity shall be deemed to have been given to all persons and entities.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5" w:name="page206"/>
    <w:bookmarkEnd w:id="205"/>
    <w:p>
      <w:pPr>
        <w:jc w:val="both"/>
        <w:ind w:firstLine="864"/>
        <w:spacing w:after="0" w:line="242" w:lineRule="auto"/>
        <w:rPr>
          <w:sz w:val="20"/>
          <w:szCs w:val="20"/>
          <w:color w:val="auto"/>
        </w:rPr>
      </w:pPr>
      <w:r>
        <w:rPr>
          <w:rFonts w:ascii="Arial" w:cs="Arial" w:eastAsia="Arial" w:hAnsi="Arial"/>
          <w:sz w:val="20"/>
          <w:szCs w:val="20"/>
          <w:color w:val="auto"/>
        </w:rPr>
        <w:t xml:space="preserve">26.13 </w:t>
      </w:r>
      <w:r>
        <w:rPr>
          <w:rFonts w:ascii="Arial" w:cs="Arial" w:eastAsia="Arial" w:hAnsi="Arial"/>
          <w:sz w:val="20"/>
          <w:szCs w:val="20"/>
          <w:b w:val="1"/>
          <w:bCs w:val="1"/>
          <w:color w:val="auto"/>
        </w:rPr>
        <w:t>OFAC</w:t>
      </w:r>
      <w:r>
        <w:rPr>
          <w:rFonts w:ascii="Arial" w:cs="Arial" w:eastAsia="Arial" w:hAnsi="Arial"/>
          <w:sz w:val="20"/>
          <w:szCs w:val="20"/>
          <w:color w:val="auto"/>
        </w:rPr>
        <w:t>. Tenant and Landlord each hereby represents, warrants and certifies that: (a) neither it nor its officers, directors, or controlling owners is acting, directly or indirectly, for or on behalf of any person, group, entity, or nation named by any Executive Order, the United States Department of Justice, or the United States Treasury Department as a terrorist, “Specifically Designated National or Blocked Person,” or other banned or blocked person, entity, nation, or transaction pursuant to any law, order, rule or regulation that is enforced or administered by the Office of Foreign Assets Control (“</w:t>
      </w:r>
      <w:r>
        <w:rPr>
          <w:rFonts w:ascii="Arial" w:cs="Arial" w:eastAsia="Arial" w:hAnsi="Arial"/>
          <w:sz w:val="20"/>
          <w:szCs w:val="20"/>
          <w:b w:val="1"/>
          <w:bCs w:val="1"/>
          <w:color w:val="auto"/>
        </w:rPr>
        <w:t>SDN</w:t>
      </w:r>
      <w:r>
        <w:rPr>
          <w:rFonts w:ascii="Arial" w:cs="Arial" w:eastAsia="Arial" w:hAnsi="Arial"/>
          <w:sz w:val="20"/>
          <w:szCs w:val="20"/>
          <w:color w:val="auto"/>
        </w:rPr>
        <w:t>”); (b) neither it nor its officers, directors or controlling owners is engaged in this transaction, directly or indirectly on behalf of, or instigating or facilitating this transaction, directly or indirectly on behalf of, any such person, group, entity, or nation; and (c) neither it nor its officers, directors or controlling owners is in violation of Presidential Executive Order 13224, the USA PATRIOT Act, (Public Law 107-56), the Bank Secrecy Act, the Money Laundering Control Act or any regulations promulgated pursuant thereto. If the foregoing representations are untrue at any time during the Term, then an Event of Default by Tenant or default by Landlord, as applicable, will be deemed to have occurred, without the necessity of notice to the defaulting party.</w:t>
      </w:r>
    </w:p>
    <w:p>
      <w:pPr>
        <w:spacing w:after="0" w:line="19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color w:val="auto"/>
        </w:rPr>
        <w:t>26.14</w:t>
      </w:r>
      <w:r>
        <w:rPr>
          <w:sz w:val="20"/>
          <w:szCs w:val="20"/>
          <w:color w:val="auto"/>
        </w:rPr>
        <w:tab/>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26.15 </w:t>
      </w:r>
      <w:r>
        <w:rPr>
          <w:rFonts w:ascii="Arial" w:cs="Arial" w:eastAsia="Arial" w:hAnsi="Arial"/>
          <w:sz w:val="20"/>
          <w:szCs w:val="20"/>
          <w:b w:val="1"/>
          <w:bCs w:val="1"/>
          <w:color w:val="auto"/>
        </w:rPr>
        <w:t>Renewable Energy</w:t>
      </w:r>
      <w:r>
        <w:rPr>
          <w:rFonts w:ascii="Arial" w:cs="Arial" w:eastAsia="Arial" w:hAnsi="Arial"/>
          <w:sz w:val="20"/>
          <w:szCs w:val="20"/>
          <w:color w:val="auto"/>
        </w:rPr>
        <w:t>. Tenant agrees to cooperate with Landlord in the event that Landlord desires to provide a source of renewable energy to serve the Premises or the Property, such as solar or wind power, and Tenant agrees to same, in which event the parties shall work cooperatively and in good faith to implement.</w:t>
      </w:r>
    </w:p>
    <w:p>
      <w:pPr>
        <w:spacing w:after="0" w:line="17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26.16 </w:t>
      </w:r>
      <w:r>
        <w:rPr>
          <w:rFonts w:ascii="Arial" w:cs="Arial" w:eastAsia="Arial" w:hAnsi="Arial"/>
          <w:sz w:val="20"/>
          <w:szCs w:val="20"/>
          <w:b w:val="1"/>
          <w:bCs w:val="1"/>
          <w:color w:val="auto"/>
        </w:rPr>
        <w:t>Force Majeure</w:t>
      </w:r>
      <w:r>
        <w:rPr>
          <w:rFonts w:ascii="Arial" w:cs="Arial" w:eastAsia="Arial" w:hAnsi="Arial"/>
          <w:sz w:val="20"/>
          <w:szCs w:val="20"/>
          <w:color w:val="auto"/>
        </w:rPr>
        <w:t>. If either party hereto is prevented from performing any obligation hereunder by any strike, act of God, war, terrorist act, shortage of labor or materials, governmental action or orders, civil commotion, epidemic, pandemic, public health emergency or other cause beyond such party’s reasonable control (“Force Majeure”), such obligation shall be excused during (and any time period for the performance of such obligation shall be extended by) the period of such prevention; provided, however, that this Section shall not (a) permit Tenant to hold over in the Premises after the expiration or earlier termination hereof, or (b) excuse (or extend any time period for the performance of) (i) any obligation to remit money or deliver the Security Deposit or any portion thereof, or (ii) any obligation under Sections 10 and 11.</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26.17 </w:t>
      </w:r>
      <w:r>
        <w:rPr>
          <w:rFonts w:ascii="Arial" w:cs="Arial" w:eastAsia="Arial" w:hAnsi="Arial"/>
          <w:sz w:val="20"/>
          <w:szCs w:val="20"/>
          <w:b w:val="1"/>
          <w:bCs w:val="1"/>
          <w:color w:val="auto"/>
        </w:rPr>
        <w:t>Counterparts; Commercial Rental Unit</w:t>
      </w:r>
      <w:r>
        <w:rPr>
          <w:rFonts w:ascii="Arial" w:cs="Arial" w:eastAsia="Arial" w:hAnsi="Arial"/>
          <w:sz w:val="20"/>
          <w:szCs w:val="20"/>
          <w:color w:val="auto"/>
        </w:rPr>
        <w:t>. This Lease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 Transmission of a facsimile or by email of a pdf copy or via DocuSign of the signed counterpart of this Lease shall be deemed the equivalent of the delivery of the original, and any party so delivering a facsimile or pdf copy of the signed counterpart of this Lease by email transmission shall in all events deliver to the other party an original signature promptly upon request. This Lease is a lease of a “commercial rental unit” as defined in the Delaware Landlord-Tenant Code, 25 Del. C. Section 5101 et seq.</w:t>
      </w:r>
    </w:p>
    <w:p>
      <w:pPr>
        <w:spacing w:after="0" w:line="18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26.18 </w:t>
      </w:r>
      <w:r>
        <w:rPr>
          <w:rFonts w:ascii="Arial" w:cs="Arial" w:eastAsia="Arial" w:hAnsi="Arial"/>
          <w:sz w:val="20"/>
          <w:szCs w:val="20"/>
          <w:b w:val="1"/>
          <w:bCs w:val="1"/>
          <w:color w:val="auto"/>
        </w:rPr>
        <w:t>Waiver of Redemption of Tenant</w:t>
      </w:r>
      <w:r>
        <w:rPr>
          <w:rFonts w:ascii="Arial" w:cs="Arial" w:eastAsia="Arial" w:hAnsi="Arial"/>
          <w:sz w:val="20"/>
          <w:szCs w:val="20"/>
          <w:color w:val="auto"/>
        </w:rPr>
        <w:t>. Tenant hereby waives, for Tenant and for all those claiming under Tenant, all rights now or hereafter existing to redeem by order or judgment of any court or by any legal process or writ, Tenant’s right of occupancy of the Premises or Property after any termination of this Lease.</w:t>
      </w:r>
    </w:p>
    <w:p>
      <w:pPr>
        <w:spacing w:after="0" w:line="17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26.19 </w:t>
      </w:r>
      <w:r>
        <w:rPr>
          <w:rFonts w:ascii="Arial" w:cs="Arial" w:eastAsia="Arial" w:hAnsi="Arial"/>
          <w:sz w:val="20"/>
          <w:szCs w:val="20"/>
          <w:b w:val="1"/>
          <w:bCs w:val="1"/>
          <w:color w:val="auto"/>
        </w:rPr>
        <w:t>Rights Reserved by Landlord</w:t>
      </w:r>
      <w:r>
        <w:rPr>
          <w:rFonts w:ascii="Arial" w:cs="Arial" w:eastAsia="Arial" w:hAnsi="Arial"/>
          <w:sz w:val="20"/>
          <w:szCs w:val="20"/>
          <w:color w:val="auto"/>
        </w:rPr>
        <w:t>. Landlord excepts and reserves exclusively to itself any and all rights not specifically granted to Tenant under this Lease. Landlord reserves the right to make changes to the Property, Building and Exterior Areas as Landlord deems appropriate, including, without limitation, the right to grant easements, rights of way, utility raceways and make dedications, to grant lease,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6" w:name="page207"/>
    <w:bookmarkEnd w:id="206"/>
    <w:p>
      <w:pPr>
        <w:jc w:val="both"/>
        <w:spacing w:after="0" w:line="243" w:lineRule="auto"/>
        <w:rPr>
          <w:sz w:val="20"/>
          <w:szCs w:val="20"/>
          <w:color w:val="auto"/>
        </w:rPr>
      </w:pPr>
      <w:r>
        <w:rPr>
          <w:rFonts w:ascii="Arial" w:cs="Arial" w:eastAsia="Arial" w:hAnsi="Arial"/>
          <w:sz w:val="20"/>
          <w:szCs w:val="20"/>
          <w:color w:val="auto"/>
        </w:rPr>
        <w:t>license or use rights to third parties, to utilize the foregoing easements or licenses on the Property and/or the Project, to dedicate for public use portions of the Property and/or the Project, to improve the energy efficiency or sustainability of the Building, the Property and/or the Project, and to change the name of the Building, the Property and/or the Project, provided that Landlord obtains Tenant’s prior consent before taking any such actions, such consent not to be unreasonably withheld, conditioned or delayed and to be promptly given by Tenant so long as such actions do not materially and adversely modify either Tenant’s obligations or rights and/or Landlord’s duties under the terms of this Lease.</w:t>
      </w:r>
    </w:p>
    <w:p>
      <w:pPr>
        <w:spacing w:after="0" w:line="19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26.20 </w:t>
      </w:r>
      <w:r>
        <w:rPr>
          <w:rFonts w:ascii="Arial" w:cs="Arial" w:eastAsia="Arial" w:hAnsi="Arial"/>
          <w:sz w:val="19"/>
          <w:szCs w:val="19"/>
          <w:b w:val="1"/>
          <w:bCs w:val="1"/>
          <w:color w:val="auto"/>
        </w:rPr>
        <w:t>Exterior Equipment</w:t>
      </w:r>
      <w:r>
        <w:rPr>
          <w:rFonts w:ascii="Arial" w:cs="Arial" w:eastAsia="Arial" w:hAnsi="Arial"/>
          <w:sz w:val="19"/>
          <w:szCs w:val="19"/>
          <w:color w:val="auto"/>
        </w:rPr>
        <w:t>. Provided Tenant is not then in default under this Lease beyond all applicable notice and cure periods, subject to Tenant’s compliance with the provisions of Section 13 of this Lease, Tenant shall have the right and option, at its sole risk, responsibility, cost and expense, to purchase, install (including, without limitation, any costs associated with upsizing the pipe for any natural gas generator), use and Maintain a back-up diesel or natural gas generator sized appropriately for the demand (approximately 500 kVA) (“</w:t>
      </w:r>
      <w:r>
        <w:rPr>
          <w:rFonts w:ascii="Arial" w:cs="Arial" w:eastAsia="Arial" w:hAnsi="Arial"/>
          <w:sz w:val="19"/>
          <w:szCs w:val="19"/>
          <w:b w:val="1"/>
          <w:bCs w:val="1"/>
          <w:color w:val="auto"/>
        </w:rPr>
        <w:t>Generator</w:t>
      </w:r>
      <w:r>
        <w:rPr>
          <w:rFonts w:ascii="Arial" w:cs="Arial" w:eastAsia="Arial" w:hAnsi="Arial"/>
          <w:sz w:val="19"/>
          <w:szCs w:val="19"/>
          <w:color w:val="auto"/>
        </w:rPr>
        <w:t>”), an external, horizontal liquid nitrogen tank (maximum size of 6,000 gallons) and a horizontal Carbon Dioxide tank (less than 5 tons) (collectively, “</w:t>
      </w:r>
      <w:r>
        <w:rPr>
          <w:rFonts w:ascii="Arial" w:cs="Arial" w:eastAsia="Arial" w:hAnsi="Arial"/>
          <w:sz w:val="19"/>
          <w:szCs w:val="19"/>
          <w:b w:val="1"/>
          <w:bCs w:val="1"/>
          <w:color w:val="auto"/>
        </w:rPr>
        <w:t>Tank</w:t>
      </w:r>
      <w:r>
        <w:rPr>
          <w:rFonts w:ascii="Arial" w:cs="Arial" w:eastAsia="Arial" w:hAnsi="Arial"/>
          <w:sz w:val="19"/>
          <w:szCs w:val="19"/>
          <w:color w:val="auto"/>
        </w:rPr>
        <w:t>”), communication devices (“</w:t>
      </w:r>
      <w:r>
        <w:rPr>
          <w:rFonts w:ascii="Arial" w:cs="Arial" w:eastAsia="Arial" w:hAnsi="Arial"/>
          <w:sz w:val="19"/>
          <w:szCs w:val="19"/>
          <w:b w:val="1"/>
          <w:bCs w:val="1"/>
          <w:color w:val="auto"/>
        </w:rPr>
        <w:t>Antenna</w:t>
      </w:r>
      <w:r>
        <w:rPr>
          <w:rFonts w:ascii="Arial" w:cs="Arial" w:eastAsia="Arial" w:hAnsi="Arial"/>
          <w:sz w:val="19"/>
          <w:szCs w:val="19"/>
          <w:color w:val="auto"/>
        </w:rPr>
        <w:t>”), and a waste storage and pour off area located in the Building of approximately 600 square feet (provided that, after Tenant informs Landlord in writing of Tenant’s intention for such area, the specific use of such area and the materials involved therein, Tenant obtains Landlord’s prior written approval thereof) and a storage area for approximately 20 gas cylinders (collectively, “</w:t>
      </w:r>
      <w:r>
        <w:rPr>
          <w:rFonts w:ascii="Arial" w:cs="Arial" w:eastAsia="Arial" w:hAnsi="Arial"/>
          <w:sz w:val="19"/>
          <w:szCs w:val="19"/>
          <w:b w:val="1"/>
          <w:bCs w:val="1"/>
          <w:color w:val="auto"/>
        </w:rPr>
        <w:t>Outdoor Storage</w:t>
      </w:r>
      <w:r>
        <w:rPr>
          <w:rFonts w:ascii="Arial" w:cs="Arial" w:eastAsia="Arial" w:hAnsi="Arial"/>
          <w:sz w:val="19"/>
          <w:szCs w:val="19"/>
          <w:color w:val="auto"/>
        </w:rPr>
        <w:t>”) (collectively, “</w:t>
      </w:r>
      <w:r>
        <w:rPr>
          <w:rFonts w:ascii="Arial" w:cs="Arial" w:eastAsia="Arial" w:hAnsi="Arial"/>
          <w:sz w:val="19"/>
          <w:szCs w:val="19"/>
          <w:b w:val="1"/>
          <w:bCs w:val="1"/>
          <w:color w:val="auto"/>
        </w:rPr>
        <w:t>Exterior Equipment</w:t>
      </w:r>
      <w:r>
        <w:rPr>
          <w:rFonts w:ascii="Arial" w:cs="Arial" w:eastAsia="Arial" w:hAnsi="Arial"/>
          <w:sz w:val="19"/>
          <w:szCs w:val="19"/>
          <w:color w:val="auto"/>
        </w:rPr>
        <w:t>”) on the Property, under and subject to the following conditions:</w:t>
      </w:r>
    </w:p>
    <w:p>
      <w:pPr>
        <w:spacing w:after="0" w:line="186"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010000"/>
        </w:rPr>
        <w:t xml:space="preserve">26.20.1 </w:t>
      </w:r>
      <w:r>
        <w:rPr>
          <w:rFonts w:ascii="Arial" w:cs="Arial" w:eastAsia="Arial" w:hAnsi="Arial"/>
          <w:sz w:val="20"/>
          <w:szCs w:val="20"/>
          <w:color w:val="000000"/>
        </w:rPr>
        <w:t>With respect to the installation, use, Maintenance and removal of the Exterior Equipment, Tenant, at</w:t>
      </w:r>
      <w:r>
        <w:rPr>
          <w:rFonts w:ascii="Arial" w:cs="Arial" w:eastAsia="Arial" w:hAnsi="Arial"/>
          <w:sz w:val="20"/>
          <w:szCs w:val="20"/>
          <w:color w:val="010000"/>
        </w:rPr>
        <w:t xml:space="preserve"> </w:t>
      </w:r>
      <w:r>
        <w:rPr>
          <w:rFonts w:ascii="Arial" w:cs="Arial" w:eastAsia="Arial" w:hAnsi="Arial"/>
          <w:sz w:val="20"/>
          <w:szCs w:val="20"/>
          <w:color w:val="000000"/>
        </w:rPr>
        <w:t>Tenant’s sole cost and expense, shall comply with all Applicable Laws and shall obtain, and deliver to Landlord written evidence of, any approval(s) required under any Applicable Laws or recorded covenants or restrictions applicable to the Property and copies of all permits and approvals therefor.</w:t>
      </w:r>
    </w:p>
    <w:p>
      <w:pPr>
        <w:spacing w:after="0" w:line="191" w:lineRule="exact"/>
        <w:rPr>
          <w:sz w:val="20"/>
          <w:szCs w:val="20"/>
          <w:color w:val="auto"/>
        </w:rPr>
      </w:pPr>
    </w:p>
    <w:p>
      <w:pPr>
        <w:jc w:val="both"/>
        <w:ind w:firstLine="1727"/>
        <w:spacing w:after="0" w:line="255" w:lineRule="auto"/>
        <w:rPr>
          <w:sz w:val="20"/>
          <w:szCs w:val="20"/>
          <w:color w:val="auto"/>
        </w:rPr>
      </w:pPr>
      <w:r>
        <w:rPr>
          <w:rFonts w:ascii="Arial" w:cs="Arial" w:eastAsia="Arial" w:hAnsi="Arial"/>
          <w:sz w:val="19"/>
          <w:szCs w:val="19"/>
          <w:color w:val="010000"/>
        </w:rPr>
        <w:t xml:space="preserve">26.20.2 </w:t>
      </w:r>
      <w:r>
        <w:rPr>
          <w:rFonts w:ascii="Arial" w:cs="Arial" w:eastAsia="Arial" w:hAnsi="Arial"/>
          <w:sz w:val="19"/>
          <w:szCs w:val="19"/>
          <w:color w:val="000000"/>
        </w:rPr>
        <w:t>Tenant shall obtain Landlord’s prior written approval of the location of the Exterior Equipment on the</w:t>
      </w:r>
      <w:r>
        <w:rPr>
          <w:rFonts w:ascii="Arial" w:cs="Arial" w:eastAsia="Arial" w:hAnsi="Arial"/>
          <w:sz w:val="19"/>
          <w:szCs w:val="19"/>
          <w:color w:val="010000"/>
        </w:rPr>
        <w:t xml:space="preserve"> </w:t>
      </w:r>
      <w:r>
        <w:rPr>
          <w:rFonts w:ascii="Arial" w:cs="Arial" w:eastAsia="Arial" w:hAnsi="Arial"/>
          <w:sz w:val="19"/>
          <w:szCs w:val="19"/>
          <w:color w:val="000000"/>
        </w:rPr>
        <w:t>Property and of the specifications for the Exterior Equipment, in each case not to be unreasonably withheld, conditioned or delayed. Tenant, at Tenant’s sole cost and expense, shall purchase and install the Exterior Equipment. Tenant, at Tenant’s sole cost and expense, shall place the Generator and Tank on manufacturer recommended concrete pads (which, along with the Outdoor Storage areas shall be constructed by Landlord as part of the Tenant Improvements) and enclose and screen (at a height less than 15 feet) the Outdoor Storage area, and the Generator and Tank and such concrete pads on which the Generator and Tank will be located, with pre-cast concrete panels matching the exterior of the Building or other screening reasonably satisfactory to Landlord and otherwise in a manner reasonably satisfactory to Landlord. The Antenna may be located on the roof, provided that Tenant does not adversely affect the roof warranty and Tenant agrees to consult with Landlord’s roofing contractor prior to installation and strictly to comply with the roofing contractor’s recommendations and requirements. Tenant shall pay all costs associated with the use of the Exterior Equipment on the Property, including without limitation, reasonable costs and fees Landlord may incur for professional or contractor review and approval and commercially reasonable landscaping costs.</w:t>
      </w:r>
    </w:p>
    <w:p>
      <w:pPr>
        <w:spacing w:after="0" w:line="184"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010000"/>
        </w:rPr>
        <w:t xml:space="preserve">26.20.3 </w:t>
      </w:r>
      <w:r>
        <w:rPr>
          <w:rFonts w:ascii="Arial" w:cs="Arial" w:eastAsia="Arial" w:hAnsi="Arial"/>
          <w:sz w:val="20"/>
          <w:szCs w:val="20"/>
          <w:color w:val="000000"/>
        </w:rPr>
        <w:t>Tenant, at Tenant’s sole cost and expense, shall Maintain and repair the Exterior Equipment in a safe,</w:t>
      </w:r>
      <w:r>
        <w:rPr>
          <w:rFonts w:ascii="Arial" w:cs="Arial" w:eastAsia="Arial" w:hAnsi="Arial"/>
          <w:sz w:val="20"/>
          <w:szCs w:val="20"/>
          <w:color w:val="010000"/>
        </w:rPr>
        <w:t xml:space="preserve"> </w:t>
      </w:r>
      <w:r>
        <w:rPr>
          <w:rFonts w:ascii="Arial" w:cs="Arial" w:eastAsia="Arial" w:hAnsi="Arial"/>
          <w:sz w:val="20"/>
          <w:szCs w:val="20"/>
          <w:color w:val="000000"/>
        </w:rPr>
        <w:t>good and orderly condition. The use, installation, Maintenance and removal of the Exterior Equipment shall be performed by Tenant, at Tenant’s sole cost, in a manner which will not impair the integrity of, damage or adversely affect the warranty applicable to, any portion of the Property.</w:t>
      </w:r>
    </w:p>
    <w:p>
      <w:pPr>
        <w:spacing w:after="0" w:line="191"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0"/>
          <w:szCs w:val="20"/>
          <w:color w:val="010000"/>
        </w:rPr>
        <w:t xml:space="preserve">26.20.4 </w:t>
      </w:r>
      <w:r>
        <w:rPr>
          <w:rFonts w:ascii="Arial" w:cs="Arial" w:eastAsia="Arial" w:hAnsi="Arial"/>
          <w:sz w:val="20"/>
          <w:szCs w:val="20"/>
          <w:color w:val="000000"/>
        </w:rPr>
        <w:t>Tenant may, but shall not be obligated to, remove the Exterior Equipment, in which event Tenant, at</w:t>
      </w:r>
      <w:r>
        <w:rPr>
          <w:rFonts w:ascii="Arial" w:cs="Arial" w:eastAsia="Arial" w:hAnsi="Arial"/>
          <w:sz w:val="20"/>
          <w:szCs w:val="20"/>
          <w:color w:val="010000"/>
        </w:rPr>
        <w:t xml:space="preserve"> </w:t>
      </w:r>
      <w:r>
        <w:rPr>
          <w:rFonts w:ascii="Arial" w:cs="Arial" w:eastAsia="Arial" w:hAnsi="Arial"/>
          <w:sz w:val="20"/>
          <w:szCs w:val="20"/>
          <w:color w:val="000000"/>
        </w:rPr>
        <w:t>Tenant’s sole cost and expense, will (i) remove the Exterior Equipment from the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7" w:name="page208"/>
    <w:bookmarkEnd w:id="207"/>
    <w:p>
      <w:pPr>
        <w:jc w:val="both"/>
        <w:spacing w:after="0" w:line="250" w:lineRule="auto"/>
        <w:rPr>
          <w:sz w:val="20"/>
          <w:szCs w:val="20"/>
          <w:color w:val="auto"/>
        </w:rPr>
      </w:pPr>
      <w:r>
        <w:rPr>
          <w:rFonts w:ascii="Arial" w:cs="Arial" w:eastAsia="Arial" w:hAnsi="Arial"/>
          <w:sz w:val="20"/>
          <w:szCs w:val="20"/>
          <w:color w:val="auto"/>
        </w:rPr>
        <w:t>Property (and all wiring therefrom to and through the Building), and (ii) repair any resulting damage (including, without limitation, damage to landscaping or paving). If Tenant removes the Generator, Tenant shall be obligated to leave all conductors and automatic transfer switches.</w:t>
      </w:r>
    </w:p>
    <w:p>
      <w:pPr>
        <w:spacing w:after="0" w:line="186"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0"/>
          <w:szCs w:val="20"/>
          <w:color w:val="010000"/>
        </w:rPr>
        <w:t xml:space="preserve">26.20.5 </w:t>
      </w:r>
      <w:r>
        <w:rPr>
          <w:rFonts w:ascii="Arial" w:cs="Arial" w:eastAsia="Arial" w:hAnsi="Arial"/>
          <w:sz w:val="20"/>
          <w:szCs w:val="20"/>
          <w:color w:val="000000"/>
        </w:rPr>
        <w:t>At least 3 business days prior to installation or removal of the Exterior Equipment, Tenant shall notify</w:t>
      </w:r>
      <w:r>
        <w:rPr>
          <w:rFonts w:ascii="Arial" w:cs="Arial" w:eastAsia="Arial" w:hAnsi="Arial"/>
          <w:sz w:val="20"/>
          <w:szCs w:val="20"/>
          <w:color w:val="010000"/>
        </w:rPr>
        <w:t xml:space="preserve"> </w:t>
      </w:r>
      <w:r>
        <w:rPr>
          <w:rFonts w:ascii="Arial" w:cs="Arial" w:eastAsia="Arial" w:hAnsi="Arial"/>
          <w:sz w:val="20"/>
          <w:szCs w:val="20"/>
          <w:color w:val="000000"/>
        </w:rPr>
        <w:t>Landlord of the date and time of such removal or installation.</w:t>
      </w:r>
    </w:p>
    <w:p>
      <w:pPr>
        <w:spacing w:after="0" w:line="177"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010000"/>
        </w:rPr>
        <w:t xml:space="preserve">26.20.6 </w:t>
      </w:r>
      <w:r>
        <w:rPr>
          <w:rFonts w:ascii="Arial" w:cs="Arial" w:eastAsia="Arial" w:hAnsi="Arial"/>
          <w:sz w:val="20"/>
          <w:szCs w:val="20"/>
          <w:color w:val="000000"/>
        </w:rPr>
        <w:t>Tenant’s indemnification of Landlord pursuant to 10.1 of this Lease also applies to the Exterior</w:t>
      </w:r>
      <w:r>
        <w:rPr>
          <w:rFonts w:ascii="Arial" w:cs="Arial" w:eastAsia="Arial" w:hAnsi="Arial"/>
          <w:sz w:val="20"/>
          <w:szCs w:val="20"/>
          <w:color w:val="010000"/>
        </w:rPr>
        <w:t xml:space="preserve"> </w:t>
      </w:r>
      <w:r>
        <w:rPr>
          <w:rFonts w:ascii="Arial" w:cs="Arial" w:eastAsia="Arial" w:hAnsi="Arial"/>
          <w:sz w:val="20"/>
          <w:szCs w:val="20"/>
          <w:color w:val="000000"/>
        </w:rPr>
        <w:t>Equipment and Tenant’s use of any portion of the Property therefor. Without limiting the foregoing, Tenant solely shall be responsible for any damages or injury caused by or in any way relating to the Exterior Equipment, including, but not limited to, damage or injury to persons or property, including the Property, caused by reason of any leaking of fuel therefrom, except in any case to the extent caused by the gross negligence or willful misconduct of Landlord or any Indemnitee.</w:t>
      </w:r>
    </w:p>
    <w:p>
      <w:pPr>
        <w:spacing w:after="0" w:line="188"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 xml:space="preserve">26.21 </w:t>
      </w:r>
      <w:r>
        <w:rPr>
          <w:rFonts w:ascii="Arial" w:cs="Arial" w:eastAsia="Arial" w:hAnsi="Arial"/>
          <w:sz w:val="18"/>
          <w:szCs w:val="18"/>
          <w:b w:val="1"/>
          <w:bCs w:val="1"/>
          <w:color w:val="auto"/>
        </w:rPr>
        <w:t>Contingency</w:t>
      </w:r>
      <w:r>
        <w:rPr>
          <w:rFonts w:ascii="Arial" w:cs="Arial" w:eastAsia="Arial" w:hAnsi="Arial"/>
          <w:sz w:val="18"/>
          <w:szCs w:val="18"/>
          <w:color w:val="auto"/>
        </w:rPr>
        <w:t>. Tenant hereby acknowledges that, as of the date hereof, Landlord does not own the Property. This Lease and the obligations and rights of the parties hereunder are expressly contingent upon Landlord purchasing all of the Property, on terms and conditions satisfactory to Landlord in Landlord’s sole and absolute discretion. Tenant acknowledges and agrees that Landlord is not making any representation or warranty as to whether the foregoing contingency will be satisfied. Tenant hereby waives and releases Landlord from and against, any and all claims for recovery against Landlord for any loss or damage to Tenant arising out of or in connection with the foregoing contingency not being satisfied, except to the extent Landlord defaults under this Lease. Landlord shall use diligent, commercially reasonable efforts to purchase the Property (on terms and conditions satisfactory to Landlord in Landlord’s sole and absolute discretion) on or before November 15, 2021 (the “</w:t>
      </w:r>
      <w:r>
        <w:rPr>
          <w:rFonts w:ascii="Arial" w:cs="Arial" w:eastAsia="Arial" w:hAnsi="Arial"/>
          <w:sz w:val="18"/>
          <w:szCs w:val="18"/>
          <w:b w:val="1"/>
          <w:bCs w:val="1"/>
          <w:color w:val="auto"/>
        </w:rPr>
        <w:t>Contingency Date</w:t>
      </w:r>
      <w:r>
        <w:rPr>
          <w:rFonts w:ascii="Arial" w:cs="Arial" w:eastAsia="Arial" w:hAnsi="Arial"/>
          <w:sz w:val="18"/>
          <w:szCs w:val="18"/>
          <w:color w:val="auto"/>
        </w:rPr>
        <w:t>”) and, if Landlord purchases the Property, the Landlord shall provide notice to Tenant within 5 business days after such purchase (the “</w:t>
      </w:r>
      <w:r>
        <w:rPr>
          <w:rFonts w:ascii="Arial" w:cs="Arial" w:eastAsia="Arial" w:hAnsi="Arial"/>
          <w:sz w:val="18"/>
          <w:szCs w:val="18"/>
          <w:b w:val="1"/>
          <w:bCs w:val="1"/>
          <w:color w:val="auto"/>
        </w:rPr>
        <w:t>Contingency Notice</w:t>
      </w:r>
      <w:r>
        <w:rPr>
          <w:rFonts w:ascii="Arial" w:cs="Arial" w:eastAsia="Arial" w:hAnsi="Arial"/>
          <w:sz w:val="18"/>
          <w:szCs w:val="18"/>
          <w:color w:val="auto"/>
        </w:rPr>
        <w:t>”). If despite its diligent, commercially reasonable efforts, Landlord does not purchase the Property by the Contingency Date, then at any time thereafter until Tenant receives the Contingency Notice from Landlord, Tenant shall have the right to terminate this Lease upon written notice to Landlord. Landlord represents and warrants that, upon satisfaction of the contingency, Landlord shall be the fee simple owner of the Project.</w:t>
      </w:r>
    </w:p>
    <w:p>
      <w:pPr>
        <w:spacing w:after="0" w:line="16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26.22 </w:t>
      </w:r>
      <w:r>
        <w:rPr>
          <w:rFonts w:ascii="Arial" w:cs="Arial" w:eastAsia="Arial" w:hAnsi="Arial"/>
          <w:sz w:val="20"/>
          <w:szCs w:val="20"/>
          <w:b w:val="1"/>
          <w:bCs w:val="1"/>
          <w:color w:val="auto"/>
        </w:rPr>
        <w:t>Quiet Enjoyment</w:t>
      </w:r>
      <w:r>
        <w:rPr>
          <w:rFonts w:ascii="Arial" w:cs="Arial" w:eastAsia="Arial" w:hAnsi="Arial"/>
          <w:sz w:val="20"/>
          <w:szCs w:val="20"/>
          <w:color w:val="auto"/>
        </w:rPr>
        <w:t>. Landlord, for itself and its successors and assigns, does hereby covenant with Tenant that, upon observing and performing the covenants and obligations on Tenant’s part to be observed and performed under this Lease, Tenant shall and may peaceably and quietly have, hold and enjoy the Premises during the Term without any hindrance of any person, subject, however, to all the terms and provisions of this Lease.</w:t>
      </w:r>
    </w:p>
    <w:p>
      <w:pPr>
        <w:spacing w:after="0" w:line="183"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 xml:space="preserve">26.23 </w:t>
      </w:r>
      <w:r>
        <w:rPr>
          <w:rFonts w:ascii="Arial" w:cs="Arial" w:eastAsia="Arial" w:hAnsi="Arial"/>
          <w:sz w:val="18"/>
          <w:szCs w:val="18"/>
          <w:b w:val="1"/>
          <w:bCs w:val="1"/>
          <w:color w:val="auto"/>
        </w:rPr>
        <w:t>Project Amenities</w:t>
      </w:r>
      <w:r>
        <w:rPr>
          <w:rFonts w:ascii="Arial" w:cs="Arial" w:eastAsia="Arial" w:hAnsi="Arial"/>
          <w:sz w:val="18"/>
          <w:szCs w:val="18"/>
          <w:color w:val="auto"/>
        </w:rPr>
        <w:t>. Landlord, at its sole cost, in accordance with all Applicable Laws and in a good and workmanlike manner, shall construct meeting rooms, a food service area and a fitness center for non- exclusive use of all the tenants of the Project (the “</w:t>
      </w:r>
      <w:r>
        <w:rPr>
          <w:rFonts w:ascii="Arial" w:cs="Arial" w:eastAsia="Arial" w:hAnsi="Arial"/>
          <w:sz w:val="18"/>
          <w:szCs w:val="18"/>
          <w:b w:val="1"/>
          <w:bCs w:val="1"/>
          <w:color w:val="auto"/>
        </w:rPr>
        <w:t>Project Amenities</w:t>
      </w:r>
      <w:r>
        <w:rPr>
          <w:rFonts w:ascii="Arial" w:cs="Arial" w:eastAsia="Arial" w:hAnsi="Arial"/>
          <w:sz w:val="18"/>
          <w:szCs w:val="18"/>
          <w:color w:val="auto"/>
        </w:rPr>
        <w:t>”) in the building known as Building 700 in Chestnut Run Plaza. Landlord shall use commercially reasonable efforts to substantially complete the construction of the Project Amenities (i.e., the Project Amenities are complete, subject only to incomplete items which do not adversely affect in a material way or materially interfere with Tenant’s use of the Project Amenities in accordance with the terms and conditions of this paragraph) on or before November 15, 2022, subject to extension for Excusable Delays (as defined below). Notwithstanding the foregoing, if the construction of the Project Amenities is not substantially completed on or before February 15, 2023, as such date shall be extended for Excusable Delays (such date, as extended, the “</w:t>
      </w:r>
      <w:r>
        <w:rPr>
          <w:rFonts w:ascii="Arial" w:cs="Arial" w:eastAsia="Arial" w:hAnsi="Arial"/>
          <w:sz w:val="18"/>
          <w:szCs w:val="18"/>
          <w:b w:val="1"/>
          <w:bCs w:val="1"/>
          <w:color w:val="auto"/>
        </w:rPr>
        <w:t>Project Amenities Penalty Date</w:t>
      </w:r>
      <w:r>
        <w:rPr>
          <w:rFonts w:ascii="Arial" w:cs="Arial" w:eastAsia="Arial" w:hAnsi="Arial"/>
          <w:sz w:val="18"/>
          <w:szCs w:val="18"/>
          <w:color w:val="auto"/>
        </w:rPr>
        <w:t>”), then Tenant shall receive a credit, which credit shall be applied against Base Rent next due and owing under the Lease, of $466.66 per day for each day after the Project Amenities Penalty Date until the date that the Project Amenities have been substantially completed. Upon the completion of the construction of the Project Amenities, during the Term or any extended Term, and subject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8" w:name="page209"/>
    <w:bookmarkEnd w:id="208"/>
    <w:p>
      <w:pPr>
        <w:jc w:val="both"/>
        <w:spacing w:after="0" w:line="257" w:lineRule="auto"/>
        <w:rPr>
          <w:sz w:val="20"/>
          <w:szCs w:val="20"/>
          <w:color w:val="auto"/>
        </w:rPr>
      </w:pPr>
      <w:r>
        <w:rPr>
          <w:rFonts w:ascii="Arial" w:cs="Arial" w:eastAsia="Arial" w:hAnsi="Arial"/>
          <w:sz w:val="19"/>
          <w:szCs w:val="19"/>
          <w:color w:val="auto"/>
        </w:rPr>
        <w:t>to availability and Landlord’s reasonable rules and regulations therefor, Tenant, at its sole risk and responsibility, shall have the right to use, on a non-exclusive first-come, first-served basis, in common with other tenants of the Project, the Project Amenities. Neither Landlord nor any Landlord Indemnitee (as defined below) shall have any liability to Tenant or any Tenant Party for any damage, injury, loss, expense, compensation, or claim whatsoever arising out of any such individual’s use of the Project Amenities, except due to the gross negligence or willful misconduct of Landlord or any Landlord Indemnitee. Notwithstanding anything contained herein to the contrary, if Tenant enters into an agreement with Landlord to lease any portion of the building known as Building 700 in Chestnut Run Plaza that was to be used for the Project Amenities, then this Section shall be deemed terminated, null and void and of no further force or effect as to such leased portion and this Lease shall otherwise continue in full force and effect.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Landlord and Tenant have executed this Lease as of the day and year first above written.</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LANDLORD:</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CRISP PARTNERS LLC</w:t>
      </w:r>
    </w:p>
    <w:p>
      <w:pPr>
        <w:spacing w:after="0" w:line="30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Lawrence J. Stuardi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11830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Name: Lawrence J. Stuardi</w:t>
      </w:r>
    </w:p>
    <w:p>
      <w:pPr>
        <w:ind w:left="5200"/>
        <w:spacing w:after="0"/>
        <w:rPr>
          <w:sz w:val="20"/>
          <w:szCs w:val="20"/>
          <w:color w:val="auto"/>
        </w:rPr>
      </w:pPr>
      <w:r>
        <w:rPr>
          <w:rFonts w:ascii="Arial" w:cs="Arial" w:eastAsia="Arial" w:hAnsi="Arial"/>
          <w:sz w:val="20"/>
          <w:szCs w:val="20"/>
          <w:color w:val="auto"/>
        </w:rPr>
        <w:t>Title: Member</w:t>
      </w:r>
    </w:p>
    <w:p>
      <w:pPr>
        <w:spacing w:after="0" w:line="200" w:lineRule="exact"/>
        <w:rPr>
          <w:sz w:val="20"/>
          <w:szCs w:val="20"/>
          <w:color w:val="auto"/>
        </w:rPr>
      </w:pP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TENANT:</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PRELUDE THERAPEUTICS INCORPORATED</w:t>
      </w:r>
    </w:p>
    <w:p>
      <w:pPr>
        <w:spacing w:after="0" w:line="30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9036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Name: Krishna Vaddi</w:t>
      </w:r>
    </w:p>
    <w:p>
      <w:pPr>
        <w:ind w:left="52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ADA</w:t>
      </w:r>
      <w:r>
        <w:rPr>
          <w:rFonts w:ascii="Arial" w:cs="Arial" w:eastAsia="Arial" w:hAnsi="Arial"/>
          <w:sz w:val="19"/>
          <w:szCs w:val="19"/>
          <w:color w:val="auto"/>
        </w:rPr>
        <w:t>” means the Americans with Disabilities Act of 1990, 42 USC 12111 et seq., as the same may be amended from time to time.</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Rent</w:t>
      </w:r>
      <w:r>
        <w:rPr>
          <w:rFonts w:ascii="Arial" w:cs="Arial" w:eastAsia="Arial" w:hAnsi="Arial"/>
          <w:sz w:val="20"/>
          <w:szCs w:val="20"/>
          <w:color w:val="auto"/>
        </w:rPr>
        <w:t>” means all sums other than Base Rent which Tenant is obligated to pay under the Lease, whether or not such sums are designated Additional Rent, such as Real Property Taxes and Operating Expenses.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 any entity controlling, controlled by, or under common control of, Tenant, (ii) any successor, directly or indirectly, to Tenant by merger, consolidation or reorganization, (iii) any entity which purchases all of the interests in or assets of Tenant or an operating division, group, or department of Tenant, or which purchases the majority of Tenant’s business conducted in the Premises, (iv) an entity or entities created by the division of Tenant into one or more separate corporations, partnerships, or other entities, (v) in connection with the public offering of the stock of Tenant, any affiliated or successor entity of Tenant, or any entity created in connection with the “spin-off” of an operating division, group, or department of Tenant, including, without limitation, a majority or controlling interest in Tenant.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Alteration</w:t>
      </w:r>
      <w:r>
        <w:rPr>
          <w:rFonts w:ascii="Arial" w:cs="Arial" w:eastAsia="Arial" w:hAnsi="Arial"/>
          <w:sz w:val="20"/>
          <w:szCs w:val="20"/>
          <w:color w:val="auto"/>
        </w:rPr>
        <w:t>” means any addition, alteration or improvement to the Premises, the Property or the Project, as applicable.</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Interest Rate</w:t>
      </w:r>
      <w:r>
        <w:rPr>
          <w:rFonts w:ascii="Arial" w:cs="Arial" w:eastAsia="Arial" w:hAnsi="Arial"/>
          <w:sz w:val="20"/>
          <w:szCs w:val="20"/>
          <w:color w:val="auto"/>
        </w:rPr>
        <w:t>” means the lesser of (i) interest at the rate of 12% per month, or (ii) the maximum rate permitted by Applicable Laws.</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Laws</w:t>
      </w:r>
      <w:r>
        <w:rPr>
          <w:rFonts w:ascii="Arial" w:cs="Arial" w:eastAsia="Arial" w:hAnsi="Arial"/>
          <w:sz w:val="20"/>
          <w:szCs w:val="20"/>
          <w:color w:val="auto"/>
        </w:rPr>
        <w:t>” mean all applicable laws, statutes, codes, ordinances, orders, zoning, rules, regulations, conditions of approval and requirements of all federal, state, county, municipal and governmental authorities and all administrative or judicial orders or decrees and all permits, licenses, approvals and other entitlements issued by governmental entities, and rules of common law, relating to or affecting the Property, the Premises or the Building or the use or operation thereof, whether now existing or hereafter enacted, including, without limitation, the ADA, Environmental Laws and CC&amp;Rs.</w:t>
      </w:r>
    </w:p>
    <w:p>
      <w:pPr>
        <w:spacing w:after="0" w:line="18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Building Systems</w:t>
      </w:r>
      <w:r>
        <w:rPr>
          <w:rFonts w:ascii="Arial" w:cs="Arial" w:eastAsia="Arial" w:hAnsi="Arial"/>
          <w:sz w:val="20"/>
          <w:szCs w:val="20"/>
          <w:color w:val="auto"/>
        </w:rPr>
        <w:t>” means any electrical, mechanical, plumbing, heating, ventilating, air conditioning, sprinkler, life safety or security systems serving the Building.</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CC&amp;Rs</w:t>
      </w:r>
      <w:r>
        <w:rPr>
          <w:rFonts w:ascii="Arial" w:cs="Arial" w:eastAsia="Arial" w:hAnsi="Arial"/>
          <w:sz w:val="19"/>
          <w:szCs w:val="19"/>
          <w:color w:val="auto"/>
        </w:rPr>
        <w:t xml:space="preserve">” means any covenants, conditions and restrictions encumbering the Land, the Property and/or the Project or any supplement thereto recorded in any official or public records with respect to the Property and/or the Project or any portion thereof. Landlord represents and warrants to Tenant that, as of the Effective Date, there are no CC&amp;Rs affecting the Premises, except only for the CC&amp;Rs set forth in Section B, Part II of that certain commitment for title insurance Order Number: 9130913; 763277/216592 dated July 23, 2021 issued by Fidelity National Title Insurance Company, a copy of which is attached hereto as </w:t>
      </w:r>
      <w:r>
        <w:rPr>
          <w:rFonts w:ascii="Arial" w:cs="Arial" w:eastAsia="Arial" w:hAnsi="Arial"/>
          <w:sz w:val="19"/>
          <w:szCs w:val="19"/>
          <w:b w:val="1"/>
          <w:bCs w:val="1"/>
          <w:color w:val="auto"/>
        </w:rPr>
        <w:t>Exhibit Q</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Permitted Exceptions</w:t>
      </w:r>
      <w:r>
        <w:rPr>
          <w:rFonts w:ascii="Arial" w:cs="Arial" w:eastAsia="Arial" w:hAnsi="Arial"/>
          <w:sz w:val="19"/>
          <w:szCs w:val="19"/>
          <w:color w:val="auto"/>
        </w:rPr>
        <w:t>”). Landlord represents and warrants to Tenant that, as of the date hereof, the Permitted Exceptions shall not materially interfere with the use of the Premises for general office, laboratory and research purposes. Except to the extent required by any governmental authority having jurisdiction or any Applicable Laws, during the Term, Landlord shall not enter into any CC&amp;Rs with respect to any portion of the Project used for Tenant’s business operations, without Tenant’s prior written consent, such consent not to be unreasonably withheld, conditioned or delayed and to be promptly given by Tenant so long as such CC&amp;Rs do not materially interfere with Tenant’s business operations at the Premises or do not materially and adversely modify either Tenant’s obligations or rights and/or Landlord’s duties under the terms of this Lease. Landlord represents and warrants to Tenant that, as</w:t>
      </w:r>
    </w:p>
    <w:p>
      <w:pPr>
        <w:spacing w:after="0" w:line="190" w:lineRule="exact"/>
        <w:rPr>
          <w:sz w:val="20"/>
          <w:szCs w:val="20"/>
          <w:color w:val="auto"/>
        </w:rPr>
      </w:pPr>
    </w:p>
    <w:p>
      <w:pPr>
        <w:jc w:val="right"/>
        <w:ind w:right="10240"/>
        <w:spacing w:after="0"/>
        <w:rPr>
          <w:sz w:val="20"/>
          <w:szCs w:val="20"/>
          <w:color w:val="auto"/>
        </w:rPr>
      </w:pPr>
      <w:r>
        <w:rPr>
          <w:rFonts w:ascii="Arial" w:cs="Arial" w:eastAsia="Arial" w:hAnsi="Arial"/>
          <w:sz w:val="20"/>
          <w:szCs w:val="20"/>
          <w:u w:val="single" w:color="auto"/>
          <w:color w:val="auto"/>
        </w:rPr>
        <w:t>EXHIBIT A</w:t>
      </w:r>
    </w:p>
    <w:p>
      <w:pPr>
        <w:spacing w:after="0" w:line="16" w:lineRule="exact"/>
        <w:rPr>
          <w:sz w:val="20"/>
          <w:szCs w:val="20"/>
          <w:color w:val="auto"/>
        </w:rPr>
      </w:pPr>
    </w:p>
    <w:p>
      <w:pPr>
        <w:jc w:val="right"/>
        <w:ind w:right="1026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jc w:val="both"/>
        <w:spacing w:after="0" w:line="278" w:lineRule="auto"/>
        <w:rPr>
          <w:sz w:val="20"/>
          <w:szCs w:val="20"/>
          <w:color w:val="auto"/>
        </w:rPr>
      </w:pPr>
      <w:r>
        <w:rPr>
          <w:rFonts w:ascii="Arial" w:cs="Arial" w:eastAsia="Arial" w:hAnsi="Arial"/>
          <w:sz w:val="18"/>
          <w:szCs w:val="18"/>
          <w:color w:val="auto"/>
        </w:rPr>
        <w:t>of the date hereof, the entire Project consists of one tax parcel. If, during the Term or any extended Term, Landlord subdivides the Project, then Landlord shall enter into commercially reasonable CC&amp;Rs with respect to the subdivided Project, provided that Landlord obtains Tenant’s prior written consent of the commercially reasonable CC&amp;Rs, such consent not to be unreasonably withheld, conditioned or delayed and to be promptly given by Tenant so long as such CC&amp;Rs do not materially interfere with Tenant’s business operations at the Premises and do not materially and adversely modify Tenant’s obligations and rights and Landlord’s obligations under the terms of this Lease.</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means all applicable present and future statutes, regulations, ordinances, rules, codes, judgments, orders or other similar enactments of any governmental authority or agency regulating or relating to health, safety, or</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environmental conditions on, in, under, or about the Premises or the environment, including without limitation, the following: the federal Comprehensive Environmental Response, Compensation and Liability Act; the federal Resource Conservation and Recovery Act, the federal Clean Air Act; the federal Water Pollution Control Act; and all state and local counterparts thereto, and any regulations or policies promulgated or issued thereunder.</w:t>
      </w:r>
    </w:p>
    <w:p>
      <w:pPr>
        <w:spacing w:after="0" w:line="18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Expenses</w:t>
      </w:r>
      <w:r>
        <w:rPr>
          <w:rFonts w:ascii="Arial" w:cs="Arial" w:eastAsia="Arial" w:hAnsi="Arial"/>
          <w:sz w:val="20"/>
          <w:szCs w:val="20"/>
          <w:color w:val="auto"/>
        </w:rPr>
        <w:t>” means the amount of Landlord’s then current estimate for Tenant’s Share of Real Property Taxes and Operating Expenses.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Exterior Areas</w:t>
      </w:r>
      <w:r>
        <w:rPr>
          <w:rFonts w:ascii="Arial" w:cs="Arial" w:eastAsia="Arial" w:hAnsi="Arial"/>
          <w:sz w:val="20"/>
          <w:szCs w:val="20"/>
          <w:color w:val="auto"/>
        </w:rPr>
        <w:t>” means all areas and facilities as provided by Landlord from time to time for the use or enjoyment of Tenant and all tenants in the Project, including, if applicable, driveways, sidewalks, parking, loading and landscaped areas.</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Materials</w:t>
      </w:r>
      <w:r>
        <w:rPr>
          <w:rFonts w:ascii="Arial" w:cs="Arial" w:eastAsia="Arial" w:hAnsi="Arial"/>
          <w:sz w:val="20"/>
          <w:szCs w:val="20"/>
          <w:color w:val="auto"/>
        </w:rPr>
        <w:t>” means any substance, material, waste, pollutant, or contaminant listed or defined as hazardous, toxic or dangerous under any Environmental Laws, including asbestos, asbestos containing materials, polychlorinated, per- and polyfluoroalkyl substances, and petroleum, including crude oil or any fraction thereof, natural gas liquids, liquefied natural gas, or synthetic gas usable for fuel (or mixtures of natural gas and such synthetic gas) and explosives, flammables, or radioactive substances of any kind, and medical and or laboratory waste including animal carcasses or tissue.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Indemnitees</w:t>
      </w:r>
      <w:r>
        <w:rPr>
          <w:rFonts w:ascii="Arial" w:cs="Arial" w:eastAsia="Arial" w:hAnsi="Arial"/>
          <w:sz w:val="20"/>
          <w:szCs w:val="20"/>
          <w:color w:val="auto"/>
        </w:rPr>
        <w:t>” means Landlord’s affiliated entities, and each of Landlord’s and Landlords’ affiliated entities’ respective trustees, members, managers, principals, beneficiaries, partners, directors, officers, employees, shareholders, Mortgagees, agents, contractors, representatives, successors and assigns.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w:t>
      </w:r>
      <w:r>
        <w:rPr>
          <w:rFonts w:ascii="Arial" w:cs="Arial" w:eastAsia="Arial" w:hAnsi="Arial"/>
          <w:sz w:val="18"/>
          <w:szCs w:val="18"/>
          <w:color w:val="auto"/>
        </w:rPr>
        <w:t>” means the parcel(s) of land on which the Building is located or situated or the portion thereof allocated by Landlord to the Building.</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 Year</w:t>
      </w:r>
      <w:r>
        <w:rPr>
          <w:rFonts w:ascii="Arial" w:cs="Arial" w:eastAsia="Arial" w:hAnsi="Arial"/>
          <w:sz w:val="20"/>
          <w:szCs w:val="20"/>
          <w:color w:val="auto"/>
        </w:rPr>
        <w:t>” means the period from the Commencement Date through the succeeding 12 full calendar months (provided, however, that, if the Commencement Date does not occur on the first day of a calendar month, then the first Lease Year shall include the partial calendar month in which the Commencement Date occurs and the succeeding 12 full calendar months) and each successive 12-month period thereafter during the Term.</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Maintain</w:t>
      </w:r>
      <w:r>
        <w:rPr>
          <w:rFonts w:ascii="Arial" w:cs="Arial" w:eastAsia="Arial" w:hAnsi="Arial"/>
          <w:sz w:val="20"/>
          <w:szCs w:val="20"/>
          <w:color w:val="auto"/>
        </w:rPr>
        <w:t>” or “</w:t>
      </w:r>
      <w:r>
        <w:rPr>
          <w:rFonts w:ascii="Arial" w:cs="Arial" w:eastAsia="Arial" w:hAnsi="Arial"/>
          <w:sz w:val="20"/>
          <w:szCs w:val="20"/>
          <w:b w:val="1"/>
          <w:bCs w:val="1"/>
          <w:color w:val="auto"/>
        </w:rPr>
        <w:t>Maintenance</w:t>
      </w:r>
      <w:r>
        <w:rPr>
          <w:rFonts w:ascii="Arial" w:cs="Arial" w:eastAsia="Arial" w:hAnsi="Arial"/>
          <w:sz w:val="20"/>
          <w:szCs w:val="20"/>
          <w:color w:val="auto"/>
        </w:rPr>
        <w:t>” means to provide such maintenance, repair and, to the extent reasonably necessary and appropriate, replacement, as may be needed to keep the subject property in good condition and repair.</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A</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11" w:name="page212"/>
    <w:bookmarkEnd w:id="211"/>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w:t>
      </w:r>
      <w:r>
        <w:rPr>
          <w:rFonts w:ascii="Arial" w:cs="Arial" w:eastAsia="Arial" w:hAnsi="Arial"/>
          <w:sz w:val="20"/>
          <w:szCs w:val="20"/>
          <w:color w:val="auto"/>
        </w:rPr>
        <w:t>” means all ground leases, master leases and all mortgages and deeds of trust or other lien or encumbrance which now or hereafter affect the Premises, the Property or the Project or Landlord’s interest therein (including any modifications, renewals or extensions thereof and all amendments thereto).</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Mortgagee</w:t>
      </w:r>
      <w:r>
        <w:rPr>
          <w:rFonts w:ascii="Arial" w:cs="Arial" w:eastAsia="Arial" w:hAnsi="Arial"/>
          <w:sz w:val="20"/>
          <w:szCs w:val="20"/>
          <w:color w:val="auto"/>
        </w:rPr>
        <w:t>” means the party having the benefit of a Mortgage.</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Property</w:t>
      </w:r>
      <w:r>
        <w:rPr>
          <w:rFonts w:ascii="Arial" w:cs="Arial" w:eastAsia="Arial" w:hAnsi="Arial"/>
          <w:sz w:val="20"/>
          <w:szCs w:val="20"/>
          <w:color w:val="auto"/>
        </w:rPr>
        <w:t>” means the Premises, the Building, the Land, the Exterior Areas, and all appurtenances to them. “</w:t>
      </w:r>
      <w:r>
        <w:rPr>
          <w:rFonts w:ascii="Arial" w:cs="Arial" w:eastAsia="Arial" w:hAnsi="Arial"/>
          <w:sz w:val="20"/>
          <w:szCs w:val="20"/>
          <w:b w:val="1"/>
          <w:bCs w:val="1"/>
          <w:color w:val="auto"/>
        </w:rPr>
        <w:t>Rent</w:t>
      </w:r>
      <w:r>
        <w:rPr>
          <w:rFonts w:ascii="Arial" w:cs="Arial" w:eastAsia="Arial" w:hAnsi="Arial"/>
          <w:sz w:val="20"/>
          <w:szCs w:val="20"/>
          <w:color w:val="auto"/>
        </w:rPr>
        <w:t>” means Base Rent and all Additional Rent payable under the Lease.</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Taken</w:t>
      </w:r>
      <w:r>
        <w:rPr>
          <w:rFonts w:ascii="Arial" w:cs="Arial" w:eastAsia="Arial" w:hAnsi="Arial"/>
          <w:sz w:val="20"/>
          <w:szCs w:val="20"/>
          <w:color w:val="auto"/>
        </w:rPr>
        <w:t>” or “</w:t>
      </w:r>
      <w:r>
        <w:rPr>
          <w:rFonts w:ascii="Arial" w:cs="Arial" w:eastAsia="Arial" w:hAnsi="Arial"/>
          <w:sz w:val="20"/>
          <w:szCs w:val="20"/>
          <w:b w:val="1"/>
          <w:bCs w:val="1"/>
          <w:color w:val="auto"/>
        </w:rPr>
        <w:t>Taking</w:t>
      </w:r>
      <w:r>
        <w:rPr>
          <w:rFonts w:ascii="Arial" w:cs="Arial" w:eastAsia="Arial" w:hAnsi="Arial"/>
          <w:sz w:val="20"/>
          <w:szCs w:val="20"/>
          <w:color w:val="auto"/>
        </w:rPr>
        <w:t>” means acquisition by a public authority under governmental law, ordinance, or regulation, or by right of eminent domain, or by private purchase in lieu thereof.</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 Party</w:t>
      </w:r>
      <w:r>
        <w:rPr>
          <w:rFonts w:ascii="Arial" w:cs="Arial" w:eastAsia="Arial" w:hAnsi="Arial"/>
          <w:sz w:val="20"/>
          <w:szCs w:val="20"/>
          <w:color w:val="auto"/>
        </w:rPr>
        <w:t>” or “</w:t>
      </w:r>
      <w:r>
        <w:rPr>
          <w:rFonts w:ascii="Arial" w:cs="Arial" w:eastAsia="Arial" w:hAnsi="Arial"/>
          <w:sz w:val="20"/>
          <w:szCs w:val="20"/>
          <w:b w:val="1"/>
          <w:bCs w:val="1"/>
          <w:color w:val="auto"/>
        </w:rPr>
        <w:t>Tenant’s Parties</w:t>
      </w:r>
      <w:r>
        <w:rPr>
          <w:rFonts w:ascii="Arial" w:cs="Arial" w:eastAsia="Arial" w:hAnsi="Arial"/>
          <w:sz w:val="20"/>
          <w:szCs w:val="20"/>
          <w:color w:val="auto"/>
        </w:rPr>
        <w:t>” means Tenant’s or Tenant’s affiliates’ employees, agents, customers, visitors, representatives, invitees, licensees, contractors, assignees or subtenants.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Property</w:t>
      </w:r>
      <w:r>
        <w:rPr>
          <w:rFonts w:ascii="Arial" w:cs="Arial" w:eastAsia="Arial" w:hAnsi="Arial"/>
          <w:sz w:val="20"/>
          <w:szCs w:val="20"/>
          <w:color w:val="auto"/>
        </w:rPr>
        <w:t>” means all fixtures, furniture, equipment (including any racking and/or telecommunications, data and/or security equipment), merchandise, inventory, and all other personal property and other contents contained within the Premises whether installed in, or brought upon, the Premises by Tenant, a Tenant Party or Tenant’s assignees, subtenants or occupants.</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w:t>
      </w:r>
      <w:r>
        <w:rPr>
          <w:rFonts w:ascii="Arial" w:cs="Arial" w:eastAsia="Arial" w:hAnsi="Arial"/>
          <w:sz w:val="20"/>
          <w:szCs w:val="20"/>
          <w:color w:val="auto"/>
        </w:rPr>
        <w:t>” means (i) any assignment, transfer, pledge or other encumbrance of all or a portion of Tenant’s interest in this Lease, or (ii) any sublease, license or concession of all or a portion of Tenant’s interest in the Premises.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A</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151130</wp:posOffset>
            </wp:positionV>
            <wp:extent cx="3848735" cy="40462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3848735"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line="403" w:lineRule="auto"/>
        <w:rPr>
          <w:sz w:val="20"/>
          <w:szCs w:val="20"/>
          <w:color w:val="auto"/>
        </w:rPr>
      </w:pPr>
      <w:r>
        <w:rPr>
          <w:sz w:val="1"/>
          <w:szCs w:val="1"/>
          <w:color w:val="auto"/>
        </w:rPr>
        <w:drawing>
          <wp:inline distT="0" distB="0" distL="0" distR="0">
            <wp:extent cx="4860290" cy="283718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4860290" cy="2837180"/>
                    </a:xfrm>
                    <a:prstGeom prst="rect">
                      <a:avLst/>
                    </a:prstGeom>
                    <a:noFill/>
                    <a:ln>
                      <a:noFill/>
                    </a:ln>
                  </pic:spPr>
                </pic:pic>
              </a:graphicData>
            </a:graphic>
          </wp:inline>
        </w:drawing>
      </w:r>
      <w:r>
        <w:rPr>
          <w:rFonts w:ascii="Arial" w:cs="Arial" w:eastAsia="Arial" w:hAnsi="Arial"/>
          <w:sz w:val="20"/>
          <w:szCs w:val="20"/>
          <w:b w:val="1"/>
          <w:bCs w:val="1"/>
          <w:u w:val="single" w:color="auto"/>
          <w:color w:val="auto"/>
        </w:rPr>
        <w:t>PLAN SHOWING PREMISES AND PARKING AREAS</w:t>
      </w:r>
    </w:p>
    <w:p>
      <w:pPr>
        <w:spacing w:after="0" w:line="330" w:lineRule="exact"/>
        <w:rPr>
          <w:sz w:val="20"/>
          <w:szCs w:val="20"/>
          <w:color w:val="auto"/>
        </w:rPr>
      </w:pPr>
    </w:p>
    <w:p>
      <w:pPr>
        <w:jc w:val="right"/>
        <w:ind w:right="10260"/>
        <w:spacing w:after="0"/>
        <w:rPr>
          <w:sz w:val="20"/>
          <w:szCs w:val="20"/>
          <w:color w:val="auto"/>
        </w:rPr>
      </w:pPr>
      <w:r>
        <w:rPr>
          <w:rFonts w:ascii="Arial" w:cs="Arial" w:eastAsia="Arial" w:hAnsi="Arial"/>
          <w:sz w:val="20"/>
          <w:szCs w:val="20"/>
          <w:u w:val="single" w:color="auto"/>
          <w:color w:val="auto"/>
        </w:rPr>
        <w:t>EXHIBIT B</w:t>
      </w:r>
    </w:p>
    <w:p>
      <w:pPr>
        <w:spacing w:after="0" w:line="16" w:lineRule="exact"/>
        <w:rPr>
          <w:sz w:val="20"/>
          <w:szCs w:val="20"/>
          <w:color w:val="auto"/>
        </w:rPr>
      </w:pPr>
    </w:p>
    <w:p>
      <w:pPr>
        <w:jc w:val="right"/>
        <w:ind w:right="1026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RULES AND REGULATIONS</w:t>
      </w:r>
    </w:p>
    <w:p>
      <w:pPr>
        <w:spacing w:after="0" w:line="222" w:lineRule="exact"/>
        <w:rPr>
          <w:sz w:val="20"/>
          <w:szCs w:val="20"/>
          <w:color w:val="auto"/>
        </w:rPr>
      </w:pPr>
    </w:p>
    <w:p>
      <w:pPr>
        <w:jc w:val="both"/>
        <w:ind w:firstLine="872"/>
        <w:spacing w:after="0" w:line="246" w:lineRule="auto"/>
        <w:tabs>
          <w:tab w:leader="none" w:pos="16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Tenant shall not impair in any way the fire safety system and shall comply with all safety, fire protection and evacuation procedures and regulations established by Landlord, any governmental agency or any insurance company insuring the Building, including without limitation the insurer’s Red Tag Permit System, Hot Work Permit System and all other fire protection impairment procedures. No person shall go on the roof without Landlord’s prior written permission.</w:t>
      </w:r>
    </w:p>
    <w:p>
      <w:pPr>
        <w:spacing w:after="0" w:line="191" w:lineRule="exact"/>
        <w:rPr>
          <w:rFonts w:ascii="Arial" w:cs="Arial" w:eastAsia="Arial" w:hAnsi="Arial"/>
          <w:sz w:val="20"/>
          <w:szCs w:val="20"/>
          <w:color w:val="auto"/>
        </w:rPr>
      </w:pPr>
    </w:p>
    <w:p>
      <w:pPr>
        <w:ind w:left="1660" w:hanging="788"/>
        <w:spacing w:after="0"/>
        <w:tabs>
          <w:tab w:leader="none" w:pos="16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Skylights, windows, doors and transoms shall not be covered or obstructed by Tenant.</w:t>
      </w:r>
    </w:p>
    <w:p>
      <w:pPr>
        <w:spacing w:after="0" w:line="215" w:lineRule="exact"/>
        <w:rPr>
          <w:rFonts w:ascii="Arial" w:cs="Arial" w:eastAsia="Arial" w:hAnsi="Arial"/>
          <w:sz w:val="20"/>
          <w:szCs w:val="20"/>
          <w:color w:val="auto"/>
        </w:rPr>
      </w:pPr>
    </w:p>
    <w:p>
      <w:pPr>
        <w:jc w:val="both"/>
        <w:ind w:firstLine="872"/>
        <w:spacing w:after="0" w:line="243" w:lineRule="auto"/>
        <w:tabs>
          <w:tab w:leader="none" w:pos="16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Any sidewalks, lobbies, passages, elevators and stairways shall not be obstructed or used by Tenant for any purpose other than ingress and egress from and to the Premises. Landlord shall in all cases retain the right to control or prevent access by all persons whose presence, in the reasonable judgment of Landlord, shall be prejudicial to the safety, peace or character of the Property. Without Landlord’s prior written consent, Tenant shall not hang, install, mount, suspend or attach anything from or to any sprinkler, plumbing, utility or other lines. If Tenant hangs, installs, mounts, suspends or attaches anything from or to any doors, windows, walls, floors or ceilings, then Tenant shall spackle and sand all holes and repair any damage caused thereby or by the removal thereof at or prior to the expiration or termination of the Lease.</w:t>
      </w:r>
    </w:p>
    <w:p>
      <w:pPr>
        <w:spacing w:after="0" w:line="192" w:lineRule="exact"/>
        <w:rPr>
          <w:rFonts w:ascii="Arial" w:cs="Arial" w:eastAsia="Arial" w:hAnsi="Arial"/>
          <w:sz w:val="20"/>
          <w:szCs w:val="20"/>
          <w:color w:val="auto"/>
        </w:rPr>
      </w:pPr>
    </w:p>
    <w:p>
      <w:pPr>
        <w:jc w:val="both"/>
        <w:ind w:firstLine="872"/>
        <w:spacing w:after="0" w:line="282" w:lineRule="auto"/>
        <w:tabs>
          <w:tab w:leader="none" w:pos="1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 antenna, aerial, discs, dishes or other such device shall be erected on the roof or exterior walls of the Premises, or on the grounds, without the written consent of the Landlord in each instance. Any device so installed without such written consent shall be subject to removal by Tenant, at Tenant’s sole cost and expense, without notice at any time. Tenant, at its sole cost and expense, shall repair any damage resulting from such removal and shall restore the Property to good order and condition.</w:t>
      </w:r>
    </w:p>
    <w:p>
      <w:pPr>
        <w:spacing w:after="0" w:line="161" w:lineRule="exact"/>
        <w:rPr>
          <w:rFonts w:ascii="Arial" w:cs="Arial" w:eastAsia="Arial" w:hAnsi="Arial"/>
          <w:sz w:val="18"/>
          <w:szCs w:val="18"/>
          <w:color w:val="auto"/>
        </w:rPr>
      </w:pPr>
    </w:p>
    <w:p>
      <w:pPr>
        <w:ind w:firstLine="872"/>
        <w:spacing w:after="0" w:line="260" w:lineRule="auto"/>
        <w:tabs>
          <w:tab w:leader="none" w:pos="16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No loud speakers, televisions, phonographs, radios or other devices shall be used in a manner so as to be heard or seen outside of the Premises without the prior written consent of the Landlord.</w:t>
      </w:r>
    </w:p>
    <w:p>
      <w:pPr>
        <w:spacing w:after="0" w:line="176" w:lineRule="exact"/>
        <w:rPr>
          <w:rFonts w:ascii="Arial" w:cs="Arial" w:eastAsia="Arial" w:hAnsi="Arial"/>
          <w:sz w:val="20"/>
          <w:szCs w:val="20"/>
          <w:color w:val="auto"/>
        </w:rPr>
      </w:pPr>
    </w:p>
    <w:p>
      <w:pPr>
        <w:jc w:val="both"/>
        <w:ind w:firstLine="872"/>
        <w:spacing w:after="0" w:line="250" w:lineRule="auto"/>
        <w:tabs>
          <w:tab w:leader="none" w:pos="16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outside areas immediately adjoining the Premises shall be kept clean and free from dirt and rubbish introduced by the Tenant to the reasonable satisfaction of Landlord and Tenant shall not place or permit any obstruction or materials in such areas or permit any work to be performed outside the Premises.</w:t>
      </w:r>
    </w:p>
    <w:p>
      <w:pPr>
        <w:spacing w:after="0" w:line="185" w:lineRule="exact"/>
        <w:rPr>
          <w:rFonts w:ascii="Arial" w:cs="Arial" w:eastAsia="Arial" w:hAnsi="Arial"/>
          <w:sz w:val="20"/>
          <w:szCs w:val="20"/>
          <w:color w:val="auto"/>
        </w:rPr>
      </w:pPr>
    </w:p>
    <w:p>
      <w:pPr>
        <w:ind w:left="1660" w:hanging="788"/>
        <w:spacing w:after="0"/>
        <w:tabs>
          <w:tab w:leader="none" w:pos="16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No open storage shall be permitted in the Exterior Areas, except as expressly permitted under this Lease.</w:t>
      </w:r>
    </w:p>
    <w:p>
      <w:pPr>
        <w:spacing w:after="0" w:line="215" w:lineRule="exact"/>
        <w:rPr>
          <w:rFonts w:ascii="Arial" w:cs="Arial" w:eastAsia="Arial" w:hAnsi="Arial"/>
          <w:sz w:val="20"/>
          <w:szCs w:val="20"/>
          <w:color w:val="auto"/>
        </w:rPr>
      </w:pPr>
    </w:p>
    <w:p>
      <w:pPr>
        <w:ind w:right="20" w:firstLine="872"/>
        <w:spacing w:after="0" w:line="260" w:lineRule="auto"/>
        <w:tabs>
          <w:tab w:leader="none" w:pos="16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All garbage and refuse shall be placed in containers placed at the location designated for refuse collection, in the manner specified by Landlord.</w:t>
      </w:r>
    </w:p>
    <w:p>
      <w:pPr>
        <w:spacing w:after="0" w:line="176" w:lineRule="exact"/>
        <w:rPr>
          <w:rFonts w:ascii="Arial" w:cs="Arial" w:eastAsia="Arial" w:hAnsi="Arial"/>
          <w:sz w:val="20"/>
          <w:szCs w:val="20"/>
          <w:color w:val="auto"/>
        </w:rPr>
      </w:pPr>
    </w:p>
    <w:p>
      <w:pPr>
        <w:ind w:left="1660" w:hanging="788"/>
        <w:spacing w:after="0"/>
        <w:tabs>
          <w:tab w:leader="none" w:pos="16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Intentionally deleted.</w:t>
      </w:r>
    </w:p>
    <w:p>
      <w:pPr>
        <w:spacing w:after="0" w:line="215" w:lineRule="exact"/>
        <w:rPr>
          <w:rFonts w:ascii="Arial" w:cs="Arial" w:eastAsia="Arial" w:hAnsi="Arial"/>
          <w:sz w:val="20"/>
          <w:szCs w:val="20"/>
          <w:color w:val="auto"/>
        </w:rPr>
      </w:pPr>
    </w:p>
    <w:p>
      <w:pPr>
        <w:jc w:val="both"/>
        <w:ind w:firstLine="872"/>
        <w:spacing w:after="0" w:line="246" w:lineRule="auto"/>
        <w:tabs>
          <w:tab w:leader="none" w:pos="1759" w:val="left"/>
        </w:tabs>
        <w:numPr>
          <w:ilvl w:val="0"/>
          <w:numId w:val="163"/>
        </w:numPr>
        <w:rPr>
          <w:rFonts w:ascii="Arial" w:cs="Arial" w:eastAsia="Arial" w:hAnsi="Arial"/>
          <w:sz w:val="20"/>
          <w:szCs w:val="20"/>
          <w:color w:val="auto"/>
        </w:rPr>
      </w:pPr>
      <w:r>
        <w:rPr>
          <w:rFonts w:ascii="Arial" w:cs="Arial" w:eastAsia="Arial" w:hAnsi="Arial"/>
          <w:sz w:val="20"/>
          <w:szCs w:val="20"/>
          <w:color w:val="auto"/>
        </w:rPr>
        <w:t>Neither Tenant nor its agents, employees, contractors, guests or invitees shall smoke in the Exterior Areas, unless a portion of the Exterior Areas have been declared a designated smoking area by Landlord, nor shall the above parties allow smoke from the Premises to emanate into the Exterior Areas or any other part of the Building. Landlord shall have the right to designate the Building (including the Premises) as a non-smoking building.</w:t>
      </w:r>
    </w:p>
    <w:p>
      <w:pPr>
        <w:spacing w:after="0" w:line="191" w:lineRule="exact"/>
        <w:rPr>
          <w:rFonts w:ascii="Arial" w:cs="Arial" w:eastAsia="Arial" w:hAnsi="Arial"/>
          <w:sz w:val="20"/>
          <w:szCs w:val="20"/>
          <w:color w:val="auto"/>
        </w:rPr>
      </w:pPr>
    </w:p>
    <w:p>
      <w:pPr>
        <w:ind w:firstLine="872"/>
        <w:spacing w:after="0" w:line="260" w:lineRule="auto"/>
        <w:tabs>
          <w:tab w:leader="none" w:pos="1751"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Tenant shall have the right, at Tenant’s sole risk and responsibility, to use 3.5 parking spaces per 1,000 rentable square feet of space in the Premises, on an unreserved and non-exclusive basis,</w:t>
      </w:r>
    </w:p>
    <w:p>
      <w:pPr>
        <w:spacing w:after="0" w:line="177" w:lineRule="exact"/>
        <w:rPr>
          <w:sz w:val="20"/>
          <w:szCs w:val="20"/>
          <w:color w:val="auto"/>
        </w:rPr>
      </w:pPr>
    </w:p>
    <w:p>
      <w:pPr>
        <w:jc w:val="right"/>
        <w:ind w:right="10260"/>
        <w:spacing w:after="0"/>
        <w:rPr>
          <w:sz w:val="20"/>
          <w:szCs w:val="20"/>
          <w:color w:val="auto"/>
        </w:rPr>
      </w:pPr>
      <w:r>
        <w:rPr>
          <w:rFonts w:ascii="Arial" w:cs="Arial" w:eastAsia="Arial" w:hAnsi="Arial"/>
          <w:sz w:val="20"/>
          <w:szCs w:val="20"/>
          <w:u w:val="single" w:color="auto"/>
          <w:color w:val="auto"/>
        </w:rPr>
        <w:t>EXHIBIT C</w:t>
      </w:r>
    </w:p>
    <w:p>
      <w:pPr>
        <w:spacing w:after="0" w:line="16" w:lineRule="exact"/>
        <w:rPr>
          <w:sz w:val="20"/>
          <w:szCs w:val="20"/>
          <w:color w:val="auto"/>
        </w:rPr>
      </w:pPr>
    </w:p>
    <w:p>
      <w:pPr>
        <w:jc w:val="right"/>
        <w:ind w:right="1026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jc w:val="both"/>
        <w:spacing w:after="0" w:line="259" w:lineRule="auto"/>
        <w:rPr>
          <w:sz w:val="20"/>
          <w:szCs w:val="20"/>
          <w:color w:val="auto"/>
        </w:rPr>
      </w:pPr>
      <w:r>
        <w:rPr>
          <w:rFonts w:ascii="Arial" w:cs="Arial" w:eastAsia="Arial" w:hAnsi="Arial"/>
          <w:sz w:val="19"/>
          <w:szCs w:val="19"/>
          <w:color w:val="auto"/>
        </w:rPr>
        <w:t xml:space="preserve">in common with other tenants of the Project in those areas designated by Landlord for non-reserved parking as shown on </w:t>
      </w:r>
      <w:r>
        <w:rPr>
          <w:rFonts w:ascii="Arial" w:cs="Arial" w:eastAsia="Arial" w:hAnsi="Arial"/>
          <w:sz w:val="19"/>
          <w:szCs w:val="19"/>
          <w:b w:val="1"/>
          <w:bCs w:val="1"/>
          <w:color w:val="auto"/>
        </w:rPr>
        <w:t>Exhibit B</w:t>
      </w:r>
      <w:r>
        <w:rPr>
          <w:rFonts w:ascii="Arial" w:cs="Arial" w:eastAsia="Arial" w:hAnsi="Arial"/>
          <w:sz w:val="19"/>
          <w:szCs w:val="19"/>
          <w:color w:val="auto"/>
        </w:rPr>
        <w:t>. Tenant shall comply with all reasonable parking regulations promulgated by Landlord from time to time for the orderly use of the vehicle parking area, so long as any such regulations do not materially interfere with Tenant’s use and occupancy of the Premises and do not materially increase Tenant’s obligations nor materially decrease Tenant’s rights under this Lease. The parking spaces shall be used for parking by vehicles no larger than full-size passenger automobiles, SUVs or pick-up trucks (“</w:t>
      </w:r>
      <w:r>
        <w:rPr>
          <w:rFonts w:ascii="Arial" w:cs="Arial" w:eastAsia="Arial" w:hAnsi="Arial"/>
          <w:sz w:val="19"/>
          <w:szCs w:val="19"/>
          <w:b w:val="1"/>
          <w:bCs w:val="1"/>
          <w:color w:val="auto"/>
        </w:rPr>
        <w:t>Permitted Size Vehicles</w:t>
      </w:r>
      <w:r>
        <w:rPr>
          <w:rFonts w:ascii="Arial" w:cs="Arial" w:eastAsia="Arial" w:hAnsi="Arial"/>
          <w:sz w:val="19"/>
          <w:szCs w:val="19"/>
          <w:color w:val="auto"/>
        </w:rPr>
        <w:t>”). No vehicle or equipment shall remain upon the Exterior Area longer than 72 hours without prior notice to Landlord and Landlord prior written approval (such approval not to be unreasonably withheld, conditioned</w:t>
      </w:r>
    </w:p>
    <w:p>
      <w:pPr>
        <w:spacing w:after="0" w:line="178" w:lineRule="exact"/>
        <w:rPr>
          <w:sz w:val="20"/>
          <w:szCs w:val="20"/>
          <w:color w:val="auto"/>
        </w:rPr>
      </w:pPr>
    </w:p>
    <w:p>
      <w:pPr>
        <w:jc w:val="both"/>
        <w:ind w:firstLine="872"/>
        <w:spacing w:after="0" w:line="272" w:lineRule="auto"/>
        <w:tabs>
          <w:tab w:leader="none" w:pos="175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or delayed). Parked vehicles shall not be used for vending or any other business or other activity while parked in the parking areas. Vehicles other than Permitted Size Vehicles shall be parked and loaded or unloaded as reasonably directed by Landlord. Tenant shall not permit or allow any vehicles that belong to or are controlled by Tenant or Tenant’s employees, suppliers, shippers, customers, contractors or invitees to be loaded, unloaded, or parked in areas other than those designated by Landlord for such activities. If Tenant permits or allows any of the prohibited activities described in this Section, then Landlord shall have the right, without notice, in addition to such other rights and remedies that it may have, to remove or tow away the vehicle involved and charge the cost to the vehicle owner, which cost shall be immediately payable upon demand by Landlord. No vehicle or equipment of any kind shall be dismantled or repaired or serviced on the Exterior Area, except in the event of an emergency. All vehicles entering or parking in the parking areas shall do so at owner’s sole risk and Landlord assumes no responsibility for any damage, destruction, vandalism or theft.</w:t>
      </w:r>
    </w:p>
    <w:p>
      <w:pPr>
        <w:spacing w:after="0" w:line="170" w:lineRule="exact"/>
        <w:rPr>
          <w:rFonts w:ascii="Arial" w:cs="Arial" w:eastAsia="Arial" w:hAnsi="Arial"/>
          <w:sz w:val="18"/>
          <w:szCs w:val="18"/>
          <w:color w:val="auto"/>
        </w:rPr>
      </w:pPr>
    </w:p>
    <w:p>
      <w:pPr>
        <w:ind w:firstLine="872"/>
        <w:spacing w:after="0" w:line="287" w:lineRule="auto"/>
        <w:tabs>
          <w:tab w:leader="none" w:pos="1759" w:val="left"/>
        </w:tabs>
        <w:numPr>
          <w:ilvl w:val="1"/>
          <w:numId w:val="164"/>
        </w:numPr>
        <w:rPr>
          <w:rFonts w:ascii="Arial" w:cs="Arial" w:eastAsia="Arial" w:hAnsi="Arial"/>
          <w:sz w:val="19"/>
          <w:szCs w:val="19"/>
          <w:color w:val="auto"/>
        </w:rPr>
      </w:pPr>
      <w:r>
        <w:rPr>
          <w:rFonts w:ascii="Arial" w:cs="Arial" w:eastAsia="Arial" w:hAnsi="Arial"/>
          <w:sz w:val="19"/>
          <w:szCs w:val="19"/>
          <w:color w:val="auto"/>
        </w:rPr>
        <w:t>Tenant shall not overload the floors or structure of the Building beyond the load limit (to be set forth in the Final TI Construction Documents (as defined in the Work Letter)) from and after the date Tenant has been made aware of such load limit.</w:t>
      </w:r>
    </w:p>
    <w:p>
      <w:pPr>
        <w:spacing w:after="0" w:line="152" w:lineRule="exact"/>
        <w:rPr>
          <w:rFonts w:ascii="Arial" w:cs="Arial" w:eastAsia="Arial" w:hAnsi="Arial"/>
          <w:sz w:val="19"/>
          <w:szCs w:val="19"/>
          <w:color w:val="auto"/>
        </w:rPr>
      </w:pPr>
    </w:p>
    <w:p>
      <w:pPr>
        <w:ind w:left="1760" w:hanging="888"/>
        <w:spacing w:after="0"/>
        <w:tabs>
          <w:tab w:leader="none" w:pos="17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Tenant shall not use or keep in the Building (i) intentionally deleted, (ii) any explosive or highly flammable material, or</w:t>
      </w:r>
    </w:p>
    <w:p>
      <w:pPr>
        <w:spacing w:after="0" w:line="38" w:lineRule="exact"/>
        <w:rPr>
          <w:rFonts w:ascii="Arial" w:cs="Arial" w:eastAsia="Arial" w:hAnsi="Arial"/>
          <w:sz w:val="18"/>
          <w:szCs w:val="18"/>
          <w:color w:val="auto"/>
        </w:rPr>
      </w:pPr>
    </w:p>
    <w:p>
      <w:pPr>
        <w:ind w:left="360" w:hanging="352"/>
        <w:spacing w:after="0"/>
        <w:tabs>
          <w:tab w:leader="none" w:pos="3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any form of hemp or marijuana or ingredient thereof (e.g., THC or CBD) or any product containing same.</w:t>
      </w:r>
    </w:p>
    <w:p>
      <w:pPr>
        <w:spacing w:after="0" w:line="199" w:lineRule="exact"/>
        <w:rPr>
          <w:rFonts w:ascii="Arial" w:cs="Arial" w:eastAsia="Arial" w:hAnsi="Arial"/>
          <w:sz w:val="20"/>
          <w:szCs w:val="20"/>
          <w:color w:val="auto"/>
        </w:rPr>
      </w:pPr>
    </w:p>
    <w:p>
      <w:pPr>
        <w:ind w:left="1760" w:hanging="888"/>
        <w:spacing w:after="0"/>
        <w:tabs>
          <w:tab w:leader="none" w:pos="176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Tenant assumes all responsibility for protecting the Premises from theft and vandalism.</w:t>
      </w:r>
    </w:p>
    <w:p>
      <w:pPr>
        <w:spacing w:after="0" w:line="215" w:lineRule="exact"/>
        <w:rPr>
          <w:rFonts w:ascii="Arial" w:cs="Arial" w:eastAsia="Arial" w:hAnsi="Arial"/>
          <w:sz w:val="20"/>
          <w:szCs w:val="20"/>
          <w:color w:val="auto"/>
        </w:rPr>
      </w:pPr>
    </w:p>
    <w:p>
      <w:pPr>
        <w:ind w:left="1760" w:hanging="888"/>
        <w:spacing w:after="0"/>
        <w:tabs>
          <w:tab w:leader="none" w:pos="176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Tenant shall comply with any reasonable move-in/move-out rules provided by Landlord.</w:t>
      </w:r>
    </w:p>
    <w:p>
      <w:pPr>
        <w:spacing w:after="0" w:line="215" w:lineRule="exact"/>
        <w:rPr>
          <w:rFonts w:ascii="Arial" w:cs="Arial" w:eastAsia="Arial" w:hAnsi="Arial"/>
          <w:sz w:val="20"/>
          <w:szCs w:val="20"/>
          <w:color w:val="auto"/>
        </w:rPr>
      </w:pPr>
    </w:p>
    <w:p>
      <w:pPr>
        <w:ind w:left="1760" w:hanging="888"/>
        <w:spacing w:after="0"/>
        <w:tabs>
          <w:tab w:leader="none" w:pos="17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Tenant shall not place oversized cartons, crates or boxes in any area for trash pickup without Landlord’s prior written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approval.</w:t>
      </w:r>
    </w:p>
    <w:p>
      <w:pPr>
        <w:spacing w:after="0" w:line="199" w:lineRule="exact"/>
        <w:rPr>
          <w:rFonts w:ascii="Arial" w:cs="Arial" w:eastAsia="Arial" w:hAnsi="Arial"/>
          <w:sz w:val="18"/>
          <w:szCs w:val="18"/>
          <w:color w:val="auto"/>
        </w:rPr>
      </w:pPr>
    </w:p>
    <w:p>
      <w:pPr>
        <w:ind w:left="1760" w:hanging="888"/>
        <w:spacing w:after="0"/>
        <w:tabs>
          <w:tab w:leader="none" w:pos="17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Tenant shall use commercially reasonable efforts to cause all Tenant’s Parties to comply with these Building Rules.</w:t>
      </w:r>
    </w:p>
    <w:p>
      <w:pPr>
        <w:spacing w:after="0" w:line="238" w:lineRule="exact"/>
        <w:rPr>
          <w:rFonts w:ascii="Arial" w:cs="Arial" w:eastAsia="Arial" w:hAnsi="Arial"/>
          <w:sz w:val="18"/>
          <w:szCs w:val="18"/>
          <w:color w:val="auto"/>
        </w:rPr>
      </w:pPr>
    </w:p>
    <w:p>
      <w:pPr>
        <w:jc w:val="both"/>
        <w:ind w:firstLine="872"/>
        <w:spacing w:after="0" w:line="250" w:lineRule="auto"/>
        <w:tabs>
          <w:tab w:leader="none" w:pos="1759" w:val="left"/>
        </w:tabs>
        <w:numPr>
          <w:ilvl w:val="1"/>
          <w:numId w:val="165"/>
        </w:numPr>
        <w:rPr>
          <w:rFonts w:ascii="Arial" w:cs="Arial" w:eastAsia="Arial" w:hAnsi="Arial"/>
          <w:sz w:val="20"/>
          <w:szCs w:val="20"/>
          <w:color w:val="auto"/>
        </w:rPr>
      </w:pPr>
      <w:r>
        <w:rPr>
          <w:rFonts w:ascii="Arial" w:cs="Arial" w:eastAsia="Arial" w:hAnsi="Arial"/>
          <w:sz w:val="20"/>
          <w:szCs w:val="20"/>
          <w:color w:val="auto"/>
        </w:rPr>
        <w:t>Landlord shall not be responsible or liable to Tenant for the non-performance of any other tenant or occupant of the Project of the Rules and Regulations. Landlord agrees to use commercially reasonable efforts to uniformly enforce the Rules and Regulations against other tenants or occupants of the Project.</w:t>
      </w:r>
    </w:p>
    <w:p>
      <w:pPr>
        <w:spacing w:after="0" w:line="185" w:lineRule="exact"/>
        <w:rPr>
          <w:rFonts w:ascii="Arial" w:cs="Arial" w:eastAsia="Arial" w:hAnsi="Arial"/>
          <w:sz w:val="20"/>
          <w:szCs w:val="20"/>
          <w:color w:val="auto"/>
        </w:rPr>
      </w:pPr>
    </w:p>
    <w:p>
      <w:pPr>
        <w:ind w:left="1760" w:hanging="888"/>
        <w:spacing w:after="0"/>
        <w:tabs>
          <w:tab w:leader="none" w:pos="176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Capitalized terms used but not defined herein shall have the meanings given in the Lease.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C</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LIEN SUBORDINATION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LANDLORD’S SUBORDINATION</w:t>
      </w:r>
    </w:p>
    <w:p>
      <w:pPr>
        <w:spacing w:after="0" w:line="222" w:lineRule="exact"/>
        <w:rPr>
          <w:sz w:val="20"/>
          <w:szCs w:val="20"/>
          <w:color w:val="auto"/>
        </w:rPr>
      </w:pPr>
    </w:p>
    <w:p>
      <w:pPr>
        <w:ind w:left="880"/>
        <w:spacing w:after="0"/>
        <w:tabs>
          <w:tab w:leader="none" w:pos="1540" w:val="left"/>
          <w:tab w:leader="none" w:pos="2940" w:val="left"/>
          <w:tab w:leader="none" w:pos="5580" w:val="left"/>
          <w:tab w:leader="none" w:pos="7040" w:val="left"/>
          <w:tab w:leader="none" w:pos="7920" w:val="left"/>
          <w:tab w:leader="none" w:pos="8460" w:val="left"/>
          <w:tab w:leader="none" w:pos="9080" w:val="left"/>
          <w:tab w:leader="none" w:pos="10120" w:val="left"/>
          <w:tab w:leader="none" w:pos="11060" w:val="left"/>
        </w:tabs>
        <w:rPr>
          <w:sz w:val="20"/>
          <w:szCs w:val="20"/>
          <w:color w:val="auto"/>
        </w:rPr>
      </w:pP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undersigned,</w:t>
      </w:r>
      <w:r>
        <w:rPr>
          <w:sz w:val="20"/>
          <w:szCs w:val="20"/>
          <w:color w:val="auto"/>
        </w:rPr>
        <w:tab/>
      </w:r>
      <w:r>
        <w:rPr>
          <w:rFonts w:ascii="Arial" w:cs="Arial" w:eastAsia="Arial" w:hAnsi="Arial"/>
          <w:sz w:val="20"/>
          <w:szCs w:val="20"/>
          <w:color w:val="auto"/>
        </w:rPr>
        <w:t>_______________________</w:t>
      </w:r>
      <w:r>
        <w:rPr>
          <w:sz w:val="20"/>
          <w:szCs w:val="20"/>
          <w:color w:val="auto"/>
        </w:rPr>
        <w:tab/>
      </w:r>
      <w:r>
        <w:rPr>
          <w:rFonts w:ascii="Arial" w:cs="Arial" w:eastAsia="Arial" w:hAnsi="Arial"/>
          <w:sz w:val="20"/>
          <w:szCs w:val="20"/>
          <w:color w:val="auto"/>
        </w:rPr>
        <w:t>(“Landlord”),</w:t>
      </w:r>
      <w:r>
        <w:rPr>
          <w:sz w:val="20"/>
          <w:szCs w:val="20"/>
          <w:color w:val="auto"/>
        </w:rPr>
        <w:tab/>
      </w:r>
      <w:r>
        <w:rPr>
          <w:rFonts w:ascii="Arial" w:cs="Arial" w:eastAsia="Arial" w:hAnsi="Arial"/>
          <w:sz w:val="20"/>
          <w:szCs w:val="20"/>
          <w:color w:val="auto"/>
        </w:rPr>
        <w:t>owner</w:t>
      </w:r>
      <w:r>
        <w:rPr>
          <w:sz w:val="20"/>
          <w:szCs w:val="20"/>
          <w:color w:val="auto"/>
        </w:rPr>
        <w:tab/>
      </w: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building</w:t>
      </w:r>
      <w:r>
        <w:rPr>
          <w:sz w:val="20"/>
          <w:szCs w:val="20"/>
          <w:color w:val="auto"/>
        </w:rPr>
        <w:tab/>
      </w:r>
      <w:r>
        <w:rPr>
          <w:rFonts w:ascii="Arial" w:cs="Arial" w:eastAsia="Arial" w:hAnsi="Arial"/>
          <w:sz w:val="20"/>
          <w:szCs w:val="20"/>
          <w:color w:val="auto"/>
        </w:rPr>
        <w:t>located</w:t>
      </w:r>
      <w:r>
        <w:rPr>
          <w:sz w:val="20"/>
          <w:szCs w:val="20"/>
          <w:color w:val="auto"/>
        </w:rPr>
        <w:tab/>
      </w:r>
      <w:r>
        <w:rPr>
          <w:rFonts w:ascii="Arial" w:cs="Arial" w:eastAsia="Arial" w:hAnsi="Arial"/>
          <w:sz w:val="16"/>
          <w:szCs w:val="16"/>
          <w:color w:val="auto"/>
        </w:rPr>
        <w:t>at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 a portion of which containing approximately ______________ rentable square feet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“Premises”) is leased to ______________, a ______________________ (“Tenant”), pursuant to that certain lease agreement dated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w:t>
      </w:r>
      <w:r>
        <w:rPr>
          <w:rFonts w:ascii="Arial" w:cs="Arial" w:eastAsia="Arial" w:hAnsi="Arial"/>
          <w:sz w:val="18"/>
          <w:szCs w:val="18"/>
          <w:color w:val="auto"/>
        </w:rPr>
        <w:t>, 20__ (the “Lease”), in consideration of the sum of One Dollar ($1.00) and other good and valuable consideration, and at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Tenant’s request, hereby agrees that no lien or claim shall be asserted by Landlord against any of the property owned by Tenant and located at the Premises and described on Exhibit “A” attached hereto and made part hereof (the “Subject Property”), which shall be superior in claim or lien priority to any duly perfected security interest of _____________________________________ (“Lender”).</w:t>
      </w:r>
    </w:p>
    <w:p>
      <w:pPr>
        <w:spacing w:after="0" w:line="17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Landlord expressly reserves the right to make any claims and to assert and enforce any liens against Tenant, generally or against the property of Tenant, provided that, to the extent any such property is Subject Property, Landlord’s claim of lien priority shall be junior to that of Lender.</w:t>
      </w:r>
    </w:p>
    <w:p>
      <w:pPr>
        <w:spacing w:after="0" w:line="18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Landlord agrees that Lender may enter upon the Premises at any reasonable time during the term of the Lease to inspect, take possession of and remove the Subject Property from the Premises. In the event the Premises are vacated by Tenant or the Lease is terminated by Landlord before its natural expiration, Landlord shall promptly provide Lender with notice thereof (“Landlord’s Notice”) at Lender’s mailing address for notices stated below. Landlord shall have no duty to secure, preserve, protect, care for, insure, take possession of, collect or dispose of any of the Subject Property, and in no event shall Landlord be deemed Lender’s agent with respect to any of the Subject Property. Lender shall have fifteen (15) days following the date Lender receives Landlord’s Notice to notify Landlord in writing (“Lender’s Notice”) that Lender intends on accessing the Premises within the Access Period (as defined below) in accordance with this Landlord’s Subordination (the “Access Rights”). In the event Lender timely delivers Lender’s Notice to Landlord, Lender shall have the right to access the Premises, on or before the date that is forty-five (45) days after the date Landlord receives Lender’s Notice (the “Access Period”) and Lender may take possession of and remove any of the Subject Property from the Premises. Notwithstanding the foregoing, Lender’s Access Rights shall be conditioned upon Lender paying to Landlord, in advance, without notice, demand or setoff, base rent and operating expenses (as described in the Lease) for the entire Access Period, at the rates then applicable under the Lease (calculated on a per diem basis); it being agreed, however, that, in no event shall Lender be obligated to pay base rent and operating expenses for any period to the extent Tenant has paid such rent and operating expenses for such period. In the event Lender (a) fails to timely deliver Lender’s Notice to Landlord or otherwise notifies Landlord that Lender does not opt to exercise its Access Rights, or (b) fails to exercise its Access Rights and remove all of the Subject Property from the Premises, then thereafter, (i) Lender shall be deemed to have irrevocably abandoned the Subject Property and Lender shall have no further rights, interests or claims in, to or under the Subject Property, and (ii) Landlord may remove and dispose of the Subject Property and Lender hereby releases Landlord from any claim or liability arising therefrom.</w:t>
      </w:r>
    </w:p>
    <w:p>
      <w:pPr>
        <w:spacing w:after="0" w:line="17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Lender shall indemnify, defend and hold harmless Landlord from any and all claims, actions, damages, liabilities and expenses in connection with bodily injury or property damage occasioned by Lender’s entry on the Premises and/or removal of the Subject Property by Lender. Tenant hereby acknowledges and agrees that Tenant shall not have or assert, and affirmatively waives, all claims against Landlord arising from Landlord granting Lender access to the Premises and the Subject Property pursuant to the terms of this Landlord’s Subordination. Lender agrees to reimburse Landlord for the costs of repair</w:t>
      </w:r>
    </w:p>
    <w:p>
      <w:pPr>
        <w:spacing w:after="0" w:line="194" w:lineRule="exact"/>
        <w:rPr>
          <w:sz w:val="20"/>
          <w:szCs w:val="20"/>
          <w:color w:val="auto"/>
        </w:rPr>
      </w:pPr>
    </w:p>
    <w:p>
      <w:pPr>
        <w:jc w:val="right"/>
        <w:ind w:right="10240"/>
        <w:spacing w:after="0"/>
        <w:rPr>
          <w:sz w:val="20"/>
          <w:szCs w:val="20"/>
          <w:color w:val="auto"/>
        </w:rPr>
      </w:pPr>
      <w:r>
        <w:rPr>
          <w:rFonts w:ascii="Arial" w:cs="Arial" w:eastAsia="Arial" w:hAnsi="Arial"/>
          <w:sz w:val="20"/>
          <w:szCs w:val="20"/>
          <w:u w:val="single" w:color="auto"/>
          <w:color w:val="auto"/>
        </w:rPr>
        <w:t>EXHIBIT D</w:t>
      </w:r>
    </w:p>
    <w:p>
      <w:pPr>
        <w:spacing w:after="0" w:line="16" w:lineRule="exact"/>
        <w:rPr>
          <w:sz w:val="20"/>
          <w:szCs w:val="20"/>
          <w:color w:val="auto"/>
        </w:rPr>
      </w:pPr>
    </w:p>
    <w:p>
      <w:pPr>
        <w:jc w:val="right"/>
        <w:ind w:right="1026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6" w:name="page217"/>
    <w:bookmarkEnd w:id="216"/>
    <w:p>
      <w:pPr>
        <w:jc w:val="both"/>
        <w:spacing w:after="0" w:line="250" w:lineRule="auto"/>
        <w:rPr>
          <w:sz w:val="20"/>
          <w:szCs w:val="20"/>
          <w:color w:val="auto"/>
        </w:rPr>
      </w:pPr>
      <w:r>
        <w:rPr>
          <w:rFonts w:ascii="Arial" w:cs="Arial" w:eastAsia="Arial" w:hAnsi="Arial"/>
          <w:sz w:val="20"/>
          <w:szCs w:val="20"/>
          <w:color w:val="auto"/>
        </w:rPr>
        <w:t>for any damage done to the Premises as a result of Lender’s entry and/or removal of any of the Subject Property, within thirty (30) days following Landlord’s demand therefor accompanied by reasonable backup documentation. In no event shall Lender, or anyone acting through Lender, be permitted to conduct a sale or auction of the Subject Property at the Premises.</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If any action is brought by any party against any other party, relating to or arising out of this Landlord’s Subordination, the prevailing party shall be entitled to recover from the other party reasonable attorneys’ fees, costs and expenses incurred in connection with the prosecution or defense of such action.</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This Landlord’s Subordination shall inure to the benefit of and be binding upon the parties hereto and their respective successors and assigns. This Landlord’s Subordination and all obligations of Landlord hereunder shall terminate upon the satisfaction of the loan between Tenant and Lender.</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This Landlord’s Subordination may be executed in counterparts, each of which shall constitute an original, but which, taken together, shall be one original agreement. Any counterpart of this Landlord’s Subordination may be executed and delivered by electronic transmission (including, without limitation, e- mail) or by portable document format (pdf) and shall have the same force and effect as an original.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LEFT BLANK; SIGNATURE PAGE TO FOLLOWS]</w:t>
      </w:r>
    </w:p>
    <w:p>
      <w:pPr>
        <w:spacing w:after="0" w:line="200" w:lineRule="exact"/>
        <w:rPr>
          <w:sz w:val="20"/>
          <w:szCs w:val="20"/>
          <w:color w:val="auto"/>
        </w:rPr>
      </w:pPr>
    </w:p>
    <w:p>
      <w:pPr>
        <w:spacing w:after="0" w:line="251"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D</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17" w:name="page218"/>
    <w:bookmarkEnd w:id="217"/>
    <w:p>
      <w:pPr>
        <w:ind w:firstLine="864"/>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intending to be legally bound hereby, have caused this document to be duly signed</w:t>
      </w:r>
      <w:r>
        <w:rPr>
          <w:rFonts w:ascii="Arial" w:cs="Arial" w:eastAsia="Arial" w:hAnsi="Arial"/>
          <w:sz w:val="20"/>
          <w:szCs w:val="20"/>
          <w:b w:val="1"/>
          <w:bCs w:val="1"/>
          <w:color w:val="auto"/>
        </w:rPr>
        <w:t xml:space="preserve"> </w:t>
      </w:r>
      <w:r>
        <w:rPr>
          <w:rFonts w:ascii="Arial" w:cs="Arial" w:eastAsia="Arial" w:hAnsi="Arial"/>
          <w:sz w:val="20"/>
          <w:szCs w:val="20"/>
          <w:color w:val="auto"/>
        </w:rPr>
        <w:t>on the dates set forth opposite their respective signatures.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Name:</w:t>
      </w:r>
    </w:p>
    <w:p>
      <w:pPr>
        <w:ind w:left="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Name:</w:t>
      </w:r>
    </w:p>
    <w:p>
      <w:pPr>
        <w:ind w:left="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Lender’s mailing address for notices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Name:</w:t>
      </w:r>
    </w:p>
    <w:p>
      <w:pPr>
        <w:ind w:left="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D</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8" w:name="page219"/>
    <w:bookmarkEnd w:id="218"/>
    <w:p>
      <w:pPr>
        <w:jc w:val="center"/>
        <w:ind w:right="-220"/>
        <w:spacing w:after="0"/>
        <w:rPr>
          <w:sz w:val="20"/>
          <w:szCs w:val="20"/>
          <w:color w:val="auto"/>
        </w:rPr>
      </w:pPr>
      <w:r>
        <w:rPr>
          <w:rFonts w:ascii="Arial" w:cs="Arial" w:eastAsia="Arial" w:hAnsi="Arial"/>
          <w:sz w:val="20"/>
          <w:szCs w:val="20"/>
          <w:b w:val="1"/>
          <w:bCs w:val="1"/>
          <w:color w:val="auto"/>
        </w:rPr>
        <w:t>EXHIBIT “A” TO LANDLORD SUBORDINATION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Subject Property from the applicable Loan instruments to be added here]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49" w:right="1440" w:bottom="1440" w:gutter="0" w:footer="0" w:header="0"/>
        </w:sectPr>
      </w:pPr>
    </w:p>
    <w:bookmarkStart w:id="219" w:name="page220"/>
    <w:bookmarkEnd w:id="219"/>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MINIMUM SERVICE CONTRACT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Service Contract</w:t>
      </w:r>
      <w:r>
        <w:rPr>
          <w:rFonts w:ascii="Arial" w:cs="Arial" w:eastAsia="Arial" w:hAnsi="Arial"/>
          <w:sz w:val="19"/>
          <w:szCs w:val="19"/>
          <w:color w:val="auto"/>
        </w:rPr>
        <w:t>. The Service Contract for the HVAC System required under Section 12.1 of the Lease must include the following:</w:t>
      </w:r>
    </w:p>
    <w:p>
      <w:pPr>
        <w:spacing w:after="0" w:line="233" w:lineRule="exact"/>
        <w:rPr>
          <w:sz w:val="20"/>
          <w:szCs w:val="20"/>
          <w:color w:val="auto"/>
        </w:rPr>
      </w:pPr>
    </w:p>
    <w:p>
      <w:pPr>
        <w:jc w:val="both"/>
        <w:ind w:left="1300" w:hanging="442"/>
        <w:spacing w:after="0" w:line="250" w:lineRule="auto"/>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service contract must become effective within 30 days of Tenant’s occupancy of the Premises, and service visits must be performed on at least a quarterly basis unless otherwise agreed in writing by Landlord. The maintenance contract must include the following services:</w:t>
      </w:r>
    </w:p>
    <w:p>
      <w:pPr>
        <w:spacing w:after="0" w:line="18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Adjust belt tension;</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Lubricate all moving parts, as necessary;</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Inspect and adjust all temperature and safety controls;</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Check refrigeration system for leaks and operation;</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Check refrigeration system for moisture;</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Inspect compressor oil level and crank case heaters;</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Check head pressure, suction pressure and oil pressure;</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Inspect air filters and replace when necessary;</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Check space conditions;</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Check condensate drains and drain pans and clean, if necessary;</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Inspect and adjust all valves;</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Check and adjust dampers; and</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Run machine through complete cycle.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10280"/>
        <w:spacing w:after="0"/>
        <w:rPr>
          <w:sz w:val="20"/>
          <w:szCs w:val="20"/>
          <w:color w:val="auto"/>
        </w:rPr>
      </w:pPr>
      <w:r>
        <w:rPr>
          <w:rFonts w:ascii="Arial" w:cs="Arial" w:eastAsia="Arial" w:hAnsi="Arial"/>
          <w:sz w:val="19"/>
          <w:szCs w:val="19"/>
          <w:u w:val="single" w:color="auto"/>
          <w:color w:val="auto"/>
        </w:rPr>
        <w:t>EXHIBIT E</w:t>
      </w:r>
    </w:p>
    <w:p>
      <w:pPr>
        <w:spacing w:after="0" w:line="27" w:lineRule="exact"/>
        <w:rPr>
          <w:sz w:val="20"/>
          <w:szCs w:val="20"/>
          <w:color w:val="auto"/>
        </w:rPr>
      </w:pPr>
    </w:p>
    <w:p>
      <w:pPr>
        <w:jc w:val="right"/>
        <w:ind w:right="1026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CONFIRMATION OF LEASE TERMS CERTIFICATE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Tenant Name &amp;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20"/>
                <w:szCs w:val="20"/>
                <w:color w:val="auto"/>
              </w:rPr>
              <w:t>Re:</w:t>
            </w:r>
          </w:p>
        </w:tc>
        <w:tc>
          <w:tcPr>
            <w:tcW w:w="300" w:type="dxa"/>
            <w:vAlign w:val="bottom"/>
          </w:tcPr>
          <w:p>
            <w:pPr>
              <w:spacing w:after="0"/>
              <w:rPr>
                <w:sz w:val="19"/>
                <w:szCs w:val="19"/>
                <w:color w:val="auto"/>
              </w:rPr>
            </w:pPr>
          </w:p>
        </w:tc>
        <w:tc>
          <w:tcPr>
            <w:tcW w:w="10340" w:type="dxa"/>
            <w:vAlign w:val="bottom"/>
            <w:gridSpan w:val="6"/>
          </w:tcPr>
          <w:p>
            <w:pPr>
              <w:ind w:left="760"/>
              <w:spacing w:after="0"/>
              <w:rPr>
                <w:sz w:val="20"/>
                <w:szCs w:val="20"/>
                <w:color w:val="auto"/>
              </w:rPr>
            </w:pPr>
            <w:r>
              <w:rPr>
                <w:rFonts w:ascii="Arial" w:cs="Arial" w:eastAsia="Arial" w:hAnsi="Arial"/>
                <w:sz w:val="20"/>
                <w:szCs w:val="20"/>
                <w:color w:val="auto"/>
                <w:w w:val="90"/>
              </w:rPr>
              <w:t>Single-Tenant Triple Net Lease dated ________________, 20____ (the “Lease”), between ______________________</w:t>
            </w:r>
          </w:p>
        </w:tc>
      </w:tr>
      <w:tr>
        <w:trPr>
          <w:trHeight w:val="229"/>
        </w:trPr>
        <w:tc>
          <w:tcPr>
            <w:tcW w:w="520" w:type="dxa"/>
            <w:vAlign w:val="bottom"/>
          </w:tcPr>
          <w:p>
            <w:pPr>
              <w:spacing w:after="0"/>
              <w:rPr>
                <w:sz w:val="19"/>
                <w:szCs w:val="19"/>
                <w:color w:val="auto"/>
              </w:rPr>
            </w:pPr>
          </w:p>
        </w:tc>
        <w:tc>
          <w:tcPr>
            <w:tcW w:w="10640" w:type="dxa"/>
            <w:vAlign w:val="bottom"/>
            <w:gridSpan w:val="7"/>
          </w:tcPr>
          <w:p>
            <w:pPr>
              <w:ind w:left="260"/>
              <w:spacing w:after="0"/>
              <w:rPr>
                <w:sz w:val="20"/>
                <w:szCs w:val="20"/>
                <w:color w:val="auto"/>
              </w:rPr>
            </w:pPr>
            <w:r>
              <w:rPr>
                <w:rFonts w:ascii="Arial" w:cs="Arial" w:eastAsia="Arial" w:hAnsi="Arial"/>
                <w:sz w:val="20"/>
                <w:szCs w:val="20"/>
                <w:color w:val="auto"/>
                <w:w w:val="95"/>
              </w:rPr>
              <w:t>(“Landlord”) and _______________________ (“Tenant”) for an approximate ____________ rentable square foot premises</w:t>
            </w:r>
          </w:p>
        </w:tc>
      </w:tr>
      <w:tr>
        <w:trPr>
          <w:trHeight w:val="250"/>
        </w:trPr>
        <w:tc>
          <w:tcPr>
            <w:tcW w:w="520" w:type="dxa"/>
            <w:vAlign w:val="bottom"/>
          </w:tcPr>
          <w:p>
            <w:pPr>
              <w:spacing w:after="0"/>
              <w:rPr>
                <w:sz w:val="21"/>
                <w:szCs w:val="21"/>
                <w:color w:val="auto"/>
              </w:rPr>
            </w:pPr>
          </w:p>
        </w:tc>
        <w:tc>
          <w:tcPr>
            <w:tcW w:w="10640" w:type="dxa"/>
            <w:vAlign w:val="bottom"/>
            <w:gridSpan w:val="7"/>
          </w:tcPr>
          <w:p>
            <w:pPr>
              <w:ind w:left="260"/>
              <w:spacing w:after="0"/>
              <w:rPr>
                <w:sz w:val="20"/>
                <w:szCs w:val="20"/>
                <w:color w:val="auto"/>
              </w:rPr>
            </w:pPr>
            <w:r>
              <w:rPr>
                <w:rFonts w:ascii="Arial" w:cs="Arial" w:eastAsia="Arial" w:hAnsi="Arial"/>
                <w:sz w:val="20"/>
                <w:szCs w:val="20"/>
                <w:color w:val="auto"/>
              </w:rPr>
              <w:t>(“Premises”) located in Landlord’s building (“Building”) at ___________________________________.</w:t>
            </w:r>
          </w:p>
        </w:tc>
      </w:tr>
      <w:tr>
        <w:trPr>
          <w:trHeight w:val="445"/>
        </w:trPr>
        <w:tc>
          <w:tcPr>
            <w:tcW w:w="520" w:type="dxa"/>
            <w:vAlign w:val="bottom"/>
          </w:tcPr>
          <w:p>
            <w:pPr>
              <w:spacing w:after="0"/>
              <w:rPr>
                <w:sz w:val="24"/>
                <w:szCs w:val="24"/>
                <w:color w:val="auto"/>
              </w:rPr>
            </w:pPr>
          </w:p>
        </w:tc>
        <w:tc>
          <w:tcPr>
            <w:tcW w:w="2520" w:type="dxa"/>
            <w:vAlign w:val="bottom"/>
            <w:gridSpan w:val="2"/>
          </w:tcPr>
          <w:p>
            <w:pPr>
              <w:ind w:left="280"/>
              <w:spacing w:after="0"/>
              <w:rPr>
                <w:sz w:val="20"/>
                <w:szCs w:val="20"/>
                <w:color w:val="auto"/>
              </w:rPr>
            </w:pPr>
            <w:r>
              <w:rPr>
                <w:rFonts w:ascii="Arial" w:cs="Arial" w:eastAsia="Arial" w:hAnsi="Arial"/>
                <w:sz w:val="20"/>
                <w:szCs w:val="20"/>
                <w:color w:val="auto"/>
              </w:rPr>
              <w:t>Dear Tenant:</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446"/>
        </w:trPr>
        <w:tc>
          <w:tcPr>
            <w:tcW w:w="520" w:type="dxa"/>
            <w:vAlign w:val="bottom"/>
          </w:tcPr>
          <w:p>
            <w:pPr>
              <w:spacing w:after="0"/>
              <w:rPr>
                <w:sz w:val="24"/>
                <w:szCs w:val="24"/>
                <w:color w:val="auto"/>
              </w:rPr>
            </w:pPr>
          </w:p>
        </w:tc>
        <w:tc>
          <w:tcPr>
            <w:tcW w:w="10640" w:type="dxa"/>
            <w:vAlign w:val="bottom"/>
            <w:gridSpan w:val="7"/>
          </w:tcPr>
          <w:p>
            <w:pPr>
              <w:ind w:left="280"/>
              <w:spacing w:after="0"/>
              <w:rPr>
                <w:sz w:val="20"/>
                <w:szCs w:val="20"/>
                <w:color w:val="auto"/>
              </w:rPr>
            </w:pPr>
            <w:r>
              <w:rPr>
                <w:rFonts w:ascii="Arial" w:cs="Arial" w:eastAsia="Arial" w:hAnsi="Arial"/>
                <w:sz w:val="20"/>
                <w:szCs w:val="20"/>
                <w:color w:val="auto"/>
              </w:rPr>
              <w:t>This letter serves to confirm the following with respect to the Lease:</w:t>
            </w:r>
          </w:p>
        </w:tc>
      </w:tr>
      <w:tr>
        <w:trPr>
          <w:trHeight w:val="401"/>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ind w:left="40"/>
              <w:spacing w:after="0"/>
              <w:rPr>
                <w:sz w:val="20"/>
                <w:szCs w:val="20"/>
                <w:color w:val="auto"/>
              </w:rPr>
            </w:pPr>
            <w:r>
              <w:rPr>
                <w:rFonts w:ascii="Arial" w:cs="Arial" w:eastAsia="Arial" w:hAnsi="Arial"/>
                <w:sz w:val="20"/>
                <w:szCs w:val="20"/>
                <w:b w:val="1"/>
                <w:bCs w:val="1"/>
                <w:color w:val="auto"/>
              </w:rPr>
              <w:t>Commencement Date:</w:t>
            </w:r>
          </w:p>
        </w:tc>
        <w:tc>
          <w:tcPr>
            <w:tcW w:w="2080" w:type="dxa"/>
            <w:vAlign w:val="bottom"/>
            <w:gridSpan w:val="3"/>
          </w:tcPr>
          <w:p>
            <w:pPr>
              <w:jc w:val="right"/>
              <w:spacing w:after="0"/>
              <w:rPr>
                <w:sz w:val="20"/>
                <w:szCs w:val="20"/>
                <w:color w:val="auto"/>
              </w:rPr>
            </w:pPr>
            <w:r>
              <w:rPr>
                <w:rFonts w:ascii="Arial" w:cs="Arial" w:eastAsia="Arial" w:hAnsi="Arial"/>
                <w:sz w:val="20"/>
                <w:szCs w:val="20"/>
                <w:b w:val="1"/>
                <w:bCs w:val="1"/>
                <w:color w:val="auto"/>
                <w:w w:val="92"/>
              </w:rPr>
              <w:t>_______________, 20__</w:t>
            </w:r>
          </w:p>
        </w:tc>
        <w:tc>
          <w:tcPr>
            <w:tcW w:w="18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25"/>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ind w:left="40"/>
              <w:spacing w:after="0"/>
              <w:rPr>
                <w:sz w:val="20"/>
                <w:szCs w:val="20"/>
                <w:color w:val="auto"/>
              </w:rPr>
            </w:pPr>
            <w:r>
              <w:rPr>
                <w:rFonts w:ascii="Arial" w:cs="Arial" w:eastAsia="Arial" w:hAnsi="Arial"/>
                <w:sz w:val="20"/>
                <w:szCs w:val="20"/>
                <w:b w:val="1"/>
                <w:bCs w:val="1"/>
                <w:color w:val="auto"/>
              </w:rPr>
              <w:t>Expiration Date:</w:t>
            </w:r>
          </w:p>
        </w:tc>
        <w:tc>
          <w:tcPr>
            <w:tcW w:w="2080" w:type="dxa"/>
            <w:vAlign w:val="bottom"/>
            <w:gridSpan w:val="3"/>
          </w:tcPr>
          <w:p>
            <w:pPr>
              <w:jc w:val="right"/>
              <w:spacing w:after="0"/>
              <w:rPr>
                <w:sz w:val="20"/>
                <w:szCs w:val="20"/>
                <w:color w:val="auto"/>
              </w:rPr>
            </w:pPr>
            <w:r>
              <w:rPr>
                <w:rFonts w:ascii="Arial" w:cs="Arial" w:eastAsia="Arial" w:hAnsi="Arial"/>
                <w:sz w:val="20"/>
                <w:szCs w:val="20"/>
                <w:b w:val="1"/>
                <w:bCs w:val="1"/>
                <w:color w:val="auto"/>
                <w:w w:val="92"/>
              </w:rPr>
              <w:t>_______________, 20__</w:t>
            </w:r>
          </w:p>
        </w:tc>
        <w:tc>
          <w:tcPr>
            <w:tcW w:w="18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470"/>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ind w:left="40"/>
              <w:spacing w:after="0"/>
              <w:rPr>
                <w:sz w:val="20"/>
                <w:szCs w:val="20"/>
                <w:color w:val="auto"/>
              </w:rPr>
            </w:pPr>
            <w:r>
              <w:rPr>
                <w:rFonts w:ascii="Arial" w:cs="Arial" w:eastAsia="Arial" w:hAnsi="Arial"/>
                <w:sz w:val="20"/>
                <w:szCs w:val="20"/>
                <w:b w:val="1"/>
                <w:bCs w:val="1"/>
                <w:color w:val="auto"/>
              </w:rPr>
              <w:t>Base Rent Schedule:</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644"/>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200" w:type="dxa"/>
            <w:vAlign w:val="bottom"/>
          </w:tcPr>
          <w:p>
            <w:pPr>
              <w:spacing w:after="0"/>
              <w:rPr>
                <w:sz w:val="24"/>
                <w:szCs w:val="24"/>
                <w:color w:val="auto"/>
              </w:rPr>
            </w:pPr>
          </w:p>
        </w:tc>
      </w:tr>
      <w:tr>
        <w:trPr>
          <w:trHeight w:val="206"/>
        </w:trPr>
        <w:tc>
          <w:tcPr>
            <w:tcW w:w="5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220" w:type="dxa"/>
            <w:vAlign w:val="bottom"/>
          </w:tcPr>
          <w:p>
            <w:pPr>
              <w:jc w:val="center"/>
              <w:ind w:left="1441"/>
              <w:spacing w:after="0" w:line="207" w:lineRule="exact"/>
              <w:rPr>
                <w:sz w:val="20"/>
                <w:szCs w:val="20"/>
                <w:color w:val="auto"/>
              </w:rPr>
            </w:pPr>
            <w:r>
              <w:rPr>
                <w:rFonts w:ascii="Arial" w:cs="Arial" w:eastAsia="Arial" w:hAnsi="Arial"/>
                <w:sz w:val="20"/>
                <w:szCs w:val="20"/>
                <w:color w:val="auto"/>
                <w:w w:val="89"/>
              </w:rPr>
              <w:t>Period</w:t>
            </w:r>
          </w:p>
        </w:tc>
        <w:tc>
          <w:tcPr>
            <w:tcW w:w="15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Borders>
              <w:right w:val="single" w:sz="8" w:color="auto"/>
            </w:tcBorders>
          </w:tcPr>
          <w:p>
            <w:pPr>
              <w:jc w:val="center"/>
              <w:ind w:right="461"/>
              <w:spacing w:after="0" w:line="207" w:lineRule="exact"/>
              <w:rPr>
                <w:sz w:val="20"/>
                <w:szCs w:val="20"/>
                <w:color w:val="auto"/>
              </w:rPr>
            </w:pPr>
            <w:r>
              <w:rPr>
                <w:rFonts w:ascii="Arial" w:cs="Arial" w:eastAsia="Arial" w:hAnsi="Arial"/>
                <w:sz w:val="20"/>
                <w:szCs w:val="20"/>
                <w:color w:val="auto"/>
                <w:w w:val="97"/>
              </w:rPr>
              <w:t>Monthly</w:t>
            </w:r>
          </w:p>
        </w:tc>
        <w:tc>
          <w:tcPr>
            <w:tcW w:w="4200" w:type="dxa"/>
            <w:vAlign w:val="bottom"/>
          </w:tcPr>
          <w:p>
            <w:pPr>
              <w:spacing w:after="0"/>
              <w:rPr>
                <w:sz w:val="17"/>
                <w:szCs w:val="17"/>
                <w:color w:val="auto"/>
              </w:rPr>
            </w:pPr>
          </w:p>
        </w:tc>
      </w:tr>
      <w:tr>
        <w:trPr>
          <w:trHeight w:val="246"/>
        </w:trPr>
        <w:tc>
          <w:tcPr>
            <w:tcW w:w="5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jc w:val="center"/>
              <w:ind w:right="441"/>
              <w:spacing w:after="0"/>
              <w:rPr>
                <w:sz w:val="20"/>
                <w:szCs w:val="20"/>
                <w:color w:val="auto"/>
              </w:rPr>
            </w:pPr>
            <w:r>
              <w:rPr>
                <w:rFonts w:ascii="Arial" w:cs="Arial" w:eastAsia="Arial" w:hAnsi="Arial"/>
                <w:sz w:val="20"/>
                <w:szCs w:val="20"/>
                <w:color w:val="auto"/>
                <w:w w:val="87"/>
              </w:rPr>
              <w:t>Base Rent</w:t>
            </w:r>
          </w:p>
        </w:tc>
        <w:tc>
          <w:tcPr>
            <w:tcW w:w="4200" w:type="dxa"/>
            <w:vAlign w:val="bottom"/>
          </w:tcPr>
          <w:p>
            <w:pPr>
              <w:spacing w:after="0"/>
              <w:rPr>
                <w:sz w:val="21"/>
                <w:szCs w:val="21"/>
                <w:color w:val="auto"/>
              </w:rPr>
            </w:pPr>
          </w:p>
        </w:tc>
      </w:tr>
      <w:tr>
        <w:trPr>
          <w:trHeight w:val="223"/>
        </w:trPr>
        <w:tc>
          <w:tcPr>
            <w:tcW w:w="5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gridSpan w:val="2"/>
          </w:tcPr>
          <w:p>
            <w:pPr>
              <w:jc w:val="center"/>
              <w:spacing w:after="0" w:line="223" w:lineRule="exact"/>
              <w:rPr>
                <w:sz w:val="20"/>
                <w:szCs w:val="20"/>
                <w:color w:val="auto"/>
              </w:rPr>
            </w:pPr>
            <w:r>
              <w:rPr>
                <w:rFonts w:ascii="Arial" w:cs="Arial" w:eastAsia="Arial" w:hAnsi="Arial"/>
                <w:sz w:val="20"/>
                <w:szCs w:val="20"/>
                <w:color w:val="auto"/>
                <w:w w:val="92"/>
              </w:rPr>
              <w:t>Month/Day/Year</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center"/>
              <w:ind w:right="441"/>
              <w:spacing w:after="0" w:line="223" w:lineRule="exact"/>
              <w:rPr>
                <w:sz w:val="20"/>
                <w:szCs w:val="20"/>
                <w:color w:val="auto"/>
              </w:rPr>
            </w:pPr>
            <w:r>
              <w:rPr>
                <w:rFonts w:ascii="Arial" w:cs="Arial" w:eastAsia="Arial" w:hAnsi="Arial"/>
                <w:sz w:val="20"/>
                <w:szCs w:val="20"/>
                <w:color w:val="auto"/>
                <w:w w:val="95"/>
              </w:rPr>
              <w:t>Amount</w:t>
            </w:r>
          </w:p>
        </w:tc>
        <w:tc>
          <w:tcPr>
            <w:tcW w:w="420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gridSpan w:val="2"/>
          </w:tcPr>
          <w:p>
            <w:pPr>
              <w:jc w:val="center"/>
              <w:spacing w:after="0" w:line="223" w:lineRule="exact"/>
              <w:rPr>
                <w:sz w:val="20"/>
                <w:szCs w:val="20"/>
                <w:color w:val="auto"/>
              </w:rPr>
            </w:pPr>
            <w:r>
              <w:rPr>
                <w:rFonts w:ascii="Arial" w:cs="Arial" w:eastAsia="Arial" w:hAnsi="Arial"/>
                <w:sz w:val="20"/>
                <w:szCs w:val="20"/>
                <w:color w:val="auto"/>
                <w:w w:val="92"/>
              </w:rPr>
              <w:t>Month/Day/Year</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center"/>
              <w:ind w:right="441"/>
              <w:spacing w:after="0" w:line="223" w:lineRule="exact"/>
              <w:rPr>
                <w:sz w:val="20"/>
                <w:szCs w:val="20"/>
                <w:color w:val="auto"/>
              </w:rPr>
            </w:pPr>
            <w:r>
              <w:rPr>
                <w:rFonts w:ascii="Arial" w:cs="Arial" w:eastAsia="Arial" w:hAnsi="Arial"/>
                <w:sz w:val="20"/>
                <w:szCs w:val="20"/>
                <w:color w:val="auto"/>
                <w:w w:val="95"/>
              </w:rPr>
              <w:t>Amount</w:t>
            </w:r>
          </w:p>
        </w:tc>
        <w:tc>
          <w:tcPr>
            <w:tcW w:w="420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gridSpan w:val="2"/>
          </w:tcPr>
          <w:p>
            <w:pPr>
              <w:jc w:val="center"/>
              <w:spacing w:after="0" w:line="223" w:lineRule="exact"/>
              <w:rPr>
                <w:sz w:val="20"/>
                <w:szCs w:val="20"/>
                <w:color w:val="auto"/>
              </w:rPr>
            </w:pPr>
            <w:r>
              <w:rPr>
                <w:rFonts w:ascii="Arial" w:cs="Arial" w:eastAsia="Arial" w:hAnsi="Arial"/>
                <w:sz w:val="20"/>
                <w:szCs w:val="20"/>
                <w:color w:val="auto"/>
                <w:w w:val="92"/>
              </w:rPr>
              <w:t>Month/Day/Year</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center"/>
              <w:ind w:right="441"/>
              <w:spacing w:after="0" w:line="223" w:lineRule="exact"/>
              <w:rPr>
                <w:sz w:val="20"/>
                <w:szCs w:val="20"/>
                <w:color w:val="auto"/>
              </w:rPr>
            </w:pPr>
            <w:r>
              <w:rPr>
                <w:rFonts w:ascii="Arial" w:cs="Arial" w:eastAsia="Arial" w:hAnsi="Arial"/>
                <w:sz w:val="20"/>
                <w:szCs w:val="20"/>
                <w:color w:val="auto"/>
                <w:w w:val="95"/>
              </w:rPr>
              <w:t>Amount</w:t>
            </w:r>
          </w:p>
        </w:tc>
        <w:tc>
          <w:tcPr>
            <w:tcW w:w="420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gridSpan w:val="2"/>
          </w:tcPr>
          <w:p>
            <w:pPr>
              <w:jc w:val="center"/>
              <w:spacing w:after="0" w:line="223" w:lineRule="exact"/>
              <w:rPr>
                <w:sz w:val="20"/>
                <w:szCs w:val="20"/>
                <w:color w:val="auto"/>
              </w:rPr>
            </w:pPr>
            <w:r>
              <w:rPr>
                <w:rFonts w:ascii="Arial" w:cs="Arial" w:eastAsia="Arial" w:hAnsi="Arial"/>
                <w:sz w:val="20"/>
                <w:szCs w:val="20"/>
                <w:color w:val="auto"/>
                <w:w w:val="92"/>
              </w:rPr>
              <w:t>Month/Day/Year</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center"/>
              <w:ind w:right="441"/>
              <w:spacing w:after="0" w:line="223" w:lineRule="exact"/>
              <w:rPr>
                <w:sz w:val="20"/>
                <w:szCs w:val="20"/>
                <w:color w:val="auto"/>
              </w:rPr>
            </w:pPr>
            <w:r>
              <w:rPr>
                <w:rFonts w:ascii="Arial" w:cs="Arial" w:eastAsia="Arial" w:hAnsi="Arial"/>
                <w:sz w:val="20"/>
                <w:szCs w:val="20"/>
                <w:color w:val="auto"/>
                <w:w w:val="95"/>
              </w:rPr>
              <w:t>Amount</w:t>
            </w:r>
          </w:p>
        </w:tc>
        <w:tc>
          <w:tcPr>
            <w:tcW w:w="420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gridSpan w:val="2"/>
          </w:tcPr>
          <w:p>
            <w:pPr>
              <w:jc w:val="center"/>
              <w:spacing w:after="0" w:line="223" w:lineRule="exact"/>
              <w:rPr>
                <w:sz w:val="20"/>
                <w:szCs w:val="20"/>
                <w:color w:val="auto"/>
              </w:rPr>
            </w:pPr>
            <w:r>
              <w:rPr>
                <w:rFonts w:ascii="Arial" w:cs="Arial" w:eastAsia="Arial" w:hAnsi="Arial"/>
                <w:sz w:val="20"/>
                <w:szCs w:val="20"/>
                <w:color w:val="auto"/>
                <w:w w:val="92"/>
              </w:rPr>
              <w:t>Month/Day/Year</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center"/>
              <w:ind w:right="441"/>
              <w:spacing w:after="0" w:line="223" w:lineRule="exact"/>
              <w:rPr>
                <w:sz w:val="20"/>
                <w:szCs w:val="20"/>
                <w:color w:val="auto"/>
              </w:rPr>
            </w:pPr>
            <w:r>
              <w:rPr>
                <w:rFonts w:ascii="Arial" w:cs="Arial" w:eastAsia="Arial" w:hAnsi="Arial"/>
                <w:sz w:val="20"/>
                <w:szCs w:val="20"/>
                <w:color w:val="auto"/>
                <w:w w:val="95"/>
              </w:rPr>
              <w:t>Amount</w:t>
            </w:r>
          </w:p>
        </w:tc>
        <w:tc>
          <w:tcPr>
            <w:tcW w:w="4200" w:type="dxa"/>
            <w:vAlign w:val="bottom"/>
          </w:tcPr>
          <w:p>
            <w:pPr>
              <w:spacing w:after="0"/>
              <w:rPr>
                <w:sz w:val="19"/>
                <w:szCs w:val="19"/>
                <w:color w:val="auto"/>
              </w:rPr>
            </w:pPr>
          </w:p>
        </w:tc>
      </w:tr>
    </w:tbl>
    <w:p>
      <w:pPr>
        <w:spacing w:after="0" w:line="19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Notwithstanding the foregoing, monthly installments of Base Rent (as well as monthly installments of Real Property Taxes and Operating Expenses) shall be abated for the first [ ] full calendar months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-39370</wp:posOffset>
            </wp:positionV>
            <wp:extent cx="311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10280"/>
        <w:spacing w:after="0"/>
        <w:rPr>
          <w:sz w:val="20"/>
          <w:szCs w:val="20"/>
          <w:color w:val="auto"/>
        </w:rPr>
      </w:pPr>
      <w:r>
        <w:rPr>
          <w:rFonts w:ascii="Arial" w:cs="Arial" w:eastAsia="Arial" w:hAnsi="Arial"/>
          <w:sz w:val="20"/>
          <w:szCs w:val="20"/>
          <w:u w:val="single" w:color="auto"/>
          <w:color w:val="auto"/>
        </w:rPr>
        <w:t>EXHIBIT F</w:t>
      </w:r>
    </w:p>
    <w:p>
      <w:pPr>
        <w:spacing w:after="0" w:line="16" w:lineRule="exact"/>
        <w:rPr>
          <w:sz w:val="20"/>
          <w:szCs w:val="20"/>
          <w:color w:val="auto"/>
        </w:rPr>
      </w:pPr>
    </w:p>
    <w:p>
      <w:pPr>
        <w:jc w:val="right"/>
        <w:ind w:right="1026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p>
      <w:pPr>
        <w:ind w:left="880"/>
        <w:spacing w:after="0"/>
        <w:rPr>
          <w:sz w:val="20"/>
          <w:szCs w:val="20"/>
          <w:color w:val="auto"/>
        </w:rPr>
      </w:pPr>
      <w:r>
        <w:rPr>
          <w:rFonts w:ascii="Arial" w:cs="Arial" w:eastAsia="Arial" w:hAnsi="Arial"/>
          <w:sz w:val="18"/>
          <w:szCs w:val="18"/>
          <w:color w:val="auto"/>
        </w:rPr>
        <w:t>Please indicate your agreement with this letter by signing where indicated below and returning same to Landlord.</w:t>
      </w:r>
    </w:p>
    <w:p>
      <w:pPr>
        <w:spacing w:after="0" w:line="23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jc w:val="right"/>
        <w:ind w:right="239"/>
        <w:spacing w:after="0"/>
        <w:rPr>
          <w:sz w:val="20"/>
          <w:szCs w:val="20"/>
          <w:color w:val="auto"/>
        </w:rPr>
      </w:pPr>
      <w:r>
        <w:rPr>
          <w:rFonts w:ascii="Arial" w:cs="Arial" w:eastAsia="Arial" w:hAnsi="Arial"/>
          <w:sz w:val="20"/>
          <w:szCs w:val="20"/>
          <w:color w:val="auto"/>
        </w:rPr>
        <w:t>CRISP Partners LLC, a Delaware limited liability company</w:t>
      </w: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Accepted: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Prelude Therapeutics Incorporated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Name:</w:t>
      </w:r>
    </w:p>
    <w:p>
      <w:pPr>
        <w:ind w:left="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F</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55" w:right="1440" w:bottom="1440" w:gutter="0" w:footer="0" w:header="0"/>
        </w:sectPr>
      </w:pPr>
    </w:p>
    <w:bookmarkStart w:id="222" w:name="page223"/>
    <w:bookmarkEnd w:id="222"/>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WORK LETTER</w:t>
      </w:r>
    </w:p>
    <w:p>
      <w:pPr>
        <w:spacing w:after="0" w:line="21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(referred to herein and in the Lease as the “</w:t>
      </w:r>
      <w:r>
        <w:rPr>
          <w:rFonts w:ascii="Arial" w:cs="Arial" w:eastAsia="Arial" w:hAnsi="Arial"/>
          <w:sz w:val="18"/>
          <w:szCs w:val="18"/>
          <w:b w:val="1"/>
          <w:bCs w:val="1"/>
          <w:color w:val="auto"/>
        </w:rPr>
        <w:t>Work Letter</w:t>
      </w:r>
      <w:r>
        <w:rPr>
          <w:rFonts w:ascii="Arial" w:cs="Arial" w:eastAsia="Arial" w:hAnsi="Arial"/>
          <w:sz w:val="18"/>
          <w:szCs w:val="18"/>
          <w:color w:val="auto"/>
        </w:rPr>
        <w:t xml:space="preserve">”) accompanies and forms a material part of that certain Single-Tenant Triple Net Lease between </w:t>
      </w:r>
      <w:r>
        <w:rPr>
          <w:rFonts w:ascii="Arial" w:cs="Arial" w:eastAsia="Arial" w:hAnsi="Arial"/>
          <w:sz w:val="18"/>
          <w:szCs w:val="18"/>
          <w:b w:val="1"/>
          <w:bCs w:val="1"/>
          <w:color w:val="auto"/>
        </w:rPr>
        <w:t>CRISP PARTNERS LLC</w:t>
      </w:r>
      <w:r>
        <w:rPr>
          <w:rFonts w:ascii="Arial" w:cs="Arial" w:eastAsia="Arial" w:hAnsi="Arial"/>
          <w:sz w:val="18"/>
          <w:szCs w:val="18"/>
          <w:color w:val="auto"/>
        </w:rPr>
        <w:t xml:space="preserve">, as Landlord, and </w:t>
      </w:r>
      <w:r>
        <w:rPr>
          <w:rFonts w:ascii="Arial" w:cs="Arial" w:eastAsia="Arial" w:hAnsi="Arial"/>
          <w:sz w:val="18"/>
          <w:szCs w:val="18"/>
          <w:b w:val="1"/>
          <w:bCs w:val="1"/>
          <w:color w:val="auto"/>
        </w:rPr>
        <w:t>PRELUDE THERAPEUTICS INCORPORATED</w:t>
      </w:r>
      <w:r>
        <w:rPr>
          <w:rFonts w:ascii="Arial" w:cs="Arial" w:eastAsia="Arial" w:hAnsi="Arial"/>
          <w:sz w:val="18"/>
          <w:szCs w:val="18"/>
          <w:color w:val="auto"/>
        </w:rPr>
        <w:t>, as Tenant (the “</w:t>
      </w:r>
      <w:r>
        <w:rPr>
          <w:rFonts w:ascii="Arial" w:cs="Arial" w:eastAsia="Arial" w:hAnsi="Arial"/>
          <w:sz w:val="18"/>
          <w:szCs w:val="18"/>
          <w:b w:val="1"/>
          <w:bCs w:val="1"/>
          <w:color w:val="auto"/>
        </w:rPr>
        <w:t>Lease</w:t>
      </w:r>
      <w:r>
        <w:rPr>
          <w:rFonts w:ascii="Arial" w:cs="Arial" w:eastAsia="Arial" w:hAnsi="Arial"/>
          <w:sz w:val="18"/>
          <w:szCs w:val="18"/>
          <w:color w:val="auto"/>
        </w:rPr>
        <w:t>”), and sets forth the respective obligations of Landlord and Tenant for the design and construction of the Base Building Work, the Tenant Improvements and the Tenant Fixturing (as those terms are defined herein). Any capitalized terms used herein and not otherwise defined herein shall have the meaning ascribed to such terms as set forth in the Lease.</w:t>
      </w:r>
    </w:p>
    <w:p>
      <w:pPr>
        <w:spacing w:after="0" w:line="156" w:lineRule="exact"/>
        <w:rPr>
          <w:sz w:val="20"/>
          <w:szCs w:val="20"/>
          <w:color w:val="auto"/>
        </w:rPr>
      </w:pPr>
    </w:p>
    <w:p>
      <w:pPr>
        <w:ind w:left="1660" w:hanging="788"/>
        <w:spacing w:after="0"/>
        <w:tabs>
          <w:tab w:leader="none" w:pos="1660"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Project Milestone Schedule; Preliminary Plans</w:t>
      </w:r>
    </w:p>
    <w:p>
      <w:pPr>
        <w:spacing w:after="0" w:line="215" w:lineRule="exact"/>
        <w:rPr>
          <w:rFonts w:ascii="Arial" w:cs="Arial" w:eastAsia="Arial" w:hAnsi="Arial"/>
          <w:sz w:val="20"/>
          <w:szCs w:val="20"/>
          <w:color w:val="auto"/>
        </w:rPr>
      </w:pPr>
    </w:p>
    <w:p>
      <w:pPr>
        <w:jc w:val="both"/>
        <w:ind w:firstLine="1735"/>
        <w:spacing w:after="0" w:line="255" w:lineRule="auto"/>
        <w:tabs>
          <w:tab w:leader="none" w:pos="2595" w:val="left"/>
        </w:tabs>
        <w:numPr>
          <w:ilvl w:val="1"/>
          <w:numId w:val="167"/>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Project Milestone Schedule</w:t>
      </w:r>
      <w:r>
        <w:rPr>
          <w:rFonts w:ascii="Arial" w:cs="Arial" w:eastAsia="Arial" w:hAnsi="Arial"/>
          <w:sz w:val="19"/>
          <w:szCs w:val="19"/>
          <w:color w:val="auto"/>
        </w:rPr>
        <w:t xml:space="preserve">” attached hereto and made a part hereof as </w:t>
      </w:r>
      <w:r>
        <w:rPr>
          <w:rFonts w:ascii="Arial" w:cs="Arial" w:eastAsia="Arial" w:hAnsi="Arial"/>
          <w:sz w:val="19"/>
          <w:szCs w:val="19"/>
          <w:b w:val="1"/>
          <w:bCs w:val="1"/>
          <w:color w:val="auto"/>
        </w:rPr>
        <w:t>Exhibit G-1</w:t>
      </w:r>
      <w:r>
        <w:rPr>
          <w:rFonts w:ascii="Arial" w:cs="Arial" w:eastAsia="Arial" w:hAnsi="Arial"/>
          <w:sz w:val="19"/>
          <w:szCs w:val="19"/>
          <w:color w:val="auto"/>
        </w:rPr>
        <w:t xml:space="preserve"> sets forth the estimated but targeted time periods and sequencing of each distinct portion, aspect or phase of the activities and tasks to be accomplished by Landlord and Tenant with respect to the design, planning, construction and completion of the Base Building Work and the Tenant Improvements, respectively, as applicable, for: (A) the submittal by Landlord’s Representative to Tenant of respective installments or phases of the (i) Proposed Base Building Plans and Specifications, and (ii) Proposed TI Design Development Plans and Specifications and the Proposed TI Construction Documents (as those terms are defined below), respectively, (B) Tenant’s Design Professional’s (as defined below) review thereof and reasonable comments thereto to Landlord and Tenant, and (C) the resubmittal of revised versions of such installment or phase of the Proposed Base Building Plans and Specifications and Proposed TI Design Development Plans and Specifications and the Proposed TI Construction Documents, respectively, by Landlord to Tenant. Upon (i) the commencement of the Base Building Work, and (ii) upon the acceptance of a GMP Proposal (as defined below), the Preliminary Project Milestone Schedule shall be updated by mutual written agreement of Landlord and Tenant (as revised, the “</w:t>
      </w:r>
      <w:r>
        <w:rPr>
          <w:rFonts w:ascii="Arial" w:cs="Arial" w:eastAsia="Arial" w:hAnsi="Arial"/>
          <w:sz w:val="19"/>
          <w:szCs w:val="19"/>
          <w:b w:val="1"/>
          <w:bCs w:val="1"/>
          <w:color w:val="auto"/>
        </w:rPr>
        <w:t>Project Milestone Schedule</w:t>
      </w:r>
      <w:r>
        <w:rPr>
          <w:rFonts w:ascii="Arial" w:cs="Arial" w:eastAsia="Arial" w:hAnsi="Arial"/>
          <w:sz w:val="19"/>
          <w:szCs w:val="19"/>
          <w:color w:val="auto"/>
        </w:rPr>
        <w:t>”), provided that the Scheduled TI Substantial Completion Date shall not be modified. The Project Milestone Schedule shall not be modified during the construction of the Base Building Work or the Tenant Improvements, except (i) as a result of Excusable Delay (as defined below), or (ii) as Landlord and Tenant may otherwise mutually agree in writing.</w:t>
      </w:r>
    </w:p>
    <w:p>
      <w:pPr>
        <w:spacing w:after="0" w:line="179" w:lineRule="exact"/>
        <w:rPr>
          <w:rFonts w:ascii="Arial" w:cs="Arial" w:eastAsia="Arial" w:hAnsi="Arial"/>
          <w:sz w:val="19"/>
          <w:szCs w:val="19"/>
          <w:color w:val="auto"/>
        </w:rPr>
      </w:pPr>
    </w:p>
    <w:p>
      <w:pPr>
        <w:jc w:val="both"/>
        <w:ind w:firstLine="1735"/>
        <w:spacing w:after="0" w:line="265" w:lineRule="auto"/>
        <w:tabs>
          <w:tab w:leader="none" w:pos="2606" w:val="left"/>
        </w:tabs>
        <w:numPr>
          <w:ilvl w:val="1"/>
          <w:numId w:val="167"/>
        </w:numPr>
        <w:rPr>
          <w:rFonts w:ascii="Arial" w:cs="Arial" w:eastAsia="Arial" w:hAnsi="Arial"/>
          <w:sz w:val="19"/>
          <w:szCs w:val="19"/>
          <w:color w:val="auto"/>
        </w:rPr>
      </w:pPr>
      <w:r>
        <w:rPr>
          <w:rFonts w:ascii="Arial" w:cs="Arial" w:eastAsia="Arial" w:hAnsi="Arial"/>
          <w:sz w:val="19"/>
          <w:szCs w:val="19"/>
          <w:color w:val="auto"/>
        </w:rPr>
        <w:t xml:space="preserve">Attached hereto as </w:t>
      </w:r>
      <w:r>
        <w:rPr>
          <w:rFonts w:ascii="Arial" w:cs="Arial" w:eastAsia="Arial" w:hAnsi="Arial"/>
          <w:sz w:val="19"/>
          <w:szCs w:val="19"/>
          <w:b w:val="1"/>
          <w:bCs w:val="1"/>
          <w:color w:val="auto"/>
        </w:rPr>
        <w:t>Exhibit G-2</w:t>
      </w:r>
      <w:r>
        <w:rPr>
          <w:rFonts w:ascii="Arial" w:cs="Arial" w:eastAsia="Arial" w:hAnsi="Arial"/>
          <w:sz w:val="19"/>
          <w:szCs w:val="19"/>
          <w:color w:val="auto"/>
        </w:rPr>
        <w:t xml:space="preserve"> are preliminary descriptions of the specifications for the Base Building Work. Attached hereto as </w:t>
      </w:r>
      <w:r>
        <w:rPr>
          <w:rFonts w:ascii="Arial" w:cs="Arial" w:eastAsia="Arial" w:hAnsi="Arial"/>
          <w:sz w:val="19"/>
          <w:szCs w:val="19"/>
          <w:b w:val="1"/>
          <w:bCs w:val="1"/>
          <w:color w:val="auto"/>
        </w:rPr>
        <w:t>Exhibit G-3</w:t>
      </w:r>
      <w:r>
        <w:rPr>
          <w:rFonts w:ascii="Arial" w:cs="Arial" w:eastAsia="Arial" w:hAnsi="Arial"/>
          <w:sz w:val="19"/>
          <w:szCs w:val="19"/>
          <w:color w:val="auto"/>
        </w:rPr>
        <w:t xml:space="preserve"> are plans depicting the location of the Premises. </w:t>
      </w:r>
      <w:r>
        <w:rPr>
          <w:rFonts w:ascii="Arial" w:cs="Arial" w:eastAsia="Arial" w:hAnsi="Arial"/>
          <w:sz w:val="19"/>
          <w:szCs w:val="19"/>
          <w:b w:val="1"/>
          <w:bCs w:val="1"/>
          <w:color w:val="auto"/>
        </w:rPr>
        <w:t>Exhibit G-2</w:t>
      </w:r>
      <w:r>
        <w:rPr>
          <w:rFonts w:ascii="Arial" w:cs="Arial" w:eastAsia="Arial" w:hAnsi="Arial"/>
          <w:sz w:val="19"/>
          <w:szCs w:val="19"/>
          <w:color w:val="auto"/>
        </w:rPr>
        <w:t xml:space="preserve"> and </w:t>
      </w:r>
      <w:r>
        <w:rPr>
          <w:rFonts w:ascii="Arial" w:cs="Arial" w:eastAsia="Arial" w:hAnsi="Arial"/>
          <w:sz w:val="19"/>
          <w:szCs w:val="19"/>
          <w:b w:val="1"/>
          <w:bCs w:val="1"/>
          <w:color w:val="auto"/>
        </w:rPr>
        <w:t>Exhibit G-3</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Preliminary Plans</w:t>
      </w:r>
      <w:r>
        <w:rPr>
          <w:rFonts w:ascii="Arial" w:cs="Arial" w:eastAsia="Arial" w:hAnsi="Arial"/>
          <w:sz w:val="19"/>
          <w:szCs w:val="19"/>
          <w:color w:val="auto"/>
        </w:rPr>
        <w:t xml:space="preserve">”) have been approved by Tenant and Landlord. Landlord and Tenant acknowledge that space planning of the Premises has not been started and that </w:t>
      </w:r>
      <w:r>
        <w:rPr>
          <w:rFonts w:ascii="Arial" w:cs="Arial" w:eastAsia="Arial" w:hAnsi="Arial"/>
          <w:sz w:val="19"/>
          <w:szCs w:val="19"/>
          <w:b w:val="1"/>
          <w:bCs w:val="1"/>
          <w:color w:val="auto"/>
        </w:rPr>
        <w:t>Exhibit G-3</w:t>
      </w:r>
      <w:r>
        <w:rPr>
          <w:rFonts w:ascii="Arial" w:cs="Arial" w:eastAsia="Arial" w:hAnsi="Arial"/>
          <w:sz w:val="19"/>
          <w:szCs w:val="19"/>
          <w:color w:val="auto"/>
        </w:rPr>
        <w:t xml:space="preserve"> is attached solely for purposes of depicting the location of the Premises.</w:t>
      </w:r>
    </w:p>
    <w:p>
      <w:pPr>
        <w:spacing w:after="0" w:line="169" w:lineRule="exact"/>
        <w:rPr>
          <w:rFonts w:ascii="Arial" w:cs="Arial" w:eastAsia="Arial" w:hAnsi="Arial"/>
          <w:sz w:val="19"/>
          <w:szCs w:val="19"/>
          <w:color w:val="auto"/>
        </w:rPr>
      </w:pPr>
    </w:p>
    <w:p>
      <w:pPr>
        <w:ind w:left="1660" w:hanging="788"/>
        <w:spacing w:after="0"/>
        <w:tabs>
          <w:tab w:leader="none" w:pos="1660"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Construction Representatives</w:t>
      </w:r>
    </w:p>
    <w:p>
      <w:pPr>
        <w:spacing w:after="0" w:line="221" w:lineRule="exact"/>
        <w:rPr>
          <w:rFonts w:ascii="Arial" w:cs="Arial" w:eastAsia="Arial" w:hAnsi="Arial"/>
          <w:sz w:val="20"/>
          <w:szCs w:val="20"/>
          <w:color w:val="auto"/>
        </w:rPr>
      </w:pPr>
    </w:p>
    <w:p>
      <w:pPr>
        <w:jc w:val="both"/>
        <w:ind w:firstLine="1735"/>
        <w:spacing w:after="0" w:line="257" w:lineRule="auto"/>
        <w:tabs>
          <w:tab w:leader="none" w:pos="2595" w:val="left"/>
        </w:tabs>
        <w:numPr>
          <w:ilvl w:val="1"/>
          <w:numId w:val="167"/>
        </w:numPr>
        <w:rPr>
          <w:rFonts w:ascii="Arial" w:cs="Arial" w:eastAsia="Arial" w:hAnsi="Arial"/>
          <w:sz w:val="19"/>
          <w:szCs w:val="19"/>
          <w:color w:val="auto"/>
        </w:rPr>
      </w:pPr>
      <w:r>
        <w:rPr>
          <w:rFonts w:ascii="Arial" w:cs="Arial" w:eastAsia="Arial" w:hAnsi="Arial"/>
          <w:sz w:val="19"/>
          <w:szCs w:val="19"/>
          <w:color w:val="auto"/>
        </w:rPr>
        <w:t>Landlord and Tenant acknowledge that the performance of certain aspects of the Base Building Work and the Tenant Improvements, respectively, are either dependent upon prior performance by the other party of aspects of that party’s work or must be performed concurrently or in particular sequence with the performance of that other party’s work, including, but not limited to, design and plan preparation. This approach, by necessity, requires continuous cooperation and coordination of plan preparation and review procedures and work schedules intended to facilitate and coordinate such critical work items which affect each party’s performance. To that end, in addition to the terms and conditions set forth herein, Landlord and Tenant will each assign a designated representative (with respect to Tenant, the “</w:t>
      </w:r>
      <w:r>
        <w:rPr>
          <w:rFonts w:ascii="Arial" w:cs="Arial" w:eastAsia="Arial" w:hAnsi="Arial"/>
          <w:sz w:val="19"/>
          <w:szCs w:val="19"/>
          <w:b w:val="1"/>
          <w:bCs w:val="1"/>
          <w:color w:val="auto"/>
        </w:rPr>
        <w:t>Tenant’s Construction Representative</w:t>
      </w:r>
      <w:r>
        <w:rPr>
          <w:rFonts w:ascii="Arial" w:cs="Arial" w:eastAsia="Arial" w:hAnsi="Arial"/>
          <w:sz w:val="19"/>
          <w:szCs w:val="19"/>
          <w:color w:val="auto"/>
        </w:rPr>
        <w:t>” and, with respect to Landlord, the “</w:t>
      </w:r>
      <w:r>
        <w:rPr>
          <w:rFonts w:ascii="Arial" w:cs="Arial" w:eastAsia="Arial" w:hAnsi="Arial"/>
          <w:sz w:val="19"/>
          <w:szCs w:val="19"/>
          <w:b w:val="1"/>
          <w:bCs w:val="1"/>
          <w:color w:val="auto"/>
        </w:rPr>
        <w:t>Landlord’s Construction Representative</w:t>
      </w:r>
      <w:r>
        <w:rPr>
          <w:rFonts w:ascii="Arial" w:cs="Arial" w:eastAsia="Arial" w:hAnsi="Arial"/>
          <w:sz w:val="19"/>
          <w:szCs w:val="19"/>
          <w:color w:val="auto"/>
        </w:rPr>
        <w:t>”) who will facilitate and coordinate design and construction, and Landlord</w:t>
      </w:r>
    </w:p>
    <w:p>
      <w:pPr>
        <w:spacing w:after="0" w:line="180" w:lineRule="exact"/>
        <w:rPr>
          <w:sz w:val="20"/>
          <w:szCs w:val="20"/>
          <w:color w:val="auto"/>
        </w:rPr>
      </w:pPr>
    </w:p>
    <w:p>
      <w:pPr>
        <w:jc w:val="right"/>
        <w:ind w:right="10240"/>
        <w:spacing w:after="0"/>
        <w:rPr>
          <w:sz w:val="20"/>
          <w:szCs w:val="20"/>
          <w:color w:val="auto"/>
        </w:rPr>
      </w:pPr>
      <w:r>
        <w:rPr>
          <w:rFonts w:ascii="Arial" w:cs="Arial" w:eastAsia="Arial" w:hAnsi="Arial"/>
          <w:sz w:val="20"/>
          <w:szCs w:val="20"/>
          <w:u w:val="single" w:color="auto"/>
          <w:color w:val="auto"/>
        </w:rPr>
        <w:t>EXHIBIT G</w:t>
      </w:r>
    </w:p>
    <w:p>
      <w:pPr>
        <w:spacing w:after="0" w:line="16" w:lineRule="exact"/>
        <w:rPr>
          <w:sz w:val="20"/>
          <w:szCs w:val="20"/>
          <w:color w:val="auto"/>
        </w:rPr>
      </w:pPr>
    </w:p>
    <w:p>
      <w:pPr>
        <w:jc w:val="right"/>
        <w:ind w:right="1026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3" w:name="page224"/>
    <w:bookmarkEnd w:id="223"/>
    <w:p>
      <w:pPr>
        <w:spacing w:after="0" w:line="260" w:lineRule="auto"/>
        <w:rPr>
          <w:sz w:val="20"/>
          <w:szCs w:val="20"/>
          <w:color w:val="auto"/>
        </w:rPr>
      </w:pPr>
      <w:r>
        <w:rPr>
          <w:rFonts w:ascii="Arial" w:cs="Arial" w:eastAsia="Arial" w:hAnsi="Arial"/>
          <w:sz w:val="20"/>
          <w:szCs w:val="20"/>
          <w:color w:val="auto"/>
        </w:rPr>
        <w:t>and Tenant may rely on all instructions, consents, agreements, changes and modifications made by such representatives as having been given or made by, and binding upon, Landlord or Tenant, as the case may be.</w:t>
      </w:r>
    </w:p>
    <w:p>
      <w:pPr>
        <w:spacing w:after="0" w:line="171" w:lineRule="exact"/>
        <w:rPr>
          <w:sz w:val="20"/>
          <w:szCs w:val="20"/>
          <w:color w:val="auto"/>
        </w:rPr>
      </w:pPr>
    </w:p>
    <w:p>
      <w:pPr>
        <w:ind w:left="1660" w:hanging="788"/>
        <w:spacing w:after="0"/>
        <w:tabs>
          <w:tab w:leader="none" w:pos="1660" w:val="left"/>
        </w:tabs>
        <w:numPr>
          <w:ilvl w:val="0"/>
          <w:numId w:val="168"/>
        </w:numPr>
        <w:rPr>
          <w:rFonts w:ascii="Arial" w:cs="Arial" w:eastAsia="Arial" w:hAnsi="Arial"/>
          <w:sz w:val="20"/>
          <w:szCs w:val="20"/>
          <w:color w:val="auto"/>
        </w:rPr>
      </w:pPr>
      <w:r>
        <w:rPr>
          <w:rFonts w:ascii="Arial" w:cs="Arial" w:eastAsia="Arial" w:hAnsi="Arial"/>
          <w:sz w:val="20"/>
          <w:szCs w:val="20"/>
          <w:b w:val="1"/>
          <w:bCs w:val="1"/>
          <w:color w:val="auto"/>
        </w:rPr>
        <w:t>Base Building Work</w:t>
      </w:r>
    </w:p>
    <w:p>
      <w:pPr>
        <w:spacing w:after="0" w:line="215" w:lineRule="exact"/>
        <w:rPr>
          <w:rFonts w:ascii="Arial" w:cs="Arial" w:eastAsia="Arial" w:hAnsi="Arial"/>
          <w:sz w:val="20"/>
          <w:szCs w:val="20"/>
          <w:color w:val="auto"/>
        </w:rPr>
      </w:pPr>
    </w:p>
    <w:p>
      <w:pPr>
        <w:jc w:val="both"/>
        <w:ind w:firstLine="1735"/>
        <w:spacing w:after="0" w:line="255" w:lineRule="auto"/>
        <w:tabs>
          <w:tab w:leader="none" w:pos="2595" w:val="left"/>
        </w:tabs>
        <w:numPr>
          <w:ilvl w:val="1"/>
          <w:numId w:val="168"/>
        </w:numPr>
        <w:rPr>
          <w:rFonts w:ascii="Arial" w:cs="Arial" w:eastAsia="Arial" w:hAnsi="Arial"/>
          <w:sz w:val="19"/>
          <w:szCs w:val="19"/>
          <w:color w:val="auto"/>
        </w:rPr>
      </w:pPr>
      <w:r>
        <w:rPr>
          <w:rFonts w:ascii="Arial" w:cs="Arial" w:eastAsia="Arial" w:hAnsi="Arial"/>
          <w:sz w:val="19"/>
          <w:szCs w:val="19"/>
          <w:u w:val="single" w:color="auto"/>
          <w:color w:val="auto"/>
        </w:rPr>
        <w:t>Description; Contractor</w:t>
      </w:r>
      <w:r>
        <w:rPr>
          <w:rFonts w:ascii="Arial" w:cs="Arial" w:eastAsia="Arial" w:hAnsi="Arial"/>
          <w:sz w:val="19"/>
          <w:szCs w:val="19"/>
          <w:color w:val="auto"/>
        </w:rPr>
        <w:t>. The “</w:t>
      </w:r>
      <w:r>
        <w:rPr>
          <w:rFonts w:ascii="Arial" w:cs="Arial" w:eastAsia="Arial" w:hAnsi="Arial"/>
          <w:sz w:val="19"/>
          <w:szCs w:val="19"/>
          <w:b w:val="1"/>
          <w:bCs w:val="1"/>
          <w:color w:val="auto"/>
        </w:rPr>
        <w:t>Base Building Work</w:t>
      </w:r>
      <w:r>
        <w:rPr>
          <w:rFonts w:ascii="Arial" w:cs="Arial" w:eastAsia="Arial" w:hAnsi="Arial"/>
          <w:sz w:val="19"/>
          <w:szCs w:val="19"/>
          <w:color w:val="auto"/>
        </w:rPr>
        <w:t>” shall mean (i) the Building and Exterior Areas and all site work and other improvements to be constructed in connection therewith by or on behalf of Landlord, as more particularly described in Final Base Building Plans and Specifications which are to be prepared as set forth below (as defined below), and (ii) performance of vapor intrusion testing on Buildings 700 and 709 and the surrounding areas and if such testing shows exceedances of applicable Environmental Laws, including, but not limited to, OSHA requirements, installation of vapor mitigation systems, which Landlord shall be responsible for maintaining throughout the Term, all of which shall be at Landlord’s sole cost and expense. As used in the Lease and this Work Letter, the term “</w:t>
      </w:r>
      <w:r>
        <w:rPr>
          <w:rFonts w:ascii="Arial" w:cs="Arial" w:eastAsia="Arial" w:hAnsi="Arial"/>
          <w:sz w:val="19"/>
          <w:szCs w:val="19"/>
          <w:b w:val="1"/>
          <w:bCs w:val="1"/>
          <w:color w:val="auto"/>
        </w:rPr>
        <w:t>Landlord’s Contractor</w:t>
      </w:r>
      <w:r>
        <w:rPr>
          <w:rFonts w:ascii="Arial" w:cs="Arial" w:eastAsia="Arial" w:hAnsi="Arial"/>
          <w:sz w:val="19"/>
          <w:szCs w:val="19"/>
          <w:color w:val="auto"/>
        </w:rPr>
        <w:t>” shall mean a licensed general contractor reasonably selected by Landlord and under contract with Landlord to perform the Base Building Work on behalf of Landlord. Landlord and Tenant have agreed that the following contractors shall be invited to bid both the Base Building Work and the Tenant Improvements and one of the following shall be selected unless otherwise mutually agreed by Landlord and Tenant: Bancroft, DiSabatino, EDIS, Norwood, and Wohlsen. Landlord may use more than one Landlord’s Contractor to perform the Base Building Work. Subject to the terms of Section 4 below, Landlord’s Contractor may also perform the Tenant Improvements.</w:t>
      </w:r>
    </w:p>
    <w:p>
      <w:pPr>
        <w:spacing w:after="0" w:line="190" w:lineRule="exact"/>
        <w:rPr>
          <w:rFonts w:ascii="Arial" w:cs="Arial" w:eastAsia="Arial" w:hAnsi="Arial"/>
          <w:sz w:val="19"/>
          <w:szCs w:val="19"/>
          <w:color w:val="auto"/>
        </w:rPr>
      </w:pPr>
    </w:p>
    <w:p>
      <w:pPr>
        <w:ind w:left="2620" w:hanging="885"/>
        <w:spacing w:after="0"/>
        <w:tabs>
          <w:tab w:leader="none" w:pos="2620"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Base Building Plans and Specifications</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firstLine="2600"/>
        <w:spacing w:after="0" w:line="269" w:lineRule="auto"/>
        <w:tabs>
          <w:tab w:leader="none" w:pos="3427" w:val="left"/>
        </w:tabs>
        <w:numPr>
          <w:ilvl w:val="2"/>
          <w:numId w:val="168"/>
        </w:numPr>
        <w:rPr>
          <w:rFonts w:ascii="Arial" w:cs="Arial" w:eastAsia="Arial" w:hAnsi="Arial"/>
          <w:sz w:val="18"/>
          <w:szCs w:val="18"/>
          <w:color w:val="010000"/>
        </w:rPr>
      </w:pPr>
      <w:r>
        <w:rPr>
          <w:rFonts w:ascii="Arial" w:cs="Arial" w:eastAsia="Arial" w:hAnsi="Arial"/>
          <w:sz w:val="18"/>
          <w:szCs w:val="18"/>
          <w:color w:val="auto"/>
        </w:rPr>
        <w:t>Landlord shall cause L2P (“</w:t>
      </w:r>
      <w:r>
        <w:rPr>
          <w:rFonts w:ascii="Arial" w:cs="Arial" w:eastAsia="Arial" w:hAnsi="Arial"/>
          <w:sz w:val="18"/>
          <w:szCs w:val="18"/>
          <w:b w:val="1"/>
          <w:bCs w:val="1"/>
          <w:color w:val="auto"/>
        </w:rPr>
        <w:t>Tenant’s Design Professional</w:t>
      </w:r>
      <w:r>
        <w:rPr>
          <w:rFonts w:ascii="Arial" w:cs="Arial" w:eastAsia="Arial" w:hAnsi="Arial"/>
          <w:sz w:val="18"/>
          <w:szCs w:val="18"/>
          <w:color w:val="auto"/>
        </w:rPr>
        <w:t>”) to prepare and forward to Tenant’s Construction Representative, in accordance with the Preliminary Project Milestone Schedule, a complete set of the proposed final plans and specifications for the Base Building Work, which shall be consistent with the Preliminary Plans (the “</w:t>
      </w:r>
      <w:r>
        <w:rPr>
          <w:rFonts w:ascii="Arial" w:cs="Arial" w:eastAsia="Arial" w:hAnsi="Arial"/>
          <w:sz w:val="18"/>
          <w:szCs w:val="18"/>
          <w:b w:val="1"/>
          <w:bCs w:val="1"/>
          <w:color w:val="auto"/>
        </w:rPr>
        <w:t>Proposed Base Building Plans and</w:t>
      </w:r>
      <w:r>
        <w:rPr>
          <w:rFonts w:ascii="Arial" w:cs="Arial" w:eastAsia="Arial" w:hAnsi="Arial"/>
          <w:sz w:val="18"/>
          <w:szCs w:val="18"/>
          <w:color w:val="auto"/>
        </w:rPr>
        <w:t xml:space="preserve"> </w:t>
      </w:r>
      <w:r>
        <w:rPr>
          <w:rFonts w:ascii="Arial" w:cs="Arial" w:eastAsia="Arial" w:hAnsi="Arial"/>
          <w:sz w:val="18"/>
          <w:szCs w:val="18"/>
          <w:b w:val="1"/>
          <w:bCs w:val="1"/>
          <w:color w:val="auto"/>
        </w:rPr>
        <w:t>Specifications</w:t>
      </w:r>
      <w:r>
        <w:rPr>
          <w:rFonts w:ascii="Arial" w:cs="Arial" w:eastAsia="Arial" w:hAnsi="Arial"/>
          <w:sz w:val="18"/>
          <w:szCs w:val="18"/>
          <w:color w:val="auto"/>
        </w:rPr>
        <w:t>”). The parties acknowledge and agree that the time periods set forth in the Project Milestone Schedule for the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review and approval of Proposed Building Plans and Specifications are targeted outside dates and the parties will endeavor in good faith to deliver, review and approve all such plans in fewer days than those set forth in the Project Milestone Schedule, and shall cooperate in scheduling meetings and calls as reasonably required. Landlord shall use commercially reasonable efforts to provide Tenant with reasonable advance notice of the date on which the initial Proposed Base Building Plans and Specifications will be ready for Tenant’s review. Within 5 business days after Tenant’s Construction Representative’s receipt of the Proposed Base Building Plans and Specifications, Tenant shall give its written approval or rejection thereof (such approval not to be unreasonably withheld, conditioned or delayed), with all changes “bubbled” or otherwise prominently identified, to Landlord’s Construction Representative and Tenant’s Design Professional. Within 5 business days after Tenant’s Construction Representative’s receipt of any revised Proposed Base Building Plans and Specifications, Tenant shall deliver to Landlord’s Construction Representative and Tenant’s Design Professional, Tenant’s written approval or rejection thereof (such approval not to be unreasonably withheld, conditioned or delayed), with all changes “bubbled” or otherwise prominently identified. This process, each party having 5 business days to respond to the other’s reasonable comments and revisions, shall continue until the Proposed Base Building Plans and Specifications have been approved (such approval(s) not to be unreasonably withheld, conditioned or delayed) by both parties hereto. Tenant’s failure to approve or reject the Proposed Base Building Plans and Specifications within 5 business days after Tenant’s Construction Representative’s first receipt of Landlord’s first revised Proposed Base Building Plans and Specifications shall be deemed a Tenant Delay. The Proposed Base Building Plans and Specifications as so approved are referred to hereinafter as the “</w:t>
      </w:r>
      <w:r>
        <w:rPr>
          <w:rFonts w:ascii="Arial" w:cs="Arial" w:eastAsia="Arial" w:hAnsi="Arial"/>
          <w:sz w:val="18"/>
          <w:szCs w:val="18"/>
          <w:b w:val="1"/>
          <w:bCs w:val="1"/>
          <w:color w:val="auto"/>
        </w:rPr>
        <w:t>Preliminary Base</w:t>
      </w:r>
      <w:r>
        <w:rPr>
          <w:rFonts w:ascii="Arial" w:cs="Arial" w:eastAsia="Arial" w:hAnsi="Arial"/>
          <w:sz w:val="18"/>
          <w:szCs w:val="18"/>
          <w:color w:val="auto"/>
        </w:rPr>
        <w:t xml:space="preserve"> </w:t>
      </w:r>
      <w:r>
        <w:rPr>
          <w:rFonts w:ascii="Arial" w:cs="Arial" w:eastAsia="Arial" w:hAnsi="Arial"/>
          <w:sz w:val="18"/>
          <w:szCs w:val="18"/>
          <w:b w:val="1"/>
          <w:bCs w:val="1"/>
          <w:color w:val="auto"/>
        </w:rPr>
        <w:t>Building Plans and Specifications</w:t>
      </w:r>
      <w:r>
        <w:rPr>
          <w:rFonts w:ascii="Arial" w:cs="Arial" w:eastAsia="Arial" w:hAnsi="Arial"/>
          <w:sz w:val="18"/>
          <w:szCs w:val="18"/>
          <w:color w:val="auto"/>
        </w:rPr>
        <w:t>.”</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G</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24" w:name="page225"/>
    <w:bookmarkEnd w:id="224"/>
    <w:p>
      <w:pPr>
        <w:jc w:val="both"/>
        <w:ind w:left="-880" w:firstLine="2600"/>
        <w:spacing w:after="0" w:line="254" w:lineRule="auto"/>
        <w:tabs>
          <w:tab w:leader="none" w:pos="2602" w:val="left"/>
        </w:tabs>
        <w:numPr>
          <w:ilvl w:val="1"/>
          <w:numId w:val="169"/>
        </w:numPr>
        <w:rPr>
          <w:rFonts w:ascii="Arial" w:cs="Arial" w:eastAsia="Arial" w:hAnsi="Arial"/>
          <w:sz w:val="19"/>
          <w:szCs w:val="19"/>
          <w:color w:val="010000"/>
        </w:rPr>
      </w:pPr>
      <w:r>
        <w:rPr>
          <w:rFonts w:ascii="Arial" w:cs="Arial" w:eastAsia="Arial" w:hAnsi="Arial"/>
          <w:sz w:val="19"/>
          <w:szCs w:val="19"/>
          <w:color w:val="auto"/>
        </w:rPr>
        <w:t>Promptly following the approval of the Preliminary Base Building Plans and Specifications, Landlord shall submit the Preliminary Base Building Plans and Specifications to the applicable governmental authority(ies) having jurisdiction over the Premises (collectively, the “</w:t>
      </w:r>
      <w:r>
        <w:rPr>
          <w:rFonts w:ascii="Arial" w:cs="Arial" w:eastAsia="Arial" w:hAnsi="Arial"/>
          <w:sz w:val="19"/>
          <w:szCs w:val="19"/>
          <w:b w:val="1"/>
          <w:bCs w:val="1"/>
          <w:color w:val="auto"/>
        </w:rPr>
        <w:t>Government Agency</w:t>
      </w:r>
      <w:r>
        <w:rPr>
          <w:rFonts w:ascii="Arial" w:cs="Arial" w:eastAsia="Arial" w:hAnsi="Arial"/>
          <w:sz w:val="19"/>
          <w:szCs w:val="19"/>
          <w:color w:val="auto"/>
        </w:rPr>
        <w:t>”) as necessary for the Preliminary Base Building Plans and Specifications and Base Building Work to comply with all Applicable Laws, for review and approval by such Government Agency, and the issuance by such Government Agency of any permits, approvals, licenses or certificates as are necessary for the Preliminary Base Building Plans and Specifications and Base Building Work to comply with all Applicable Laws. Landlord shall notify Tenant’s Construction Representative in writing of any and all changes or modifications to the Preliminary Base Building Plans and Specifications required by such Government Agency. If any such changes or modifications by such Government Agency are materially inconsistent or incompatible with the Preliminary Plans or Tenant Improvements, then Landlord’s Construction Representative and Tenant’s Construction Representative shall meet with such Governmental Agency within 3 business days, or as immediately as is practical after Tenant’s Construction Representative’s receipt of the notice of such changes or modifications required by any such Government Agency, to mutually determine, in good faith, what material changes or modifications are practical and acceptable to all parties (such determination not to be unreasonably withheld, conditioned, or delayed). The Preliminary Base Building Plans and Specifications as so approved, and as so approved by any and all Government Agency, subject to any changes or modifications required by any such Government Agency, are referred to as the “</w:t>
      </w:r>
      <w:r>
        <w:rPr>
          <w:rFonts w:ascii="Arial" w:cs="Arial" w:eastAsia="Arial" w:hAnsi="Arial"/>
          <w:sz w:val="19"/>
          <w:szCs w:val="19"/>
          <w:b w:val="1"/>
          <w:bCs w:val="1"/>
          <w:color w:val="auto"/>
        </w:rPr>
        <w:t>Final Base</w:t>
      </w:r>
      <w:r>
        <w:rPr>
          <w:rFonts w:ascii="Arial" w:cs="Arial" w:eastAsia="Arial" w:hAnsi="Arial"/>
          <w:sz w:val="19"/>
          <w:szCs w:val="19"/>
          <w:color w:val="auto"/>
        </w:rPr>
        <w:t xml:space="preserve"> </w:t>
      </w:r>
      <w:r>
        <w:rPr>
          <w:rFonts w:ascii="Arial" w:cs="Arial" w:eastAsia="Arial" w:hAnsi="Arial"/>
          <w:sz w:val="19"/>
          <w:szCs w:val="19"/>
          <w:b w:val="1"/>
          <w:bCs w:val="1"/>
          <w:color w:val="auto"/>
        </w:rPr>
        <w:t>Building Plans and Specifications</w:t>
      </w:r>
      <w:r>
        <w:rPr>
          <w:rFonts w:ascii="Arial" w:cs="Arial" w:eastAsia="Arial" w:hAnsi="Arial"/>
          <w:sz w:val="19"/>
          <w:szCs w:val="19"/>
          <w:color w:val="auto"/>
        </w:rPr>
        <w:t>.”</w:t>
      </w:r>
    </w:p>
    <w:p>
      <w:pPr>
        <w:spacing w:after="0" w:line="190" w:lineRule="exact"/>
        <w:rPr>
          <w:rFonts w:ascii="Arial" w:cs="Arial" w:eastAsia="Arial" w:hAnsi="Arial"/>
          <w:sz w:val="19"/>
          <w:szCs w:val="19"/>
          <w:color w:val="010000"/>
        </w:rPr>
      </w:pPr>
    </w:p>
    <w:p>
      <w:pPr>
        <w:jc w:val="both"/>
        <w:ind w:left="-880" w:firstLine="2600"/>
        <w:spacing w:after="0" w:line="291" w:lineRule="auto"/>
        <w:tabs>
          <w:tab w:leader="none" w:pos="2657" w:val="left"/>
        </w:tabs>
        <w:numPr>
          <w:ilvl w:val="1"/>
          <w:numId w:val="169"/>
        </w:numPr>
        <w:rPr>
          <w:rFonts w:ascii="Arial" w:cs="Arial" w:eastAsia="Arial" w:hAnsi="Arial"/>
          <w:sz w:val="18"/>
          <w:szCs w:val="18"/>
          <w:color w:val="010000"/>
        </w:rPr>
      </w:pPr>
      <w:r>
        <w:rPr>
          <w:rFonts w:ascii="Arial" w:cs="Arial" w:eastAsia="Arial" w:hAnsi="Arial"/>
          <w:sz w:val="18"/>
          <w:szCs w:val="18"/>
          <w:color w:val="auto"/>
        </w:rPr>
        <w:t>Any approval by Landlord of the Proposed Base Building Plans, Preliminary Base Building Plans and Specifications, or Final Base Building Plans and Specifications (or any iteration thereof) shall not be a representation or warranty of Landlord that the Base Building Work or such documents are adequate for Tenant’s particular manner of use of the Premises.</w:t>
      </w:r>
    </w:p>
    <w:p>
      <w:pPr>
        <w:spacing w:after="0" w:line="151" w:lineRule="exact"/>
        <w:rPr>
          <w:rFonts w:ascii="Arial" w:cs="Arial" w:eastAsia="Arial" w:hAnsi="Arial"/>
          <w:sz w:val="18"/>
          <w:szCs w:val="18"/>
          <w:color w:val="010000"/>
        </w:rPr>
      </w:pPr>
    </w:p>
    <w:p>
      <w:pPr>
        <w:jc w:val="both"/>
        <w:ind w:left="-880" w:firstLine="1735"/>
        <w:spacing w:after="0" w:line="250" w:lineRule="auto"/>
        <w:tabs>
          <w:tab w:leader="none" w:pos="1715"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Permits</w:t>
      </w:r>
      <w:r>
        <w:rPr>
          <w:rFonts w:ascii="Arial" w:cs="Arial" w:eastAsia="Arial" w:hAnsi="Arial"/>
          <w:sz w:val="20"/>
          <w:szCs w:val="20"/>
          <w:color w:val="auto"/>
        </w:rPr>
        <w:t>. Landlord, at Landlord’s cost, shall be responsible for obtaining all building permits and other governmental licenses, permits and approvals necessary for the construction of the Base Building Work. Tenant shall cooperate with Landlord, at no material cost to Tenant, in Landlord’s efforts to obtain such permits and other approvals.</w:t>
      </w:r>
    </w:p>
    <w:p>
      <w:pPr>
        <w:spacing w:after="0" w:line="185" w:lineRule="exact"/>
        <w:rPr>
          <w:rFonts w:ascii="Arial" w:cs="Arial" w:eastAsia="Arial" w:hAnsi="Arial"/>
          <w:sz w:val="20"/>
          <w:szCs w:val="20"/>
          <w:color w:val="auto"/>
        </w:rPr>
      </w:pPr>
    </w:p>
    <w:p>
      <w:pPr>
        <w:ind w:left="-880" w:firstLine="1735"/>
        <w:spacing w:after="0" w:line="260" w:lineRule="auto"/>
        <w:tabs>
          <w:tab w:leader="none" w:pos="1726"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Performance of the Base Building Work</w:t>
      </w:r>
      <w:r>
        <w:rPr>
          <w:rFonts w:ascii="Arial" w:cs="Arial" w:eastAsia="Arial" w:hAnsi="Arial"/>
          <w:sz w:val="20"/>
          <w:szCs w:val="20"/>
          <w:color w:val="auto"/>
        </w:rPr>
        <w:t>. Landlord shall complete the Base Building Work in accordance with the Final Base Building Plans and Specifications.</w:t>
      </w:r>
    </w:p>
    <w:p>
      <w:pPr>
        <w:spacing w:after="0" w:line="176" w:lineRule="exact"/>
        <w:rPr>
          <w:rFonts w:ascii="Arial" w:cs="Arial" w:eastAsia="Arial" w:hAnsi="Arial"/>
          <w:sz w:val="20"/>
          <w:szCs w:val="20"/>
          <w:color w:val="auto"/>
        </w:rPr>
      </w:pPr>
    </w:p>
    <w:p>
      <w:pPr>
        <w:ind w:left="-880" w:firstLine="1735"/>
        <w:spacing w:after="0" w:line="287" w:lineRule="auto"/>
        <w:tabs>
          <w:tab w:leader="none" w:pos="1715"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Costs of the Base Building Work</w:t>
      </w:r>
      <w:r>
        <w:rPr>
          <w:rFonts w:ascii="Arial" w:cs="Arial" w:eastAsia="Arial" w:hAnsi="Arial"/>
          <w:sz w:val="19"/>
          <w:szCs w:val="19"/>
          <w:color w:val="auto"/>
        </w:rPr>
        <w:t>. Except as otherwise expressly set forth herein, Landlord shall be solely responsible for all costs and expenses incurred in connection with designing and constructing the Base Building Work.</w:t>
      </w:r>
    </w:p>
    <w:p>
      <w:pPr>
        <w:spacing w:after="0" w:line="152" w:lineRule="exact"/>
        <w:rPr>
          <w:rFonts w:ascii="Arial" w:cs="Arial" w:eastAsia="Arial" w:hAnsi="Arial"/>
          <w:sz w:val="19"/>
          <w:szCs w:val="19"/>
          <w:color w:val="auto"/>
        </w:rPr>
      </w:pPr>
    </w:p>
    <w:p>
      <w:pPr>
        <w:jc w:val="both"/>
        <w:ind w:left="-880" w:firstLine="1735"/>
        <w:spacing w:after="0" w:line="255" w:lineRule="auto"/>
        <w:tabs>
          <w:tab w:leader="none" w:pos="1693"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Base Building Work Substantial Completion</w:t>
      </w:r>
      <w:r>
        <w:rPr>
          <w:rFonts w:ascii="Arial" w:cs="Arial" w:eastAsia="Arial" w:hAnsi="Arial"/>
          <w:sz w:val="19"/>
          <w:szCs w:val="19"/>
          <w:color w:val="auto"/>
        </w:rPr>
        <w:t>. Subject to Excusable Delays (as defined below), Landlord shall use commercially reasonable efforts to cause the Substantial Completion of the Base Building Work to occur on or before the applicable date therefor set forth in the Project Milestone Schedule (the “</w:t>
      </w:r>
      <w:r>
        <w:rPr>
          <w:rFonts w:ascii="Arial" w:cs="Arial" w:eastAsia="Arial" w:hAnsi="Arial"/>
          <w:sz w:val="19"/>
          <w:szCs w:val="19"/>
          <w:b w:val="1"/>
          <w:bCs w:val="1"/>
          <w:color w:val="auto"/>
        </w:rPr>
        <w:t>Scheduled Base Building Work Substantial Completion Date</w:t>
      </w:r>
      <w:r>
        <w:rPr>
          <w:rFonts w:ascii="Arial" w:cs="Arial" w:eastAsia="Arial" w:hAnsi="Arial"/>
          <w:sz w:val="19"/>
          <w:szCs w:val="19"/>
          <w:color w:val="auto"/>
        </w:rPr>
        <w:t>”). As used in this Section, the term “</w:t>
      </w:r>
      <w:r>
        <w:rPr>
          <w:rFonts w:ascii="Arial" w:cs="Arial" w:eastAsia="Arial" w:hAnsi="Arial"/>
          <w:sz w:val="19"/>
          <w:szCs w:val="19"/>
          <w:b w:val="1"/>
          <w:bCs w:val="1"/>
          <w:color w:val="auto"/>
        </w:rPr>
        <w:t>Substantial Completion of the Base Building Work</w:t>
      </w:r>
      <w:r>
        <w:rPr>
          <w:rFonts w:ascii="Arial" w:cs="Arial" w:eastAsia="Arial" w:hAnsi="Arial"/>
          <w:sz w:val="19"/>
          <w:szCs w:val="19"/>
          <w:color w:val="auto"/>
        </w:rPr>
        <w:t>” (or any variation or derivation thereof) shall mean that Landlord has delivered to Tenant a certificate of Tenant’s Design Professional certifying to Tenant that the Base Building Work has been completed in accordance with the Final Base Building Plans and Specifications and all Applicable Laws, subject only to incomplete items which will not materially affect or impair Landlord’s ability to perform the Tenant Improvements or preclude the issuance of a temporary or permanent certificate of occupancy upon the final completion of the Tenant Improvements and Tenant Fixturing. The date that Substantial Completion of the Base Building Work actually occurs is referred to as the “</w:t>
      </w:r>
      <w:r>
        <w:rPr>
          <w:rFonts w:ascii="Arial" w:cs="Arial" w:eastAsia="Arial" w:hAnsi="Arial"/>
          <w:sz w:val="19"/>
          <w:szCs w:val="19"/>
          <w:b w:val="1"/>
          <w:bCs w:val="1"/>
          <w:color w:val="auto"/>
        </w:rPr>
        <w:t>Base Building Work Substantial Completion Date</w:t>
      </w:r>
      <w:r>
        <w:rPr>
          <w:rFonts w:ascii="Arial" w:cs="Arial" w:eastAsia="Arial" w:hAnsi="Arial"/>
          <w:sz w:val="19"/>
          <w:szCs w:val="19"/>
          <w:color w:val="auto"/>
        </w:rPr>
        <w:t>.” Notwithstanding anything contained herein, Tenant and Landlord mutually agree and understand that the Base Building Work and the Tenant Improvements and Tenant Fixturing will occur concurrently.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G</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9" w:right="339" w:bottom="1440" w:gutter="0" w:footer="0" w:header="0"/>
        </w:sectPr>
      </w:pPr>
    </w:p>
    <w:bookmarkStart w:id="225" w:name="page226"/>
    <w:bookmarkEnd w:id="225"/>
    <w:p>
      <w:pPr>
        <w:jc w:val="both"/>
        <w:ind w:left="-872" w:firstLine="1735"/>
        <w:spacing w:after="0" w:line="243" w:lineRule="auto"/>
        <w:tabs>
          <w:tab w:leader="none" w:pos="1734" w:val="left"/>
        </w:tabs>
        <w:numPr>
          <w:ilvl w:val="1"/>
          <w:numId w:val="171"/>
        </w:numPr>
        <w:rPr>
          <w:rFonts w:ascii="Arial" w:cs="Arial" w:eastAsia="Arial" w:hAnsi="Arial"/>
          <w:sz w:val="20"/>
          <w:szCs w:val="20"/>
          <w:color w:val="auto"/>
        </w:rPr>
      </w:pPr>
      <w:r>
        <w:rPr>
          <w:rFonts w:ascii="Arial" w:cs="Arial" w:eastAsia="Arial" w:hAnsi="Arial"/>
          <w:sz w:val="20"/>
          <w:szCs w:val="20"/>
          <w:u w:val="single" w:color="auto"/>
          <w:color w:val="auto"/>
        </w:rPr>
        <w:t>Base Building Punch List</w:t>
      </w:r>
      <w:r>
        <w:rPr>
          <w:rFonts w:ascii="Arial" w:cs="Arial" w:eastAsia="Arial" w:hAnsi="Arial"/>
          <w:sz w:val="20"/>
          <w:szCs w:val="20"/>
          <w:color w:val="auto"/>
        </w:rPr>
        <w:t>. Upon Substantial Completion of the Base Building Work, Landlord, in consultation with Tenant, shall generate a punch list of all asserted incomplete work items in Landlord’s construction of the Base Building Work (the “</w:t>
      </w:r>
      <w:r>
        <w:rPr>
          <w:rFonts w:ascii="Arial" w:cs="Arial" w:eastAsia="Arial" w:hAnsi="Arial"/>
          <w:sz w:val="20"/>
          <w:szCs w:val="20"/>
          <w:b w:val="1"/>
          <w:bCs w:val="1"/>
          <w:color w:val="auto"/>
        </w:rPr>
        <w:t>Base Building Punch List</w:t>
      </w:r>
      <w:r>
        <w:rPr>
          <w:rFonts w:ascii="Arial" w:cs="Arial" w:eastAsia="Arial" w:hAnsi="Arial"/>
          <w:sz w:val="20"/>
          <w:szCs w:val="20"/>
          <w:color w:val="auto"/>
        </w:rPr>
        <w:t>”). Landlord shall complete all items on the Base Building Punch List within 60 days after the date of the generation of the Base Building Punch List, unless due to Excusable Delays. Given that the Base Building Work, the Tenant Improvements, and Tenant Fixturing will occur concurrently to an extent, Tenant and Landlord mutually agree and understand that the Base Building Punch List and the Tenant Improvements Punch List may overlap.</w:t>
      </w:r>
    </w:p>
    <w:p>
      <w:pPr>
        <w:spacing w:after="0" w:line="189" w:lineRule="exact"/>
        <w:rPr>
          <w:rFonts w:ascii="Arial" w:cs="Arial" w:eastAsia="Arial" w:hAnsi="Arial"/>
          <w:sz w:val="20"/>
          <w:szCs w:val="20"/>
          <w:color w:val="auto"/>
        </w:rPr>
      </w:pPr>
    </w:p>
    <w:p>
      <w:pPr>
        <w:ind w:left="788" w:hanging="788"/>
        <w:spacing w:after="0"/>
        <w:tabs>
          <w:tab w:leader="none" w:pos="788"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Tenant Improvements; Design and Bidding; Construction of Tenant Improvements by Landlord’s TI Contractor</w:t>
      </w:r>
    </w:p>
    <w:p>
      <w:pPr>
        <w:spacing w:after="0" w:line="244" w:lineRule="exact"/>
        <w:rPr>
          <w:rFonts w:ascii="Arial" w:cs="Arial" w:eastAsia="Arial" w:hAnsi="Arial"/>
          <w:sz w:val="18"/>
          <w:szCs w:val="18"/>
          <w:color w:val="auto"/>
        </w:rPr>
      </w:pPr>
    </w:p>
    <w:p>
      <w:pPr>
        <w:jc w:val="both"/>
        <w:ind w:left="-872" w:firstLine="1735"/>
        <w:spacing w:after="0" w:line="241" w:lineRule="auto"/>
        <w:tabs>
          <w:tab w:leader="none" w:pos="1723" w:val="left"/>
        </w:tabs>
        <w:numPr>
          <w:ilvl w:val="1"/>
          <w:numId w:val="172"/>
        </w:numPr>
        <w:rPr>
          <w:rFonts w:ascii="Arial" w:cs="Arial" w:eastAsia="Arial" w:hAnsi="Arial"/>
          <w:sz w:val="20"/>
          <w:szCs w:val="20"/>
          <w:color w:val="auto"/>
        </w:rPr>
      </w:pPr>
      <w:r>
        <w:rPr>
          <w:rFonts w:ascii="Arial" w:cs="Arial" w:eastAsia="Arial" w:hAnsi="Arial"/>
          <w:sz w:val="20"/>
          <w:szCs w:val="20"/>
          <w:u w:val="single" w:color="auto"/>
          <w:color w:val="auto"/>
        </w:rPr>
        <w:t>Description</w:t>
      </w:r>
      <w:r>
        <w:rPr>
          <w:rFonts w:ascii="Arial" w:cs="Arial" w:eastAsia="Arial" w:hAnsi="Arial"/>
          <w:sz w:val="20"/>
          <w:szCs w:val="20"/>
          <w:color w:val="auto"/>
        </w:rPr>
        <w:t>. The interior finish work of the Premises as more particularly described in the Final TI Construction Documents shall constitute and be referred to herein as the “</w:t>
      </w:r>
      <w:r>
        <w:rPr>
          <w:rFonts w:ascii="Arial" w:cs="Arial" w:eastAsia="Arial" w:hAnsi="Arial"/>
          <w:sz w:val="20"/>
          <w:szCs w:val="20"/>
          <w:b w:val="1"/>
          <w:bCs w:val="1"/>
          <w:color w:val="auto"/>
        </w:rPr>
        <w:t>Tenant Improvements</w:t>
      </w:r>
      <w:r>
        <w:rPr>
          <w:rFonts w:ascii="Arial" w:cs="Arial" w:eastAsia="Arial" w:hAnsi="Arial"/>
          <w:sz w:val="20"/>
          <w:szCs w:val="20"/>
          <w:color w:val="auto"/>
        </w:rPr>
        <w:t>”. IT IS ACKNOWLEDGED BY ALL PARTIES THAT THE NATURE OF THIS PROJECT REQUIRES A VERY HIGH DEGREE OF COOPERATION AND COORDINATION BETWEEN LANDLORD AND TENANT, AND THEIR RESPECTIVE DESIGN PROFESSIONALS. ALL PROCESSES AS DESCRIBED HEREIN ARE INTENDED TO FOSTER THE HIGHEST DEGREE OF COOPERATION AND COORDINATION BETWEEN LANDLORD AND TENANT, AND THEIR RESPECTIVE DESIGN PROFESSIONALS. Landlord and Tenant shall use expeditious, diligent, good faith, commercially reasonable efforts to cause Tenant’s Design Professional to coordinate with Landlord’s Construction Representative and Tenant’s Construction Representative, to facilitate the efficient and timely preparation and approval of the Proposed TI Design Development Plans and Specifications on or before the respective date or dates set forth herein or in the Preliminary Project Milestone Schedule.</w:t>
      </w:r>
    </w:p>
    <w:p>
      <w:pPr>
        <w:spacing w:after="0" w:line="201" w:lineRule="exact"/>
        <w:rPr>
          <w:rFonts w:ascii="Arial" w:cs="Arial" w:eastAsia="Arial" w:hAnsi="Arial"/>
          <w:sz w:val="20"/>
          <w:szCs w:val="20"/>
          <w:color w:val="auto"/>
        </w:rPr>
      </w:pPr>
    </w:p>
    <w:p>
      <w:pPr>
        <w:jc w:val="both"/>
        <w:ind w:left="-872" w:firstLine="1735"/>
        <w:spacing w:after="0" w:line="273" w:lineRule="auto"/>
        <w:tabs>
          <w:tab w:leader="none" w:pos="1734"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Proposed TI Design Development Plans and Specifications</w:t>
      </w:r>
      <w:r>
        <w:rPr>
          <w:rFonts w:ascii="Arial" w:cs="Arial" w:eastAsia="Arial" w:hAnsi="Arial"/>
          <w:sz w:val="18"/>
          <w:szCs w:val="18"/>
          <w:color w:val="auto"/>
        </w:rPr>
        <w:t>. Landlord and Tenant shall use expeditious, diligent, good faith, commercially reasonable efforts to cause Tenant’s Design Professional to prepare and forward to Tenant’s Construction Representative, in accordance with the sequence and interim dates and time periods set forth in the Preliminary Project Milestone Schedule, a complete set of design development plans for the Tenant Improvements, which shall consist of space plans, drawings and other plans, specifications and documents to fix and describe the size, character and conditions of the Tenant Improvements (and each aspect and component thereof) (collectively, the “</w:t>
      </w:r>
      <w:r>
        <w:rPr>
          <w:rFonts w:ascii="Arial" w:cs="Arial" w:eastAsia="Arial" w:hAnsi="Arial"/>
          <w:sz w:val="18"/>
          <w:szCs w:val="18"/>
          <w:b w:val="1"/>
          <w:bCs w:val="1"/>
          <w:color w:val="auto"/>
        </w:rPr>
        <w:t>Proposed TI Design Development Plans and Specifications</w:t>
      </w:r>
      <w:r>
        <w:rPr>
          <w:rFonts w:ascii="Arial" w:cs="Arial" w:eastAsia="Arial" w:hAnsi="Arial"/>
          <w:sz w:val="18"/>
          <w:szCs w:val="18"/>
          <w:color w:val="auto"/>
        </w:rPr>
        <w:t>”), which are approved by Landlord and Tenant and which are sufficient for purposes of soliciting proposals from general contractors (and competitive bids from a minimum of 3 subcontractors) to perform the Tenant Improvements for a guaranteed maximum price (“</w:t>
      </w:r>
      <w:r>
        <w:rPr>
          <w:rFonts w:ascii="Arial" w:cs="Arial" w:eastAsia="Arial" w:hAnsi="Arial"/>
          <w:sz w:val="18"/>
          <w:szCs w:val="18"/>
          <w:b w:val="1"/>
          <w:bCs w:val="1"/>
          <w:color w:val="auto"/>
        </w:rPr>
        <w:t>GMP Proposals</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872" w:firstLine="1735"/>
        <w:spacing w:after="0" w:line="274" w:lineRule="auto"/>
        <w:tabs>
          <w:tab w:leader="none" w:pos="1723"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Proposed TI Construction Documents</w:t>
      </w:r>
      <w:r>
        <w:rPr>
          <w:rFonts w:ascii="Arial" w:cs="Arial" w:eastAsia="Arial" w:hAnsi="Arial"/>
          <w:sz w:val="18"/>
          <w:szCs w:val="18"/>
          <w:color w:val="auto"/>
        </w:rPr>
        <w:t>. Following approval of the Proposed TI Design Development Plans and Specifications as provided below, Landlord shall cause Tenant’s Design Professional to promptly prepare and forward to Landlord’s Construction Representative and Tenant’s Construction Representative for review and approval by Landlord and Tenant from time to time proposed final construction documents for the Tenant Improvements (which shall be consistent with and conform to the Proposed TI Design Development Plans and Specifications as approved), which shall consist of drawings, plans and specifications setting forth in detail the requirements for the construction of the Tenant Improvements and each aspect and component thereof (collectively, the “</w:t>
      </w:r>
      <w:r>
        <w:rPr>
          <w:rFonts w:ascii="Arial" w:cs="Arial" w:eastAsia="Arial" w:hAnsi="Arial"/>
          <w:sz w:val="18"/>
          <w:szCs w:val="18"/>
          <w:b w:val="1"/>
          <w:bCs w:val="1"/>
          <w:color w:val="auto"/>
        </w:rPr>
        <w:t>Proposed TI</w:t>
      </w:r>
      <w:r>
        <w:rPr>
          <w:rFonts w:ascii="Arial" w:cs="Arial" w:eastAsia="Arial" w:hAnsi="Arial"/>
          <w:sz w:val="18"/>
          <w:szCs w:val="18"/>
          <w:color w:val="auto"/>
        </w:rPr>
        <w:t xml:space="preserve"> </w:t>
      </w:r>
      <w:r>
        <w:rPr>
          <w:rFonts w:ascii="Arial" w:cs="Arial" w:eastAsia="Arial" w:hAnsi="Arial"/>
          <w:sz w:val="18"/>
          <w:szCs w:val="18"/>
          <w:b w:val="1"/>
          <w:bCs w:val="1"/>
          <w:color w:val="auto"/>
        </w:rPr>
        <w:t>Construction Documents</w:t>
      </w:r>
      <w:r>
        <w:rPr>
          <w:rFonts w:ascii="Arial" w:cs="Arial" w:eastAsia="Arial" w:hAnsi="Arial"/>
          <w:sz w:val="18"/>
          <w:szCs w:val="18"/>
          <w:color w:val="auto"/>
        </w:rPr>
        <w:t>”). The Proposed TI Construction Documents shall be approved as set forth below.</w:t>
      </w:r>
    </w:p>
    <w:p>
      <w:pPr>
        <w:spacing w:after="0" w:line="168" w:lineRule="exact"/>
        <w:rPr>
          <w:rFonts w:ascii="Arial" w:cs="Arial" w:eastAsia="Arial" w:hAnsi="Arial"/>
          <w:sz w:val="18"/>
          <w:szCs w:val="18"/>
          <w:color w:val="auto"/>
        </w:rPr>
      </w:pPr>
    </w:p>
    <w:p>
      <w:pPr>
        <w:ind w:left="1748" w:hanging="885"/>
        <w:spacing w:after="0"/>
        <w:tabs>
          <w:tab w:leader="none" w:pos="1748" w:val="left"/>
        </w:tabs>
        <w:numPr>
          <w:ilvl w:val="1"/>
          <w:numId w:val="172"/>
        </w:numPr>
        <w:rPr>
          <w:rFonts w:ascii="Arial" w:cs="Arial" w:eastAsia="Arial" w:hAnsi="Arial"/>
          <w:sz w:val="20"/>
          <w:szCs w:val="20"/>
          <w:color w:val="auto"/>
        </w:rPr>
      </w:pPr>
      <w:r>
        <w:rPr>
          <w:rFonts w:ascii="Arial" w:cs="Arial" w:eastAsia="Arial" w:hAnsi="Arial"/>
          <w:sz w:val="20"/>
          <w:szCs w:val="20"/>
          <w:u w:val="single" w:color="auto"/>
          <w:color w:val="auto"/>
        </w:rPr>
        <w:t>Document Review and Approval</w:t>
      </w:r>
      <w:r>
        <w:rPr>
          <w:rFonts w:ascii="Arial" w:cs="Arial" w:eastAsia="Arial" w:hAnsi="Arial"/>
          <w:sz w:val="20"/>
          <w:szCs w:val="20"/>
          <w:color w:val="auto"/>
        </w:rPr>
        <w:t>.</w:t>
      </w:r>
    </w:p>
    <w:p>
      <w:pPr>
        <w:spacing w:after="0" w:line="216" w:lineRule="exact"/>
        <w:rPr>
          <w:sz w:val="20"/>
          <w:szCs w:val="20"/>
          <w:color w:val="auto"/>
        </w:rPr>
      </w:pPr>
    </w:p>
    <w:p>
      <w:pPr>
        <w:ind w:left="-872" w:firstLine="2600"/>
        <w:spacing w:after="0" w:line="260" w:lineRule="auto"/>
        <w:tabs>
          <w:tab w:leader="none" w:pos="2555" w:val="left"/>
        </w:tabs>
        <w:numPr>
          <w:ilvl w:val="0"/>
          <w:numId w:val="173"/>
        </w:numPr>
        <w:rPr>
          <w:rFonts w:ascii="Arial" w:cs="Arial" w:eastAsia="Arial" w:hAnsi="Arial"/>
          <w:sz w:val="20"/>
          <w:szCs w:val="20"/>
          <w:color w:val="010000"/>
        </w:rPr>
      </w:pPr>
      <w:r>
        <w:rPr>
          <w:rFonts w:ascii="Arial" w:cs="Arial" w:eastAsia="Arial" w:hAnsi="Arial"/>
          <w:sz w:val="20"/>
          <w:szCs w:val="20"/>
          <w:color w:val="auto"/>
        </w:rPr>
        <w:t>In order to expedite the preparation, review and approval of the Proposed TI Design Development Plans and Specifications and the Proposed TI Construction Documents, the</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20"/>
          <w:szCs w:val="20"/>
          <w:u w:val="single" w:color="auto"/>
          <w:color w:val="auto"/>
        </w:rPr>
        <w:t>EXHIBIT G</w:t>
      </w:r>
    </w:p>
    <w:p>
      <w:pPr>
        <w:spacing w:after="0" w:line="16" w:lineRule="exact"/>
        <w:rPr>
          <w:sz w:val="20"/>
          <w:szCs w:val="20"/>
          <w:color w:val="auto"/>
        </w:rPr>
      </w:pPr>
    </w:p>
    <w:p>
      <w:pPr>
        <w:ind w:left="8"/>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55880</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9" w:right="339" w:bottom="1440" w:gutter="0" w:footer="0" w:header="0"/>
        </w:sectPr>
      </w:pPr>
    </w:p>
    <w:bookmarkStart w:id="226" w:name="page227"/>
    <w:bookmarkEnd w:id="226"/>
    <w:p>
      <w:pPr>
        <w:jc w:val="both"/>
        <w:spacing w:after="0" w:line="268" w:lineRule="auto"/>
        <w:rPr>
          <w:sz w:val="20"/>
          <w:szCs w:val="20"/>
          <w:color w:val="auto"/>
        </w:rPr>
      </w:pPr>
      <w:r>
        <w:rPr>
          <w:rFonts w:ascii="Arial" w:cs="Arial" w:eastAsia="Arial" w:hAnsi="Arial"/>
          <w:sz w:val="18"/>
          <w:szCs w:val="18"/>
          <w:color w:val="auto"/>
        </w:rPr>
        <w:t>Proposed TI Design Development Plans and Specifications and the Proposed TI Construction Documents may be prepared, submitted, reviewed, revised, resubmitted for review and finalized on a so-called “rolling” basis. The parties acknowledge and agree that the time periods set forth in the Project Milestone Schedule for the delivery, review and approval of Proposed TI Design Development Plans and Specifications and the Proposed TI Construction Documents, respectively, are targeted outside dates and the parties will endeavor in good faith to deliver, review and approve all such plans in fewer days than those set forth in the Project Milestone Schedule, and shall cooperate in scheduling meetings and calls as reasonably required. Landlord shall use commercially reasonable efforts to provide Tenant with reasonable advance notice of the date on which the Proposed TI Design Development Plans and Specifications will be ready for Tenant’s review. Within 5 business days after Tenant’s Construction Representative’s receipt of any Proposed TI Design Development Plans and Specifications or any Proposed TI Construction Documents, Tenant shall give its written approval thereof (such approval not to be unreasonably withheld, conditioned or delayed) or rejection thereof (with all changes “bubbled” or otherwise prominently identified). If Tenant properly disapproves of any of the Proposed TI Design Development Plans and Specifications or Proposed TI Construction Documents, Landlord shall deliver or cause the Tenant’s Design Professional to deliver to Tenant revised documents, as applicable, which respond to Tenant’s requests for changes. Tenant shall then again so approve (such approval not to be unreasonably withheld, conditioned or delayed) or specify any such variance within 5 business days. Tenant’s failure to so approve or reject any of the Proposed TI Design Development Plans and Specifications or Proposed TI Construction Documents within 5 business days after Tenant’s Construction Representative’s and Tenant’s Design Professional’s first receipt of Landlord’s first revised documents, as applicable, shall be deemed a Tenant Delay. Any changes to the Proposed TI Design Development Plans and Specifications or the Proposed TI Construction Documents, as applicable, required by Tenant shall be in writing and shall be noted on the Proposed TI Design Development Plans and Specifications or the Proposed TI Construction Documents, as applicable.</w:t>
      </w:r>
    </w:p>
    <w:p>
      <w:pPr>
        <w:spacing w:after="0" w:line="185" w:lineRule="exact"/>
        <w:rPr>
          <w:sz w:val="20"/>
          <w:szCs w:val="20"/>
          <w:color w:val="auto"/>
        </w:rPr>
      </w:pPr>
    </w:p>
    <w:p>
      <w:pPr>
        <w:jc w:val="both"/>
        <w:ind w:firstLine="2600"/>
        <w:spacing w:after="0" w:line="260" w:lineRule="auto"/>
        <w:tabs>
          <w:tab w:leader="none" w:pos="3482"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Promptly following receipt of reasonable changes submitted by Tenant in compliance with the terms and conditions set forth above, Landlord shall cause Tenant’s Design Professional to incorporate such reasonable changes into the applicable installment or phase of the Proposed TI Design Development Plans and Specifications or the Proposed TI Construction Documents, as applicable, provided, however, any such change must be in compliance with all applicable codes and, furthermore, Tenant shall provide written acknowledgement of any cost impact related thereto as provided below.</w:t>
      </w:r>
    </w:p>
    <w:p>
      <w:pPr>
        <w:spacing w:after="0" w:line="180" w:lineRule="exact"/>
        <w:rPr>
          <w:rFonts w:ascii="Arial" w:cs="Arial" w:eastAsia="Arial" w:hAnsi="Arial"/>
          <w:sz w:val="19"/>
          <w:szCs w:val="19"/>
          <w:color w:val="010000"/>
        </w:rPr>
      </w:pPr>
    </w:p>
    <w:p>
      <w:pPr>
        <w:jc w:val="both"/>
        <w:ind w:firstLine="2600"/>
        <w:spacing w:after="0" w:line="243" w:lineRule="auto"/>
        <w:tabs>
          <w:tab w:leader="none" w:pos="3537" w:val="left"/>
        </w:tabs>
        <w:numPr>
          <w:ilvl w:val="0"/>
          <w:numId w:val="174"/>
        </w:numPr>
        <w:rPr>
          <w:rFonts w:ascii="Arial" w:cs="Arial" w:eastAsia="Arial" w:hAnsi="Arial"/>
          <w:sz w:val="20"/>
          <w:szCs w:val="20"/>
          <w:color w:val="010000"/>
        </w:rPr>
      </w:pPr>
      <w:r>
        <w:rPr>
          <w:rFonts w:ascii="Arial" w:cs="Arial" w:eastAsia="Arial" w:hAnsi="Arial"/>
          <w:sz w:val="20"/>
          <w:szCs w:val="20"/>
          <w:color w:val="auto"/>
        </w:rPr>
        <w:t>The submittal, review and resubmittal process shall continue until such time as the applicable installment or phase of the Proposed TI Design Development Plans and Specifications and Proposed TI Construction Documents, as applicable, are approved. Landlord and Tenant shall expeditiously, diligently and in good faith use their commercially reasonable efforts to cause the Proposed TI Design Development Plans and Specifications or Proposed TI Construction Documents to be mutually agreed upon as immediately as possible under the circumstances. The Proposed TI Design Development Plans and Specifications and Proposed TI Construction Documents as approved by Tenant are referred to as the “</w:t>
      </w:r>
      <w:r>
        <w:rPr>
          <w:rFonts w:ascii="Arial" w:cs="Arial" w:eastAsia="Arial" w:hAnsi="Arial"/>
          <w:sz w:val="20"/>
          <w:szCs w:val="20"/>
          <w:b w:val="1"/>
          <w:bCs w:val="1"/>
          <w:color w:val="auto"/>
        </w:rPr>
        <w:t>TI Design Development Plans and Specifications</w:t>
      </w:r>
      <w:r>
        <w:rPr>
          <w:rFonts w:ascii="Arial" w:cs="Arial" w:eastAsia="Arial" w:hAnsi="Arial"/>
          <w:sz w:val="20"/>
          <w:szCs w:val="20"/>
          <w:color w:val="auto"/>
        </w:rPr>
        <w:t>” and “</w:t>
      </w:r>
      <w:r>
        <w:rPr>
          <w:rFonts w:ascii="Arial" w:cs="Arial" w:eastAsia="Arial" w:hAnsi="Arial"/>
          <w:sz w:val="20"/>
          <w:szCs w:val="20"/>
          <w:b w:val="1"/>
          <w:bCs w:val="1"/>
          <w:color w:val="auto"/>
        </w:rPr>
        <w:t>Final TI</w:t>
      </w:r>
      <w:r>
        <w:rPr>
          <w:rFonts w:ascii="Arial" w:cs="Arial" w:eastAsia="Arial" w:hAnsi="Arial"/>
          <w:sz w:val="20"/>
          <w:szCs w:val="20"/>
          <w:color w:val="auto"/>
        </w:rPr>
        <w:t xml:space="preserve"> </w:t>
      </w:r>
      <w:r>
        <w:rPr>
          <w:rFonts w:ascii="Arial" w:cs="Arial" w:eastAsia="Arial" w:hAnsi="Arial"/>
          <w:sz w:val="20"/>
          <w:szCs w:val="20"/>
          <w:b w:val="1"/>
          <w:bCs w:val="1"/>
          <w:color w:val="auto"/>
        </w:rPr>
        <w:t>Construction Documents</w:t>
      </w:r>
      <w:r>
        <w:rPr>
          <w:rFonts w:ascii="Arial" w:cs="Arial" w:eastAsia="Arial" w:hAnsi="Arial"/>
          <w:sz w:val="20"/>
          <w:szCs w:val="20"/>
          <w:color w:val="auto"/>
        </w:rPr>
        <w:t>”, respectively.</w:t>
      </w:r>
    </w:p>
    <w:p>
      <w:pPr>
        <w:spacing w:after="0" w:line="192" w:lineRule="exact"/>
        <w:rPr>
          <w:rFonts w:ascii="Arial" w:cs="Arial" w:eastAsia="Arial" w:hAnsi="Arial"/>
          <w:sz w:val="20"/>
          <w:szCs w:val="20"/>
          <w:color w:val="010000"/>
        </w:rPr>
      </w:pPr>
    </w:p>
    <w:p>
      <w:pPr>
        <w:jc w:val="both"/>
        <w:ind w:firstLine="2600"/>
        <w:spacing w:after="0" w:line="259" w:lineRule="auto"/>
        <w:tabs>
          <w:tab w:leader="none" w:pos="3526"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In addition to and without in any way limiting any other provision of this Work Letter, Landlord and Tenant (and their respective Construction Representatives and Design Professionals) shall fully cooperate with the other (and their respective Construction Representatives and Design Professionals), act reasonably, provide and exchange all information, and shall meet and confer as often as reasonably necessary, to achieve and coordinate to the maximum extent possible the timely preparation, submission, review and completion of the TI Design Development Plans and Specifications and the Final TI Construction Documents, respectively, and to ensure the compatibility of the Base Building Work with the Tenant Improvements.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G</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27" w:name="page228"/>
    <w:bookmarkEnd w:id="227"/>
    <w:p>
      <w:pPr>
        <w:jc w:val="both"/>
        <w:ind w:left="-880" w:firstLine="1735"/>
        <w:spacing w:after="0" w:line="255" w:lineRule="auto"/>
        <w:tabs>
          <w:tab w:leader="none" w:pos="1715"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Procurement of Bids</w:t>
      </w:r>
      <w:r>
        <w:rPr>
          <w:rFonts w:ascii="Arial" w:cs="Arial" w:eastAsia="Arial" w:hAnsi="Arial"/>
          <w:sz w:val="19"/>
          <w:szCs w:val="19"/>
          <w:color w:val="auto"/>
        </w:rPr>
        <w:t>. Following completion of the TI Design Development Plans and Specifications (the “</w:t>
      </w:r>
      <w:r>
        <w:rPr>
          <w:rFonts w:ascii="Arial" w:cs="Arial" w:eastAsia="Arial" w:hAnsi="Arial"/>
          <w:sz w:val="19"/>
          <w:szCs w:val="19"/>
          <w:b w:val="1"/>
          <w:bCs w:val="1"/>
          <w:color w:val="auto"/>
        </w:rPr>
        <w:t>Contractor Bidding Period</w:t>
      </w:r>
      <w:r>
        <w:rPr>
          <w:rFonts w:ascii="Arial" w:cs="Arial" w:eastAsia="Arial" w:hAnsi="Arial"/>
          <w:sz w:val="19"/>
          <w:szCs w:val="19"/>
          <w:color w:val="auto"/>
        </w:rPr>
        <w:t>”), Landlord shall use reasonable efforts to obtain, on or before the date set forth therefor in the Preliminary Project Milestone Schedule, from Landlord’s Contractors, a GMP Proposal to perform the Tenant Improvements based on the TI Design Development Plans and Specifications (the “</w:t>
      </w:r>
      <w:r>
        <w:rPr>
          <w:rFonts w:ascii="Arial" w:cs="Arial" w:eastAsia="Arial" w:hAnsi="Arial"/>
          <w:sz w:val="19"/>
          <w:szCs w:val="19"/>
          <w:b w:val="1"/>
          <w:bCs w:val="1"/>
          <w:color w:val="auto"/>
        </w:rPr>
        <w:t>Landlord’s Contractor’s GMP Proposal</w:t>
      </w:r>
      <w:r>
        <w:rPr>
          <w:rFonts w:ascii="Arial" w:cs="Arial" w:eastAsia="Arial" w:hAnsi="Arial"/>
          <w:sz w:val="19"/>
          <w:szCs w:val="19"/>
          <w:color w:val="auto"/>
        </w:rPr>
        <w:t>”). The Landlord’s Contractor’s GMP Proposal shall include all reasonable documentation as may be reasonably required by Landlord or Tenant to effectively evaluate the Landlord’s Contractor’s GMP Proposal. Landlord shall provide Tenant with a copy of all Landlord’s Contractor’s GMP Proposals and allow Tenant to review same. Landlord and Tenant, in their commercially reasonable discretion, shall mutually agree, in good faith, upon the selection of the winning Landlord’s Contractor’s GMP Proposal. Tenant’s failure to provide Landlord with Tenant’s selection of the winning Landlord’s Contractor’s GMP Proposal within 5 business days after Tenant’s receipt of all 3 Landlord’s Contractor’s GMP Proposals shall be deemed a Tenant Delay.</w:t>
      </w:r>
    </w:p>
    <w:p>
      <w:pPr>
        <w:spacing w:after="0" w:line="189" w:lineRule="exact"/>
        <w:rPr>
          <w:rFonts w:ascii="Arial" w:cs="Arial" w:eastAsia="Arial" w:hAnsi="Arial"/>
          <w:sz w:val="19"/>
          <w:szCs w:val="19"/>
          <w:color w:val="auto"/>
        </w:rPr>
      </w:pPr>
    </w:p>
    <w:p>
      <w:pPr>
        <w:jc w:val="both"/>
        <w:ind w:left="-880" w:firstLine="1735"/>
        <w:spacing w:after="0" w:line="256" w:lineRule="auto"/>
        <w:tabs>
          <w:tab w:leader="none" w:pos="1693"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Landlord’s TI Construction Contract</w:t>
      </w:r>
      <w:r>
        <w:rPr>
          <w:rFonts w:ascii="Arial" w:cs="Arial" w:eastAsia="Arial" w:hAnsi="Arial"/>
          <w:sz w:val="19"/>
          <w:szCs w:val="19"/>
          <w:color w:val="auto"/>
        </w:rPr>
        <w:t>. Promptly after the selection of the winning Landlord’s Contractor’s GMP Proposal as set forth above, Landlord shall enter into a contract (“</w:t>
      </w:r>
      <w:r>
        <w:rPr>
          <w:rFonts w:ascii="Arial" w:cs="Arial" w:eastAsia="Arial" w:hAnsi="Arial"/>
          <w:sz w:val="19"/>
          <w:szCs w:val="19"/>
          <w:b w:val="1"/>
          <w:bCs w:val="1"/>
          <w:color w:val="auto"/>
        </w:rPr>
        <w:t>Landlord’s TI Construction Contract</w:t>
      </w:r>
      <w:r>
        <w:rPr>
          <w:rFonts w:ascii="Arial" w:cs="Arial" w:eastAsia="Arial" w:hAnsi="Arial"/>
          <w:sz w:val="19"/>
          <w:szCs w:val="19"/>
          <w:color w:val="auto"/>
        </w:rPr>
        <w:t>”) with the winning Landlord’s Contractor (such contractor is hereinafter referred to as “</w:t>
      </w:r>
      <w:r>
        <w:rPr>
          <w:rFonts w:ascii="Arial" w:cs="Arial" w:eastAsia="Arial" w:hAnsi="Arial"/>
          <w:sz w:val="19"/>
          <w:szCs w:val="19"/>
          <w:b w:val="1"/>
          <w:bCs w:val="1"/>
          <w:color w:val="auto"/>
        </w:rPr>
        <w:t>Landlord’s TI Contractor</w:t>
      </w:r>
      <w:r>
        <w:rPr>
          <w:rFonts w:ascii="Arial" w:cs="Arial" w:eastAsia="Arial" w:hAnsi="Arial"/>
          <w:sz w:val="19"/>
          <w:szCs w:val="19"/>
          <w:color w:val="auto"/>
        </w:rPr>
        <w:t>”), in form and substance satisfactory to Landlord, for the construction of the Tenant Improvements in accordance with this Work Letter and based on the winning Landlord’s Contractor’s GMP Proposal. In no event shall Landlord commence (or cause to be commenced) construction of the Tenant Improvements until a Landlord’s Contractor’s GMP Proposal is selected as set forth above, and Landlord has entered into Landlord’s TI Construction Contract. Tenant shall be named in the Landlord’s TI Construction Contract as a third-party beneficiary of Landlord’s rights and remedies thereunder, and expressly granted the right to enforce all guarantees and warranties provided by Landlord’s TI Contractor, and its subcontractors and suppliers pursuant to the Landlord’s TI Construction Contract.</w:t>
      </w:r>
    </w:p>
    <w:p>
      <w:pPr>
        <w:spacing w:after="0" w:line="184" w:lineRule="exact"/>
        <w:rPr>
          <w:rFonts w:ascii="Arial" w:cs="Arial" w:eastAsia="Arial" w:hAnsi="Arial"/>
          <w:sz w:val="19"/>
          <w:szCs w:val="19"/>
          <w:color w:val="auto"/>
        </w:rPr>
      </w:pPr>
    </w:p>
    <w:p>
      <w:pPr>
        <w:jc w:val="both"/>
        <w:ind w:left="-880" w:firstLine="1735"/>
        <w:spacing w:after="0" w:line="246" w:lineRule="auto"/>
        <w:tabs>
          <w:tab w:leader="none" w:pos="1726"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Permits</w:t>
      </w:r>
      <w:r>
        <w:rPr>
          <w:rFonts w:ascii="Arial" w:cs="Arial" w:eastAsia="Arial" w:hAnsi="Arial"/>
          <w:sz w:val="20"/>
          <w:szCs w:val="20"/>
          <w:color w:val="auto"/>
        </w:rPr>
        <w:t>. Except as otherwise expressly set forth herein, Landlord shall be responsible for obtaining, at Tenant’s cost, all building permits and other governmental permits and approvals necessary for the construction of the Tenant Improvements. Tenant shall cooperate with Landlord, at no material cost to Tenant, in Landlord’s efforts to obtain such permits and other approvals.</w:t>
      </w:r>
    </w:p>
    <w:p>
      <w:pPr>
        <w:spacing w:after="0" w:line="191" w:lineRule="exact"/>
        <w:rPr>
          <w:rFonts w:ascii="Arial" w:cs="Arial" w:eastAsia="Arial" w:hAnsi="Arial"/>
          <w:sz w:val="20"/>
          <w:szCs w:val="20"/>
          <w:color w:val="auto"/>
        </w:rPr>
      </w:pPr>
    </w:p>
    <w:p>
      <w:pPr>
        <w:jc w:val="both"/>
        <w:ind w:left="-880" w:firstLine="1735"/>
        <w:spacing w:after="0" w:line="269" w:lineRule="auto"/>
        <w:tabs>
          <w:tab w:leader="none" w:pos="172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Costs of the Tenant Improvements; Allowance</w:t>
      </w:r>
      <w:r>
        <w:rPr>
          <w:rFonts w:ascii="Arial" w:cs="Arial" w:eastAsia="Arial" w:hAnsi="Arial"/>
          <w:sz w:val="18"/>
          <w:szCs w:val="18"/>
          <w:color w:val="auto"/>
        </w:rPr>
        <w:t>. Landlord agrees to complete the Tenant Improvements, at Tenant’s sole cost and expense (but subject to the application of the Allowance (as defined below) as set forth below), equal to the aggregate of all costs, expenses and fees incurred by or on behalf of Landlord in connection therewith (the “</w:t>
      </w:r>
      <w:r>
        <w:rPr>
          <w:rFonts w:ascii="Arial" w:cs="Arial" w:eastAsia="Arial" w:hAnsi="Arial"/>
          <w:sz w:val="18"/>
          <w:szCs w:val="18"/>
          <w:b w:val="1"/>
          <w:bCs w:val="1"/>
          <w:color w:val="auto"/>
        </w:rPr>
        <w:t>Tenant’s Cost</w:t>
      </w:r>
      <w:r>
        <w:rPr>
          <w:rFonts w:ascii="Arial" w:cs="Arial" w:eastAsia="Arial" w:hAnsi="Arial"/>
          <w:sz w:val="18"/>
          <w:szCs w:val="18"/>
          <w:color w:val="auto"/>
        </w:rPr>
        <w:t>”), including, without limitation, (i) architectural, engineering and design costs, (ii) the cost charged to Landlord by Landlord’s general contractor and all subcontractors for performing the Tenant Improvements, (iii) the cost to Landlord of performing directly any portion of the Tenant Improvements and (iv) Landlord’s construction management fee for Landlord’s supervision of the Tenant Improvements in an amount equal to 5% of the Tenant’s Cost. Provided Tenant is not in default under the Lease, Landlord agrees to credit Tenant with an allowance (the “</w:t>
      </w:r>
      <w:r>
        <w:rPr>
          <w:rFonts w:ascii="Arial" w:cs="Arial" w:eastAsia="Arial" w:hAnsi="Arial"/>
          <w:sz w:val="18"/>
          <w:szCs w:val="18"/>
          <w:b w:val="1"/>
          <w:bCs w:val="1"/>
          <w:color w:val="auto"/>
        </w:rPr>
        <w:t>Allowance</w:t>
      </w:r>
      <w:r>
        <w:rPr>
          <w:rFonts w:ascii="Arial" w:cs="Arial" w:eastAsia="Arial" w:hAnsi="Arial"/>
          <w:sz w:val="18"/>
          <w:szCs w:val="18"/>
          <w:color w:val="auto"/>
        </w:rPr>
        <w:t>”) equal to the lesser of the Tenant’s Cost or [***]. Landlord’s obligation to complete the Tenant Improvements is contingent upon Tenant paying Landlord the amount by which the estimated amount of the Tenant’s Cost exceeds the Allowance, which amounts shall be paid by Tenant to Landlord after application of the Allowance and within 30 days after being billed therefor, such billings to be based on and accompanied by invoice(s) received by Landlord from its third party contractors and materialmen. Tenant’s failure to comply with the foregoing sentence shall be deemed a Tenant Delay. Notwithstanding the foregoing, (i) Landlord’s obligation to credit Tenant as set forth herein shall be delayed (but not terminated) during the pendency of any default by Tenant under this Lease, and (ii) Landlord shall reimburse Tenant as set forth herein if and when Tenant cures any such default. Upon completion of the Tenant Improvements and determination of the actual Tenant’s Cost, which determination shall occur within a commercially reasonable time period following the completion of the Landlord Work, Landlord or Tenant shall immediately pay to the other (or, at Landlord’s option, Landlord may credit Tenant) the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G</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9" w:right="339" w:bottom="1440" w:gutter="0" w:footer="0" w:header="0"/>
        </w:sectPr>
      </w:pPr>
    </w:p>
    <w:bookmarkStart w:id="228" w:name="page229"/>
    <w:bookmarkEnd w:id="228"/>
    <w:p>
      <w:pPr>
        <w:jc w:val="both"/>
        <w:spacing w:after="0" w:line="244" w:lineRule="auto"/>
        <w:rPr>
          <w:sz w:val="20"/>
          <w:szCs w:val="20"/>
          <w:color w:val="auto"/>
        </w:rPr>
      </w:pPr>
      <w:r>
        <w:rPr>
          <w:rFonts w:ascii="Arial" w:cs="Arial" w:eastAsia="Arial" w:hAnsi="Arial"/>
          <w:sz w:val="20"/>
          <w:szCs w:val="20"/>
          <w:color w:val="auto"/>
        </w:rPr>
        <w:t>amount of any overpayment or deficiency then due from one to the other in connection with the foregoing sentence. In addition, Tenant shall pay to Landlord, within 30 days after being billed therefor (accompanied by reasonable backup documentation) all costs and any expenses incurred by Landlord due to an increase in the materials cost of the Base Building Work to the extent caused by a Tenant Delay. Landlord shall have no further obligations to pay for any costs incurred in connection with the Tenant Improvements, except as otherwise expressly set forth in the Lease.</w:t>
      </w:r>
    </w:p>
    <w:p>
      <w:pPr>
        <w:spacing w:after="0" w:line="194" w:lineRule="exact"/>
        <w:rPr>
          <w:sz w:val="20"/>
          <w:szCs w:val="20"/>
          <w:color w:val="auto"/>
        </w:rPr>
      </w:pPr>
    </w:p>
    <w:p>
      <w:pPr>
        <w:ind w:firstLine="1735"/>
        <w:spacing w:after="0" w:line="260" w:lineRule="auto"/>
        <w:tabs>
          <w:tab w:leader="none" w:pos="2562" w:val="left"/>
        </w:tabs>
        <w:numPr>
          <w:ilvl w:val="1"/>
          <w:numId w:val="176"/>
        </w:numPr>
        <w:rPr>
          <w:rFonts w:ascii="Arial" w:cs="Arial" w:eastAsia="Arial" w:hAnsi="Arial"/>
          <w:sz w:val="20"/>
          <w:szCs w:val="20"/>
          <w:color w:val="auto"/>
        </w:rPr>
      </w:pPr>
      <w:r>
        <w:rPr>
          <w:rFonts w:ascii="Arial" w:cs="Arial" w:eastAsia="Arial" w:hAnsi="Arial"/>
          <w:sz w:val="20"/>
          <w:szCs w:val="20"/>
          <w:u w:val="single" w:color="auto"/>
          <w:color w:val="auto"/>
        </w:rPr>
        <w:t>Standard of Performance</w:t>
      </w:r>
      <w:r>
        <w:rPr>
          <w:rFonts w:ascii="Arial" w:cs="Arial" w:eastAsia="Arial" w:hAnsi="Arial"/>
          <w:sz w:val="20"/>
          <w:szCs w:val="20"/>
          <w:color w:val="auto"/>
        </w:rPr>
        <w:t>. Landlord shall cause Landlord’s TI Contractor to construct and complete the Tenant Improvements in a good and workmanlike manner, in accordance with all Applicable Laws.</w:t>
      </w:r>
    </w:p>
    <w:p>
      <w:pPr>
        <w:spacing w:after="0" w:line="176" w:lineRule="exact"/>
        <w:rPr>
          <w:rFonts w:ascii="Arial" w:cs="Arial" w:eastAsia="Arial" w:hAnsi="Arial"/>
          <w:sz w:val="20"/>
          <w:szCs w:val="20"/>
          <w:color w:val="auto"/>
        </w:rPr>
      </w:pPr>
    </w:p>
    <w:p>
      <w:pPr>
        <w:jc w:val="both"/>
        <w:ind w:firstLine="1735"/>
        <w:spacing w:after="0" w:line="246" w:lineRule="auto"/>
        <w:tabs>
          <w:tab w:leader="none" w:pos="2562" w:val="left"/>
        </w:tabs>
        <w:numPr>
          <w:ilvl w:val="1"/>
          <w:numId w:val="176"/>
        </w:numPr>
        <w:rPr>
          <w:rFonts w:ascii="Arial" w:cs="Arial" w:eastAsia="Arial" w:hAnsi="Arial"/>
          <w:sz w:val="20"/>
          <w:szCs w:val="20"/>
          <w:color w:val="auto"/>
        </w:rPr>
      </w:pPr>
      <w:r>
        <w:rPr>
          <w:rFonts w:ascii="Arial" w:cs="Arial" w:eastAsia="Arial" w:hAnsi="Arial"/>
          <w:sz w:val="20"/>
          <w:szCs w:val="20"/>
          <w:u w:val="single" w:color="auto"/>
          <w:color w:val="auto"/>
        </w:rPr>
        <w:t>Limitation on Landlord’s Responsibility</w:t>
      </w:r>
      <w:r>
        <w:rPr>
          <w:rFonts w:ascii="Arial" w:cs="Arial" w:eastAsia="Arial" w:hAnsi="Arial"/>
          <w:sz w:val="20"/>
          <w:szCs w:val="20"/>
          <w:color w:val="auto"/>
        </w:rPr>
        <w:t>. Without limiting the foregoing provisions of this Section, Landlord and Tenant agree that Tenant shall be responsible to review the Final TI Construction Documents to ensure the proposed Tenant Improvements are adequate, appropriate, suitable and sufficient for Tenant’s desired purposes and Tenant’s specific manner of use of the Premises.</w:t>
      </w:r>
    </w:p>
    <w:p>
      <w:pPr>
        <w:spacing w:after="0" w:line="191" w:lineRule="exact"/>
        <w:rPr>
          <w:rFonts w:ascii="Arial" w:cs="Arial" w:eastAsia="Arial" w:hAnsi="Arial"/>
          <w:sz w:val="20"/>
          <w:szCs w:val="20"/>
          <w:color w:val="auto"/>
        </w:rPr>
      </w:pPr>
    </w:p>
    <w:p>
      <w:pPr>
        <w:jc w:val="both"/>
        <w:ind w:firstLine="1735"/>
        <w:spacing w:after="0" w:line="301" w:lineRule="auto"/>
        <w:tabs>
          <w:tab w:leader="none" w:pos="2606"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t>Substantial Completion of the Tenant Improvements</w:t>
      </w:r>
      <w:r>
        <w:rPr>
          <w:rFonts w:ascii="Arial" w:cs="Arial" w:eastAsia="Arial" w:hAnsi="Arial"/>
          <w:sz w:val="16"/>
          <w:szCs w:val="16"/>
          <w:color w:val="auto"/>
        </w:rPr>
        <w:t>. Subject to Excusable Delays, Landlord shall use commercially reasonable efforts to cause the Substantial Completion of the Tenant Improvements (as defined below) to occur by September 30, 2022 (the “</w:t>
      </w:r>
      <w:r>
        <w:rPr>
          <w:rFonts w:ascii="Arial" w:cs="Arial" w:eastAsia="Arial" w:hAnsi="Arial"/>
          <w:sz w:val="16"/>
          <w:szCs w:val="16"/>
          <w:b w:val="1"/>
          <w:bCs w:val="1"/>
          <w:color w:val="auto"/>
        </w:rPr>
        <w:t>Scheduled TI Substantial Completion Date</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4</w:t>
      </w:r>
      <w:r>
        <w:rPr>
          <w:rFonts w:ascii="Arial" w:cs="Arial" w:eastAsia="Arial" w:hAnsi="Arial"/>
          <w:sz w:val="16"/>
          <w:szCs w:val="16"/>
          <w:color w:val="auto"/>
        </w:rPr>
        <w:t>, “</w:t>
      </w:r>
      <w:r>
        <w:rPr>
          <w:rFonts w:ascii="Arial" w:cs="Arial" w:eastAsia="Arial" w:hAnsi="Arial"/>
          <w:sz w:val="16"/>
          <w:szCs w:val="16"/>
          <w:b w:val="1"/>
          <w:bCs w:val="1"/>
          <w:color w:val="auto"/>
        </w:rPr>
        <w:t>Substantial Completion of the Tenant</w:t>
      </w:r>
      <w:r>
        <w:rPr>
          <w:rFonts w:ascii="Arial" w:cs="Arial" w:eastAsia="Arial" w:hAnsi="Arial"/>
          <w:sz w:val="16"/>
          <w:szCs w:val="16"/>
          <w:color w:val="auto"/>
        </w:rPr>
        <w:t xml:space="preserve"> </w:t>
      </w:r>
      <w:r>
        <w:rPr>
          <w:rFonts w:ascii="Arial" w:cs="Arial" w:eastAsia="Arial" w:hAnsi="Arial"/>
          <w:sz w:val="16"/>
          <w:szCs w:val="16"/>
          <w:b w:val="1"/>
          <w:bCs w:val="1"/>
          <w:color w:val="auto"/>
        </w:rPr>
        <w:t>Improvements</w:t>
      </w:r>
      <w:r>
        <w:rPr>
          <w:rFonts w:ascii="Arial" w:cs="Arial" w:eastAsia="Arial" w:hAnsi="Arial"/>
          <w:sz w:val="16"/>
          <w:szCs w:val="16"/>
          <w:color w:val="auto"/>
        </w:rPr>
        <w:t>” (or any variation or derivation thereof) shall mean that Landlord has delivered to Tenant (a) physical possession of, and</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the Premises, which shall comply with all Applicable Laws, (b) a certificate of Tenant’s Design Professional certifying that the Tenant Improvements have been substantially completed in accordance with the Final TI Construction Documents and all Applicable Laws, subject only to incomplete items which do not adversely affect in a material way or materially interfere with Tenant’s use and occupancy of the Premises for the Permitted Use, which incomplete items shall be set forth on the Tenant Improvements Punch List (as defined below), and</w:t>
      </w:r>
    </w:p>
    <w:p>
      <w:pPr>
        <w:spacing w:after="0" w:line="6" w:lineRule="exact"/>
        <w:rPr>
          <w:rFonts w:ascii="Arial" w:cs="Arial" w:eastAsia="Arial" w:hAnsi="Arial"/>
          <w:sz w:val="16"/>
          <w:szCs w:val="16"/>
          <w:color w:val="auto"/>
        </w:rPr>
      </w:pPr>
    </w:p>
    <w:p>
      <w:pPr>
        <w:jc w:val="both"/>
        <w:ind w:firstLine="8"/>
        <w:spacing w:after="0" w:line="254" w:lineRule="auto"/>
        <w:tabs>
          <w:tab w:leader="none" w:pos="275" w:val="left"/>
        </w:tabs>
        <w:numPr>
          <w:ilvl w:val="0"/>
          <w:numId w:val="177"/>
        </w:numPr>
        <w:rPr>
          <w:rFonts w:ascii="Arial" w:cs="Arial" w:eastAsia="Arial" w:hAnsi="Arial"/>
          <w:sz w:val="19"/>
          <w:szCs w:val="19"/>
          <w:color w:val="auto"/>
        </w:rPr>
      </w:pPr>
      <w:r>
        <w:rPr>
          <w:rFonts w:ascii="Arial" w:cs="Arial" w:eastAsia="Arial" w:hAnsi="Arial"/>
          <w:sz w:val="19"/>
          <w:szCs w:val="19"/>
          <w:color w:val="auto"/>
        </w:rPr>
        <w:t>a temporary or permanent certificate of occupancy for Tenant’s use and occupancy of the Premises for the Permitted Use has been issued by the Governmental Agency. Tenant agrees to cooperate reasonably, at no material cost to Tenant, with Landlord in Landlord’s efforts to obtain the certificate of occupancy and agrees, to the extent any ongoing or incomplete approved Tenant Fixturing (not the Tenant Improvements) could negatively impact Landlord’s ability to obtain a certificate of occupancy for the Tenant Improvements, to suspend all such Tenant Fixturing and (to the extent safe, practicable and in accordance with Applicable Law) cause same not to appear to be in an “in process” condition on any day on which a physical inspection of the Premises is undertaken for issuance of such certificate of occupancy, provided Tenant receives reasonable advance notice thereof. The date that Substantial Completion of the Tenant Improvements actually occurs is referred to as the “</w:t>
      </w:r>
      <w:r>
        <w:rPr>
          <w:rFonts w:ascii="Arial" w:cs="Arial" w:eastAsia="Arial" w:hAnsi="Arial"/>
          <w:sz w:val="19"/>
          <w:szCs w:val="19"/>
          <w:b w:val="1"/>
          <w:bCs w:val="1"/>
          <w:color w:val="auto"/>
        </w:rPr>
        <w:t>TI Substantial Completion Date</w:t>
      </w:r>
      <w:r>
        <w:rPr>
          <w:rFonts w:ascii="Arial" w:cs="Arial" w:eastAsia="Arial" w:hAnsi="Arial"/>
          <w:sz w:val="19"/>
          <w:szCs w:val="19"/>
          <w:color w:val="auto"/>
        </w:rPr>
        <w:t>.” The date on which both the Base Building Work Substantial Completion Date and the TI Substantial Completion Date are achieved and possession of the Premises is delivered to Tenant is referred to as the “</w:t>
      </w:r>
      <w:r>
        <w:rPr>
          <w:rFonts w:ascii="Arial" w:cs="Arial" w:eastAsia="Arial" w:hAnsi="Arial"/>
          <w:sz w:val="19"/>
          <w:szCs w:val="19"/>
          <w:b w:val="1"/>
          <w:bCs w:val="1"/>
          <w:color w:val="auto"/>
        </w:rPr>
        <w:t>Landlord Work Substantial Completion Date</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firstLine="1735"/>
        <w:spacing w:after="0" w:line="282" w:lineRule="auto"/>
        <w:tabs>
          <w:tab w:leader="none" w:pos="2562"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Tenant Improvements Punch List</w:t>
      </w:r>
      <w:r>
        <w:rPr>
          <w:rFonts w:ascii="Arial" w:cs="Arial" w:eastAsia="Arial" w:hAnsi="Arial"/>
          <w:sz w:val="18"/>
          <w:szCs w:val="18"/>
          <w:color w:val="auto"/>
        </w:rPr>
        <w:t>. Upon Substantial Completion of the Tenant Improvements, Landlord, in consultation with Tenant, shall generate a punch list of all asserted defects or incomplete work items, if any, in Landlord’s construction of the Tenant Improvements (the “</w:t>
      </w:r>
      <w:r>
        <w:rPr>
          <w:rFonts w:ascii="Arial" w:cs="Arial" w:eastAsia="Arial" w:hAnsi="Arial"/>
          <w:sz w:val="18"/>
          <w:szCs w:val="18"/>
          <w:b w:val="1"/>
          <w:bCs w:val="1"/>
          <w:color w:val="auto"/>
        </w:rPr>
        <w:t>Tenant Improvements Punch List</w:t>
      </w:r>
      <w:r>
        <w:rPr>
          <w:rFonts w:ascii="Arial" w:cs="Arial" w:eastAsia="Arial" w:hAnsi="Arial"/>
          <w:sz w:val="18"/>
          <w:szCs w:val="18"/>
          <w:color w:val="auto"/>
        </w:rPr>
        <w:t>”). Landlord shall complete all items on the Tenant Improvements Punch List within 60 days after the date of the generation of the Tenant Improvements Punch List, unless due to Excusable Delays.</w:t>
      </w:r>
    </w:p>
    <w:p>
      <w:pPr>
        <w:spacing w:after="0" w:line="161" w:lineRule="exact"/>
        <w:rPr>
          <w:rFonts w:ascii="Arial" w:cs="Arial" w:eastAsia="Arial" w:hAnsi="Arial"/>
          <w:sz w:val="18"/>
          <w:szCs w:val="18"/>
          <w:color w:val="auto"/>
        </w:rPr>
      </w:pPr>
    </w:p>
    <w:p>
      <w:pPr>
        <w:jc w:val="both"/>
        <w:ind w:firstLine="1735"/>
        <w:spacing w:after="0" w:line="246" w:lineRule="auto"/>
        <w:tabs>
          <w:tab w:leader="none" w:pos="2661" w:val="left"/>
        </w:tabs>
        <w:numPr>
          <w:ilvl w:val="1"/>
          <w:numId w:val="177"/>
        </w:numPr>
        <w:rPr>
          <w:rFonts w:ascii="Arial" w:cs="Arial" w:eastAsia="Arial" w:hAnsi="Arial"/>
          <w:sz w:val="20"/>
          <w:szCs w:val="20"/>
          <w:color w:val="auto"/>
        </w:rPr>
      </w:pPr>
      <w:r>
        <w:rPr>
          <w:rFonts w:ascii="Arial" w:cs="Arial" w:eastAsia="Arial" w:hAnsi="Arial"/>
          <w:sz w:val="20"/>
          <w:szCs w:val="20"/>
          <w:u w:val="single" w:color="auto"/>
          <w:color w:val="auto"/>
        </w:rPr>
        <w:t>Inclusion of Plans</w:t>
      </w:r>
      <w:r>
        <w:rPr>
          <w:rFonts w:ascii="Arial" w:cs="Arial" w:eastAsia="Arial" w:hAnsi="Arial"/>
          <w:sz w:val="20"/>
          <w:szCs w:val="20"/>
          <w:color w:val="auto"/>
        </w:rPr>
        <w:t>. As and when developed and approved in accordance with the procedures set forth in this Work Letter, each installment or phase of the TI Design Development Plans and Specifications and the Final TI Construction Documents shall be initialed by Landlord and Tenant, shall be labeled “final” and a schedule of each installment of such TI Design Development Plans and Specifications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G</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29" w:name="page230"/>
    <w:bookmarkEnd w:id="229"/>
    <w:p>
      <w:pPr>
        <w:spacing w:after="0" w:line="260" w:lineRule="auto"/>
        <w:rPr>
          <w:sz w:val="20"/>
          <w:szCs w:val="20"/>
          <w:color w:val="auto"/>
        </w:rPr>
      </w:pPr>
      <w:r>
        <w:rPr>
          <w:rFonts w:ascii="Arial" w:cs="Arial" w:eastAsia="Arial" w:hAnsi="Arial"/>
          <w:sz w:val="20"/>
          <w:szCs w:val="20"/>
          <w:color w:val="auto"/>
        </w:rPr>
        <w:t>and the Final TI Construction Documents shall thereby be incorporated into and made a part of the Lease as if originally attached thereto at the time of execution of the Lease.</w:t>
      </w:r>
    </w:p>
    <w:p>
      <w:pPr>
        <w:spacing w:after="0" w:line="171" w:lineRule="exact"/>
        <w:rPr>
          <w:sz w:val="20"/>
          <w:szCs w:val="20"/>
          <w:color w:val="auto"/>
        </w:rPr>
      </w:pPr>
    </w:p>
    <w:p>
      <w:pPr>
        <w:ind w:left="1660" w:hanging="788"/>
        <w:spacing w:after="0"/>
        <w:tabs>
          <w:tab w:leader="none" w:pos="1660" w:val="left"/>
        </w:tabs>
        <w:numPr>
          <w:ilvl w:val="0"/>
          <w:numId w:val="178"/>
        </w:numPr>
        <w:rPr>
          <w:rFonts w:ascii="Arial" w:cs="Arial" w:eastAsia="Arial" w:hAnsi="Arial"/>
          <w:sz w:val="20"/>
          <w:szCs w:val="20"/>
          <w:color w:val="auto"/>
        </w:rPr>
      </w:pPr>
      <w:r>
        <w:rPr>
          <w:rFonts w:ascii="Arial" w:cs="Arial" w:eastAsia="Arial" w:hAnsi="Arial"/>
          <w:sz w:val="20"/>
          <w:szCs w:val="20"/>
          <w:b w:val="1"/>
          <w:bCs w:val="1"/>
          <w:color w:val="auto"/>
        </w:rPr>
        <w:t>Field Adjustments and Change Orders</w:t>
      </w:r>
    </w:p>
    <w:p>
      <w:pPr>
        <w:spacing w:after="0" w:line="221" w:lineRule="exact"/>
        <w:rPr>
          <w:rFonts w:ascii="Arial" w:cs="Arial" w:eastAsia="Arial" w:hAnsi="Arial"/>
          <w:sz w:val="20"/>
          <w:szCs w:val="20"/>
          <w:color w:val="auto"/>
        </w:rPr>
      </w:pPr>
    </w:p>
    <w:p>
      <w:pPr>
        <w:jc w:val="both"/>
        <w:ind w:firstLine="1735"/>
        <w:spacing w:after="0" w:line="270" w:lineRule="auto"/>
        <w:tabs>
          <w:tab w:leader="none" w:pos="259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Tenant acknowledges and agrees that, except as expressly set forth in the Final Base Building Plans and Specifications and the Final TI Construction Documents, the Landlord Work shall be constructed using Building-standard methods, materials and finishes designated by Landlord for the Building, in consultation with Tenant. Landlord shall have the right, from time to time, to make reasonable and non-material changes/field adjustments (collectively, “</w:t>
      </w:r>
      <w:r>
        <w:rPr>
          <w:rFonts w:ascii="Arial" w:cs="Arial" w:eastAsia="Arial" w:hAnsi="Arial"/>
          <w:sz w:val="18"/>
          <w:szCs w:val="18"/>
          <w:b w:val="1"/>
          <w:bCs w:val="1"/>
          <w:color w:val="auto"/>
        </w:rPr>
        <w:t>Non-Material Field Adjustments</w:t>
      </w:r>
      <w:r>
        <w:rPr>
          <w:rFonts w:ascii="Arial" w:cs="Arial" w:eastAsia="Arial" w:hAnsi="Arial"/>
          <w:sz w:val="18"/>
          <w:szCs w:val="18"/>
          <w:color w:val="auto"/>
        </w:rPr>
        <w:t>”) in and to the Final Base Building Plans and Specifications and the Final TI Construction Documents to the extent that the same shall be necessary in order to adjust to actual field conditions or to cause the work shown on the Final Base Building Plans and Specifications and the Final TI Construction Documents to comply with any applicable requirements of public authorities and/or requirements of insurance bodies. All Non-Material Field Adjustments (which may be made immediately but confirmed by written change order and notice to Tenant) shall be noted on the applicable plans or documents. Except for Non-Material Field Adjustments, Landlord shall not make any other changes/field adjustments in and to the Final Base Building Plans and Specifications and the Final TI Construction Documents, without first obtaining the written consent of Tenant, which consent shall not be unreasonably withheld, conditioned or delayed. Tenant’s failure to respond to Landlord in writing within 2 business days after the date of Tenant’s receipt of Landlord’s written request for such consent shall be deemed a Tenant Delay.</w:t>
      </w:r>
    </w:p>
    <w:p>
      <w:pPr>
        <w:spacing w:after="0" w:line="169" w:lineRule="exact"/>
        <w:rPr>
          <w:rFonts w:ascii="Arial" w:cs="Arial" w:eastAsia="Arial" w:hAnsi="Arial"/>
          <w:sz w:val="18"/>
          <w:szCs w:val="18"/>
          <w:color w:val="auto"/>
        </w:rPr>
      </w:pPr>
    </w:p>
    <w:p>
      <w:pPr>
        <w:jc w:val="both"/>
        <w:ind w:firstLine="1735"/>
        <w:spacing w:after="0" w:line="269" w:lineRule="auto"/>
        <w:tabs>
          <w:tab w:leader="none" w:pos="260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Base Building Work and the Tenant Improvements are collectively referred to as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w:t>
      </w:r>
      <w:r>
        <w:rPr>
          <w:rFonts w:ascii="Arial" w:cs="Arial" w:eastAsia="Arial" w:hAnsi="Arial"/>
          <w:sz w:val="18"/>
          <w:szCs w:val="18"/>
          <w:b w:val="1"/>
          <w:bCs w:val="1"/>
          <w:color w:val="auto"/>
        </w:rPr>
        <w:t>Work</w:t>
      </w:r>
      <w:r>
        <w:rPr>
          <w:rFonts w:ascii="Arial" w:cs="Arial" w:eastAsia="Arial" w:hAnsi="Arial"/>
          <w:sz w:val="18"/>
          <w:szCs w:val="18"/>
          <w:color w:val="auto"/>
        </w:rPr>
        <w:t>”. If Tenant shall request any changes to the Final Base Building Plans and/or Specifications and the Final TI Construction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approved by Landlord pursuant to the process set forth herein (“</w:t>
      </w:r>
      <w:r>
        <w:rPr>
          <w:rFonts w:ascii="Arial" w:cs="Arial" w:eastAsia="Arial" w:hAnsi="Arial"/>
          <w:sz w:val="18"/>
          <w:szCs w:val="18"/>
          <w:b w:val="1"/>
          <w:bCs w:val="1"/>
          <w:color w:val="auto"/>
        </w:rPr>
        <w:t>Change Orders</w:t>
      </w:r>
      <w:r>
        <w:rPr>
          <w:rFonts w:ascii="Arial" w:cs="Arial" w:eastAsia="Arial" w:hAnsi="Arial"/>
          <w:sz w:val="18"/>
          <w:szCs w:val="18"/>
          <w:color w:val="auto"/>
        </w:rPr>
        <w:t>”), Landlord shall have any necessary revisions to the Final Base Building Plans and Specifications and/or the Final TI Construction Documents, as the case may be, prepared, and Tenant shall reimburse Landlord for the cost of preparing such revisions. Tenant shall be responsible for any Tenant Delay caused by Tenant or any Tenant Party in the completion of the Landlord Work resulting from any Change Orders pursuant to Section 6(c)(i)(1)(D) below. Landlord shall notify Tenant in writing of (A) the estimated increased cost to the Landlord Work, if any, which will be chargeable to Tenant by reason of such Change Orders, which increased costs together with the costs of preparing revisions to the Final Base Building Plans and/or Specifications and the Final TI Construction Documents are collectively referred to herein as the “</w:t>
      </w:r>
      <w:r>
        <w:rPr>
          <w:rFonts w:ascii="Arial" w:cs="Arial" w:eastAsia="Arial" w:hAnsi="Arial"/>
          <w:sz w:val="18"/>
          <w:szCs w:val="18"/>
          <w:b w:val="1"/>
          <w:bCs w:val="1"/>
          <w:color w:val="auto"/>
        </w:rPr>
        <w:t>Excess Costs</w:t>
      </w:r>
      <w:r>
        <w:rPr>
          <w:rFonts w:ascii="Arial" w:cs="Arial" w:eastAsia="Arial" w:hAnsi="Arial"/>
          <w:sz w:val="18"/>
          <w:szCs w:val="18"/>
          <w:color w:val="auto"/>
        </w:rPr>
        <w:t>”, and (B) Landlord’s estimate of delay resulting from the Change Order. Tenant shall, within 2 business days after receiving Landlord’s estimate of the Excess Costs and delay, notify Landlord in writing whether it desires to proceed with such Change Order, such notification to be accompanied by payment from Tenant of the Excess Costs. In the absence of such written authorization, Landlord shall continue work on the construction of the Landlord Work; provided, however, that Landlord may discontinue work on the construction of that portion of the Landlord Work which may be affected by the pending Change Order until it receives notice of Tenant’s decision, if, in Landlord’s commercially reasonable, good faith discretion, Landlord has determined that proceeding with such construction will interfere with the performance of work set forth in the pending Change Order, in which event any delay caused by the discontinuation of such work shall be deemed to be a delay caused by Tenant. Following approval of the revised Final Base Building Plans and/or Specifications and the Final TI Construction Documents and the payment by Tenant of the required portion of the Excess Costs, if any, Landlord shall cause the Landlord Work to be constructed substantially in accordance with the approved Change Orders.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G</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30" w:name="page231"/>
    <w:bookmarkEnd w:id="230"/>
    <w:p>
      <w:pPr>
        <w:ind w:left="788" w:hanging="788"/>
        <w:spacing w:after="0"/>
        <w:tabs>
          <w:tab w:leader="none" w:pos="788" w:val="left"/>
        </w:tabs>
        <w:numPr>
          <w:ilvl w:val="0"/>
          <w:numId w:val="179"/>
        </w:numPr>
        <w:rPr>
          <w:rFonts w:ascii="Arial" w:cs="Arial" w:eastAsia="Arial" w:hAnsi="Arial"/>
          <w:sz w:val="20"/>
          <w:szCs w:val="20"/>
          <w:color w:val="auto"/>
        </w:rPr>
      </w:pPr>
      <w:r>
        <w:rPr>
          <w:rFonts w:ascii="Arial" w:cs="Arial" w:eastAsia="Arial" w:hAnsi="Arial"/>
          <w:sz w:val="20"/>
          <w:szCs w:val="20"/>
          <w:b w:val="1"/>
          <w:bCs w:val="1"/>
          <w:color w:val="auto"/>
        </w:rPr>
        <w:t>Delays</w:t>
      </w:r>
    </w:p>
    <w:p>
      <w:pPr>
        <w:spacing w:after="0" w:line="221" w:lineRule="exact"/>
        <w:rPr>
          <w:rFonts w:ascii="Arial" w:cs="Arial" w:eastAsia="Arial" w:hAnsi="Arial"/>
          <w:sz w:val="20"/>
          <w:szCs w:val="20"/>
          <w:color w:val="auto"/>
        </w:rPr>
      </w:pPr>
    </w:p>
    <w:p>
      <w:pPr>
        <w:ind w:left="-872" w:firstLine="1735"/>
        <w:spacing w:after="0" w:line="260" w:lineRule="auto"/>
        <w:tabs>
          <w:tab w:leader="none" w:pos="1723" w:val="left"/>
        </w:tabs>
        <w:numPr>
          <w:ilvl w:val="1"/>
          <w:numId w:val="179"/>
        </w:numPr>
        <w:rPr>
          <w:rFonts w:ascii="Arial" w:cs="Arial" w:eastAsia="Arial" w:hAnsi="Arial"/>
          <w:sz w:val="20"/>
          <w:szCs w:val="20"/>
          <w:color w:val="auto"/>
        </w:rPr>
      </w:pPr>
      <w:r>
        <w:rPr>
          <w:rFonts w:ascii="Arial" w:cs="Arial" w:eastAsia="Arial" w:hAnsi="Arial"/>
          <w:sz w:val="20"/>
          <w:szCs w:val="20"/>
          <w:u w:val="single" w:color="auto"/>
          <w:color w:val="auto"/>
        </w:rPr>
        <w:t>Excusable Delay</w:t>
      </w:r>
      <w:r>
        <w:rPr>
          <w:rFonts w:ascii="Arial" w:cs="Arial" w:eastAsia="Arial" w:hAnsi="Arial"/>
          <w:sz w:val="20"/>
          <w:szCs w:val="20"/>
          <w:color w:val="auto"/>
        </w:rPr>
        <w:t>. Construction Force Majeure (as hereinafter defined) and/or Tenant Delay (as hereinafter defined) are collectively referred as “</w:t>
      </w:r>
      <w:r>
        <w:rPr>
          <w:rFonts w:ascii="Arial" w:cs="Arial" w:eastAsia="Arial" w:hAnsi="Arial"/>
          <w:sz w:val="20"/>
          <w:szCs w:val="20"/>
          <w:b w:val="1"/>
          <w:bCs w:val="1"/>
          <w:color w:val="auto"/>
        </w:rPr>
        <w:t>Excusable Delays</w:t>
      </w:r>
      <w:r>
        <w:rPr>
          <w:rFonts w:ascii="Arial" w:cs="Arial" w:eastAsia="Arial" w:hAnsi="Arial"/>
          <w:sz w:val="20"/>
          <w:szCs w:val="20"/>
          <w:color w:val="auto"/>
        </w:rPr>
        <w:t>”.</w:t>
      </w:r>
    </w:p>
    <w:p>
      <w:pPr>
        <w:spacing w:after="0" w:line="170" w:lineRule="exact"/>
        <w:rPr>
          <w:rFonts w:ascii="Arial" w:cs="Arial" w:eastAsia="Arial" w:hAnsi="Arial"/>
          <w:sz w:val="20"/>
          <w:szCs w:val="20"/>
          <w:color w:val="auto"/>
        </w:rPr>
      </w:pPr>
    </w:p>
    <w:p>
      <w:pPr>
        <w:jc w:val="both"/>
        <w:ind w:left="-872" w:firstLine="1735"/>
        <w:spacing w:after="0" w:line="274" w:lineRule="auto"/>
        <w:tabs>
          <w:tab w:leader="none" w:pos="1734"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Construction Force Majeure</w:t>
      </w:r>
      <w:r>
        <w:rPr>
          <w:rFonts w:ascii="Arial" w:cs="Arial" w:eastAsia="Arial" w:hAnsi="Arial"/>
          <w:sz w:val="18"/>
          <w:szCs w:val="18"/>
          <w:color w:val="auto"/>
        </w:rPr>
        <w:t>. For purposes hereof, “</w:t>
      </w:r>
      <w:r>
        <w:rPr>
          <w:rFonts w:ascii="Arial" w:cs="Arial" w:eastAsia="Arial" w:hAnsi="Arial"/>
          <w:sz w:val="18"/>
          <w:szCs w:val="18"/>
          <w:b w:val="1"/>
          <w:bCs w:val="1"/>
          <w:color w:val="auto"/>
        </w:rPr>
        <w:t>Construction Force Majeure</w:t>
      </w:r>
      <w:r>
        <w:rPr>
          <w:rFonts w:ascii="Arial" w:cs="Arial" w:eastAsia="Arial" w:hAnsi="Arial"/>
          <w:sz w:val="18"/>
          <w:szCs w:val="18"/>
          <w:color w:val="auto"/>
        </w:rPr>
        <w:t>” shall mean time actually lost by Landlord or Landlord’s contractors, subcontractors or suppliers due to governmental restrictions, limitations and delays (including, without limitation, delays in the issuance of any governmental permit, license and/or approval required to complete the Landlord Work through no fault of Landlord or its agents, employees or contractors), scarcity, unavailability or delay in obtaining fuel, materials, equipment or components (so long as any delays occur despite Landlord’s commercially reasonable diligent efforts), war or other national emergency, accidents, floods, defective materials, fire damage or other casualties, adverse weather conditions which reasonably prevent Landlord from pursuing construction activities in a normal manner, soil conditions, or any other cause similar or dissimilar to the foregoing in any case beyond the reasonable control of Landlord or Landlord’s contractors, subcontractors or suppliers.</w:t>
      </w:r>
    </w:p>
    <w:p>
      <w:pPr>
        <w:spacing w:after="0" w:line="167" w:lineRule="exact"/>
        <w:rPr>
          <w:rFonts w:ascii="Arial" w:cs="Arial" w:eastAsia="Arial" w:hAnsi="Arial"/>
          <w:sz w:val="18"/>
          <w:szCs w:val="18"/>
          <w:color w:val="auto"/>
        </w:rPr>
      </w:pPr>
    </w:p>
    <w:p>
      <w:pPr>
        <w:ind w:left="1728" w:hanging="865"/>
        <w:spacing w:after="0"/>
        <w:tabs>
          <w:tab w:leader="none" w:pos="1728" w:val="left"/>
        </w:tabs>
        <w:numPr>
          <w:ilvl w:val="1"/>
          <w:numId w:val="179"/>
        </w:numPr>
        <w:rPr>
          <w:rFonts w:ascii="Arial" w:cs="Arial" w:eastAsia="Arial" w:hAnsi="Arial"/>
          <w:sz w:val="20"/>
          <w:szCs w:val="20"/>
          <w:color w:val="auto"/>
        </w:rPr>
      </w:pPr>
      <w:r>
        <w:rPr>
          <w:rFonts w:ascii="Arial" w:cs="Arial" w:eastAsia="Arial" w:hAnsi="Arial"/>
          <w:sz w:val="20"/>
          <w:szCs w:val="20"/>
          <w:u w:val="single" w:color="auto"/>
          <w:color w:val="auto"/>
        </w:rPr>
        <w:t>Tenant Delay</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left="2568" w:hanging="840"/>
        <w:spacing w:after="0"/>
        <w:tabs>
          <w:tab w:leader="none" w:pos="2568" w:val="left"/>
        </w:tabs>
        <w:numPr>
          <w:ilvl w:val="2"/>
          <w:numId w:val="179"/>
        </w:numPr>
        <w:rPr>
          <w:rFonts w:ascii="Arial" w:cs="Arial" w:eastAsia="Arial" w:hAnsi="Arial"/>
          <w:sz w:val="19"/>
          <w:szCs w:val="19"/>
          <w:color w:val="010000"/>
        </w:rPr>
      </w:pPr>
      <w:r>
        <w:rPr>
          <w:rFonts w:ascii="Arial" w:cs="Arial" w:eastAsia="Arial" w:hAnsi="Arial"/>
          <w:sz w:val="19"/>
          <w:szCs w:val="19"/>
          <w:color w:val="auto"/>
        </w:rPr>
        <w:t>For purposes hereof, the terms “</w:t>
      </w:r>
      <w:r>
        <w:rPr>
          <w:rFonts w:ascii="Arial" w:cs="Arial" w:eastAsia="Arial" w:hAnsi="Arial"/>
          <w:sz w:val="19"/>
          <w:szCs w:val="19"/>
          <w:b w:val="1"/>
          <w:bCs w:val="1"/>
          <w:color w:val="auto"/>
        </w:rPr>
        <w:t>Tenant Delay</w:t>
      </w:r>
      <w:r>
        <w:rPr>
          <w:rFonts w:ascii="Arial" w:cs="Arial" w:eastAsia="Arial" w:hAnsi="Arial"/>
          <w:sz w:val="19"/>
          <w:szCs w:val="19"/>
          <w:color w:val="auto"/>
        </w:rPr>
        <w:t>” or “</w:t>
      </w:r>
      <w:r>
        <w:rPr>
          <w:rFonts w:ascii="Arial" w:cs="Arial" w:eastAsia="Arial" w:hAnsi="Arial"/>
          <w:sz w:val="19"/>
          <w:szCs w:val="19"/>
          <w:b w:val="1"/>
          <w:bCs w:val="1"/>
          <w:color w:val="auto"/>
        </w:rPr>
        <w:t>Delay caused by Tenant</w:t>
      </w:r>
      <w:r>
        <w:rPr>
          <w:rFonts w:ascii="Arial" w:cs="Arial" w:eastAsia="Arial" w:hAnsi="Arial"/>
          <w:sz w:val="19"/>
          <w:szCs w:val="19"/>
          <w:color w:val="auto"/>
        </w:rPr>
        <w:t>” shall mean:</w:t>
      </w:r>
    </w:p>
    <w:p>
      <w:pPr>
        <w:spacing w:after="0" w:line="233" w:lineRule="exact"/>
        <w:rPr>
          <w:rFonts w:ascii="Arial" w:cs="Arial" w:eastAsia="Arial" w:hAnsi="Arial"/>
          <w:sz w:val="19"/>
          <w:szCs w:val="19"/>
          <w:color w:val="010000"/>
        </w:rPr>
      </w:pPr>
    </w:p>
    <w:p>
      <w:pPr>
        <w:jc w:val="both"/>
        <w:ind w:left="-872" w:firstLine="3464"/>
        <w:spacing w:after="0" w:line="276" w:lineRule="auto"/>
        <w:tabs>
          <w:tab w:leader="none" w:pos="3381" w:val="left"/>
        </w:tabs>
        <w:numPr>
          <w:ilvl w:val="3"/>
          <w:numId w:val="179"/>
        </w:numPr>
        <w:rPr>
          <w:rFonts w:ascii="Arial" w:cs="Arial" w:eastAsia="Arial" w:hAnsi="Arial"/>
          <w:sz w:val="18"/>
          <w:szCs w:val="18"/>
          <w:color w:val="010000"/>
        </w:rPr>
      </w:pPr>
      <w:r>
        <w:rPr>
          <w:rFonts w:ascii="Arial" w:cs="Arial" w:eastAsia="Arial" w:hAnsi="Arial"/>
          <w:sz w:val="18"/>
          <w:szCs w:val="18"/>
          <w:color w:val="auto"/>
        </w:rPr>
        <w:t>delay in completion of construction of the Landlord Work caused by any act or failure to act by Tenant or any Tenant Party in violation of this Lease, including, without limitation, (A) delay (beyond the time frames set forth in this Work Letter) by Tenant in approval of the Proposed Base Building Plans and Specifications, Proposed TI Design Development Plans and Specifications, the Proposed TI Construction Documents and other proposed plans and specifications covering work to be performed by Landlord in connection with the Landlord Work, (B) delay in Tenant’s selection of a GMP Proposal beyond any required time period set forth herein, (C) the interference of Tenant with the Landlord Work, or (D) delays resulting from any Change Orders; and</w:t>
      </w:r>
    </w:p>
    <w:p>
      <w:pPr>
        <w:spacing w:after="0" w:line="164" w:lineRule="exact"/>
        <w:rPr>
          <w:rFonts w:ascii="Arial" w:cs="Arial" w:eastAsia="Arial" w:hAnsi="Arial"/>
          <w:sz w:val="18"/>
          <w:szCs w:val="18"/>
          <w:color w:val="010000"/>
        </w:rPr>
      </w:pPr>
    </w:p>
    <w:p>
      <w:pPr>
        <w:jc w:val="both"/>
        <w:ind w:left="-872" w:firstLine="3464"/>
        <w:spacing w:after="0" w:line="243" w:lineRule="auto"/>
        <w:tabs>
          <w:tab w:leader="none" w:pos="3381" w:val="left"/>
        </w:tabs>
        <w:numPr>
          <w:ilvl w:val="3"/>
          <w:numId w:val="179"/>
        </w:numPr>
        <w:rPr>
          <w:rFonts w:ascii="Arial" w:cs="Arial" w:eastAsia="Arial" w:hAnsi="Arial"/>
          <w:sz w:val="20"/>
          <w:szCs w:val="20"/>
          <w:color w:val="010000"/>
        </w:rPr>
      </w:pPr>
      <w:r>
        <w:rPr>
          <w:rFonts w:ascii="Arial" w:cs="Arial" w:eastAsia="Arial" w:hAnsi="Arial"/>
          <w:sz w:val="20"/>
          <w:szCs w:val="20"/>
          <w:color w:val="auto"/>
        </w:rPr>
        <w:t xml:space="preserve">delay in the issuance of a certificate of occupancy or completion of construction of the Landlord Work as a result of any act or omission (with respect to any omission, only to the extent in violation of this Lease or Applicable Laws) of Tenant or any Tenant Party (including, without limitation, any delay by Tenant or any Tenant Party in performing Tenant Fixturing), which continues for 1 business day following Tenant’s receipt of notice (it being agreed that email notice shall suffice, which notice shall be sent to Tim Mueller at </w:t>
      </w:r>
      <w:r>
        <w:rPr>
          <w:rFonts w:ascii="Arial" w:cs="Arial" w:eastAsia="Arial" w:hAnsi="Arial"/>
          <w:sz w:val="20"/>
          <w:szCs w:val="20"/>
          <w:u w:val="single" w:color="auto"/>
          <w:color w:val="auto"/>
        </w:rPr>
        <w:t>tmueller@preludetx.com</w:t>
      </w:r>
      <w:r>
        <w:rPr>
          <w:rFonts w:ascii="Arial" w:cs="Arial" w:eastAsia="Arial" w:hAnsi="Arial"/>
          <w:sz w:val="20"/>
          <w:szCs w:val="20"/>
          <w:color w:val="auto"/>
        </w:rPr>
        <w:t xml:space="preserve"> until changed by Tenant upon notice to Landlord) of such delay or Tenant otherwise becoming aware of such delay.</w:t>
      </w:r>
    </w:p>
    <w:p>
      <w:pPr>
        <w:spacing w:after="0" w:line="195" w:lineRule="exact"/>
        <w:rPr>
          <w:rFonts w:ascii="Arial" w:cs="Arial" w:eastAsia="Arial" w:hAnsi="Arial"/>
          <w:sz w:val="20"/>
          <w:szCs w:val="20"/>
          <w:color w:val="010000"/>
        </w:rPr>
      </w:pPr>
    </w:p>
    <w:p>
      <w:pPr>
        <w:jc w:val="both"/>
        <w:ind w:left="-872" w:firstLine="2600"/>
        <w:spacing w:after="0" w:line="256" w:lineRule="auto"/>
        <w:tabs>
          <w:tab w:leader="none" w:pos="2610" w:val="left"/>
        </w:tabs>
        <w:numPr>
          <w:ilvl w:val="2"/>
          <w:numId w:val="179"/>
        </w:numPr>
        <w:rPr>
          <w:rFonts w:ascii="Arial" w:cs="Arial" w:eastAsia="Arial" w:hAnsi="Arial"/>
          <w:sz w:val="19"/>
          <w:szCs w:val="19"/>
          <w:color w:val="010000"/>
        </w:rPr>
      </w:pPr>
      <w:r>
        <w:rPr>
          <w:rFonts w:ascii="Arial" w:cs="Arial" w:eastAsia="Arial" w:hAnsi="Arial"/>
          <w:sz w:val="19"/>
          <w:szCs w:val="19"/>
          <w:color w:val="auto"/>
        </w:rPr>
        <w:t xml:space="preserve">For purposes of determining Tenant Delay, the term Tenant shall include any Tenant Party. If the Landlord Work Substantial Completion Date is delayed by a Tenant Delay, then the Landlord Work Substantial Completion Date shall be deemed to have occurred on the date it would have occurred but for such Tenant Delay. Landlord shall notify Tenant in writing (it being agreed that email notice shall suffice, which notice shall be sent to Tim Mueller at </w:t>
      </w:r>
      <w:r>
        <w:rPr>
          <w:rFonts w:ascii="Arial" w:cs="Arial" w:eastAsia="Arial" w:hAnsi="Arial"/>
          <w:sz w:val="19"/>
          <w:szCs w:val="19"/>
          <w:u w:val="single" w:color="auto"/>
          <w:color w:val="auto"/>
        </w:rPr>
        <w:t>tmueller@preludetx.com</w:t>
      </w:r>
      <w:r>
        <w:rPr>
          <w:rFonts w:ascii="Arial" w:cs="Arial" w:eastAsia="Arial" w:hAnsi="Arial"/>
          <w:sz w:val="19"/>
          <w:szCs w:val="19"/>
          <w:color w:val="auto"/>
        </w:rPr>
        <w:t xml:space="preserve"> until changed by Tenant upon notice to Landlord) of the occurrence of a Tenant Delay event within 3 business days after Landlord actually becomes aware of the occurrence of such Tenant Delay event, provided that if Landlord fails to so notify Tenant within 7 business days after Landlord actually becomes aware of the occurrence of such Tenant Delay event, then, except if Tenant otherwise has become aware of such Tenant Delay (in which case the ensuing language shall not apply), such Tenant Delay shall not be deemed to commence unless and until Tenant’s receipt of such notice at the time that such Tenant Delay is continuing.</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20"/>
          <w:szCs w:val="20"/>
          <w:u w:val="single" w:color="auto"/>
          <w:color w:val="auto"/>
        </w:rPr>
        <w:t>EXHIBIT G</w:t>
      </w:r>
    </w:p>
    <w:p>
      <w:pPr>
        <w:spacing w:after="0" w:line="16" w:lineRule="exact"/>
        <w:rPr>
          <w:sz w:val="20"/>
          <w:szCs w:val="20"/>
          <w:color w:val="auto"/>
        </w:rPr>
      </w:pPr>
    </w:p>
    <w:p>
      <w:pPr>
        <w:ind w:left="8"/>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55880</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3" w:right="339" w:bottom="1440" w:gutter="0" w:footer="0" w:header="0"/>
        </w:sectPr>
      </w:pPr>
    </w:p>
    <w:bookmarkStart w:id="231" w:name="page232"/>
    <w:bookmarkEnd w:id="231"/>
    <w:p>
      <w:pPr>
        <w:ind w:left="788" w:hanging="788"/>
        <w:spacing w:after="0"/>
        <w:tabs>
          <w:tab w:leader="none" w:pos="788" w:val="left"/>
        </w:tabs>
        <w:numPr>
          <w:ilvl w:val="0"/>
          <w:numId w:val="180"/>
        </w:numPr>
        <w:rPr>
          <w:rFonts w:ascii="Arial" w:cs="Arial" w:eastAsia="Arial" w:hAnsi="Arial"/>
          <w:sz w:val="20"/>
          <w:szCs w:val="20"/>
          <w:color w:val="auto"/>
        </w:rPr>
      </w:pPr>
      <w:r>
        <w:rPr>
          <w:rFonts w:ascii="Arial" w:cs="Arial" w:eastAsia="Arial" w:hAnsi="Arial"/>
          <w:sz w:val="20"/>
          <w:szCs w:val="20"/>
          <w:b w:val="1"/>
          <w:bCs w:val="1"/>
          <w:color w:val="auto"/>
        </w:rPr>
        <w:t>Tenant Fixturing and Permits</w:t>
      </w:r>
    </w:p>
    <w:p>
      <w:pPr>
        <w:spacing w:after="0" w:line="221" w:lineRule="exact"/>
        <w:rPr>
          <w:rFonts w:ascii="Arial" w:cs="Arial" w:eastAsia="Arial" w:hAnsi="Arial"/>
          <w:sz w:val="20"/>
          <w:szCs w:val="20"/>
          <w:color w:val="auto"/>
        </w:rPr>
      </w:pPr>
    </w:p>
    <w:p>
      <w:pPr>
        <w:jc w:val="both"/>
        <w:ind w:left="-872" w:firstLine="1735"/>
        <w:spacing w:after="0" w:line="271" w:lineRule="auto"/>
        <w:tabs>
          <w:tab w:leader="none" w:pos="172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Concurrently with Landlord’s completion of the Base Building Work and the Tenant Improvements, Tenant shall, at Tenant’s sole cost and expense, commence and thereafter diligently pursue to completion, the installation in and equipping of the Premises with new personal property necessary or proper for the operation of the Permitted Use and perform all other work in the Premises necessary or proper to prepare the Premises for the conduct and operation of the Permitted Use therein (collectively, the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Fixturing</w:t>
      </w:r>
      <w:r>
        <w:rPr>
          <w:rFonts w:ascii="Arial" w:cs="Arial" w:eastAsia="Arial" w:hAnsi="Arial"/>
          <w:sz w:val="18"/>
          <w:szCs w:val="18"/>
          <w:color w:val="auto"/>
        </w:rPr>
        <w:t>”). All Tenant Fixturing shall be performed in a good and workmanlike manner and in accordance with all Applicable Laws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Lease. Tenant shall, at Tenant’s sole cost and expense, obtain all permits and other governmental permits and approvals necessary for the Tenant Fixturing. Landlord shall reasonably cooperate with Tenant, at no material cost to Landlord, in Tenant’s efforts to obtain such permits and other approvals. In addition, Tenant, at its sole cost and expense, shall be solely responsible for obtaining, and delivering copies to Landlord, prior to occupancy of the Premises (or any part thereof), all governmental permits and approvals necessary for the Tenant Fixturing and for Tenant to conduct its business of the Permitted Use in the Premises.</w:t>
      </w:r>
    </w:p>
    <w:p>
      <w:pPr>
        <w:spacing w:after="0" w:line="167" w:lineRule="exact"/>
        <w:rPr>
          <w:rFonts w:ascii="Arial" w:cs="Arial" w:eastAsia="Arial" w:hAnsi="Arial"/>
          <w:sz w:val="18"/>
          <w:szCs w:val="18"/>
          <w:color w:val="auto"/>
        </w:rPr>
      </w:pPr>
    </w:p>
    <w:p>
      <w:pPr>
        <w:ind w:left="788" w:hanging="788"/>
        <w:spacing w:after="0"/>
        <w:tabs>
          <w:tab w:leader="none" w:pos="788" w:val="left"/>
        </w:tabs>
        <w:numPr>
          <w:ilvl w:val="0"/>
          <w:numId w:val="180"/>
        </w:numPr>
        <w:rPr>
          <w:rFonts w:ascii="Arial" w:cs="Arial" w:eastAsia="Arial" w:hAnsi="Arial"/>
          <w:sz w:val="20"/>
          <w:szCs w:val="20"/>
          <w:color w:val="auto"/>
        </w:rPr>
      </w:pPr>
      <w:r>
        <w:rPr>
          <w:rFonts w:ascii="Arial" w:cs="Arial" w:eastAsia="Arial" w:hAnsi="Arial"/>
          <w:sz w:val="20"/>
          <w:szCs w:val="20"/>
          <w:b w:val="1"/>
          <w:bCs w:val="1"/>
          <w:color w:val="auto"/>
        </w:rPr>
        <w:t>Limited Warranty; Bond</w:t>
      </w:r>
    </w:p>
    <w:p>
      <w:pPr>
        <w:spacing w:after="0" w:line="221" w:lineRule="exact"/>
        <w:rPr>
          <w:rFonts w:ascii="Arial" w:cs="Arial" w:eastAsia="Arial" w:hAnsi="Arial"/>
          <w:sz w:val="20"/>
          <w:szCs w:val="20"/>
          <w:color w:val="auto"/>
        </w:rPr>
      </w:pPr>
    </w:p>
    <w:p>
      <w:pPr>
        <w:jc w:val="both"/>
        <w:ind w:left="-872" w:firstLine="1735"/>
        <w:spacing w:after="0" w:line="254" w:lineRule="auto"/>
        <w:tabs>
          <w:tab w:leader="none" w:pos="1723" w:val="left"/>
        </w:tabs>
        <w:numPr>
          <w:ilvl w:val="1"/>
          <w:numId w:val="180"/>
        </w:numPr>
        <w:rPr>
          <w:rFonts w:ascii="Arial" w:cs="Arial" w:eastAsia="Arial" w:hAnsi="Arial"/>
          <w:sz w:val="19"/>
          <w:szCs w:val="19"/>
          <w:color w:val="auto"/>
        </w:rPr>
      </w:pPr>
      <w:r>
        <w:rPr>
          <w:rFonts w:ascii="Arial" w:cs="Arial" w:eastAsia="Arial" w:hAnsi="Arial"/>
          <w:sz w:val="19"/>
          <w:szCs w:val="19"/>
          <w:color w:val="auto"/>
        </w:rPr>
        <w:t>Landlord guarantees, for a period of one year following the Landlord Work Substantial Completion Date, (i) the Landlord Work against defective workmanship and/or materials or non-compliance with the Final Base Building Plans and Specifications and/or the Final TI Construction Documents, and (ii) that the Building and the Building Systems, including the roof, floors, walls, doors, dock doors and all other mechanical systems, are and shall be in good, operable condition. Landlord agrees, during said one-year period at its sole cost and expense, to (i) repair or replace any defective item occasioned by defective workmanship and/or materials or non-compliance with the Final Base Building Plans and Specifications and/or the Final TI Construction Documents, and (ii) make all necessary repairs to keep the Building and the Building Systems, including the roof, floors, walls, doors, dock doors and all other mechanical systems in good, operable condition. Landlord agrees, upon Tenant’s reasonable prior request, to jointly inspect the Building with a representative of Tenant at any time during the one year guaranty period. Notwithstanding anything in this paragraph to the contrary, in no event shall Landlord be obligated to make repairs or replacements to items (i) if the costs of such repair or replacement would have been covered by warranty but is no longer covered by warranty due to the acts or omissions (with respect to omissions, only to the extent in violation of this Lease or Applicable Laws) of Tenant or any Tenant Party, or (ii) due to any act or omission (with respect to omissions, only to the extent in violation of this Lease or Applicable Laws) of Tenant or any Tenant Party (including, without limitation, Tenant’s failure to properly maintain or service any portions of the Building or the Premises or any systems contained thereon that Tenant is required to maintain pursuant to the Lease).</w:t>
      </w:r>
    </w:p>
    <w:p>
      <w:pPr>
        <w:spacing w:after="0" w:line="190" w:lineRule="exact"/>
        <w:rPr>
          <w:rFonts w:ascii="Arial" w:cs="Arial" w:eastAsia="Arial" w:hAnsi="Arial"/>
          <w:sz w:val="19"/>
          <w:szCs w:val="19"/>
          <w:color w:val="auto"/>
        </w:rPr>
      </w:pPr>
    </w:p>
    <w:p>
      <w:pPr>
        <w:ind w:left="-872" w:firstLine="1735"/>
        <w:spacing w:after="0" w:line="287" w:lineRule="auto"/>
        <w:tabs>
          <w:tab w:leader="none" w:pos="1734" w:val="left"/>
        </w:tabs>
        <w:numPr>
          <w:ilvl w:val="1"/>
          <w:numId w:val="180"/>
        </w:numPr>
        <w:rPr>
          <w:rFonts w:ascii="Arial" w:cs="Arial" w:eastAsia="Arial" w:hAnsi="Arial"/>
          <w:sz w:val="19"/>
          <w:szCs w:val="19"/>
          <w:color w:val="auto"/>
        </w:rPr>
      </w:pPr>
      <w:r>
        <w:rPr>
          <w:rFonts w:ascii="Arial" w:cs="Arial" w:eastAsia="Arial" w:hAnsi="Arial"/>
          <w:sz w:val="19"/>
          <w:szCs w:val="19"/>
          <w:color w:val="auto"/>
        </w:rPr>
        <w:t>Landlord shall secure a bond against the full value of any contract entered into by Landlord for the completion of the Landlord Work, in form and substance satisfactory to Landlord, in Landlord’s sole and absolute discretion.</w:t>
      </w:r>
    </w:p>
    <w:p>
      <w:pPr>
        <w:spacing w:after="0" w:line="200" w:lineRule="exact"/>
        <w:rPr>
          <w:sz w:val="20"/>
          <w:szCs w:val="20"/>
          <w:color w:val="auto"/>
        </w:rPr>
      </w:pPr>
    </w:p>
    <w:p>
      <w:pPr>
        <w:spacing w:after="0" w:line="384" w:lineRule="exact"/>
        <w:rPr>
          <w:sz w:val="20"/>
          <w:szCs w:val="20"/>
          <w:color w:val="auto"/>
        </w:rPr>
      </w:pPr>
    </w:p>
    <w:p>
      <w:pPr>
        <w:ind w:left="8"/>
        <w:spacing w:after="0"/>
        <w:rPr>
          <w:sz w:val="20"/>
          <w:szCs w:val="20"/>
          <w:color w:val="auto"/>
        </w:rPr>
      </w:pPr>
      <w:r>
        <w:rPr>
          <w:rFonts w:ascii="Arial" w:cs="Arial" w:eastAsia="Arial" w:hAnsi="Arial"/>
          <w:sz w:val="20"/>
          <w:szCs w:val="20"/>
          <w:u w:val="single" w:color="auto"/>
          <w:color w:val="auto"/>
        </w:rPr>
        <w:t>EXHIBIT G</w:t>
      </w:r>
    </w:p>
    <w:p>
      <w:pPr>
        <w:spacing w:after="0" w:line="16" w:lineRule="exact"/>
        <w:rPr>
          <w:sz w:val="20"/>
          <w:szCs w:val="20"/>
          <w:color w:val="auto"/>
        </w:rPr>
      </w:pPr>
    </w:p>
    <w:p>
      <w:pPr>
        <w:ind w:left="8"/>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55880</wp:posOffset>
            </wp:positionV>
            <wp:extent cx="71748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3"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“G-1”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Project Milestone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151130</wp:posOffset>
            </wp:positionV>
            <wp:extent cx="5520690" cy="3077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552069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“G-2”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Plans for Building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DESCRIPTIONS OF THE SPECIFICATIONS FOR THE BASE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WORK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Chestnut Run Innovation &amp; Science Park (CRISP)</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709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CORE &amp; SHELL OUTLINE SCOPE OF WORK</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I - SCOPE OF WORK</w:t>
      </w:r>
    </w:p>
    <w:p>
      <w:pPr>
        <w:spacing w:after="0" w:line="222" w:lineRule="exact"/>
        <w:rPr>
          <w:sz w:val="20"/>
          <w:szCs w:val="20"/>
          <w:color w:val="auto"/>
        </w:rPr>
      </w:pPr>
    </w:p>
    <w:p>
      <w:pPr>
        <w:ind w:left="960" w:hanging="952"/>
        <w:spacing w:after="0"/>
        <w:tabs>
          <w:tab w:leader="none" w:pos="960"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DESCRIPTION</w:t>
      </w:r>
    </w:p>
    <w:p>
      <w:pPr>
        <w:spacing w:after="0" w:line="16" w:lineRule="exact"/>
        <w:rPr>
          <w:sz w:val="20"/>
          <w:szCs w:val="20"/>
          <w:color w:val="auto"/>
        </w:rPr>
      </w:pPr>
    </w:p>
    <w:p>
      <w:pPr>
        <w:ind w:left="880" w:right="280"/>
        <w:spacing w:after="0" w:line="244" w:lineRule="auto"/>
        <w:rPr>
          <w:sz w:val="20"/>
          <w:szCs w:val="20"/>
          <w:color w:val="auto"/>
        </w:rPr>
      </w:pPr>
      <w:r>
        <w:rPr>
          <w:rFonts w:ascii="Arial" w:cs="Arial" w:eastAsia="Arial" w:hAnsi="Arial"/>
          <w:sz w:val="20"/>
          <w:szCs w:val="20"/>
          <w:color w:val="auto"/>
        </w:rPr>
        <w:t>Renovation of an existing +/- 81,000 square foot, two story office and laboratory building into a Class ‘A’ office and laboratory building.</w:t>
      </w:r>
    </w:p>
    <w:p>
      <w:pPr>
        <w:spacing w:after="0" w:line="191" w:lineRule="exact"/>
        <w:rPr>
          <w:sz w:val="20"/>
          <w:szCs w:val="20"/>
          <w:color w:val="auto"/>
        </w:rPr>
      </w:pPr>
    </w:p>
    <w:p>
      <w:pPr>
        <w:jc w:val="both"/>
        <w:ind w:left="880" w:right="80"/>
        <w:spacing w:after="0" w:line="269" w:lineRule="auto"/>
        <w:rPr>
          <w:sz w:val="20"/>
          <w:szCs w:val="20"/>
          <w:color w:val="auto"/>
        </w:rPr>
      </w:pPr>
      <w:r>
        <w:rPr>
          <w:rFonts w:ascii="Arial" w:cs="Arial" w:eastAsia="Arial" w:hAnsi="Arial"/>
          <w:sz w:val="19"/>
          <w:szCs w:val="19"/>
          <w:color w:val="auto"/>
        </w:rPr>
        <w:t>Site improvements to include American with Disabilities Act (ADA) compliant access to the building, surrounding parking fields and campus amenities. Existing parking to be re- paved, re-striped and ADA parking provided per Code and exterior landscaping per Campus standards. Exterior building lighting to be upgraded to Campus standards.</w:t>
      </w:r>
    </w:p>
    <w:p>
      <w:pPr>
        <w:spacing w:after="0" w:line="170" w:lineRule="exact"/>
        <w:rPr>
          <w:sz w:val="20"/>
          <w:szCs w:val="20"/>
          <w:color w:val="auto"/>
        </w:rPr>
      </w:pPr>
    </w:p>
    <w:p>
      <w:pPr>
        <w:ind w:left="880" w:right="60"/>
        <w:spacing w:after="0" w:line="244" w:lineRule="auto"/>
        <w:rPr>
          <w:sz w:val="20"/>
          <w:szCs w:val="20"/>
          <w:color w:val="auto"/>
        </w:rPr>
      </w:pPr>
      <w:r>
        <w:rPr>
          <w:rFonts w:ascii="Arial" w:cs="Arial" w:eastAsia="Arial" w:hAnsi="Arial"/>
          <w:sz w:val="20"/>
          <w:szCs w:val="20"/>
          <w:color w:val="auto"/>
        </w:rPr>
        <w:t>Building improvements to include but not be limited to (i) demolition of existing façade, roofing, roof-top mechanical equipment, and interior finishes; (ii) construction including but limited to a new building envelope, including exterior cladding, doors, windows, roofing and flashing; (iii) construction of interior improvements including ADA compliant ingress and egress, , new electrical service to the building, and plumbing systems to the building, new building IDF utility room, and a new Code compliant elevator.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II - SITE WORK &amp; DEMOLITION</w:t>
      </w:r>
    </w:p>
    <w:p>
      <w:pPr>
        <w:spacing w:after="0" w:line="222" w:lineRule="exact"/>
        <w:rPr>
          <w:sz w:val="20"/>
          <w:szCs w:val="20"/>
          <w:color w:val="auto"/>
        </w:rPr>
      </w:pPr>
    </w:p>
    <w:p>
      <w:pPr>
        <w:ind w:left="960" w:hanging="952"/>
        <w:spacing w:after="0"/>
        <w:tabs>
          <w:tab w:leader="none" w:pos="9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SITEWORK:</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Repair, replacement and/or addition of ADA compliant building entrances and sidewalks.</w:t>
      </w:r>
    </w:p>
    <w:p>
      <w:pPr>
        <w:spacing w:after="0" w:line="199" w:lineRule="exact"/>
        <w:rPr>
          <w:rFonts w:ascii="Arial" w:cs="Arial" w:eastAsia="Arial" w:hAnsi="Arial"/>
          <w:sz w:val="20"/>
          <w:szCs w:val="20"/>
          <w:color w:val="auto"/>
        </w:rPr>
      </w:pPr>
    </w:p>
    <w:p>
      <w:pPr>
        <w:ind w:left="960" w:hanging="952"/>
        <w:spacing w:after="0"/>
        <w:tabs>
          <w:tab w:leader="none" w:pos="9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DEMOLITION:</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Remove and dispose of asbestos, if applicable.</w:t>
      </w:r>
    </w:p>
    <w:p>
      <w:pPr>
        <w:ind w:left="1740" w:right="280" w:hanging="436"/>
        <w:spacing w:after="0" w:line="239" w:lineRule="auto"/>
        <w:tabs>
          <w:tab w:leader="none" w:pos="17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Remove and dispose of all existing interior building furnishes, partitions, fixtures, raised slabs, equipment and CMU walls unless marked as “to remain”.</w:t>
      </w:r>
    </w:p>
    <w:p>
      <w:pPr>
        <w:ind w:left="1740" w:hanging="436"/>
        <w:spacing w:after="0"/>
        <w:tabs>
          <w:tab w:leader="none" w:pos="17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Remove and dispose of all exterior wall finishes back to the super-structure.</w:t>
      </w:r>
    </w:p>
    <w:p>
      <w:pPr>
        <w:ind w:left="1740" w:right="400" w:hanging="436"/>
        <w:spacing w:after="0" w:line="239" w:lineRule="auto"/>
        <w:tabs>
          <w:tab w:leader="none" w:pos="17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Remove and dispose of all existing mechanical, electrical and plumbing systems and distribution back to the utility demarcation unless marked as to remain.</w:t>
      </w:r>
    </w:p>
    <w:p>
      <w:pPr>
        <w:ind w:left="1740" w:right="60" w:hanging="436"/>
        <w:spacing w:after="0" w:line="239" w:lineRule="auto"/>
        <w:tabs>
          <w:tab w:leader="none" w:pos="17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Chilled water and steam and condensate lines to be removed through the foundation walls and capped at a point no less than 20’ from the foundation, at a location coordinated with Landlord. This scope to be coordinated with Landlord as part of a campus wide shut down.</w:t>
      </w:r>
    </w:p>
    <w:p>
      <w:pPr>
        <w:spacing w:after="0" w:line="1" w:lineRule="exact"/>
        <w:rPr>
          <w:rFonts w:ascii="Arial" w:cs="Arial" w:eastAsia="Arial" w:hAnsi="Arial"/>
          <w:sz w:val="20"/>
          <w:szCs w:val="20"/>
          <w:color w:val="auto"/>
        </w:rPr>
      </w:pPr>
    </w:p>
    <w:p>
      <w:pPr>
        <w:ind w:left="1740" w:hanging="436"/>
        <w:spacing w:after="0"/>
        <w:tabs>
          <w:tab w:leader="none" w:pos="17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If applicable, identify and retain existing lightning protection grounding grid for reuse.</w:t>
      </w:r>
    </w:p>
    <w:p>
      <w:pPr>
        <w:ind w:left="1740" w:hanging="436"/>
        <w:spacing w:after="0"/>
        <w:tabs>
          <w:tab w:leader="none" w:pos="17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Identify and retain existing IT/Fiber conduits entering and leaving the building.</w:t>
      </w:r>
    </w:p>
    <w:p>
      <w:pPr>
        <w:ind w:left="1740" w:right="400" w:hanging="436"/>
        <w:spacing w:after="0" w:line="244" w:lineRule="auto"/>
        <w:tabs>
          <w:tab w:leader="none" w:pos="174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Remove and dispose of all roof-top mechanical equipment, processing equipment, distribution, dunnage and curbs, unless marked as “to remain”.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G-2-1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4" w:name="page235"/>
    <w:bookmarkEnd w:id="234"/>
    <w:p>
      <w:pPr>
        <w:ind w:left="1740" w:right="140" w:hanging="436"/>
        <w:spacing w:after="0" w:line="247" w:lineRule="auto"/>
        <w:tabs>
          <w:tab w:leader="none" w:pos="17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Remove and dispose of all roofing and roofing elements in preparation for the installation of a new roof. Coordinate with roofing contractor to ensure building remains weathertight.</w:t>
      </w:r>
    </w:p>
    <w:p>
      <w:pPr>
        <w:spacing w:after="0" w:line="1" w:lineRule="exact"/>
        <w:rPr>
          <w:rFonts w:ascii="Arial" w:cs="Arial" w:eastAsia="Arial" w:hAnsi="Arial"/>
          <w:sz w:val="20"/>
          <w:szCs w:val="20"/>
          <w:color w:val="auto"/>
        </w:rPr>
      </w:pPr>
    </w:p>
    <w:p>
      <w:pPr>
        <w:ind w:left="1740" w:hanging="436"/>
        <w:spacing w:after="0"/>
        <w:tabs>
          <w:tab w:leader="none" w:pos="17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Existing loading docks to remain, dock levelers and doors to be removed and disposed of.</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III - CONCRETE</w:t>
      </w:r>
    </w:p>
    <w:p>
      <w:pPr>
        <w:spacing w:after="0" w:line="222" w:lineRule="exact"/>
        <w:rPr>
          <w:sz w:val="20"/>
          <w:szCs w:val="20"/>
          <w:color w:val="auto"/>
        </w:rPr>
      </w:pPr>
    </w:p>
    <w:p>
      <w:pPr>
        <w:ind w:left="960" w:hanging="952"/>
        <w:spacing w:after="0"/>
        <w:tabs>
          <w:tab w:leader="none" w:pos="96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CONCRETE WORK</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184"/>
        </w:numPr>
        <w:rPr>
          <w:rFonts w:ascii="Arial" w:cs="Arial" w:eastAsia="Arial" w:hAnsi="Arial"/>
          <w:sz w:val="19"/>
          <w:szCs w:val="19"/>
          <w:color w:val="auto"/>
        </w:rPr>
      </w:pPr>
      <w:r>
        <w:rPr>
          <w:rFonts w:ascii="Arial" w:cs="Arial" w:eastAsia="Arial" w:hAnsi="Arial"/>
          <w:sz w:val="19"/>
          <w:szCs w:val="19"/>
          <w:color w:val="auto"/>
        </w:rPr>
        <w:t>Repair and/or replace walkways, curbing, building entrances, and existing loading docks per approved plans.</w:t>
      </w:r>
    </w:p>
    <w:p>
      <w:pPr>
        <w:spacing w:after="0" w:line="11" w:lineRule="exact"/>
        <w:rPr>
          <w:rFonts w:ascii="Arial" w:cs="Arial" w:eastAsia="Arial" w:hAnsi="Arial"/>
          <w:sz w:val="19"/>
          <w:szCs w:val="19"/>
          <w:color w:val="auto"/>
        </w:rPr>
      </w:pPr>
    </w:p>
    <w:p>
      <w:pPr>
        <w:ind w:left="1740" w:hanging="436"/>
        <w:spacing w:after="0"/>
        <w:tabs>
          <w:tab w:leader="none" w:pos="17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Install new foundations for features as needed.</w:t>
      </w:r>
    </w:p>
    <w:p>
      <w:pPr>
        <w:ind w:left="1740" w:hanging="436"/>
        <w:spacing w:after="0"/>
        <w:tabs>
          <w:tab w:leader="none" w:pos="17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Install pit for new elevator, as needed.</w:t>
      </w:r>
    </w:p>
    <w:p>
      <w:pPr>
        <w:ind w:left="1740" w:right="120" w:hanging="436"/>
        <w:spacing w:after="0" w:line="239" w:lineRule="auto"/>
        <w:tabs>
          <w:tab w:leader="none" w:pos="17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Patch, repair, infill and/or level concrete floor slabs throughout the building as required to a smooth and level surface suitable to accept new floor finishes.</w:t>
      </w:r>
    </w:p>
    <w:p>
      <w:pPr>
        <w:ind w:left="1740" w:hanging="436"/>
        <w:spacing w:after="0" w:line="244" w:lineRule="auto"/>
        <w:tabs>
          <w:tab w:leader="none" w:pos="17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Infill existing exterior and interior walls, shafts, chases or depressed slabs per approved plans. Work to be coordinated with demolition plans.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IV – MASONRY</w:t>
      </w:r>
    </w:p>
    <w:p>
      <w:pPr>
        <w:spacing w:after="0" w:line="222" w:lineRule="exact"/>
        <w:rPr>
          <w:sz w:val="20"/>
          <w:szCs w:val="20"/>
          <w:color w:val="auto"/>
        </w:rPr>
      </w:pPr>
    </w:p>
    <w:p>
      <w:pPr>
        <w:ind w:left="960" w:hanging="952"/>
        <w:spacing w:after="0"/>
        <w:tabs>
          <w:tab w:leader="none" w:pos="9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Pre-Cast Concrete</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N/A.</w:t>
      </w:r>
    </w:p>
    <w:p>
      <w:pPr>
        <w:spacing w:after="0" w:line="200" w:lineRule="exact"/>
        <w:rPr>
          <w:sz w:val="20"/>
          <w:szCs w:val="20"/>
          <w:color w:val="auto"/>
        </w:rPr>
      </w:pPr>
    </w:p>
    <w:p>
      <w:pPr>
        <w:ind w:left="960" w:hanging="952"/>
        <w:spacing w:after="0"/>
        <w:tabs>
          <w:tab w:leader="none" w:pos="96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CMU</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186"/>
        </w:numPr>
        <w:rPr>
          <w:rFonts w:ascii="Arial" w:cs="Arial" w:eastAsia="Arial" w:hAnsi="Arial"/>
          <w:sz w:val="20"/>
          <w:szCs w:val="20"/>
          <w:color w:val="auto"/>
        </w:rPr>
      </w:pPr>
      <w:r>
        <w:rPr>
          <w:rFonts w:ascii="Arial" w:cs="Arial" w:eastAsia="Arial" w:hAnsi="Arial"/>
          <w:sz w:val="20"/>
          <w:szCs w:val="20"/>
          <w:color w:val="auto"/>
        </w:rPr>
        <w:t>Install new elevator shaft, including new roof penthouse as required.</w:t>
      </w:r>
    </w:p>
    <w:p>
      <w:pPr>
        <w:ind w:left="1740" w:hanging="436"/>
        <w:spacing w:after="0"/>
        <w:tabs>
          <w:tab w:leader="none" w:pos="1740" w:val="left"/>
        </w:tabs>
        <w:numPr>
          <w:ilvl w:val="1"/>
          <w:numId w:val="186"/>
        </w:numPr>
        <w:rPr>
          <w:rFonts w:ascii="Arial" w:cs="Arial" w:eastAsia="Arial" w:hAnsi="Arial"/>
          <w:sz w:val="20"/>
          <w:szCs w:val="20"/>
          <w:color w:val="auto"/>
        </w:rPr>
      </w:pPr>
      <w:r>
        <w:rPr>
          <w:rFonts w:ascii="Arial" w:cs="Arial" w:eastAsia="Arial" w:hAnsi="Arial"/>
          <w:sz w:val="20"/>
          <w:szCs w:val="20"/>
          <w:color w:val="auto"/>
        </w:rPr>
        <w:t>Patch holes in and make structural repairs to existing CMU walls which are to remain as required.</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V - METALS</w:t>
      </w:r>
    </w:p>
    <w:p>
      <w:pPr>
        <w:spacing w:after="0" w:line="222" w:lineRule="exact"/>
        <w:rPr>
          <w:sz w:val="20"/>
          <w:szCs w:val="20"/>
          <w:color w:val="auto"/>
        </w:rPr>
      </w:pPr>
    </w:p>
    <w:p>
      <w:pPr>
        <w:ind w:left="960" w:hanging="952"/>
        <w:spacing w:after="0"/>
        <w:tabs>
          <w:tab w:leader="none" w:pos="96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STRUCTURAL STEEL</w:t>
      </w:r>
    </w:p>
    <w:p>
      <w:pPr>
        <w:spacing w:after="0" w:line="15" w:lineRule="exact"/>
        <w:rPr>
          <w:rFonts w:ascii="Arial" w:cs="Arial" w:eastAsia="Arial" w:hAnsi="Arial"/>
          <w:sz w:val="20"/>
          <w:szCs w:val="20"/>
          <w:color w:val="auto"/>
        </w:rPr>
      </w:pPr>
    </w:p>
    <w:p>
      <w:pPr>
        <w:jc w:val="both"/>
        <w:ind w:left="1740" w:right="80" w:hanging="436"/>
        <w:spacing w:after="0" w:line="241" w:lineRule="auto"/>
        <w:tabs>
          <w:tab w:leader="none" w:pos="174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Existing structural steel to remain. Supplement as needed for additional loads as required by approved plans for base building including elevator penthouse and base building equipment, roof access and modifications to the structure for other common features and elements.</w:t>
      </w:r>
    </w:p>
    <w:p>
      <w:pPr>
        <w:spacing w:after="0" w:line="195" w:lineRule="exact"/>
        <w:rPr>
          <w:rFonts w:ascii="Arial" w:cs="Arial" w:eastAsia="Arial" w:hAnsi="Arial"/>
          <w:sz w:val="20"/>
          <w:szCs w:val="20"/>
          <w:color w:val="auto"/>
        </w:rPr>
      </w:pPr>
    </w:p>
    <w:p>
      <w:pPr>
        <w:ind w:left="960" w:hanging="952"/>
        <w:spacing w:after="0"/>
        <w:tabs>
          <w:tab w:leader="none" w:pos="96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MISC. METALS</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Upgrade or replace existing interior and exterior stair railings per Code.</w:t>
      </w:r>
    </w:p>
    <w:p>
      <w:pPr>
        <w:ind w:left="1740" w:hanging="436"/>
        <w:spacing w:after="0"/>
        <w:tabs>
          <w:tab w:leader="none" w:pos="174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Install new entry vestibule feature at the front of the building per approved plans.</w:t>
      </w:r>
    </w:p>
    <w:p>
      <w:pPr>
        <w:ind w:left="1740" w:hanging="436"/>
        <w:spacing w:after="0"/>
        <w:tabs>
          <w:tab w:leader="none" w:pos="174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Install, as necessary, new ladders to elevator pits.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VI - CARPENTRY</w:t>
      </w:r>
    </w:p>
    <w:p>
      <w:pPr>
        <w:spacing w:after="0" w:line="222" w:lineRule="exact"/>
        <w:rPr>
          <w:sz w:val="20"/>
          <w:szCs w:val="20"/>
          <w:color w:val="auto"/>
        </w:rPr>
      </w:pPr>
    </w:p>
    <w:p>
      <w:pPr>
        <w:ind w:left="960" w:hanging="952"/>
        <w:spacing w:after="0"/>
        <w:tabs>
          <w:tab w:leader="none" w:pos="96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GENERAL CARPENTRY</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188"/>
        </w:numPr>
        <w:rPr>
          <w:rFonts w:ascii="Arial" w:cs="Arial" w:eastAsia="Arial" w:hAnsi="Arial"/>
          <w:sz w:val="20"/>
          <w:szCs w:val="20"/>
          <w:color w:val="auto"/>
        </w:rPr>
      </w:pPr>
      <w:r>
        <w:rPr>
          <w:rFonts w:ascii="Arial" w:cs="Arial" w:eastAsia="Arial" w:hAnsi="Arial"/>
          <w:sz w:val="20"/>
          <w:szCs w:val="20"/>
          <w:color w:val="auto"/>
        </w:rPr>
        <w:t>Frame IDF Room, and other common area elements per approved plans.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VII - THERMAL &amp; MOISTURE PROTECTION</w:t>
      </w:r>
    </w:p>
    <w:p>
      <w:pPr>
        <w:spacing w:after="0" w:line="222" w:lineRule="exact"/>
        <w:rPr>
          <w:sz w:val="20"/>
          <w:szCs w:val="20"/>
          <w:color w:val="auto"/>
        </w:rPr>
      </w:pPr>
    </w:p>
    <w:p>
      <w:pPr>
        <w:ind w:left="960" w:hanging="952"/>
        <w:spacing w:after="0"/>
        <w:tabs>
          <w:tab w:leader="none" w:pos="96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ROOFING</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Install new roof drains and scuppers per approved roofing plan.</w:t>
      </w:r>
    </w:p>
    <w:p>
      <w:pPr>
        <w:spacing w:after="0" w:line="2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G-2-2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39" w:right="459" w:bottom="1440" w:gutter="0" w:footer="0" w:header="0"/>
        </w:sectPr>
      </w:pPr>
    </w:p>
    <w:bookmarkStart w:id="235" w:name="page236"/>
    <w:bookmarkEnd w:id="235"/>
    <w:p>
      <w:pPr>
        <w:ind w:left="1740" w:hanging="436"/>
        <w:spacing w:after="0"/>
        <w:tabs>
          <w:tab w:leader="none" w:pos="17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Roof hatch not required for roofs with stair tower access.</w:t>
      </w:r>
    </w:p>
    <w:p>
      <w:pPr>
        <w:spacing w:after="0" w:line="15" w:lineRule="exact"/>
        <w:rPr>
          <w:rFonts w:ascii="Arial" w:cs="Arial" w:eastAsia="Arial" w:hAnsi="Arial"/>
          <w:sz w:val="20"/>
          <w:szCs w:val="20"/>
          <w:color w:val="auto"/>
        </w:rPr>
      </w:pPr>
    </w:p>
    <w:p>
      <w:pPr>
        <w:ind w:left="1740" w:right="100" w:hanging="436"/>
        <w:spacing w:after="0" w:line="239" w:lineRule="auto"/>
        <w:tabs>
          <w:tab w:leader="none" w:pos="17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Furnish and install new roofing system complete with insulation, flashing, blocking, metal edge, and a fully adhered, 60mil TPO rubber roofing product per manufacturer’s specifications. Alternate equal roofing products as approved by Landlord may be considered to meet the schedule.</w:t>
      </w:r>
    </w:p>
    <w:p>
      <w:pPr>
        <w:spacing w:after="0" w:line="1" w:lineRule="exact"/>
        <w:rPr>
          <w:rFonts w:ascii="Arial" w:cs="Arial" w:eastAsia="Arial" w:hAnsi="Arial"/>
          <w:sz w:val="20"/>
          <w:szCs w:val="20"/>
          <w:color w:val="auto"/>
        </w:rPr>
      </w:pPr>
    </w:p>
    <w:p>
      <w:pPr>
        <w:ind w:left="1740" w:right="760" w:hanging="436"/>
        <w:spacing w:after="0" w:line="239" w:lineRule="auto"/>
        <w:tabs>
          <w:tab w:leader="none" w:pos="17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Finished roof to include wrapping, flashing and capping all parapet walls per manufacture’s specifications and wrapping and flashing of all curbing, dunnage and sleeper systems installed.</w:t>
      </w:r>
    </w:p>
    <w:p>
      <w:pPr>
        <w:ind w:left="1740" w:right="300" w:hanging="436"/>
        <w:spacing w:after="0" w:line="239" w:lineRule="auto"/>
        <w:tabs>
          <w:tab w:leader="none" w:pos="17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Prior to installation of the roofing system, install all curbing, dunnage and sleeper systems necessary to support new rooftop equipment per approved plans.</w:t>
      </w:r>
    </w:p>
    <w:p>
      <w:pPr>
        <w:ind w:left="1740" w:hanging="436"/>
        <w:spacing w:after="0"/>
        <w:tabs>
          <w:tab w:leader="none" w:pos="174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Furnish and install walk pads between roof access points and all base building rooftop equipment access panels.</w:t>
      </w:r>
    </w:p>
    <w:p>
      <w:pPr>
        <w:spacing w:after="0" w:line="11" w:lineRule="exact"/>
        <w:rPr>
          <w:rFonts w:ascii="Arial" w:cs="Arial" w:eastAsia="Arial" w:hAnsi="Arial"/>
          <w:sz w:val="19"/>
          <w:szCs w:val="19"/>
          <w:color w:val="auto"/>
        </w:rPr>
      </w:pPr>
    </w:p>
    <w:p>
      <w:pPr>
        <w:ind w:left="1740" w:hanging="436"/>
        <w:spacing w:after="0"/>
        <w:tabs>
          <w:tab w:leader="none" w:pos="17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Minimum 20-year labor and material warranty as provided by manufacturer.</w:t>
      </w:r>
    </w:p>
    <w:p>
      <w:pPr>
        <w:ind w:left="1740" w:right="120" w:hanging="436"/>
        <w:spacing w:after="0" w:line="239" w:lineRule="auto"/>
        <w:tabs>
          <w:tab w:leader="none" w:pos="17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Final insulation plan and slope to be coordinated and field verified to provide positive drainage, including areas below and between rooftop mechanical curbing.</w:t>
      </w:r>
    </w:p>
    <w:p>
      <w:pPr>
        <w:ind w:left="1740" w:right="840" w:hanging="436"/>
        <w:spacing w:after="0" w:line="244" w:lineRule="auto"/>
        <w:tabs>
          <w:tab w:leader="none" w:pos="17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All future roof penetrations, curbing, lightning protection systems, and disturbances of new roof system to be coordinated with roofing contractor so as not to void or invalidate warranty.</w:t>
      </w:r>
    </w:p>
    <w:p>
      <w:pPr>
        <w:spacing w:after="0" w:line="191" w:lineRule="exact"/>
        <w:rPr>
          <w:sz w:val="20"/>
          <w:szCs w:val="20"/>
          <w:color w:val="auto"/>
        </w:rPr>
      </w:pPr>
    </w:p>
    <w:p>
      <w:pPr>
        <w:ind w:left="960" w:hanging="952"/>
        <w:spacing w:after="0"/>
        <w:tabs>
          <w:tab w:leader="none" w:pos="96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CAULKING</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Caulk all exterior building joints per manufacturer’s recommendations.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VIII - DOORS, WINDOWS AND GLASS.</w:t>
      </w:r>
    </w:p>
    <w:p>
      <w:pPr>
        <w:spacing w:after="0" w:line="222" w:lineRule="exact"/>
        <w:rPr>
          <w:sz w:val="20"/>
          <w:szCs w:val="20"/>
          <w:color w:val="auto"/>
        </w:rPr>
      </w:pPr>
    </w:p>
    <w:p>
      <w:pPr>
        <w:ind w:left="960" w:hanging="952"/>
        <w:spacing w:after="0"/>
        <w:tabs>
          <w:tab w:leader="none" w:pos="96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INTERIOR DOORS</w:t>
      </w:r>
    </w:p>
    <w:p>
      <w:pPr>
        <w:spacing w:after="0" w:line="15" w:lineRule="exact"/>
        <w:rPr>
          <w:rFonts w:ascii="Arial" w:cs="Arial" w:eastAsia="Arial" w:hAnsi="Arial"/>
          <w:sz w:val="20"/>
          <w:szCs w:val="20"/>
          <w:color w:val="auto"/>
        </w:rPr>
      </w:pPr>
    </w:p>
    <w:p>
      <w:pPr>
        <w:ind w:left="1740" w:hanging="436"/>
        <w:spacing w:after="0" w:line="237" w:lineRule="auto"/>
        <w:tabs>
          <w:tab w:leader="none" w:pos="174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Tenant Improvement:</w:t>
      </w:r>
    </w:p>
    <w:p>
      <w:pPr>
        <w:ind w:left="2580" w:hanging="426"/>
        <w:spacing w:after="0" w:line="224" w:lineRule="auto"/>
        <w:tabs>
          <w:tab w:leader="none" w:pos="2580" w:val="left"/>
        </w:tabs>
        <w:numPr>
          <w:ilvl w:val="0"/>
          <w:numId w:val="193"/>
        </w:numPr>
        <w:rPr>
          <w:rFonts w:ascii="Courier New" w:cs="Courier New" w:eastAsia="Courier New" w:hAnsi="Courier New"/>
          <w:sz w:val="20"/>
          <w:szCs w:val="20"/>
          <w:color w:val="auto"/>
        </w:rPr>
      </w:pPr>
      <w:r>
        <w:rPr>
          <w:rFonts w:ascii="Arial" w:cs="Arial" w:eastAsia="Arial" w:hAnsi="Arial"/>
          <w:sz w:val="20"/>
          <w:szCs w:val="20"/>
          <w:color w:val="auto"/>
        </w:rPr>
        <w:t>All interior doors to be keyed to building master.</w:t>
      </w:r>
    </w:p>
    <w:p>
      <w:pPr>
        <w:ind w:left="2580" w:hanging="426"/>
        <w:spacing w:after="0" w:line="222" w:lineRule="auto"/>
        <w:tabs>
          <w:tab w:leader="none" w:pos="2580" w:val="left"/>
        </w:tabs>
        <w:numPr>
          <w:ilvl w:val="0"/>
          <w:numId w:val="193"/>
        </w:numPr>
        <w:rPr>
          <w:rFonts w:ascii="Courier New" w:cs="Courier New" w:eastAsia="Courier New" w:hAnsi="Courier New"/>
          <w:sz w:val="20"/>
          <w:szCs w:val="20"/>
          <w:color w:val="auto"/>
        </w:rPr>
      </w:pPr>
      <w:r>
        <w:rPr>
          <w:rFonts w:ascii="Arial" w:cs="Arial" w:eastAsia="Arial" w:hAnsi="Arial"/>
          <w:sz w:val="20"/>
          <w:szCs w:val="20"/>
          <w:color w:val="auto"/>
        </w:rPr>
        <w:t>All rated doors, frames, and hardware shall be UL listed.</w:t>
      </w:r>
    </w:p>
    <w:p>
      <w:pPr>
        <w:ind w:left="2580" w:hanging="426"/>
        <w:spacing w:after="0" w:line="242" w:lineRule="auto"/>
        <w:tabs>
          <w:tab w:leader="none" w:pos="2580" w:val="left"/>
        </w:tabs>
        <w:numPr>
          <w:ilvl w:val="0"/>
          <w:numId w:val="193"/>
        </w:numPr>
        <w:rPr>
          <w:rFonts w:ascii="Courier New" w:cs="Courier New" w:eastAsia="Courier New" w:hAnsi="Courier New"/>
          <w:sz w:val="19"/>
          <w:szCs w:val="19"/>
          <w:color w:val="auto"/>
        </w:rPr>
      </w:pPr>
      <w:r>
        <w:rPr>
          <w:rFonts w:ascii="Arial" w:cs="Arial" w:eastAsia="Arial" w:hAnsi="Arial"/>
          <w:sz w:val="19"/>
          <w:szCs w:val="19"/>
          <w:color w:val="auto"/>
        </w:rPr>
        <w:t>Schlage Commercial Series, brushed chrome finish, fully mortised lockset with positive release lever handle; matching trim, master key to be provided by contractor. Falcon Series T shall be provided by</w:t>
      </w:r>
    </w:p>
    <w:p>
      <w:pPr>
        <w:spacing w:after="0" w:line="1" w:lineRule="exact"/>
        <w:rPr>
          <w:rFonts w:ascii="Courier New" w:cs="Courier New" w:eastAsia="Courier New" w:hAnsi="Courier New"/>
          <w:sz w:val="19"/>
          <w:szCs w:val="19"/>
          <w:color w:val="auto"/>
        </w:rPr>
      </w:pPr>
    </w:p>
    <w:p>
      <w:pPr>
        <w:ind w:left="2580" w:right="560"/>
        <w:spacing w:after="0" w:line="297" w:lineRule="auto"/>
        <w:rPr>
          <w:rFonts w:ascii="Courier New" w:cs="Courier New" w:eastAsia="Courier New" w:hAnsi="Courier New"/>
          <w:sz w:val="19"/>
          <w:szCs w:val="19"/>
          <w:color w:val="auto"/>
        </w:rPr>
      </w:pPr>
      <w:r>
        <w:rPr>
          <w:rFonts w:ascii="Arial" w:cs="Arial" w:eastAsia="Arial" w:hAnsi="Arial"/>
          <w:sz w:val="18"/>
          <w:szCs w:val="18"/>
          <w:color w:val="auto"/>
        </w:rPr>
        <w:t>contractor. Hardware shall be SFIC for Schlage small format cores. Contractor shall procure Schlage Everest 7-pin cores from Landlord selected Locksmith to ensure proper bitting per Campus standard.</w:t>
      </w:r>
    </w:p>
    <w:p>
      <w:pPr>
        <w:spacing w:after="0" w:line="147" w:lineRule="exact"/>
        <w:rPr>
          <w:sz w:val="20"/>
          <w:szCs w:val="20"/>
          <w:color w:val="auto"/>
        </w:rPr>
      </w:pPr>
    </w:p>
    <w:p>
      <w:pPr>
        <w:ind w:left="960" w:hanging="952"/>
        <w:spacing w:after="0"/>
        <w:tabs>
          <w:tab w:leader="none" w:pos="96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EXTERIOR DOORS</w:t>
      </w:r>
    </w:p>
    <w:p>
      <w:pPr>
        <w:spacing w:after="0" w:line="15" w:lineRule="exact"/>
        <w:rPr>
          <w:rFonts w:ascii="Arial" w:cs="Arial" w:eastAsia="Arial" w:hAnsi="Arial"/>
          <w:sz w:val="20"/>
          <w:szCs w:val="20"/>
          <w:color w:val="auto"/>
        </w:rPr>
      </w:pPr>
    </w:p>
    <w:p>
      <w:pPr>
        <w:ind w:left="1740" w:right="180" w:hanging="436"/>
        <w:spacing w:after="0" w:line="239" w:lineRule="auto"/>
        <w:tabs>
          <w:tab w:leader="none" w:pos="174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Furnish and install medium style pre-finished aluminum 3’x8’ doors set in aluminum frames with ¼” tinted tempered glass and ADA panic hardware.</w:t>
      </w:r>
    </w:p>
    <w:p>
      <w:pPr>
        <w:ind w:left="1740" w:hanging="436"/>
        <w:spacing w:after="0"/>
        <w:tabs>
          <w:tab w:leader="none" w:pos="174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A minimum of (3) three 40” doors will be provided on the exterior walls to facilitate equipment moves.</w:t>
      </w:r>
    </w:p>
    <w:p>
      <w:pPr>
        <w:ind w:left="1740" w:hanging="436"/>
        <w:spacing w:after="0"/>
        <w:tabs>
          <w:tab w:leader="none" w:pos="17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IDF Room Access Door to be metal, set in hollow metal frames, with ADA lever- set hardware per approved plans.</w:t>
      </w:r>
    </w:p>
    <w:p>
      <w:pPr>
        <w:spacing w:after="0" w:line="22" w:lineRule="exact"/>
        <w:rPr>
          <w:rFonts w:ascii="Arial" w:cs="Arial" w:eastAsia="Arial" w:hAnsi="Arial"/>
          <w:sz w:val="18"/>
          <w:szCs w:val="18"/>
          <w:color w:val="auto"/>
        </w:rPr>
      </w:pPr>
    </w:p>
    <w:p>
      <w:pPr>
        <w:ind w:left="1740" w:right="520" w:hanging="436"/>
        <w:spacing w:after="0" w:line="244" w:lineRule="auto"/>
        <w:tabs>
          <w:tab w:leader="none" w:pos="174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Main building entrance storefront doors to be supplied and installed per approved plans. Door Hardware shall be compatible with maglock access.</w:t>
      </w:r>
    </w:p>
    <w:p>
      <w:pPr>
        <w:spacing w:after="0" w:line="191" w:lineRule="exact"/>
        <w:rPr>
          <w:sz w:val="20"/>
          <w:szCs w:val="20"/>
          <w:color w:val="auto"/>
        </w:rPr>
      </w:pPr>
    </w:p>
    <w:p>
      <w:pPr>
        <w:ind w:left="960" w:hanging="952"/>
        <w:spacing w:after="0"/>
        <w:tabs>
          <w:tab w:leader="none" w:pos="9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EXTERIOR WINDOWS</w:t>
      </w:r>
    </w:p>
    <w:p>
      <w:pPr>
        <w:spacing w:after="0" w:line="15" w:lineRule="exact"/>
        <w:rPr>
          <w:rFonts w:ascii="Arial" w:cs="Arial" w:eastAsia="Arial" w:hAnsi="Arial"/>
          <w:sz w:val="20"/>
          <w:szCs w:val="20"/>
          <w:color w:val="auto"/>
        </w:rPr>
      </w:pPr>
    </w:p>
    <w:p>
      <w:pPr>
        <w:ind w:left="1740" w:right="600" w:hanging="436"/>
        <w:spacing w:after="0" w:line="241" w:lineRule="auto"/>
        <w:tabs>
          <w:tab w:leader="none" w:pos="1740" w:val="left"/>
        </w:tabs>
        <w:numPr>
          <w:ilvl w:val="1"/>
          <w:numId w:val="195"/>
        </w:numPr>
        <w:rPr>
          <w:rFonts w:ascii="Arial" w:cs="Arial" w:eastAsia="Arial" w:hAnsi="Arial"/>
          <w:sz w:val="20"/>
          <w:szCs w:val="20"/>
          <w:color w:val="auto"/>
        </w:rPr>
      </w:pPr>
      <w:r>
        <w:rPr>
          <w:rFonts w:ascii="Arial" w:cs="Arial" w:eastAsia="Arial" w:hAnsi="Arial"/>
          <w:sz w:val="20"/>
          <w:szCs w:val="20"/>
          <w:color w:val="auto"/>
        </w:rPr>
        <w:t>Furnish and install pre-finished aluminum window frames with 1” tinted insulated glass at vision panels. Install spandrel glass or architectural metal panels at non- vision panels. All windows and spandrel to be installed per approved plans.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G-2-3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8" w:right="359" w:bottom="1440" w:gutter="0" w:footer="0" w:header="0"/>
        </w:sectPr>
      </w:pPr>
    </w:p>
    <w:bookmarkStart w:id="236" w:name="page237"/>
    <w:bookmarkEnd w:id="236"/>
    <w:p>
      <w:pPr>
        <w:ind w:left="960" w:hanging="952"/>
        <w:spacing w:after="0"/>
        <w:tabs>
          <w:tab w:leader="none" w:pos="96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INTERIOR GLASS WINDOWS and DOORS</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N/A shall be part of Tenant Improvement.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IX - FINISHES</w:t>
      </w:r>
    </w:p>
    <w:p>
      <w:pPr>
        <w:spacing w:after="0" w:line="222" w:lineRule="exact"/>
        <w:rPr>
          <w:sz w:val="20"/>
          <w:szCs w:val="20"/>
          <w:color w:val="auto"/>
        </w:rPr>
      </w:pPr>
    </w:p>
    <w:p>
      <w:pPr>
        <w:ind w:left="960" w:hanging="952"/>
        <w:spacing w:after="0"/>
        <w:tabs>
          <w:tab w:leader="none" w:pos="9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EXTERIOR</w:t>
      </w:r>
    </w:p>
    <w:p>
      <w:pPr>
        <w:spacing w:after="0" w:line="215" w:lineRule="exact"/>
        <w:rPr>
          <w:rFonts w:ascii="Arial" w:cs="Arial" w:eastAsia="Arial" w:hAnsi="Arial"/>
          <w:sz w:val="20"/>
          <w:szCs w:val="20"/>
          <w:color w:val="auto"/>
        </w:rPr>
      </w:pPr>
    </w:p>
    <w:p>
      <w:pPr>
        <w:ind w:left="1740" w:right="720" w:hanging="436"/>
        <w:spacing w:after="0" w:line="247" w:lineRule="auto"/>
        <w:tabs>
          <w:tab w:leader="none" w:pos="174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All miscellaneous metal that is not pre-painted to be painted with exterior, metal paint as specified in the finish schedule of the approved plans.</w:t>
      </w:r>
    </w:p>
    <w:p>
      <w:pPr>
        <w:spacing w:after="0" w:line="1" w:lineRule="exact"/>
        <w:rPr>
          <w:rFonts w:ascii="Arial" w:cs="Arial" w:eastAsia="Arial" w:hAnsi="Arial"/>
          <w:sz w:val="20"/>
          <w:szCs w:val="20"/>
          <w:color w:val="auto"/>
        </w:rPr>
      </w:pPr>
    </w:p>
    <w:p>
      <w:pPr>
        <w:ind w:left="1740" w:right="140" w:hanging="436"/>
        <w:spacing w:after="0" w:line="239" w:lineRule="auto"/>
        <w:tabs>
          <w:tab w:leader="none" w:pos="174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Exterior structural concrete to be power washed, sealed and painted as specified in the finish schedule of the approved plans.</w:t>
      </w:r>
    </w:p>
    <w:p>
      <w:pPr>
        <w:ind w:left="1740" w:right="200" w:hanging="436"/>
        <w:spacing w:after="0" w:line="252" w:lineRule="auto"/>
        <w:tabs>
          <w:tab w:leader="none" w:pos="174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All foundation penetrations, including penetrations from previous building mechanical piping or conduit, to be sealed watertight. Any areas evidencing previous or current water infiltration shall be inspected and remedied.</w:t>
      </w:r>
    </w:p>
    <w:p>
      <w:pPr>
        <w:ind w:left="1740" w:right="140" w:hanging="436"/>
        <w:spacing w:after="0" w:line="244" w:lineRule="auto"/>
        <w:tabs>
          <w:tab w:leader="none" w:pos="174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Landlord shall coordinate with Tenant to ensure that the exterior façade is ready to support Tenant illuminated signage (TBD).</w:t>
      </w:r>
    </w:p>
    <w:p>
      <w:pPr>
        <w:spacing w:after="0" w:line="191" w:lineRule="exact"/>
        <w:rPr>
          <w:sz w:val="20"/>
          <w:szCs w:val="20"/>
          <w:color w:val="auto"/>
        </w:rPr>
      </w:pPr>
    </w:p>
    <w:p>
      <w:pPr>
        <w:ind w:left="960" w:hanging="952"/>
        <w:spacing w:after="0"/>
        <w:tabs>
          <w:tab w:leader="none" w:pos="96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INTERIOR</w:t>
      </w:r>
    </w:p>
    <w:p>
      <w:pPr>
        <w:spacing w:after="0" w:line="15" w:lineRule="exact"/>
        <w:rPr>
          <w:rFonts w:ascii="Arial" w:cs="Arial" w:eastAsia="Arial" w:hAnsi="Arial"/>
          <w:sz w:val="20"/>
          <w:szCs w:val="20"/>
          <w:color w:val="auto"/>
        </w:rPr>
      </w:pPr>
    </w:p>
    <w:p>
      <w:pPr>
        <w:ind w:left="1740" w:hanging="436"/>
        <w:spacing w:after="0"/>
        <w:tabs>
          <w:tab w:leader="none" w:pos="174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N/A shall be part of Tenant Improvement.</w:t>
      </w:r>
    </w:p>
    <w:p>
      <w:pPr>
        <w:spacing w:after="0" w:line="199" w:lineRule="exact"/>
        <w:rPr>
          <w:rFonts w:ascii="Arial" w:cs="Arial" w:eastAsia="Arial" w:hAnsi="Arial"/>
          <w:sz w:val="20"/>
          <w:szCs w:val="20"/>
          <w:color w:val="auto"/>
        </w:rPr>
      </w:pPr>
    </w:p>
    <w:p>
      <w:pPr>
        <w:ind w:left="1740" w:hanging="436"/>
        <w:spacing w:after="0"/>
        <w:tabs>
          <w:tab w:leader="none" w:pos="174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Common Corridor Finishes:</w:t>
      </w:r>
    </w:p>
    <w:p>
      <w:pPr>
        <w:spacing w:after="0" w:line="15" w:lineRule="exact"/>
        <w:rPr>
          <w:rFonts w:ascii="Arial" w:cs="Arial" w:eastAsia="Arial" w:hAnsi="Arial"/>
          <w:sz w:val="20"/>
          <w:szCs w:val="20"/>
          <w:color w:val="auto"/>
        </w:rPr>
      </w:pPr>
    </w:p>
    <w:p>
      <w:pPr>
        <w:ind w:left="2580" w:hanging="534"/>
        <w:spacing w:after="0" w:line="222" w:lineRule="auto"/>
        <w:tabs>
          <w:tab w:leader="none" w:pos="2580" w:val="left"/>
        </w:tabs>
        <w:numPr>
          <w:ilvl w:val="2"/>
          <w:numId w:val="198"/>
        </w:numPr>
        <w:rPr>
          <w:rFonts w:ascii="Arial" w:cs="Arial" w:eastAsia="Arial" w:hAnsi="Arial"/>
          <w:sz w:val="22"/>
          <w:szCs w:val="22"/>
          <w:color w:val="auto"/>
        </w:rPr>
      </w:pPr>
      <w:r>
        <w:rPr>
          <w:rFonts w:ascii="Arial" w:cs="Arial" w:eastAsia="Arial" w:hAnsi="Arial"/>
          <w:sz w:val="20"/>
          <w:szCs w:val="20"/>
          <w:color w:val="auto"/>
        </w:rPr>
        <w:t>N/A there are no Common Corridors.</w:t>
      </w:r>
    </w:p>
    <w:p>
      <w:pPr>
        <w:spacing w:after="0" w:line="209" w:lineRule="exact"/>
        <w:rPr>
          <w:rFonts w:ascii="Arial" w:cs="Arial" w:eastAsia="Arial" w:hAnsi="Arial"/>
          <w:sz w:val="22"/>
          <w:szCs w:val="22"/>
          <w:color w:val="auto"/>
        </w:rPr>
      </w:pPr>
    </w:p>
    <w:p>
      <w:pPr>
        <w:ind w:left="1740" w:hanging="436"/>
        <w:spacing w:after="0"/>
        <w:tabs>
          <w:tab w:leader="none" w:pos="174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Toilet Room Finishes:</w:t>
      </w:r>
    </w:p>
    <w:p>
      <w:pPr>
        <w:spacing w:after="0" w:line="15" w:lineRule="exact"/>
        <w:rPr>
          <w:rFonts w:ascii="Arial" w:cs="Arial" w:eastAsia="Arial" w:hAnsi="Arial"/>
          <w:sz w:val="20"/>
          <w:szCs w:val="20"/>
          <w:color w:val="auto"/>
        </w:rPr>
      </w:pPr>
    </w:p>
    <w:p>
      <w:pPr>
        <w:ind w:left="2580" w:hanging="534"/>
        <w:spacing w:after="0" w:line="222" w:lineRule="auto"/>
        <w:tabs>
          <w:tab w:leader="none" w:pos="2580" w:val="left"/>
        </w:tabs>
        <w:numPr>
          <w:ilvl w:val="2"/>
          <w:numId w:val="198"/>
        </w:numPr>
        <w:rPr>
          <w:rFonts w:ascii="Arial" w:cs="Arial" w:eastAsia="Arial" w:hAnsi="Arial"/>
          <w:sz w:val="22"/>
          <w:szCs w:val="22"/>
          <w:color w:val="auto"/>
        </w:rPr>
      </w:pPr>
      <w:r>
        <w:rPr>
          <w:rFonts w:ascii="Arial" w:cs="Arial" w:eastAsia="Arial" w:hAnsi="Arial"/>
          <w:sz w:val="20"/>
          <w:szCs w:val="20"/>
          <w:color w:val="auto"/>
        </w:rPr>
        <w:t>Toilet rooms shall be provided as part of Tenant Improvement.</w:t>
      </w:r>
    </w:p>
    <w:p>
      <w:pPr>
        <w:spacing w:after="0" w:line="209" w:lineRule="exact"/>
        <w:rPr>
          <w:rFonts w:ascii="Arial" w:cs="Arial" w:eastAsia="Arial" w:hAnsi="Arial"/>
          <w:sz w:val="22"/>
          <w:szCs w:val="22"/>
          <w:color w:val="auto"/>
        </w:rPr>
      </w:pPr>
    </w:p>
    <w:p>
      <w:pPr>
        <w:ind w:left="1740" w:hanging="436"/>
        <w:spacing w:after="0"/>
        <w:tabs>
          <w:tab w:leader="none" w:pos="174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Janitor’s Closet:</w:t>
      </w:r>
    </w:p>
    <w:p>
      <w:pPr>
        <w:spacing w:after="0" w:line="15" w:lineRule="exact"/>
        <w:rPr>
          <w:rFonts w:ascii="Arial" w:cs="Arial" w:eastAsia="Arial" w:hAnsi="Arial"/>
          <w:sz w:val="20"/>
          <w:szCs w:val="20"/>
          <w:color w:val="auto"/>
        </w:rPr>
      </w:pPr>
    </w:p>
    <w:p>
      <w:pPr>
        <w:ind w:left="2580" w:hanging="534"/>
        <w:spacing w:after="0" w:line="222" w:lineRule="auto"/>
        <w:tabs>
          <w:tab w:leader="none" w:pos="2580" w:val="left"/>
        </w:tabs>
        <w:numPr>
          <w:ilvl w:val="2"/>
          <w:numId w:val="198"/>
        </w:numPr>
        <w:rPr>
          <w:rFonts w:ascii="Arial" w:cs="Arial" w:eastAsia="Arial" w:hAnsi="Arial"/>
          <w:sz w:val="22"/>
          <w:szCs w:val="22"/>
          <w:color w:val="auto"/>
        </w:rPr>
      </w:pPr>
      <w:r>
        <w:rPr>
          <w:rFonts w:ascii="Arial" w:cs="Arial" w:eastAsia="Arial" w:hAnsi="Arial"/>
          <w:sz w:val="20"/>
          <w:szCs w:val="20"/>
          <w:color w:val="auto"/>
        </w:rPr>
        <w:t>N/A shall be part of Tenant Improvement.</w:t>
      </w:r>
    </w:p>
    <w:p>
      <w:pPr>
        <w:spacing w:after="0" w:line="209" w:lineRule="exact"/>
        <w:rPr>
          <w:rFonts w:ascii="Arial" w:cs="Arial" w:eastAsia="Arial" w:hAnsi="Arial"/>
          <w:sz w:val="22"/>
          <w:szCs w:val="22"/>
          <w:color w:val="auto"/>
        </w:rPr>
      </w:pPr>
    </w:p>
    <w:p>
      <w:pPr>
        <w:ind w:left="1740" w:hanging="436"/>
        <w:spacing w:after="0"/>
        <w:tabs>
          <w:tab w:leader="none" w:pos="174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New Elevator Finishes:</w:t>
      </w:r>
    </w:p>
    <w:p>
      <w:pPr>
        <w:spacing w:after="0" w:line="15" w:lineRule="exact"/>
        <w:rPr>
          <w:rFonts w:ascii="Arial" w:cs="Arial" w:eastAsia="Arial" w:hAnsi="Arial"/>
          <w:sz w:val="20"/>
          <w:szCs w:val="20"/>
          <w:color w:val="auto"/>
        </w:rPr>
      </w:pPr>
    </w:p>
    <w:p>
      <w:pPr>
        <w:ind w:left="2580" w:right="20" w:hanging="534"/>
        <w:spacing w:after="0" w:line="284" w:lineRule="auto"/>
        <w:tabs>
          <w:tab w:leader="none" w:pos="2580" w:val="left"/>
        </w:tabs>
        <w:numPr>
          <w:ilvl w:val="2"/>
          <w:numId w:val="198"/>
        </w:numPr>
        <w:rPr>
          <w:rFonts w:ascii="Arial" w:cs="Arial" w:eastAsia="Arial" w:hAnsi="Arial"/>
          <w:sz w:val="19"/>
          <w:szCs w:val="19"/>
          <w:color w:val="auto"/>
        </w:rPr>
      </w:pPr>
      <w:r>
        <w:rPr>
          <w:rFonts w:ascii="Arial" w:cs="Arial" w:eastAsia="Arial" w:hAnsi="Arial"/>
          <w:sz w:val="18"/>
          <w:szCs w:val="18"/>
          <w:color w:val="auto"/>
        </w:rPr>
        <w:t>Finishes including new flooring, new wall finishes, new ceiling inlay, new lighting and new stainless-steel cladding on elevator doors and frames, all as specified in the finish schedule of the approved plans.</w:t>
      </w:r>
    </w:p>
    <w:p>
      <w:pPr>
        <w:spacing w:after="0" w:line="152" w:lineRule="exact"/>
        <w:rPr>
          <w:rFonts w:ascii="Arial" w:cs="Arial" w:eastAsia="Arial" w:hAnsi="Arial"/>
          <w:sz w:val="19"/>
          <w:szCs w:val="19"/>
          <w:color w:val="auto"/>
        </w:rPr>
      </w:pPr>
    </w:p>
    <w:p>
      <w:pPr>
        <w:ind w:left="2580" w:hanging="534"/>
        <w:spacing w:after="0"/>
        <w:tabs>
          <w:tab w:leader="none" w:pos="2580" w:val="left"/>
        </w:tabs>
        <w:numPr>
          <w:ilvl w:val="2"/>
          <w:numId w:val="198"/>
        </w:numPr>
        <w:rPr>
          <w:rFonts w:ascii="Arial" w:cs="Arial" w:eastAsia="Arial" w:hAnsi="Arial"/>
          <w:sz w:val="22"/>
          <w:szCs w:val="22"/>
          <w:color w:val="auto"/>
        </w:rPr>
      </w:pPr>
      <w:r>
        <w:rPr>
          <w:rFonts w:ascii="Arial" w:cs="Arial" w:eastAsia="Arial" w:hAnsi="Arial"/>
          <w:sz w:val="20"/>
          <w:szCs w:val="20"/>
          <w:color w:val="auto"/>
        </w:rPr>
        <w:t>New wall pads to be furnished.</w:t>
      </w:r>
    </w:p>
    <w:p>
      <w:pPr>
        <w:spacing w:after="0" w:line="208" w:lineRule="exact"/>
        <w:rPr>
          <w:rFonts w:ascii="Arial" w:cs="Arial" w:eastAsia="Arial" w:hAnsi="Arial"/>
          <w:sz w:val="22"/>
          <w:szCs w:val="22"/>
          <w:color w:val="auto"/>
        </w:rPr>
      </w:pPr>
    </w:p>
    <w:p>
      <w:pPr>
        <w:ind w:left="1740" w:hanging="436"/>
        <w:spacing w:after="0"/>
        <w:tabs>
          <w:tab w:leader="none" w:pos="174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Stair Tower Finishes:</w:t>
      </w:r>
    </w:p>
    <w:p>
      <w:pPr>
        <w:spacing w:after="0" w:line="15" w:lineRule="exact"/>
        <w:rPr>
          <w:rFonts w:ascii="Arial" w:cs="Arial" w:eastAsia="Arial" w:hAnsi="Arial"/>
          <w:sz w:val="20"/>
          <w:szCs w:val="20"/>
          <w:color w:val="auto"/>
        </w:rPr>
      </w:pPr>
    </w:p>
    <w:p>
      <w:pPr>
        <w:ind w:left="2580" w:hanging="534"/>
        <w:spacing w:after="0" w:line="232" w:lineRule="auto"/>
        <w:tabs>
          <w:tab w:leader="none" w:pos="2580" w:val="left"/>
        </w:tabs>
        <w:numPr>
          <w:ilvl w:val="2"/>
          <w:numId w:val="198"/>
        </w:numPr>
        <w:rPr>
          <w:rFonts w:ascii="Arial" w:cs="Arial" w:eastAsia="Arial" w:hAnsi="Arial"/>
          <w:sz w:val="21"/>
          <w:szCs w:val="21"/>
          <w:color w:val="auto"/>
        </w:rPr>
      </w:pPr>
      <w:r>
        <w:rPr>
          <w:rFonts w:ascii="Arial" w:cs="Arial" w:eastAsia="Arial" w:hAnsi="Arial"/>
          <w:sz w:val="19"/>
          <w:szCs w:val="19"/>
          <w:color w:val="auto"/>
        </w:rPr>
        <w:t>Existing stair towers to be re-utilized for emergency egress and shall be brought up to current Code.</w:t>
      </w:r>
    </w:p>
    <w:p>
      <w:pPr>
        <w:spacing w:after="0" w:line="209" w:lineRule="exact"/>
        <w:rPr>
          <w:rFonts w:ascii="Arial" w:cs="Arial" w:eastAsia="Arial" w:hAnsi="Arial"/>
          <w:sz w:val="21"/>
          <w:szCs w:val="21"/>
          <w:color w:val="auto"/>
        </w:rPr>
      </w:pPr>
    </w:p>
    <w:p>
      <w:pPr>
        <w:jc w:val="both"/>
        <w:ind w:left="2580" w:hanging="534"/>
        <w:spacing w:after="0" w:line="254" w:lineRule="auto"/>
        <w:tabs>
          <w:tab w:leader="none" w:pos="2580" w:val="left"/>
        </w:tabs>
        <w:numPr>
          <w:ilvl w:val="2"/>
          <w:numId w:val="198"/>
        </w:numPr>
        <w:rPr>
          <w:rFonts w:ascii="Arial" w:cs="Arial" w:eastAsia="Arial" w:hAnsi="Arial"/>
          <w:sz w:val="21"/>
          <w:szCs w:val="21"/>
          <w:color w:val="auto"/>
        </w:rPr>
      </w:pPr>
      <w:r>
        <w:rPr>
          <w:rFonts w:ascii="Arial" w:cs="Arial" w:eastAsia="Arial" w:hAnsi="Arial"/>
          <w:sz w:val="19"/>
          <w:szCs w:val="19"/>
          <w:color w:val="auto"/>
        </w:rPr>
        <w:t>Existing stair towers to be refurbished with paint on all walls and miscellaneous metals that are not pre-finished, new flooring on all treads, risers and stair landings, new lighting fixtures, new drywall ceilings or new acoustic ceiling tiles, and new or re-finished stairwell railings, all as specified in the finish schedule of the approved plans. Stair towers to meet all applicable code requirements.</w:t>
      </w:r>
    </w:p>
    <w:p>
      <w:pPr>
        <w:spacing w:after="0" w:line="184" w:lineRule="exact"/>
        <w:rPr>
          <w:rFonts w:ascii="Arial" w:cs="Arial" w:eastAsia="Arial" w:hAnsi="Arial"/>
          <w:sz w:val="21"/>
          <w:szCs w:val="21"/>
          <w:color w:val="auto"/>
        </w:rPr>
      </w:pPr>
    </w:p>
    <w:p>
      <w:pPr>
        <w:jc w:val="both"/>
        <w:ind w:left="2580" w:hanging="534"/>
        <w:spacing w:after="0" w:line="256" w:lineRule="auto"/>
        <w:tabs>
          <w:tab w:leader="none" w:pos="2580" w:val="left"/>
        </w:tabs>
        <w:numPr>
          <w:ilvl w:val="2"/>
          <w:numId w:val="198"/>
        </w:numPr>
        <w:rPr>
          <w:rFonts w:ascii="Arial" w:cs="Arial" w:eastAsia="Arial" w:hAnsi="Arial"/>
          <w:sz w:val="21"/>
          <w:szCs w:val="21"/>
          <w:color w:val="auto"/>
        </w:rPr>
      </w:pPr>
      <w:r>
        <w:rPr>
          <w:rFonts w:ascii="Arial" w:cs="Arial" w:eastAsia="Arial" w:hAnsi="Arial"/>
          <w:sz w:val="19"/>
          <w:szCs w:val="19"/>
          <w:color w:val="auto"/>
        </w:rPr>
        <w:t>New stair tower space heaters and electric conduit to be recessed in wall cavities (electric wiring by Tenant as part of Tenant Improvement), with locations field verified and color to match surrounding wall finishes. Internal thermostats to be set at 55 degrees Fahrenheit upon installation.</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G-2-4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37" w:name="page238"/>
    <w:bookmarkEnd w:id="237"/>
    <w:p>
      <w:pPr>
        <w:ind w:left="880"/>
        <w:spacing w:after="0"/>
        <w:rPr>
          <w:sz w:val="20"/>
          <w:szCs w:val="20"/>
          <w:color w:val="auto"/>
        </w:rPr>
      </w:pPr>
      <w:r>
        <w:rPr>
          <w:rFonts w:ascii="Arial" w:cs="Arial" w:eastAsia="Arial" w:hAnsi="Arial"/>
          <w:sz w:val="20"/>
          <w:szCs w:val="20"/>
          <w:b w:val="1"/>
          <w:bCs w:val="1"/>
          <w:u w:val="single" w:color="auto"/>
          <w:color w:val="auto"/>
        </w:rPr>
        <w:t>DIVISION X - SPECIALTIES</w:t>
      </w:r>
    </w:p>
    <w:p>
      <w:pPr>
        <w:spacing w:after="0" w:line="222"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1000</w:t>
      </w:r>
      <w:r>
        <w:rPr>
          <w:sz w:val="20"/>
          <w:szCs w:val="20"/>
          <w:color w:val="auto"/>
        </w:rPr>
        <w:tab/>
      </w:r>
      <w:r>
        <w:rPr>
          <w:rFonts w:ascii="Arial" w:cs="Arial" w:eastAsia="Arial" w:hAnsi="Arial"/>
          <w:sz w:val="20"/>
          <w:szCs w:val="20"/>
          <w:color w:val="auto"/>
        </w:rPr>
        <w:t>FIRE EXTINGUISHERS</w:t>
      </w:r>
    </w:p>
    <w:p>
      <w:pPr>
        <w:spacing w:after="0" w:line="16" w:lineRule="exact"/>
        <w:rPr>
          <w:sz w:val="20"/>
          <w:szCs w:val="20"/>
          <w:color w:val="auto"/>
        </w:rPr>
      </w:pPr>
    </w:p>
    <w:p>
      <w:pPr>
        <w:ind w:left="1740" w:hanging="436"/>
        <w:spacing w:after="0"/>
        <w:tabs>
          <w:tab w:leader="none" w:pos="17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N/A shall be part of Tenant Improvement.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XI – EQUIPMENT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NOT USED</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XII – FURNISHINGS</w:t>
      </w:r>
    </w:p>
    <w:p>
      <w:pPr>
        <w:spacing w:after="0" w:line="222"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1200</w:t>
      </w:r>
      <w:r>
        <w:rPr>
          <w:sz w:val="20"/>
          <w:szCs w:val="20"/>
          <w:color w:val="auto"/>
        </w:rPr>
        <w:tab/>
      </w:r>
      <w:r>
        <w:rPr>
          <w:rFonts w:ascii="Arial" w:cs="Arial" w:eastAsia="Arial" w:hAnsi="Arial"/>
          <w:sz w:val="20"/>
          <w:szCs w:val="20"/>
          <w:color w:val="auto"/>
        </w:rPr>
        <w:t>WINDOW BLINDS</w:t>
      </w:r>
    </w:p>
    <w:p>
      <w:pPr>
        <w:spacing w:after="0" w:line="16" w:lineRule="exact"/>
        <w:rPr>
          <w:sz w:val="20"/>
          <w:szCs w:val="20"/>
          <w:color w:val="auto"/>
        </w:rPr>
      </w:pPr>
    </w:p>
    <w:p>
      <w:pPr>
        <w:ind w:left="1740" w:right="340" w:hanging="436"/>
        <w:spacing w:after="0" w:line="244" w:lineRule="auto"/>
        <w:tabs>
          <w:tab w:leader="none" w:pos="174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Landlord shall furnish Campus standard Mecho window blinds (or equal) at all exterior windows for installation by Tenant as part of Tenant Improvement.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XIII – SPECIAL CONSTRUCTION</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NOT USED</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XIV - CONVEYING SYSTEMS</w:t>
      </w:r>
    </w:p>
    <w:p>
      <w:pPr>
        <w:spacing w:after="0" w:line="222"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1400</w:t>
      </w:r>
      <w:r>
        <w:rPr>
          <w:sz w:val="20"/>
          <w:szCs w:val="20"/>
          <w:color w:val="auto"/>
        </w:rPr>
        <w:tab/>
      </w:r>
      <w:r>
        <w:rPr>
          <w:rFonts w:ascii="Arial" w:cs="Arial" w:eastAsia="Arial" w:hAnsi="Arial"/>
          <w:sz w:val="20"/>
          <w:szCs w:val="20"/>
          <w:color w:val="auto"/>
        </w:rPr>
        <w:t>ELEVATOR</w:t>
      </w:r>
    </w:p>
    <w:p>
      <w:pPr>
        <w:spacing w:after="0" w:line="15" w:lineRule="exact"/>
        <w:rPr>
          <w:sz w:val="20"/>
          <w:szCs w:val="20"/>
          <w:color w:val="auto"/>
        </w:rPr>
      </w:pPr>
    </w:p>
    <w:p>
      <w:pPr>
        <w:ind w:left="1740" w:hanging="436"/>
        <w:spacing w:after="0"/>
        <w:tabs>
          <w:tab w:leader="none" w:pos="174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Furnish and install one (1) new 2,500-pound passenger elevator and associated equipment.</w:t>
      </w:r>
    </w:p>
    <w:p>
      <w:pPr>
        <w:ind w:left="1740" w:hanging="436"/>
        <w:spacing w:after="0"/>
        <w:tabs>
          <w:tab w:leader="none" w:pos="174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Elevator shall include a code compliant wireless dialer with internet service and a non-proprietary control system.</w:t>
      </w:r>
    </w:p>
    <w:p>
      <w:pPr>
        <w:spacing w:after="0" w:line="11" w:lineRule="exact"/>
        <w:rPr>
          <w:rFonts w:ascii="Arial" w:cs="Arial" w:eastAsia="Arial" w:hAnsi="Arial"/>
          <w:sz w:val="19"/>
          <w:szCs w:val="19"/>
          <w:color w:val="auto"/>
        </w:rPr>
      </w:pPr>
    </w:p>
    <w:p>
      <w:pPr>
        <w:ind w:left="1740" w:hanging="436"/>
        <w:spacing w:after="0"/>
        <w:tabs>
          <w:tab w:leader="none" w:pos="174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Electric wiring by Landlord’s contractor shall be connected to a Tenant provided Electric Panel.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DIVISION XV MECHANICAL</w:t>
            </w:r>
          </w:p>
        </w:tc>
        <w:tc>
          <w:tcPr>
            <w:tcW w:w="4860" w:type="dxa"/>
            <w:vAlign w:val="bottom"/>
          </w:tcPr>
          <w:p>
            <w:pPr>
              <w:spacing w:after="0"/>
              <w:rPr>
                <w:sz w:val="19"/>
                <w:szCs w:val="19"/>
                <w:color w:val="auto"/>
              </w:rPr>
            </w:pPr>
          </w:p>
        </w:tc>
      </w:tr>
      <w:tr>
        <w:trPr>
          <w:trHeight w:val="449"/>
        </w:trPr>
        <w:tc>
          <w:tcPr>
            <w:tcW w:w="880" w:type="dxa"/>
            <w:vAlign w:val="bottom"/>
          </w:tcPr>
          <w:p>
            <w:pPr>
              <w:jc w:val="right"/>
              <w:ind w:right="381"/>
              <w:spacing w:after="0"/>
              <w:rPr>
                <w:sz w:val="20"/>
                <w:szCs w:val="20"/>
                <w:color w:val="auto"/>
              </w:rPr>
            </w:pPr>
            <w:r>
              <w:rPr>
                <w:rFonts w:ascii="Arial" w:cs="Arial" w:eastAsia="Arial" w:hAnsi="Arial"/>
                <w:sz w:val="20"/>
                <w:szCs w:val="20"/>
                <w:color w:val="auto"/>
                <w:w w:val="85"/>
              </w:rPr>
              <w:t>1505</w:t>
            </w:r>
          </w:p>
        </w:tc>
        <w:tc>
          <w:tcPr>
            <w:tcW w:w="7560" w:type="dxa"/>
            <w:vAlign w:val="bottom"/>
            <w:gridSpan w:val="2"/>
          </w:tcPr>
          <w:p>
            <w:pPr>
              <w:ind w:left="180"/>
              <w:spacing w:after="0"/>
              <w:rPr>
                <w:sz w:val="20"/>
                <w:szCs w:val="20"/>
                <w:color w:val="auto"/>
              </w:rPr>
            </w:pPr>
            <w:r>
              <w:rPr>
                <w:rFonts w:ascii="Arial" w:cs="Arial" w:eastAsia="Arial" w:hAnsi="Arial"/>
                <w:sz w:val="20"/>
                <w:szCs w:val="20"/>
                <w:color w:val="auto"/>
              </w:rPr>
              <w:t>HVAC –</w:t>
            </w:r>
          </w:p>
        </w:tc>
      </w:tr>
      <w:tr>
        <w:trPr>
          <w:trHeight w:val="250"/>
        </w:trPr>
        <w:tc>
          <w:tcPr>
            <w:tcW w:w="880" w:type="dxa"/>
            <w:vAlign w:val="bottom"/>
          </w:tcPr>
          <w:p>
            <w:pPr>
              <w:spacing w:after="0"/>
              <w:rPr>
                <w:sz w:val="21"/>
                <w:szCs w:val="21"/>
                <w:color w:val="auto"/>
              </w:rPr>
            </w:pPr>
          </w:p>
        </w:tc>
        <w:tc>
          <w:tcPr>
            <w:tcW w:w="7560" w:type="dxa"/>
            <w:vAlign w:val="bottom"/>
            <w:gridSpan w:val="2"/>
          </w:tcPr>
          <w:p>
            <w:pPr>
              <w:ind w:left="420"/>
              <w:spacing w:after="0"/>
              <w:rPr>
                <w:sz w:val="20"/>
                <w:szCs w:val="20"/>
                <w:color w:val="auto"/>
              </w:rPr>
            </w:pPr>
            <w:r>
              <w:rPr>
                <w:rFonts w:ascii="Arial" w:cs="Arial" w:eastAsia="Arial" w:hAnsi="Arial"/>
                <w:sz w:val="20"/>
                <w:szCs w:val="20"/>
                <w:color w:val="auto"/>
                <w:w w:val="90"/>
              </w:rPr>
              <w:t>•N/A. All HVAC systems and equipment is by Tenant as part of Tenant Improvement</w:t>
            </w:r>
          </w:p>
        </w:tc>
      </w:tr>
      <w:tr>
        <w:trPr>
          <w:trHeight w:val="441"/>
        </w:trPr>
        <w:tc>
          <w:tcPr>
            <w:tcW w:w="880" w:type="dxa"/>
            <w:vAlign w:val="bottom"/>
          </w:tcPr>
          <w:p>
            <w:pPr>
              <w:jc w:val="right"/>
              <w:ind w:right="381"/>
              <w:spacing w:after="0"/>
              <w:rPr>
                <w:sz w:val="20"/>
                <w:szCs w:val="20"/>
                <w:color w:val="auto"/>
              </w:rPr>
            </w:pPr>
            <w:r>
              <w:rPr>
                <w:rFonts w:ascii="Arial" w:cs="Arial" w:eastAsia="Arial" w:hAnsi="Arial"/>
                <w:sz w:val="20"/>
                <w:szCs w:val="20"/>
                <w:color w:val="auto"/>
                <w:w w:val="85"/>
              </w:rPr>
              <w:t>1510</w:t>
            </w:r>
          </w:p>
        </w:tc>
        <w:tc>
          <w:tcPr>
            <w:tcW w:w="7560" w:type="dxa"/>
            <w:vAlign w:val="bottom"/>
            <w:gridSpan w:val="2"/>
          </w:tcPr>
          <w:p>
            <w:pPr>
              <w:ind w:left="180"/>
              <w:spacing w:after="0"/>
              <w:rPr>
                <w:sz w:val="20"/>
                <w:szCs w:val="20"/>
                <w:color w:val="auto"/>
              </w:rPr>
            </w:pPr>
            <w:r>
              <w:rPr>
                <w:rFonts w:ascii="Arial" w:cs="Arial" w:eastAsia="Arial" w:hAnsi="Arial"/>
                <w:sz w:val="20"/>
                <w:szCs w:val="20"/>
                <w:color w:val="auto"/>
              </w:rPr>
              <w:t>PLUMBING</w:t>
            </w:r>
          </w:p>
        </w:tc>
      </w:tr>
    </w:tbl>
    <w:p>
      <w:pPr>
        <w:ind w:left="1740" w:hanging="436"/>
        <w:spacing w:after="0"/>
        <w:tabs>
          <w:tab w:leader="none" w:pos="17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6” domestic water feed is stubbed inside of the foundation wall of the building</w:t>
      </w:r>
    </w:p>
    <w:p>
      <w:pPr>
        <w:ind w:left="1740" w:hanging="436"/>
        <w:spacing w:after="0"/>
        <w:tabs>
          <w:tab w:leader="none" w:pos="17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Three 6” Sanitary Sewer feeds are stubbed inside of the foundation wall of the building.</w:t>
      </w:r>
    </w:p>
    <w:p>
      <w:pPr>
        <w:ind w:left="1740" w:hanging="436"/>
        <w:spacing w:after="0"/>
        <w:tabs>
          <w:tab w:leader="none" w:pos="17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Camera and jet existing under-slab and underground drain piping from building to first exterior manhole.</w:t>
      </w:r>
    </w:p>
    <w:p>
      <w:pPr>
        <w:ind w:left="1740" w:right="600" w:hanging="436"/>
        <w:spacing w:after="0" w:line="241" w:lineRule="auto"/>
        <w:tabs>
          <w:tab w:leader="none" w:pos="17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Provide four (4) new, recessed frost free lockable exterior hose bibs in locations to be coordinated with Landlord. Domestic water lines servicing the hose bibs shall be stubbed 9’ above finished floor by Landlord for connection by Tenant as part of the Tenant Improvement.</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1520</w:t>
      </w:r>
      <w:r>
        <w:rPr>
          <w:sz w:val="20"/>
          <w:szCs w:val="20"/>
          <w:color w:val="auto"/>
        </w:rPr>
        <w:tab/>
      </w:r>
      <w:r>
        <w:rPr>
          <w:rFonts w:ascii="Arial" w:cs="Arial" w:eastAsia="Arial" w:hAnsi="Arial"/>
          <w:sz w:val="20"/>
          <w:szCs w:val="20"/>
          <w:color w:val="auto"/>
        </w:rPr>
        <w:t>FIRE PROTECTION</w:t>
      </w:r>
    </w:p>
    <w:p>
      <w:pPr>
        <w:spacing w:after="0" w:line="216" w:lineRule="exact"/>
        <w:rPr>
          <w:sz w:val="20"/>
          <w:szCs w:val="20"/>
          <w:color w:val="auto"/>
        </w:rPr>
      </w:pPr>
    </w:p>
    <w:p>
      <w:pPr>
        <w:ind w:left="1740" w:hanging="436"/>
        <w:spacing w:after="0" w:line="291" w:lineRule="auto"/>
        <w:tabs>
          <w:tab w:leader="none" w:pos="17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Furnish and install new fire sprinkler system main piping from new standpipes. Sprinkler heads to be turned up in shell spaces and shall be turned down and dropped to finish ceiling height in all existing stairwells and IDF rom. Tenant shall provide all sprinkler pipes and heads up to and including 1½” as part of the Tenant Improvement. All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G-2-5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38" w:name="page239"/>
    <w:bookmarkEnd w:id="238"/>
    <w:p>
      <w:pPr>
        <w:ind w:left="1740" w:right="320"/>
        <w:spacing w:after="0" w:line="247" w:lineRule="auto"/>
        <w:rPr>
          <w:sz w:val="20"/>
          <w:szCs w:val="20"/>
          <w:color w:val="auto"/>
        </w:rPr>
      </w:pPr>
      <w:r>
        <w:rPr>
          <w:rFonts w:ascii="Arial" w:cs="Arial" w:eastAsia="Arial" w:hAnsi="Arial"/>
          <w:sz w:val="20"/>
          <w:szCs w:val="20"/>
          <w:color w:val="auto"/>
        </w:rPr>
        <w:t>sprinkler pipes greater than 1½” shall be provided by Landlord in accordance with final approved building sprinkler plan.</w:t>
      </w:r>
    </w:p>
    <w:p>
      <w:pPr>
        <w:spacing w:after="0" w:line="2" w:lineRule="exact"/>
        <w:rPr>
          <w:sz w:val="20"/>
          <w:szCs w:val="20"/>
          <w:color w:val="auto"/>
        </w:rPr>
      </w:pPr>
    </w:p>
    <w:p>
      <w:pPr>
        <w:ind w:left="1740" w:right="60" w:hanging="436"/>
        <w:spacing w:after="0" w:line="239" w:lineRule="auto"/>
        <w:tabs>
          <w:tab w:leader="none" w:pos="174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Furnish and install new addressable fire alarm system and annunciator panel as required by Code capable of supporting the entire building. Tenant as part of Tenant Improvement shall provide necessary PAD panels, smoke detectors, heat detectors, pull stations, strobes, speakers, and flow switches.</w:t>
      </w:r>
    </w:p>
    <w:p>
      <w:pPr>
        <w:spacing w:after="0" w:line="1" w:lineRule="exact"/>
        <w:rPr>
          <w:rFonts w:ascii="Arial" w:cs="Arial" w:eastAsia="Arial" w:hAnsi="Arial"/>
          <w:sz w:val="20"/>
          <w:szCs w:val="20"/>
          <w:color w:val="auto"/>
        </w:rPr>
      </w:pPr>
    </w:p>
    <w:p>
      <w:pPr>
        <w:ind w:left="1740" w:right="760" w:hanging="436"/>
        <w:spacing w:after="0" w:line="239" w:lineRule="auto"/>
        <w:tabs>
          <w:tab w:leader="none" w:pos="174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building will be fully sprinklered. Furnish and install Stortz connection on the building in a location to be coordinated with the Fire Department.</w:t>
      </w:r>
    </w:p>
    <w:p>
      <w:pPr>
        <w:ind w:left="1740" w:hanging="436"/>
        <w:spacing w:after="0"/>
        <w:tabs>
          <w:tab w:leader="none" w:pos="174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Furnish and install a Knox Box on the building as coordinated with Fire Department.</w:t>
      </w:r>
    </w:p>
    <w:p>
      <w:pPr>
        <w:spacing w:after="0" w:line="200"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GAS</w:t>
      </w:r>
    </w:p>
    <w:p>
      <w:pPr>
        <w:spacing w:after="0" w:line="216" w:lineRule="exact"/>
        <w:rPr>
          <w:sz w:val="20"/>
          <w:szCs w:val="20"/>
          <w:color w:val="auto"/>
        </w:rPr>
      </w:pPr>
    </w:p>
    <w:p>
      <w:pPr>
        <w:ind w:left="1740" w:hanging="436"/>
        <w:spacing w:after="0"/>
        <w:tabs>
          <w:tab w:leader="none" w:pos="174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Landlord will provide a new gas line fed from an existing 8” main for building use.</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DIVISION XVI ELECTRICAL</w:t>
      </w:r>
    </w:p>
    <w:p>
      <w:pPr>
        <w:spacing w:after="0" w:line="222"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1600</w:t>
      </w:r>
      <w:r>
        <w:rPr>
          <w:sz w:val="20"/>
          <w:szCs w:val="20"/>
          <w:color w:val="auto"/>
        </w:rPr>
        <w:tab/>
      </w:r>
      <w:r>
        <w:rPr>
          <w:rFonts w:ascii="Arial" w:cs="Arial" w:eastAsia="Arial" w:hAnsi="Arial"/>
          <w:sz w:val="20"/>
          <w:szCs w:val="20"/>
          <w:color w:val="auto"/>
        </w:rPr>
        <w:t>ELECTRICAL</w:t>
      </w:r>
    </w:p>
    <w:p>
      <w:pPr>
        <w:spacing w:after="0" w:line="216" w:lineRule="exact"/>
        <w:rPr>
          <w:sz w:val="20"/>
          <w:szCs w:val="20"/>
          <w:color w:val="auto"/>
        </w:rPr>
      </w:pPr>
    </w:p>
    <w:p>
      <w:pPr>
        <w:ind w:left="1740" w:right="260" w:hanging="436"/>
        <w:spacing w:after="0" w:line="247" w:lineRule="auto"/>
        <w:tabs>
          <w:tab w:leader="none" w:pos="174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Landlord shall provide a minimum 1500 KVA electric service utilizing the existing electrical feed and transformer to the building which will be metered for tenant billing.</w:t>
      </w:r>
    </w:p>
    <w:p>
      <w:pPr>
        <w:spacing w:after="0" w:line="1" w:lineRule="exact"/>
        <w:rPr>
          <w:rFonts w:ascii="Arial" w:cs="Arial" w:eastAsia="Arial" w:hAnsi="Arial"/>
          <w:sz w:val="20"/>
          <w:szCs w:val="20"/>
          <w:color w:val="auto"/>
        </w:rPr>
      </w:pPr>
    </w:p>
    <w:p>
      <w:pPr>
        <w:ind w:left="1740" w:right="360" w:hanging="436"/>
        <w:spacing w:after="0" w:line="239" w:lineRule="auto"/>
        <w:tabs>
          <w:tab w:leader="none" w:pos="174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Power new lighting in stair towers and IDF Room. Electric wiring by Landlord’s contractor shall be connected to a Tenant provided Electric Panel.</w:t>
      </w:r>
    </w:p>
    <w:p>
      <w:pPr>
        <w:ind w:left="1740" w:right="280" w:hanging="436"/>
        <w:spacing w:after="0" w:line="239" w:lineRule="auto"/>
        <w:tabs>
          <w:tab w:leader="none" w:pos="174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Provide power to elevator and equipment in coordination with approved plans and specifications. Electric wiring by Landlord’s contractor shall be connected to a Tenant provided Electric Panel.</w:t>
      </w:r>
    </w:p>
    <w:p>
      <w:pPr>
        <w:ind w:left="1740" w:right="340" w:hanging="436"/>
        <w:spacing w:after="0" w:line="239" w:lineRule="auto"/>
        <w:tabs>
          <w:tab w:leader="none" w:pos="174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Provide power to exterior building lighting. Electric wiring by Landlord’s contractor shall be connected to a Tenant provided Electric Panel.</w:t>
      </w:r>
    </w:p>
    <w:p>
      <w:pPr>
        <w:jc w:val="both"/>
        <w:ind w:left="1740" w:right="140" w:hanging="436"/>
        <w:spacing w:after="0" w:line="299" w:lineRule="auto"/>
        <w:tabs>
          <w:tab w:leader="none" w:pos="17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Temporary interior lighting and heating shall be provided by Tenant as part of Tenant Improvement. Landlord will be responsible for the costs of electric consumption during both the Core and Shell and the Tenant Improvement projects.</w:t>
      </w:r>
    </w:p>
    <w:p>
      <w:pPr>
        <w:ind w:left="1740" w:right="360" w:hanging="436"/>
        <w:spacing w:after="0" w:line="241" w:lineRule="auto"/>
        <w:tabs>
          <w:tab w:leader="none" w:pos="174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As part of the Tenant Improvement, Tenant shall be responsible for obtaining a building Arc Flash and Breaker Coordination study. All panels and electrical equipment shall be properly labeled in accordance with OSHA standards. Tenant shall provide Landlord a copy of the studies within 90 days following the Lease Commencement Date.</w:t>
      </w:r>
    </w:p>
    <w:p>
      <w:pPr>
        <w:spacing w:after="0" w:line="194"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1610</w:t>
      </w:r>
      <w:r>
        <w:rPr>
          <w:sz w:val="20"/>
          <w:szCs w:val="20"/>
          <w:color w:val="auto"/>
        </w:rPr>
        <w:tab/>
      </w:r>
      <w:r>
        <w:rPr>
          <w:rFonts w:ascii="Arial" w:cs="Arial" w:eastAsia="Arial" w:hAnsi="Arial"/>
          <w:sz w:val="20"/>
          <w:szCs w:val="20"/>
          <w:color w:val="auto"/>
        </w:rPr>
        <w:t>TELEPHONE, DATA and SECURITY</w:t>
      </w:r>
    </w:p>
    <w:p>
      <w:pPr>
        <w:spacing w:after="0" w:line="15" w:lineRule="exact"/>
        <w:rPr>
          <w:sz w:val="20"/>
          <w:szCs w:val="20"/>
          <w:color w:val="auto"/>
        </w:rPr>
      </w:pPr>
    </w:p>
    <w:p>
      <w:pPr>
        <w:ind w:left="1740" w:hanging="436"/>
        <w:spacing w:after="0"/>
        <w:tabs>
          <w:tab w:leader="none" w:pos="174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Pathways for internet service fiber to be provided in Building common IT room (IDF).</w:t>
      </w:r>
    </w:p>
    <w:p>
      <w:pPr>
        <w:ind w:left="2580" w:hanging="534"/>
        <w:spacing w:after="0" w:line="222" w:lineRule="auto"/>
        <w:tabs>
          <w:tab w:leader="none" w:pos="2580" w:val="left"/>
        </w:tabs>
        <w:numPr>
          <w:ilvl w:val="1"/>
          <w:numId w:val="207"/>
        </w:numPr>
        <w:rPr>
          <w:rFonts w:ascii="Arial" w:cs="Arial" w:eastAsia="Arial" w:hAnsi="Arial"/>
          <w:sz w:val="22"/>
          <w:szCs w:val="22"/>
          <w:color w:val="auto"/>
        </w:rPr>
      </w:pPr>
      <w:r>
        <w:rPr>
          <w:rFonts w:ascii="Arial" w:cs="Arial" w:eastAsia="Arial" w:hAnsi="Arial"/>
          <w:sz w:val="20"/>
          <w:szCs w:val="20"/>
          <w:color w:val="auto"/>
        </w:rPr>
        <w:t>IDF Room shall be painted and shall have badge access and VCT flooring.</w:t>
      </w:r>
    </w:p>
    <w:p>
      <w:pPr>
        <w:spacing w:after="0" w:line="9" w:lineRule="exact"/>
        <w:rPr>
          <w:rFonts w:ascii="Arial" w:cs="Arial" w:eastAsia="Arial" w:hAnsi="Arial"/>
          <w:sz w:val="22"/>
          <w:szCs w:val="22"/>
          <w:color w:val="auto"/>
        </w:rPr>
      </w:pPr>
    </w:p>
    <w:p>
      <w:pPr>
        <w:ind w:left="2580" w:hanging="534"/>
        <w:spacing w:after="0" w:line="222" w:lineRule="auto"/>
        <w:tabs>
          <w:tab w:leader="none" w:pos="2580" w:val="left"/>
        </w:tabs>
        <w:numPr>
          <w:ilvl w:val="1"/>
          <w:numId w:val="207"/>
        </w:numPr>
        <w:rPr>
          <w:rFonts w:ascii="Arial" w:cs="Arial" w:eastAsia="Arial" w:hAnsi="Arial"/>
          <w:sz w:val="22"/>
          <w:szCs w:val="22"/>
          <w:color w:val="auto"/>
        </w:rPr>
      </w:pPr>
      <w:r>
        <w:rPr>
          <w:rFonts w:ascii="Arial" w:cs="Arial" w:eastAsia="Arial" w:hAnsi="Arial"/>
          <w:sz w:val="20"/>
          <w:szCs w:val="20"/>
          <w:color w:val="auto"/>
        </w:rPr>
        <w:t>4 dedicated quad outlets at 120 v 20 amp capacity each.</w:t>
      </w:r>
    </w:p>
    <w:p>
      <w:pPr>
        <w:spacing w:after="0" w:line="9" w:lineRule="exact"/>
        <w:rPr>
          <w:rFonts w:ascii="Arial" w:cs="Arial" w:eastAsia="Arial" w:hAnsi="Arial"/>
          <w:sz w:val="22"/>
          <w:szCs w:val="22"/>
          <w:color w:val="auto"/>
        </w:rPr>
      </w:pPr>
    </w:p>
    <w:p>
      <w:pPr>
        <w:ind w:left="2580" w:hanging="534"/>
        <w:spacing w:after="0" w:line="222" w:lineRule="auto"/>
        <w:tabs>
          <w:tab w:leader="none" w:pos="2580" w:val="left"/>
        </w:tabs>
        <w:numPr>
          <w:ilvl w:val="1"/>
          <w:numId w:val="207"/>
        </w:numPr>
        <w:rPr>
          <w:rFonts w:ascii="Arial" w:cs="Arial" w:eastAsia="Arial" w:hAnsi="Arial"/>
          <w:sz w:val="22"/>
          <w:szCs w:val="22"/>
          <w:color w:val="auto"/>
        </w:rPr>
      </w:pPr>
      <w:r>
        <w:rPr>
          <w:rFonts w:ascii="Arial" w:cs="Arial" w:eastAsia="Arial" w:hAnsi="Arial"/>
          <w:sz w:val="20"/>
          <w:szCs w:val="20"/>
          <w:color w:val="auto"/>
        </w:rPr>
        <w:t>A lockable 20U network rack.</w:t>
      </w:r>
    </w:p>
    <w:p>
      <w:pPr>
        <w:spacing w:after="0" w:line="9" w:lineRule="exact"/>
        <w:rPr>
          <w:rFonts w:ascii="Arial" w:cs="Arial" w:eastAsia="Arial" w:hAnsi="Arial"/>
          <w:sz w:val="22"/>
          <w:szCs w:val="22"/>
          <w:color w:val="auto"/>
        </w:rPr>
      </w:pPr>
    </w:p>
    <w:p>
      <w:pPr>
        <w:ind w:left="2580" w:hanging="534"/>
        <w:spacing w:after="0" w:line="222" w:lineRule="auto"/>
        <w:tabs>
          <w:tab w:leader="none" w:pos="2580" w:val="left"/>
        </w:tabs>
        <w:numPr>
          <w:ilvl w:val="1"/>
          <w:numId w:val="207"/>
        </w:numPr>
        <w:rPr>
          <w:rFonts w:ascii="Arial" w:cs="Arial" w:eastAsia="Arial" w:hAnsi="Arial"/>
          <w:sz w:val="22"/>
          <w:szCs w:val="22"/>
          <w:color w:val="auto"/>
        </w:rPr>
      </w:pPr>
      <w:r>
        <w:rPr>
          <w:rFonts w:ascii="Arial" w:cs="Arial" w:eastAsia="Arial" w:hAnsi="Arial"/>
          <w:sz w:val="20"/>
          <w:szCs w:val="20"/>
          <w:color w:val="auto"/>
        </w:rPr>
        <w:t>UPS power for network rack.</w:t>
      </w:r>
    </w:p>
    <w:p>
      <w:pPr>
        <w:spacing w:after="0" w:line="9" w:lineRule="exact"/>
        <w:rPr>
          <w:rFonts w:ascii="Arial" w:cs="Arial" w:eastAsia="Arial" w:hAnsi="Arial"/>
          <w:sz w:val="22"/>
          <w:szCs w:val="22"/>
          <w:color w:val="auto"/>
        </w:rPr>
      </w:pPr>
    </w:p>
    <w:p>
      <w:pPr>
        <w:ind w:left="2580" w:hanging="534"/>
        <w:spacing w:after="0" w:line="222" w:lineRule="auto"/>
        <w:tabs>
          <w:tab w:leader="none" w:pos="2580" w:val="left"/>
        </w:tabs>
        <w:numPr>
          <w:ilvl w:val="1"/>
          <w:numId w:val="207"/>
        </w:numPr>
        <w:rPr>
          <w:rFonts w:ascii="Arial" w:cs="Arial" w:eastAsia="Arial" w:hAnsi="Arial"/>
          <w:sz w:val="22"/>
          <w:szCs w:val="22"/>
          <w:color w:val="auto"/>
        </w:rPr>
      </w:pPr>
      <w:r>
        <w:rPr>
          <w:rFonts w:ascii="Arial" w:cs="Arial" w:eastAsia="Arial" w:hAnsi="Arial"/>
          <w:sz w:val="20"/>
          <w:szCs w:val="20"/>
          <w:color w:val="auto"/>
        </w:rPr>
        <w:t>Cooling to be provided by Tenant as part of Tenant Improvement.</w:t>
      </w:r>
    </w:p>
    <w:p>
      <w:pPr>
        <w:spacing w:after="0" w:line="9" w:lineRule="exact"/>
        <w:rPr>
          <w:rFonts w:ascii="Arial" w:cs="Arial" w:eastAsia="Arial" w:hAnsi="Arial"/>
          <w:sz w:val="22"/>
          <w:szCs w:val="22"/>
          <w:color w:val="auto"/>
        </w:rPr>
      </w:pPr>
    </w:p>
    <w:p>
      <w:pPr>
        <w:ind w:left="2580" w:hanging="534"/>
        <w:spacing w:after="0" w:line="222" w:lineRule="auto"/>
        <w:tabs>
          <w:tab w:leader="none" w:pos="2580" w:val="left"/>
        </w:tabs>
        <w:numPr>
          <w:ilvl w:val="1"/>
          <w:numId w:val="207"/>
        </w:numPr>
        <w:rPr>
          <w:rFonts w:ascii="Arial" w:cs="Arial" w:eastAsia="Arial" w:hAnsi="Arial"/>
          <w:sz w:val="22"/>
          <w:szCs w:val="22"/>
          <w:color w:val="auto"/>
        </w:rPr>
      </w:pPr>
      <w:r>
        <w:rPr>
          <w:rFonts w:ascii="Arial" w:cs="Arial" w:eastAsia="Arial" w:hAnsi="Arial"/>
          <w:sz w:val="20"/>
          <w:szCs w:val="20"/>
          <w:color w:val="auto"/>
        </w:rPr>
        <w:t>Building IDF room shall be accessible from an outside wall. IDF door to be badge access.</w:t>
      </w:r>
    </w:p>
    <w:p>
      <w:pPr>
        <w:spacing w:after="0" w:line="9" w:lineRule="exact"/>
        <w:rPr>
          <w:rFonts w:ascii="Arial" w:cs="Arial" w:eastAsia="Arial" w:hAnsi="Arial"/>
          <w:sz w:val="22"/>
          <w:szCs w:val="22"/>
          <w:color w:val="auto"/>
        </w:rPr>
      </w:pPr>
    </w:p>
    <w:p>
      <w:pPr>
        <w:ind w:left="1740" w:hanging="436"/>
        <w:spacing w:after="0"/>
        <w:tabs>
          <w:tab w:leader="none" w:pos="174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Security</w:t>
      </w:r>
    </w:p>
    <w:p>
      <w:pPr>
        <w:ind w:left="2580" w:hanging="534"/>
        <w:spacing w:after="0" w:line="228" w:lineRule="auto"/>
        <w:tabs>
          <w:tab w:leader="none" w:pos="2580" w:val="left"/>
        </w:tabs>
        <w:numPr>
          <w:ilvl w:val="1"/>
          <w:numId w:val="207"/>
        </w:numPr>
        <w:rPr>
          <w:rFonts w:ascii="Arial" w:cs="Arial" w:eastAsia="Arial" w:hAnsi="Arial"/>
          <w:sz w:val="22"/>
          <w:szCs w:val="22"/>
          <w:color w:val="auto"/>
        </w:rPr>
      </w:pPr>
      <w:r>
        <w:rPr>
          <w:rFonts w:ascii="Arial" w:cs="Arial" w:eastAsia="Arial" w:hAnsi="Arial"/>
          <w:sz w:val="20"/>
          <w:szCs w:val="20"/>
          <w:color w:val="auto"/>
        </w:rPr>
        <w:t>Main building controller shall be capable of handling 24 doors. Main building controller shall be capable of expanding to a 48 door system.</w:t>
      </w:r>
    </w:p>
    <w:p>
      <w:pPr>
        <w:ind w:left="2580" w:hanging="534"/>
        <w:spacing w:after="0" w:line="222" w:lineRule="auto"/>
        <w:tabs>
          <w:tab w:leader="none" w:pos="2580" w:val="left"/>
        </w:tabs>
        <w:numPr>
          <w:ilvl w:val="1"/>
          <w:numId w:val="207"/>
        </w:numPr>
        <w:rPr>
          <w:rFonts w:ascii="Arial" w:cs="Arial" w:eastAsia="Arial" w:hAnsi="Arial"/>
          <w:sz w:val="22"/>
          <w:szCs w:val="22"/>
          <w:color w:val="auto"/>
        </w:rPr>
      </w:pPr>
      <w:r>
        <w:rPr>
          <w:rFonts w:ascii="Arial" w:cs="Arial" w:eastAsia="Arial" w:hAnsi="Arial"/>
          <w:sz w:val="20"/>
          <w:szCs w:val="20"/>
          <w:color w:val="auto"/>
        </w:rPr>
        <w:t>System shall integrate into the CRISP Switch network for Campus connectivity.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G-2-6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39" w:name="page240"/>
    <w:bookmarkEnd w:id="239"/>
    <w:p>
      <w:pPr>
        <w:ind w:left="1740" w:hanging="436"/>
        <w:spacing w:after="0"/>
        <w:tabs>
          <w:tab w:leader="none" w:pos="174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Cameras</w:t>
      </w:r>
    </w:p>
    <w:p>
      <w:pPr>
        <w:spacing w:after="0" w:line="15" w:lineRule="exact"/>
        <w:rPr>
          <w:rFonts w:ascii="Arial" w:cs="Arial" w:eastAsia="Arial" w:hAnsi="Arial"/>
          <w:sz w:val="20"/>
          <w:szCs w:val="20"/>
          <w:color w:val="auto"/>
        </w:rPr>
      </w:pPr>
    </w:p>
    <w:p>
      <w:pPr>
        <w:ind w:left="2580" w:hanging="534"/>
        <w:spacing w:after="0" w:line="222" w:lineRule="auto"/>
        <w:tabs>
          <w:tab w:leader="none" w:pos="2580" w:val="left"/>
        </w:tabs>
        <w:numPr>
          <w:ilvl w:val="1"/>
          <w:numId w:val="208"/>
        </w:numPr>
        <w:rPr>
          <w:rFonts w:ascii="Arial" w:cs="Arial" w:eastAsia="Arial" w:hAnsi="Arial"/>
          <w:sz w:val="22"/>
          <w:szCs w:val="22"/>
          <w:color w:val="auto"/>
        </w:rPr>
      </w:pPr>
      <w:r>
        <w:rPr>
          <w:rFonts w:ascii="Arial" w:cs="Arial" w:eastAsia="Arial" w:hAnsi="Arial"/>
          <w:sz w:val="20"/>
          <w:szCs w:val="20"/>
          <w:color w:val="auto"/>
        </w:rPr>
        <w:t>Exterior Cameras will be per the campus standard specification.</w:t>
      </w:r>
    </w:p>
    <w:p>
      <w:pPr>
        <w:spacing w:after="0" w:line="9" w:lineRule="exact"/>
        <w:rPr>
          <w:rFonts w:ascii="Arial" w:cs="Arial" w:eastAsia="Arial" w:hAnsi="Arial"/>
          <w:sz w:val="22"/>
          <w:szCs w:val="22"/>
          <w:color w:val="auto"/>
        </w:rPr>
      </w:pPr>
    </w:p>
    <w:p>
      <w:pPr>
        <w:ind w:left="2580" w:hanging="534"/>
        <w:spacing w:after="0"/>
        <w:tabs>
          <w:tab w:leader="none" w:pos="2580" w:val="left"/>
        </w:tabs>
        <w:numPr>
          <w:ilvl w:val="1"/>
          <w:numId w:val="208"/>
        </w:numPr>
        <w:rPr>
          <w:rFonts w:ascii="Arial" w:cs="Arial" w:eastAsia="Arial" w:hAnsi="Arial"/>
          <w:sz w:val="19"/>
          <w:szCs w:val="19"/>
          <w:color w:val="auto"/>
        </w:rPr>
      </w:pPr>
      <w:r>
        <w:rPr>
          <w:rFonts w:ascii="Arial" w:cs="Arial" w:eastAsia="Arial" w:hAnsi="Arial"/>
          <w:sz w:val="18"/>
          <w:szCs w:val="18"/>
          <w:color w:val="auto"/>
        </w:rPr>
        <w:t>Furnish and install 12 cameras, including 1 camera inside the IDF and 11 cameras outside the building.</w:t>
      </w:r>
    </w:p>
    <w:p>
      <w:pPr>
        <w:spacing w:after="0" w:line="24" w:lineRule="exact"/>
        <w:rPr>
          <w:rFonts w:ascii="Arial" w:cs="Arial" w:eastAsia="Arial" w:hAnsi="Arial"/>
          <w:sz w:val="19"/>
          <w:szCs w:val="19"/>
          <w:color w:val="auto"/>
        </w:rPr>
      </w:pPr>
    </w:p>
    <w:p>
      <w:pPr>
        <w:ind w:left="2580" w:hanging="534"/>
        <w:spacing w:after="0" w:line="222" w:lineRule="auto"/>
        <w:tabs>
          <w:tab w:leader="none" w:pos="2580" w:val="left"/>
        </w:tabs>
        <w:numPr>
          <w:ilvl w:val="1"/>
          <w:numId w:val="208"/>
        </w:numPr>
        <w:rPr>
          <w:rFonts w:ascii="Arial" w:cs="Arial" w:eastAsia="Arial" w:hAnsi="Arial"/>
          <w:sz w:val="22"/>
          <w:szCs w:val="22"/>
          <w:color w:val="auto"/>
        </w:rPr>
      </w:pPr>
      <w:r>
        <w:rPr>
          <w:rFonts w:ascii="Arial" w:cs="Arial" w:eastAsia="Arial" w:hAnsi="Arial"/>
          <w:sz w:val="20"/>
          <w:szCs w:val="20"/>
          <w:color w:val="auto"/>
        </w:rPr>
        <w:t>All cameras shall be integrated into the CRISP switch, with NVR integrated for remote access.</w:t>
      </w:r>
    </w:p>
    <w:p>
      <w:pPr>
        <w:spacing w:after="0" w:line="9" w:lineRule="exact"/>
        <w:rPr>
          <w:rFonts w:ascii="Arial" w:cs="Arial" w:eastAsia="Arial" w:hAnsi="Arial"/>
          <w:sz w:val="22"/>
          <w:szCs w:val="22"/>
          <w:color w:val="auto"/>
        </w:rPr>
      </w:pPr>
    </w:p>
    <w:p>
      <w:pPr>
        <w:ind w:left="2580" w:hanging="534"/>
        <w:spacing w:after="0" w:line="222" w:lineRule="auto"/>
        <w:tabs>
          <w:tab w:leader="none" w:pos="2580" w:val="left"/>
        </w:tabs>
        <w:numPr>
          <w:ilvl w:val="1"/>
          <w:numId w:val="208"/>
        </w:numPr>
        <w:rPr>
          <w:rFonts w:ascii="Arial" w:cs="Arial" w:eastAsia="Arial" w:hAnsi="Arial"/>
          <w:sz w:val="22"/>
          <w:szCs w:val="22"/>
          <w:color w:val="auto"/>
        </w:rPr>
      </w:pPr>
      <w:r>
        <w:rPr>
          <w:rFonts w:ascii="Arial" w:cs="Arial" w:eastAsia="Arial" w:hAnsi="Arial"/>
          <w:sz w:val="20"/>
          <w:szCs w:val="20"/>
          <w:color w:val="auto"/>
        </w:rPr>
        <w:t>A minimum of 2 cameras will be allocated to cover the loading dock area of the building.</w:t>
      </w:r>
    </w:p>
    <w:p>
      <w:pPr>
        <w:spacing w:after="0" w:line="209" w:lineRule="exact"/>
        <w:rPr>
          <w:rFonts w:ascii="Arial" w:cs="Arial" w:eastAsia="Arial" w:hAnsi="Arial"/>
          <w:sz w:val="22"/>
          <w:szCs w:val="22"/>
          <w:color w:val="auto"/>
        </w:rPr>
      </w:pPr>
    </w:p>
    <w:p>
      <w:pPr>
        <w:ind w:left="1740" w:hanging="436"/>
        <w:spacing w:after="0"/>
        <w:tabs>
          <w:tab w:leader="none" w:pos="174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Building Automation System</w:t>
      </w:r>
    </w:p>
    <w:p>
      <w:pPr>
        <w:spacing w:after="0" w:line="15" w:lineRule="exact"/>
        <w:rPr>
          <w:rFonts w:ascii="Arial" w:cs="Arial" w:eastAsia="Arial" w:hAnsi="Arial"/>
          <w:sz w:val="20"/>
          <w:szCs w:val="20"/>
          <w:color w:val="auto"/>
        </w:rPr>
      </w:pPr>
    </w:p>
    <w:p>
      <w:pPr>
        <w:jc w:val="both"/>
        <w:ind w:left="2580" w:hanging="534"/>
        <w:spacing w:after="0" w:line="233" w:lineRule="auto"/>
        <w:tabs>
          <w:tab w:leader="none" w:pos="2580" w:val="left"/>
        </w:tabs>
        <w:numPr>
          <w:ilvl w:val="1"/>
          <w:numId w:val="208"/>
        </w:numPr>
        <w:rPr>
          <w:rFonts w:ascii="Arial" w:cs="Arial" w:eastAsia="Arial" w:hAnsi="Arial"/>
          <w:sz w:val="22"/>
          <w:szCs w:val="22"/>
          <w:color w:val="auto"/>
        </w:rPr>
      </w:pPr>
      <w:r>
        <w:rPr>
          <w:rFonts w:ascii="Arial" w:cs="Arial" w:eastAsia="Arial" w:hAnsi="Arial"/>
          <w:sz w:val="20"/>
          <w:szCs w:val="20"/>
          <w:color w:val="auto"/>
        </w:rPr>
        <w:t>Landlord will coordinate with Tenant to ensure that the cross communications required between the Fire Protection System and BAS sufficiently meet both Tenant and Landlord needs. Landlord anticipates that this is likely accomplished via digital inputs and outputs from the various systems.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End of Outline Scope of Work.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G-2-7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240" w:name="page241"/>
    <w:bookmarkEnd w:id="240"/>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“G-3”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Plans for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151130</wp:posOffset>
            </wp:positionV>
            <wp:extent cx="4800600" cy="27946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48006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G-3-1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OPTIONS TO RENEW</w:t>
      </w:r>
    </w:p>
    <w:p>
      <w:pPr>
        <w:spacing w:after="0" w:line="222" w:lineRule="exact"/>
        <w:rPr>
          <w:sz w:val="20"/>
          <w:szCs w:val="20"/>
          <w:color w:val="auto"/>
        </w:rPr>
      </w:pPr>
    </w:p>
    <w:p>
      <w:pPr>
        <w:jc w:val="both"/>
        <w:ind w:firstLine="872"/>
        <w:spacing w:after="0" w:line="257" w:lineRule="auto"/>
        <w:tabs>
          <w:tab w:leader="none" w:pos="1731" w:val="left"/>
        </w:tabs>
        <w:numPr>
          <w:ilvl w:val="0"/>
          <w:numId w:val="209"/>
        </w:numPr>
        <w:rPr>
          <w:rFonts w:ascii="Arial" w:cs="Arial" w:eastAsia="Arial" w:hAnsi="Arial"/>
          <w:sz w:val="19"/>
          <w:szCs w:val="19"/>
          <w:color w:val="auto"/>
        </w:rPr>
      </w:pPr>
      <w:r>
        <w:rPr>
          <w:rFonts w:ascii="Arial" w:cs="Arial" w:eastAsia="Arial" w:hAnsi="Arial"/>
          <w:sz w:val="19"/>
          <w:szCs w:val="19"/>
          <w:color w:val="auto"/>
        </w:rPr>
        <w:t>Provided that there then exists no Event of Default by Tenant under the Lease, nor any event that with the giving of notice and/or the passage of time would constitute an Event of Default, and that Tenant and/or its Permitted Transferee(s) and/or its assignee(s) is/are the sole occupant(s) of the Premises, Tenant shall have the right and option to extend the Term of this Lease for 3 additional periods of 60 months each, exercisable by giving Landlord prior written notice, on or before that date that is 12 months prior to the then current Expiration Date, of Tenant’s election to extend the Term; it being agreed that time is of the essence and that this option is personal to Tenant and any Permitted Transferee or assignee, and is non-transferable to any sublessee (regardless of whether any such sublease was made with or without Landlord’s consent).</w:t>
      </w:r>
    </w:p>
    <w:p>
      <w:pPr>
        <w:spacing w:after="0" w:line="184" w:lineRule="exact"/>
        <w:rPr>
          <w:rFonts w:ascii="Arial" w:cs="Arial" w:eastAsia="Arial" w:hAnsi="Arial"/>
          <w:sz w:val="19"/>
          <w:szCs w:val="19"/>
          <w:color w:val="auto"/>
        </w:rPr>
      </w:pPr>
    </w:p>
    <w:p>
      <w:pPr>
        <w:ind w:left="1760" w:hanging="888"/>
        <w:spacing w:after="0"/>
        <w:tabs>
          <w:tab w:leader="none" w:pos="176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Such extensions shall be under the same terms and conditions as provided in the Lease except as follows:</w:t>
      </w:r>
    </w:p>
    <w:p>
      <w:pPr>
        <w:spacing w:after="0" w:line="215" w:lineRule="exact"/>
        <w:rPr>
          <w:rFonts w:ascii="Arial" w:cs="Arial" w:eastAsia="Arial" w:hAnsi="Arial"/>
          <w:sz w:val="20"/>
          <w:szCs w:val="20"/>
          <w:color w:val="auto"/>
        </w:rPr>
      </w:pPr>
    </w:p>
    <w:p>
      <w:pPr>
        <w:ind w:firstLine="1734"/>
        <w:spacing w:after="0" w:line="260" w:lineRule="auto"/>
        <w:tabs>
          <w:tab w:leader="none" w:pos="2561" w:val="left"/>
        </w:tabs>
        <w:numPr>
          <w:ilvl w:val="1"/>
          <w:numId w:val="209"/>
        </w:numPr>
        <w:rPr>
          <w:rFonts w:ascii="Arial" w:cs="Arial" w:eastAsia="Arial" w:hAnsi="Arial"/>
          <w:sz w:val="20"/>
          <w:szCs w:val="20"/>
          <w:color w:val="auto"/>
        </w:rPr>
      </w:pPr>
      <w:r>
        <w:rPr>
          <w:rFonts w:ascii="Arial" w:cs="Arial" w:eastAsia="Arial" w:hAnsi="Arial"/>
          <w:sz w:val="20"/>
          <w:szCs w:val="20"/>
          <w:color w:val="auto"/>
        </w:rPr>
        <w:t>each additional term shall begin on the day after the then current Expiration Date and thereafter the Expiration Date shall be deemed to be the date that is 60 months after the then current Expiration Date;</w:t>
      </w:r>
    </w:p>
    <w:p>
      <w:pPr>
        <w:spacing w:after="0" w:line="176" w:lineRule="exact"/>
        <w:rPr>
          <w:rFonts w:ascii="Arial" w:cs="Arial" w:eastAsia="Arial" w:hAnsi="Arial"/>
          <w:sz w:val="20"/>
          <w:szCs w:val="20"/>
          <w:color w:val="auto"/>
        </w:rPr>
      </w:pPr>
    </w:p>
    <w:p>
      <w:pPr>
        <w:ind w:firstLine="1734"/>
        <w:spacing w:after="0" w:line="260" w:lineRule="auto"/>
        <w:tabs>
          <w:tab w:leader="none" w:pos="2616" w:val="left"/>
        </w:tabs>
        <w:numPr>
          <w:ilvl w:val="1"/>
          <w:numId w:val="209"/>
        </w:numPr>
        <w:rPr>
          <w:rFonts w:ascii="Arial" w:cs="Arial" w:eastAsia="Arial" w:hAnsi="Arial"/>
          <w:sz w:val="20"/>
          <w:szCs w:val="20"/>
          <w:color w:val="auto"/>
        </w:rPr>
      </w:pPr>
      <w:r>
        <w:rPr>
          <w:rFonts w:ascii="Arial" w:cs="Arial" w:eastAsia="Arial" w:hAnsi="Arial"/>
          <w:sz w:val="20"/>
          <w:szCs w:val="20"/>
          <w:color w:val="auto"/>
        </w:rPr>
        <w:t>there shall be only two further options to extend following the first renewal, one further option to extend following the second renewal, and no further options to extend after the third renewal; and</w:t>
      </w:r>
    </w:p>
    <w:p>
      <w:pPr>
        <w:spacing w:after="0" w:line="176" w:lineRule="exact"/>
        <w:rPr>
          <w:rFonts w:ascii="Arial" w:cs="Arial" w:eastAsia="Arial" w:hAnsi="Arial"/>
          <w:sz w:val="20"/>
          <w:szCs w:val="20"/>
          <w:color w:val="auto"/>
        </w:rPr>
      </w:pPr>
    </w:p>
    <w:p>
      <w:pPr>
        <w:jc w:val="both"/>
        <w:ind w:firstLine="1735"/>
        <w:spacing w:after="0" w:line="309" w:lineRule="auto"/>
        <w:tabs>
          <w:tab w:leader="none" w:pos="2672"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Base Rent for each year of an additional term shall be equal to the lesser of (A) the Base Rent payable in the immediately preceding Lease Year (the “Prior Rent Alternative”), or (B) 95% of the fair market rental value of the Premises and annual increases in fair market rental value (collectively, the “FMR”) applicable at the time Tenant exercises such option (but in no event prior to the date that is 12 months before the then current Expiration Date). In determining the FMR, Landlord shall take into account and make appropriate adjustments to reflect current market terms, conditions and concessions for similar renewal transactions in similar buildings in the Wilmington, Delaware market area (and taking into account whether such terms, conditions and concessions are being made available by Landlord) at the time Tenant exercises such option (but in no event prior to the date that is 12 months before the then current Expiration Date).Tenant shall pay Real Property Taxes and Operating Expenses for the Premises during the additional period in accordance with the Lease, and the manner and method in which Tenant reimburses Landlord for Tenant’s Share of Real Property Taxes and Operating Expenses and the base year (if any) applicable to such matter, shall be some of the factors considered in determining the FMR for the additional period.</w:t>
      </w:r>
    </w:p>
    <w:p>
      <w:pPr>
        <w:spacing w:after="0" w:line="379" w:lineRule="exact"/>
        <w:rPr>
          <w:rFonts w:ascii="Arial" w:cs="Arial" w:eastAsia="Arial" w:hAnsi="Arial"/>
          <w:sz w:val="16"/>
          <w:szCs w:val="16"/>
          <w:color w:val="auto"/>
        </w:rPr>
      </w:pPr>
    </w:p>
    <w:p>
      <w:pPr>
        <w:jc w:val="both"/>
        <w:ind w:firstLine="872"/>
        <w:spacing w:after="0" w:line="256" w:lineRule="auto"/>
        <w:tabs>
          <w:tab w:leader="none" w:pos="1731" w:val="left"/>
        </w:tabs>
        <w:numPr>
          <w:ilvl w:val="0"/>
          <w:numId w:val="209"/>
        </w:numPr>
        <w:rPr>
          <w:rFonts w:ascii="Arial" w:cs="Arial" w:eastAsia="Arial" w:hAnsi="Arial"/>
          <w:sz w:val="19"/>
          <w:szCs w:val="19"/>
          <w:color w:val="auto"/>
        </w:rPr>
      </w:pPr>
      <w:r>
        <w:rPr>
          <w:rFonts w:ascii="Arial" w:cs="Arial" w:eastAsia="Arial" w:hAnsi="Arial"/>
          <w:sz w:val="19"/>
          <w:szCs w:val="19"/>
          <w:color w:val="auto"/>
        </w:rPr>
        <w:t>Within 45 days after Landlord receives notice of Tenant’s exercise of the option to extend the Term (but in no event prior to the date that is 12 months before the then current Expiration Date), Landlord will give notice to Tenant (the “</w:t>
      </w:r>
      <w:r>
        <w:rPr>
          <w:rFonts w:ascii="Arial" w:cs="Arial" w:eastAsia="Arial" w:hAnsi="Arial"/>
          <w:sz w:val="19"/>
          <w:szCs w:val="19"/>
          <w:b w:val="1"/>
          <w:bCs w:val="1"/>
          <w:color w:val="auto"/>
        </w:rPr>
        <w:t>Rent Notice</w:t>
      </w:r>
      <w:r>
        <w:rPr>
          <w:rFonts w:ascii="Arial" w:cs="Arial" w:eastAsia="Arial" w:hAnsi="Arial"/>
          <w:sz w:val="19"/>
          <w:szCs w:val="19"/>
          <w:color w:val="auto"/>
        </w:rPr>
        <w:t>”) of Landlord’s opinion of the FMR and comparing the FMR to the Base Rent payable in the immediately preceding Lease Year. If Tenant does not respond to the Rent Notice within 45 days after receiving it, Landlord’s opinion of the FMR shall be deemed accepted as the Base Rent due for each Lease Year of an additional period. If, during such 45 day period, Tenant gives Landlord notice that Tenant contests Landlord’s determination of the FMR (an “</w:t>
      </w:r>
      <w:r>
        <w:rPr>
          <w:rFonts w:ascii="Arial" w:cs="Arial" w:eastAsia="Arial" w:hAnsi="Arial"/>
          <w:sz w:val="19"/>
          <w:szCs w:val="19"/>
          <w:b w:val="1"/>
          <w:bCs w:val="1"/>
          <w:color w:val="auto"/>
        </w:rPr>
        <w:t>Objection Notice</w:t>
      </w:r>
      <w:r>
        <w:rPr>
          <w:rFonts w:ascii="Arial" w:cs="Arial" w:eastAsia="Arial" w:hAnsi="Arial"/>
          <w:sz w:val="19"/>
          <w:szCs w:val="19"/>
          <w:color w:val="auto"/>
        </w:rPr>
        <w:t>”), which notice must contain therein Tenant’s opinion of the FMR, the parties will attempt to arrive at a mutually agreeable Base Rent for each Lease Year of an additional period, which, in no event, shall be less than the Prior Rent Alternative. When the parties come to an agreement, they will both execute an amendment to the Lease establishing the Base Rent for each Lease Year of an additional</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H</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2" w:name="page243"/>
    <w:bookmarkEnd w:id="242"/>
    <w:p>
      <w:pPr>
        <w:ind w:right="20" w:firstLine="864"/>
        <w:spacing w:after="0" w:line="260" w:lineRule="auto"/>
        <w:rPr>
          <w:sz w:val="20"/>
          <w:szCs w:val="20"/>
          <w:color w:val="auto"/>
        </w:rPr>
      </w:pPr>
      <w:r>
        <w:rPr>
          <w:rFonts w:ascii="Arial" w:cs="Arial" w:eastAsia="Arial" w:hAnsi="Arial"/>
          <w:sz w:val="20"/>
          <w:szCs w:val="20"/>
          <w:color w:val="auto"/>
        </w:rPr>
        <w:t>period. If, during such 45 day period, Tenant gives Landlord notice that it rescinds its exercise of its option to extend the Term, then the Term shall end on the Expiration Date.</w:t>
      </w:r>
    </w:p>
    <w:p>
      <w:pPr>
        <w:spacing w:after="0" w:line="177" w:lineRule="exact"/>
        <w:rPr>
          <w:sz w:val="20"/>
          <w:szCs w:val="20"/>
          <w:color w:val="auto"/>
        </w:rPr>
      </w:pPr>
    </w:p>
    <w:p>
      <w:pPr>
        <w:jc w:val="both"/>
        <w:ind w:firstLine="872"/>
        <w:spacing w:after="0" w:line="268" w:lineRule="auto"/>
        <w:tabs>
          <w:tab w:leader="none" w:pos="174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Landlord and Tenant cannot agree as to the FMR within 15 days after Landlord’s receipt of the Objection Notice, the FMR shall be determined by appraisal. Within 10 days after the expiration of such 15 day period, Landlord and Tenant shall give written notice to the other setting forth the name and address of an appraiser designated by the party giving notice. All appraisers selected shall be members of the American Institute of Real Estate Appraisers and shall have had at least 10 years continuous experience in the business of appraising office and laboratory buildings in the Wilmington, Delaware market area. If either party shall fail to give notice of such designation within the time period provided, then the party who has designated its appraiser (the “</w:t>
      </w:r>
      <w:r>
        <w:rPr>
          <w:rFonts w:ascii="Arial" w:cs="Arial" w:eastAsia="Arial" w:hAnsi="Arial"/>
          <w:sz w:val="18"/>
          <w:szCs w:val="18"/>
          <w:b w:val="1"/>
          <w:bCs w:val="1"/>
          <w:color w:val="auto"/>
        </w:rPr>
        <w:t>Designating Party</w:t>
      </w:r>
      <w:r>
        <w:rPr>
          <w:rFonts w:ascii="Arial" w:cs="Arial" w:eastAsia="Arial" w:hAnsi="Arial"/>
          <w:sz w:val="18"/>
          <w:szCs w:val="18"/>
          <w:color w:val="auto"/>
        </w:rPr>
        <w:t>”) shall notify the other party (the “</w:t>
      </w:r>
      <w:r>
        <w:rPr>
          <w:rFonts w:ascii="Arial" w:cs="Arial" w:eastAsia="Arial" w:hAnsi="Arial"/>
          <w:sz w:val="18"/>
          <w:szCs w:val="18"/>
          <w:b w:val="1"/>
          <w:bCs w:val="1"/>
          <w:color w:val="auto"/>
        </w:rPr>
        <w:t>Non-Designating Party</w:t>
      </w:r>
      <w:r>
        <w:rPr>
          <w:rFonts w:ascii="Arial" w:cs="Arial" w:eastAsia="Arial" w:hAnsi="Arial"/>
          <w:sz w:val="18"/>
          <w:szCs w:val="18"/>
          <w:color w:val="auto"/>
        </w:rPr>
        <w:t>”) in writing that the Non-Designating Party has an additional 10 days to give notice of its designation, otherwise the appraiser, if any, designated by the Designating Party shall conclusively determine the FMR. If two appraisers have been designated, such appraisers shall attempt to agree upon the FMR. If the two appraisers do not agree on the FMR within 20 days of their designation, the two appraisers shall designate a third appraiser. If the two appraisers shall fail to agree upon the identity of a third appraiser within 5 business days following the end of such 20 day period, then either Landlord or Tenant may apply to the American Arbitration Association, or any successor thereto, for the settlement of the dispute as to the designation of the third appraiser and the American Arbitration Association shall designate a third appraiser in accordance with the Real Estate Valuation Arbitration Rules of the American Arbitration Association. Each of Landlord and Tenant shall furnish each of the three arbitrators with a copy of their respective final determination of the FMR. The third arbitrator shall proceed with all reasonable dispatch to determine whether Landlord’s final determination of the FMR or Tenant’s final determination of the FMR most closely reflects the FMR, and in no event shall the arbitrator have the right (i) to average the final determination of the FMR of Landlord and Tenant or (ii) to choose another rate. The decision of such third arbitrator shall in any event be rendered within 30 days after his/her appointment, or within such other period as the parties shall agree, and such decision shall be in writing and in duplicate, one counterpart thereof to be delivered to each of the parties. The arbitration shall be conducted in accordance with the rules of the American Arbitration Association (or its successor) and applicable laws and this Section, which shall govern to the extent of any conflict between this Section and the rules of the American Arbitration Association. The FMR as determined in accordance with the provisions of this Section shall be final and binding upon Landlord and Tenant.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H</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TO EXPAND THE BUILDING</w:t>
      </w:r>
    </w:p>
    <w:p>
      <w:pPr>
        <w:spacing w:after="0" w:line="22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Provided that (i) there then exists no Event of Default by Tenant, nor any event that with the giving of notice and/or the passage of time would constitute an Event of Default, and (ii) that Tenant and/or its Permitted Transferee(s) and/or assignee(s) is/are the sole occupant(s) of the Premises, Tenant shall have the right and option, to request Landlord to construct an addition to the Building to contain approximately 60,000 rentable square feet and to be located on the portion of the Property shown and designated as “</w:t>
      </w:r>
      <w:r>
        <w:rPr>
          <w:rFonts w:ascii="Arial" w:cs="Arial" w:eastAsia="Arial" w:hAnsi="Arial"/>
          <w:sz w:val="19"/>
          <w:szCs w:val="19"/>
          <w:b w:val="1"/>
          <w:bCs w:val="1"/>
          <w:color w:val="auto"/>
        </w:rPr>
        <w:t>Expansion Ground</w:t>
      </w:r>
      <w:r>
        <w:rPr>
          <w:rFonts w:ascii="Arial" w:cs="Arial" w:eastAsia="Arial" w:hAnsi="Arial"/>
          <w:sz w:val="19"/>
          <w:szCs w:val="19"/>
          <w:color w:val="auto"/>
        </w:rPr>
        <w:t xml:space="preserve">”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Building Addition</w:t>
      </w:r>
      <w:r>
        <w:rPr>
          <w:rFonts w:ascii="Arial" w:cs="Arial" w:eastAsia="Arial" w:hAnsi="Arial"/>
          <w:sz w:val="19"/>
          <w:szCs w:val="19"/>
          <w:color w:val="auto"/>
        </w:rPr>
        <w:t>”), exercisable by Tenant giving Landlord prior written notice (“</w:t>
      </w:r>
      <w:r>
        <w:rPr>
          <w:rFonts w:ascii="Arial" w:cs="Arial" w:eastAsia="Arial" w:hAnsi="Arial"/>
          <w:sz w:val="19"/>
          <w:szCs w:val="19"/>
          <w:b w:val="1"/>
          <w:bCs w:val="1"/>
          <w:color w:val="auto"/>
        </w:rPr>
        <w:t>Tenant’s Expansion Request</w:t>
      </w:r>
      <w:r>
        <w:rPr>
          <w:rFonts w:ascii="Arial" w:cs="Arial" w:eastAsia="Arial" w:hAnsi="Arial"/>
          <w:sz w:val="19"/>
          <w:szCs w:val="19"/>
          <w:color w:val="auto"/>
        </w:rPr>
        <w:t>”), on or before the last day of the initial Term of this Lease, of Tenant’s desire to have Landlord construct the Building Addition so Tenant may lease same from Landlord. In the event Tenant timely exercises its right and option in accordance with the terms and conditions set forth above, the following shall apply:</w:t>
      </w:r>
    </w:p>
    <w:p>
      <w:pPr>
        <w:spacing w:after="0" w:line="180" w:lineRule="exact"/>
        <w:rPr>
          <w:sz w:val="20"/>
          <w:szCs w:val="20"/>
          <w:color w:val="auto"/>
        </w:rPr>
      </w:pPr>
    </w:p>
    <w:p>
      <w:pPr>
        <w:jc w:val="both"/>
        <w:ind w:firstLine="872"/>
        <w:spacing w:after="0" w:line="259" w:lineRule="auto"/>
        <w:tabs>
          <w:tab w:leader="none" w:pos="1731" w:val="left"/>
        </w:tabs>
        <w:numPr>
          <w:ilvl w:val="0"/>
          <w:numId w:val="211"/>
        </w:numPr>
        <w:rPr>
          <w:rFonts w:ascii="Arial" w:cs="Arial" w:eastAsia="Arial" w:hAnsi="Arial"/>
          <w:sz w:val="19"/>
          <w:szCs w:val="19"/>
          <w:color w:val="auto"/>
        </w:rPr>
      </w:pPr>
      <w:r>
        <w:rPr>
          <w:rFonts w:ascii="Arial" w:cs="Arial" w:eastAsia="Arial" w:hAnsi="Arial"/>
          <w:sz w:val="19"/>
          <w:szCs w:val="19"/>
          <w:color w:val="auto"/>
        </w:rPr>
        <w:t>Landlord and Tenant shall have 120 days following Landlord’s receipt of Tenant’s Expansion Request within which to promptly and diligently pursue in good faith mutually satisfactory terms for the construction of the Building Addition by Landlord, the leasing of the Building Addition by Tenant and the execution of an amendment to this Lease (or a new lease) incorporating such terms for the construction and leasing of the Building Addition and the incorporation of the Building Addition into the Premises. If Landlord and Tenant do not execute such amendment or new lease within such 120 days, then the parties shall no longer be required to so pursue same unless and until Tenant makes a new Tenant’s Expansion Request.</w:t>
      </w:r>
    </w:p>
    <w:p>
      <w:pPr>
        <w:spacing w:after="0" w:line="178" w:lineRule="exact"/>
        <w:rPr>
          <w:rFonts w:ascii="Arial" w:cs="Arial" w:eastAsia="Arial" w:hAnsi="Arial"/>
          <w:sz w:val="19"/>
          <w:szCs w:val="19"/>
          <w:color w:val="auto"/>
        </w:rPr>
      </w:pPr>
    </w:p>
    <w:p>
      <w:pPr>
        <w:ind w:left="1760" w:hanging="888"/>
        <w:spacing w:after="0"/>
        <w:tabs>
          <w:tab w:leader="none" w:pos="176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Notwithstanding the foregoing:</w:t>
      </w:r>
    </w:p>
    <w:p>
      <w:pPr>
        <w:spacing w:after="0" w:line="215" w:lineRule="exact"/>
        <w:rPr>
          <w:rFonts w:ascii="Arial" w:cs="Arial" w:eastAsia="Arial" w:hAnsi="Arial"/>
          <w:sz w:val="20"/>
          <w:szCs w:val="20"/>
          <w:color w:val="auto"/>
        </w:rPr>
      </w:pPr>
    </w:p>
    <w:p>
      <w:pPr>
        <w:jc w:val="both"/>
        <w:ind w:firstLine="1735"/>
        <w:spacing w:after="0" w:line="246" w:lineRule="auto"/>
        <w:tabs>
          <w:tab w:leader="none" w:pos="2562" w:val="left"/>
        </w:tabs>
        <w:numPr>
          <w:ilvl w:val="1"/>
          <w:numId w:val="211"/>
        </w:numPr>
        <w:rPr>
          <w:rFonts w:ascii="Arial" w:cs="Arial" w:eastAsia="Arial" w:hAnsi="Arial"/>
          <w:sz w:val="20"/>
          <w:szCs w:val="20"/>
          <w:color w:val="auto"/>
        </w:rPr>
      </w:pPr>
      <w:r>
        <w:rPr>
          <w:rFonts w:ascii="Arial" w:cs="Arial" w:eastAsia="Arial" w:hAnsi="Arial"/>
          <w:sz w:val="20"/>
          <w:szCs w:val="20"/>
          <w:color w:val="auto"/>
        </w:rPr>
        <w:t>Landlord shall construct the Building Addition and Tenant shall lease the Building Addition from Landlord in accordance with the terms of this Lease. The Building Addition shall be deemed to be a part of the Premises and the Building for all purposes under the Lease and Real Property Taxes, Operating Expenses and Tenant’s Share shall be increased to reflect the inclusion of the Building Addition in the Premises and the Building;</w:t>
      </w:r>
    </w:p>
    <w:p>
      <w:pPr>
        <w:spacing w:after="0" w:line="191" w:lineRule="exact"/>
        <w:rPr>
          <w:rFonts w:ascii="Arial" w:cs="Arial" w:eastAsia="Arial" w:hAnsi="Arial"/>
          <w:sz w:val="20"/>
          <w:szCs w:val="20"/>
          <w:color w:val="auto"/>
        </w:rPr>
      </w:pPr>
    </w:p>
    <w:p>
      <w:pPr>
        <w:jc w:val="both"/>
        <w:ind w:firstLine="1735"/>
        <w:spacing w:after="0" w:line="259" w:lineRule="auto"/>
        <w:tabs>
          <w:tab w:leader="none" w:pos="2617" w:val="left"/>
        </w:tabs>
        <w:numPr>
          <w:ilvl w:val="1"/>
          <w:numId w:val="211"/>
        </w:numPr>
        <w:rPr>
          <w:rFonts w:ascii="Arial" w:cs="Arial" w:eastAsia="Arial" w:hAnsi="Arial"/>
          <w:sz w:val="19"/>
          <w:szCs w:val="19"/>
          <w:color w:val="auto"/>
        </w:rPr>
      </w:pPr>
      <w:r>
        <w:rPr>
          <w:rFonts w:ascii="Arial" w:cs="Arial" w:eastAsia="Arial" w:hAnsi="Arial"/>
          <w:sz w:val="19"/>
          <w:szCs w:val="19"/>
          <w:color w:val="auto"/>
        </w:rPr>
        <w:t>(A) the term of the lease for the Building Addition shall be coterminous with the Term of the Lease, and (B) if the remaining length of the Term of the Lease on the ‘commencement date’ of the term of Tenant’s lease of the Building Addition (“</w:t>
      </w:r>
      <w:r>
        <w:rPr>
          <w:rFonts w:ascii="Arial" w:cs="Arial" w:eastAsia="Arial" w:hAnsi="Arial"/>
          <w:sz w:val="19"/>
          <w:szCs w:val="19"/>
          <w:b w:val="1"/>
          <w:bCs w:val="1"/>
          <w:color w:val="auto"/>
        </w:rPr>
        <w:t>Expansion Commencement Date</w:t>
      </w:r>
      <w:r>
        <w:rPr>
          <w:rFonts w:ascii="Arial" w:cs="Arial" w:eastAsia="Arial" w:hAnsi="Arial"/>
          <w:sz w:val="19"/>
          <w:szCs w:val="19"/>
          <w:color w:val="auto"/>
        </w:rPr>
        <w:t xml:space="preserve">”) is less than 120 full calendar months, then Tenant must, as a condition to the exercise of its right and option pursuant to this </w:t>
      </w:r>
      <w:r>
        <w:rPr>
          <w:rFonts w:ascii="Arial" w:cs="Arial" w:eastAsia="Arial" w:hAnsi="Arial"/>
          <w:sz w:val="19"/>
          <w:szCs w:val="19"/>
          <w:u w:val="single" w:color="auto"/>
          <w:color w:val="auto"/>
        </w:rPr>
        <w:t>Exhibit</w:t>
      </w:r>
      <w:r>
        <w:rPr>
          <w:rFonts w:ascii="Arial" w:cs="Arial" w:eastAsia="Arial" w:hAnsi="Arial"/>
          <w:sz w:val="19"/>
          <w:szCs w:val="19"/>
          <w:color w:val="auto"/>
        </w:rPr>
        <w:t>, extend the Term of the Lease to a date that is at least 120 full calendar months from the Expansion Commencement Date by entering into a written agreement with Landlord; it being agreed that any such extension shall be deemed to be an exercise of the next two options to renew, if any, available to Tenant hereunder;</w:t>
      </w:r>
    </w:p>
    <w:p>
      <w:pPr>
        <w:spacing w:after="0" w:line="178" w:lineRule="exact"/>
        <w:rPr>
          <w:rFonts w:ascii="Arial" w:cs="Arial" w:eastAsia="Arial" w:hAnsi="Arial"/>
          <w:sz w:val="19"/>
          <w:szCs w:val="19"/>
          <w:color w:val="auto"/>
        </w:rPr>
      </w:pPr>
    </w:p>
    <w:p>
      <w:pPr>
        <w:jc w:val="both"/>
        <w:ind w:firstLine="1735"/>
        <w:spacing w:after="0" w:line="278" w:lineRule="auto"/>
        <w:tabs>
          <w:tab w:leader="none" w:pos="267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Base Rent for the Building Addition shall be determined based on the fair market value of built-to-suit construction, taking into account the land value of the Expansion Ground, all shell construction costs, the full amortization of all transaction costs incurred by Landlord (as determined at the time of such lease modification) and a fair market rate of return on the total project costs, all as agreed upon by Landlord and Tenant, but specifically excluding any costs related to remediation required in connection with construction of the Building Addition or resulting from conditions set forth in the Reports, which shall be at Landlord’s sole cost; and</w:t>
      </w:r>
    </w:p>
    <w:p>
      <w:pPr>
        <w:spacing w:after="0" w:line="164" w:lineRule="exact"/>
        <w:rPr>
          <w:rFonts w:ascii="Arial" w:cs="Arial" w:eastAsia="Arial" w:hAnsi="Arial"/>
          <w:sz w:val="18"/>
          <w:szCs w:val="18"/>
          <w:color w:val="auto"/>
        </w:rPr>
      </w:pPr>
    </w:p>
    <w:p>
      <w:pPr>
        <w:ind w:right="20" w:firstLine="1735"/>
        <w:spacing w:after="0" w:line="260" w:lineRule="auto"/>
        <w:tabs>
          <w:tab w:leader="none" w:pos="2661" w:val="left"/>
        </w:tabs>
        <w:numPr>
          <w:ilvl w:val="1"/>
          <w:numId w:val="211"/>
        </w:numPr>
        <w:rPr>
          <w:rFonts w:ascii="Arial" w:cs="Arial" w:eastAsia="Arial" w:hAnsi="Arial"/>
          <w:sz w:val="20"/>
          <w:szCs w:val="20"/>
          <w:color w:val="auto"/>
        </w:rPr>
      </w:pPr>
      <w:r>
        <w:rPr>
          <w:rFonts w:ascii="Arial" w:cs="Arial" w:eastAsia="Arial" w:hAnsi="Arial"/>
          <w:sz w:val="20"/>
          <w:szCs w:val="20"/>
          <w:color w:val="auto"/>
        </w:rPr>
        <w:t>Landlord shall not be responsible for funding special improvements intended to support activities not consistent with the Permitted Use.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H</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4" w:name="page245"/>
    <w:bookmarkEnd w:id="244"/>
    <w:p>
      <w:pPr>
        <w:ind w:left="-872" w:right="20" w:firstLine="872"/>
        <w:spacing w:after="0" w:line="260" w:lineRule="auto"/>
        <w:tabs>
          <w:tab w:leader="none" w:pos="86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At the expiration or earlier termination of the Lease, any Building Addition shall remain on the Property and become the property of Landlord without payment by Landlord.</w:t>
      </w:r>
    </w:p>
    <w:p>
      <w:pPr>
        <w:spacing w:after="0" w:line="176" w:lineRule="exact"/>
        <w:rPr>
          <w:rFonts w:ascii="Arial" w:cs="Arial" w:eastAsia="Arial" w:hAnsi="Arial"/>
          <w:sz w:val="20"/>
          <w:szCs w:val="20"/>
          <w:color w:val="auto"/>
        </w:rPr>
      </w:pPr>
    </w:p>
    <w:p>
      <w:pPr>
        <w:jc w:val="both"/>
        <w:ind w:left="-872" w:right="20" w:firstLine="872"/>
        <w:spacing w:after="0" w:line="250" w:lineRule="auto"/>
        <w:tabs>
          <w:tab w:leader="none" w:pos="871" w:val="left"/>
        </w:tabs>
        <w:numPr>
          <w:ilvl w:val="0"/>
          <w:numId w:val="212"/>
        </w:numPr>
        <w:rPr>
          <w:rFonts w:ascii="Arial" w:cs="Arial" w:eastAsia="Arial" w:hAnsi="Arial"/>
          <w:sz w:val="20"/>
          <w:szCs w:val="20"/>
          <w:color w:val="auto"/>
        </w:rPr>
      </w:pPr>
      <w:r>
        <w:rPr>
          <w:rFonts w:ascii="Arial" w:cs="Arial" w:eastAsia="Arial" w:hAnsi="Arial"/>
          <w:sz w:val="20"/>
          <w:szCs w:val="20"/>
          <w:color w:val="auto"/>
        </w:rPr>
        <w:t>During the initial Term of the Lease only, Landlord shall not be permitted to construct the Building Addition for another tenant, unless Landlord obtains Tenant’s prior written consent, which may be given or withheld by Tenant in Tenant’s sole and absolute discretion.</w:t>
      </w:r>
    </w:p>
    <w:p>
      <w:pPr>
        <w:spacing w:after="0" w:line="185" w:lineRule="exact"/>
        <w:rPr>
          <w:rFonts w:ascii="Arial" w:cs="Arial" w:eastAsia="Arial" w:hAnsi="Arial"/>
          <w:sz w:val="20"/>
          <w:szCs w:val="20"/>
          <w:color w:val="auto"/>
        </w:rPr>
      </w:pPr>
    </w:p>
    <w:p>
      <w:pPr>
        <w:jc w:val="both"/>
        <w:ind w:left="-872" w:firstLine="872"/>
        <w:spacing w:after="0" w:line="250" w:lineRule="auto"/>
        <w:tabs>
          <w:tab w:leader="none" w:pos="86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Tenant’s right to provide Landlord with Tenant’s Expansion Request is an ongoing right during the initial Term of the Lease, is personal to Tenant and any Permitted Transferee or assignee, and is non-transferable to any sublessee (regardless of whether any such sublease was made with or without Landlord’s consent).</w:t>
      </w:r>
    </w:p>
    <w:p>
      <w:pPr>
        <w:spacing w:after="0" w:line="185" w:lineRule="exact"/>
        <w:rPr>
          <w:rFonts w:ascii="Arial" w:cs="Arial" w:eastAsia="Arial" w:hAnsi="Arial"/>
          <w:sz w:val="20"/>
          <w:szCs w:val="20"/>
          <w:color w:val="auto"/>
        </w:rPr>
      </w:pPr>
    </w:p>
    <w:p>
      <w:pPr>
        <w:ind w:left="848" w:hanging="848"/>
        <w:spacing w:after="0"/>
        <w:tabs>
          <w:tab w:leader="none" w:pos="848"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Time is of the essence with respect to Tenant’s and Landlord’s obligations hereunder.</w:t>
      </w:r>
    </w:p>
    <w:p>
      <w:pPr>
        <w:spacing w:after="0" w:line="215" w:lineRule="exact"/>
        <w:rPr>
          <w:rFonts w:ascii="Arial" w:cs="Arial" w:eastAsia="Arial" w:hAnsi="Arial"/>
          <w:sz w:val="20"/>
          <w:szCs w:val="20"/>
          <w:color w:val="auto"/>
        </w:rPr>
      </w:pPr>
    </w:p>
    <w:p>
      <w:pPr>
        <w:jc w:val="both"/>
        <w:ind w:left="-872" w:firstLine="872"/>
        <w:spacing w:after="0" w:line="257" w:lineRule="auto"/>
        <w:tabs>
          <w:tab w:leader="none" w:pos="871"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and the obligations and rights of the parties hereunder are expressly contingent upon Landlord obtaining all final, un-appealable licenses, permits and approvals (collectively, the “</w:t>
      </w:r>
      <w:r>
        <w:rPr>
          <w:rFonts w:ascii="Arial" w:cs="Arial" w:eastAsia="Arial" w:hAnsi="Arial"/>
          <w:sz w:val="19"/>
          <w:szCs w:val="19"/>
          <w:b w:val="1"/>
          <w:bCs w:val="1"/>
          <w:color w:val="auto"/>
        </w:rPr>
        <w:t>Building Addition Approvals</w:t>
      </w:r>
      <w:r>
        <w:rPr>
          <w:rFonts w:ascii="Arial" w:cs="Arial" w:eastAsia="Arial" w:hAnsi="Arial"/>
          <w:sz w:val="19"/>
          <w:szCs w:val="19"/>
          <w:color w:val="auto"/>
        </w:rPr>
        <w:t xml:space="preserve">”) required from the governmental authorities having jurisdiction over the Premises to construct the Building Addition. Landlord shall use commercially reasonable efforts to obtain the Building Addition Approvals. Tenant shall reasonably cooperate with Landlord, at no material cost to Tenant, in Landlord’s efforts to obtain the Building Addition Approvals. Tenant acknowledges and agrees that Landlord is not making any representation or warranty as to whether the foregoing contingency will be satisfied. Tenant hereby waives and releases Landlord from and against, any and all claims for recovery against Landlord for any loss or damage to Tenant arising out of or in connection with the foregoing contingency not being satisfied, so long as Landlord complies with this </w:t>
      </w:r>
      <w:r>
        <w:rPr>
          <w:rFonts w:ascii="Arial" w:cs="Arial" w:eastAsia="Arial" w:hAnsi="Arial"/>
          <w:sz w:val="19"/>
          <w:szCs w:val="19"/>
          <w:u w:val="single" w:color="auto"/>
          <w:color w:val="auto"/>
        </w:rPr>
        <w:t>Exhibit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
        <w:spacing w:after="0"/>
        <w:rPr>
          <w:sz w:val="20"/>
          <w:szCs w:val="20"/>
          <w:color w:val="auto"/>
        </w:rPr>
      </w:pPr>
      <w:r>
        <w:rPr>
          <w:rFonts w:ascii="Arial" w:cs="Arial" w:eastAsia="Arial" w:hAnsi="Arial"/>
          <w:sz w:val="20"/>
          <w:szCs w:val="20"/>
          <w:u w:val="single" w:color="auto"/>
          <w:color w:val="auto"/>
        </w:rPr>
        <w:t>EXHIBIT H</w:t>
      </w:r>
    </w:p>
    <w:p>
      <w:pPr>
        <w:spacing w:after="0" w:line="16" w:lineRule="exact"/>
        <w:rPr>
          <w:sz w:val="20"/>
          <w:szCs w:val="20"/>
          <w:color w:val="auto"/>
        </w:rPr>
      </w:pPr>
    </w:p>
    <w:p>
      <w:pPr>
        <w:ind w:left="8"/>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55880</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9"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20"/>
          <w:szCs w:val="20"/>
          <w:b w:val="1"/>
          <w:bCs w:val="1"/>
          <w:color w:val="auto"/>
        </w:rPr>
        <w:t>Exhibit 10.11</w:t>
      </w:r>
    </w:p>
    <w:p>
      <w:pPr>
        <w:spacing w:after="0" w:line="221" w:lineRule="exact"/>
        <w:rPr>
          <w:sz w:val="20"/>
          <w:szCs w:val="20"/>
          <w:color w:val="auto"/>
        </w:rPr>
      </w:pPr>
    </w:p>
    <w:p>
      <w:pPr>
        <w:jc w:val="center"/>
        <w:ind w:right="860"/>
        <w:spacing w:after="0"/>
        <w:rPr>
          <w:sz w:val="20"/>
          <w:szCs w:val="20"/>
          <w:color w:val="auto"/>
        </w:rPr>
      </w:pPr>
      <w:r>
        <w:rPr>
          <w:rFonts w:ascii="Arial" w:cs="Arial" w:eastAsia="Arial" w:hAnsi="Arial"/>
          <w:sz w:val="20"/>
          <w:szCs w:val="20"/>
          <w:u w:val="single" w:color="auto"/>
          <w:color w:val="auto"/>
        </w:rPr>
        <w:t>SCHEDULE 1 TO EXHIBIT I</w:t>
      </w:r>
    </w:p>
    <w:p>
      <w:pPr>
        <w:spacing w:after="0" w:line="216" w:lineRule="exact"/>
        <w:rPr>
          <w:sz w:val="20"/>
          <w:szCs w:val="20"/>
          <w:color w:val="auto"/>
        </w:rPr>
      </w:pPr>
    </w:p>
    <w:p>
      <w:pPr>
        <w:ind w:left="2960"/>
        <w:spacing w:after="0"/>
        <w:rPr>
          <w:sz w:val="20"/>
          <w:szCs w:val="20"/>
          <w:color w:val="auto"/>
        </w:rPr>
      </w:pPr>
      <w:r>
        <w:rPr>
          <w:rFonts w:ascii="Arial" w:cs="Arial" w:eastAsia="Arial" w:hAnsi="Arial"/>
          <w:sz w:val="20"/>
          <w:szCs w:val="20"/>
          <w:u w:val="single" w:color="auto"/>
          <w:color w:val="auto"/>
        </w:rPr>
        <w:t>PLAN SHOWING EXPANSION 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3394710" cy="46888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3394710" cy="468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18"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J</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OPTION TO RELOCATE</w:t>
      </w:r>
    </w:p>
    <w:p>
      <w:pPr>
        <w:spacing w:after="0" w:line="22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Provided that (i) there then exists no Event of Default by Tenant under this Lease, nor any event that with the giving of notice and/or the passage of time would constitute an Event of Default, and (ii) that Tenant and/or its Permitted Transferee(s) or assignee(s) is/are the sole occupant(s) of the Premises, Tenant shall have the right and option, during the initial Term of this Lease only, to request Landlord to relocate Tenant from the Premises to another building owned by Landlord or an affiliate of Landlord in the Project that contains at least 50% more rentable square feet than the Premises (the “</w:t>
      </w:r>
      <w:r>
        <w:rPr>
          <w:rFonts w:ascii="Arial" w:cs="Arial" w:eastAsia="Arial" w:hAnsi="Arial"/>
          <w:sz w:val="18"/>
          <w:szCs w:val="18"/>
          <w:b w:val="1"/>
          <w:bCs w:val="1"/>
          <w:color w:val="auto"/>
        </w:rPr>
        <w:t>Relocation Right</w:t>
      </w:r>
      <w:r>
        <w:rPr>
          <w:rFonts w:ascii="Arial" w:cs="Arial" w:eastAsia="Arial" w:hAnsi="Arial"/>
          <w:sz w:val="18"/>
          <w:szCs w:val="18"/>
          <w:color w:val="auto"/>
        </w:rPr>
        <w:t>”), exercisable by Tenant giving Landlord prior written notice (“</w:t>
      </w:r>
      <w:r>
        <w:rPr>
          <w:rFonts w:ascii="Arial" w:cs="Arial" w:eastAsia="Arial" w:hAnsi="Arial"/>
          <w:sz w:val="18"/>
          <w:szCs w:val="18"/>
          <w:b w:val="1"/>
          <w:bCs w:val="1"/>
          <w:color w:val="auto"/>
        </w:rPr>
        <w:t>Tenant’s</w:t>
      </w:r>
      <w:r>
        <w:rPr>
          <w:rFonts w:ascii="Arial" w:cs="Arial" w:eastAsia="Arial" w:hAnsi="Arial"/>
          <w:sz w:val="18"/>
          <w:szCs w:val="18"/>
          <w:color w:val="auto"/>
        </w:rPr>
        <w:t xml:space="preserve"> </w:t>
      </w:r>
      <w:r>
        <w:rPr>
          <w:rFonts w:ascii="Arial" w:cs="Arial" w:eastAsia="Arial" w:hAnsi="Arial"/>
          <w:sz w:val="18"/>
          <w:szCs w:val="18"/>
          <w:b w:val="1"/>
          <w:bCs w:val="1"/>
          <w:color w:val="auto"/>
        </w:rPr>
        <w:t>Relocation Request</w:t>
      </w:r>
      <w:r>
        <w:rPr>
          <w:rFonts w:ascii="Arial" w:cs="Arial" w:eastAsia="Arial" w:hAnsi="Arial"/>
          <w:sz w:val="18"/>
          <w:szCs w:val="18"/>
          <w:color w:val="auto"/>
        </w:rPr>
        <w:t>”), of Tenant’s desire to so relocate. Tenant’s Relocation Request shall designate the size of the relocation space which</w:t>
      </w:r>
      <w:r>
        <w:rPr>
          <w:rFonts w:ascii="Arial" w:cs="Arial" w:eastAsia="Arial" w:hAnsi="Arial"/>
          <w:sz w:val="18"/>
          <w:szCs w:val="18"/>
          <w:b w:val="1"/>
          <w:bCs w:val="1"/>
          <w:color w:val="auto"/>
        </w:rPr>
        <w:t xml:space="preserve"> </w:t>
      </w:r>
      <w:r>
        <w:rPr>
          <w:rFonts w:ascii="Arial" w:cs="Arial" w:eastAsia="Arial" w:hAnsi="Arial"/>
          <w:sz w:val="18"/>
          <w:szCs w:val="18"/>
          <w:color w:val="auto"/>
        </w:rPr>
        <w:t>Tenant desires to lease in good faith (which relocation space shall contain no less than 121,270 rentable square feet). In the event Tenant timely exercises its right and option in accordance with the terms and conditions set forth above, the following shall apply:</w:t>
      </w:r>
    </w:p>
    <w:p>
      <w:pPr>
        <w:spacing w:after="0" w:line="168" w:lineRule="exact"/>
        <w:rPr>
          <w:sz w:val="20"/>
          <w:szCs w:val="20"/>
          <w:color w:val="auto"/>
        </w:rPr>
      </w:pPr>
    </w:p>
    <w:p>
      <w:pPr>
        <w:jc w:val="both"/>
        <w:ind w:firstLine="872"/>
        <w:spacing w:after="0" w:line="269" w:lineRule="auto"/>
        <w:tabs>
          <w:tab w:leader="none" w:pos="173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For only 60 days following Landlord’s receipt of Tenant’s Relocation Request, Landlord shall use reasonable efforts (which reasonable efforts shall not include the termination of any existing lease or the relocation of any tenant or occupant or the cessation of active negotiations with another party) to provide Tenant with available space in another building owned by Landlord or its affiliate in the Project in approximately the size of the relocation space designated by Tenant in Tenant’s Relocation Request which could then be leased by Tenant (the “</w:t>
      </w:r>
      <w:r>
        <w:rPr>
          <w:rFonts w:ascii="Arial" w:cs="Arial" w:eastAsia="Arial" w:hAnsi="Arial"/>
          <w:sz w:val="18"/>
          <w:szCs w:val="18"/>
          <w:b w:val="1"/>
          <w:bCs w:val="1"/>
          <w:color w:val="auto"/>
        </w:rPr>
        <w:t>Relocation Space</w:t>
      </w:r>
      <w:r>
        <w:rPr>
          <w:rFonts w:ascii="Arial" w:cs="Arial" w:eastAsia="Arial" w:hAnsi="Arial"/>
          <w:sz w:val="18"/>
          <w:szCs w:val="18"/>
          <w:color w:val="auto"/>
        </w:rPr>
        <w:t>”). Notwithstanding anything to the contrary contained in this Section, Landlord and Tenant agree that the Relocation Right is subject to (a) any and all contractual obligations of Landlord in leases, amendments or letters of intent existing as of the date Landlord receives the Tenant’s Relocation Request, including, without limitation, any expansion rights, rights of first offer and rights of first negotiation or first refusal possessed by any of Landlord’s tenants, and (b) any and all renewals or extensions of the term of any existing lease to which Landlord is a party, whether or not the right to so extend or renew currently exists, is hereafter granted or otherwise agreed to by Landlord. Tenant acknowledges and agrees that Landlord is not making any representation or warranty as to whether Landlord will find an available Relocation Space for Tenant with such 60-day time period. If, within such 60-day time period and despite its reasonable efforts, Landlord cannot find an available Relocation Space for Tenant, then Tenant’s shall be deemed to have withdrawn Tenant’s Relocation Request, the Relocation Right will lapse and be null and void and of no further force or effect, the Lease shall otherwise continue in full force and effect and Tenant hereby waives and releases Landlord from and against, any and all claims for recovery against Landlord for any loss or damage to Tenant arising out thereof or in connection therewith, except with respect to any breach of this Lease by Landlord.</w:t>
      </w:r>
    </w:p>
    <w:p>
      <w:pPr>
        <w:spacing w:after="0" w:line="178" w:lineRule="exact"/>
        <w:rPr>
          <w:rFonts w:ascii="Arial" w:cs="Arial" w:eastAsia="Arial" w:hAnsi="Arial"/>
          <w:sz w:val="18"/>
          <w:szCs w:val="18"/>
          <w:color w:val="auto"/>
        </w:rPr>
      </w:pPr>
    </w:p>
    <w:p>
      <w:pPr>
        <w:jc w:val="both"/>
        <w:ind w:firstLine="872"/>
        <w:spacing w:after="0" w:line="263" w:lineRule="auto"/>
        <w:tabs>
          <w:tab w:leader="none" w:pos="1742" w:val="left"/>
        </w:tabs>
        <w:numPr>
          <w:ilvl w:val="0"/>
          <w:numId w:val="213"/>
        </w:numPr>
        <w:rPr>
          <w:rFonts w:ascii="Arial" w:cs="Arial" w:eastAsia="Arial" w:hAnsi="Arial"/>
          <w:sz w:val="19"/>
          <w:szCs w:val="19"/>
          <w:color w:val="auto"/>
        </w:rPr>
      </w:pPr>
      <w:r>
        <w:rPr>
          <w:rFonts w:ascii="Arial" w:cs="Arial" w:eastAsia="Arial" w:hAnsi="Arial"/>
          <w:sz w:val="19"/>
          <w:szCs w:val="19"/>
          <w:color w:val="auto"/>
        </w:rPr>
        <w:t>If, within such 60-day time period, Landlord finds an available Relocation Space, Landlord shall provide written notice thereof to Tenant describing the available Relocation Space (the “</w:t>
      </w:r>
      <w:r>
        <w:rPr>
          <w:rFonts w:ascii="Arial" w:cs="Arial" w:eastAsia="Arial" w:hAnsi="Arial"/>
          <w:sz w:val="19"/>
          <w:szCs w:val="19"/>
          <w:b w:val="1"/>
          <w:bCs w:val="1"/>
          <w:color w:val="auto"/>
        </w:rPr>
        <w:t>Landlord’s Relocation Response</w:t>
      </w:r>
      <w:r>
        <w:rPr>
          <w:rFonts w:ascii="Arial" w:cs="Arial" w:eastAsia="Arial" w:hAnsi="Arial"/>
          <w:sz w:val="19"/>
          <w:szCs w:val="19"/>
          <w:color w:val="auto"/>
        </w:rPr>
        <w:t>”), which Tenant shall have the right to accept or reject by giving Landlord written notice of (i) Tenant’s acceptance (the “</w:t>
      </w:r>
      <w:r>
        <w:rPr>
          <w:rFonts w:ascii="Arial" w:cs="Arial" w:eastAsia="Arial" w:hAnsi="Arial"/>
          <w:sz w:val="19"/>
          <w:szCs w:val="19"/>
          <w:b w:val="1"/>
          <w:bCs w:val="1"/>
          <w:color w:val="auto"/>
        </w:rPr>
        <w:t>Relocation Acceptance</w:t>
      </w:r>
      <w:r>
        <w:rPr>
          <w:rFonts w:ascii="Arial" w:cs="Arial" w:eastAsia="Arial" w:hAnsi="Arial"/>
          <w:sz w:val="19"/>
          <w:szCs w:val="19"/>
          <w:color w:val="auto"/>
        </w:rPr>
        <w:t>”), or (ii) Tenant’s rejection (the “</w:t>
      </w:r>
      <w:r>
        <w:rPr>
          <w:rFonts w:ascii="Arial" w:cs="Arial" w:eastAsia="Arial" w:hAnsi="Arial"/>
          <w:sz w:val="19"/>
          <w:szCs w:val="19"/>
          <w:b w:val="1"/>
          <w:bCs w:val="1"/>
          <w:color w:val="auto"/>
        </w:rPr>
        <w:t>Relocation Rejection</w:t>
      </w:r>
      <w:r>
        <w:rPr>
          <w:rFonts w:ascii="Arial" w:cs="Arial" w:eastAsia="Arial" w:hAnsi="Arial"/>
          <w:sz w:val="19"/>
          <w:szCs w:val="19"/>
          <w:color w:val="auto"/>
        </w:rPr>
        <w:t>”), within 10 business days after Tenant’s receipt of Landlord’s Relocation Response.</w:t>
      </w:r>
    </w:p>
    <w:p>
      <w:pPr>
        <w:spacing w:after="0" w:line="176" w:lineRule="exact"/>
        <w:rPr>
          <w:rFonts w:ascii="Arial" w:cs="Arial" w:eastAsia="Arial" w:hAnsi="Arial"/>
          <w:sz w:val="19"/>
          <w:szCs w:val="19"/>
          <w:color w:val="auto"/>
        </w:rPr>
      </w:pPr>
    </w:p>
    <w:p>
      <w:pPr>
        <w:jc w:val="both"/>
        <w:ind w:firstLine="1735"/>
        <w:spacing w:after="0" w:line="260" w:lineRule="auto"/>
        <w:tabs>
          <w:tab w:leader="none" w:pos="2562" w:val="left"/>
        </w:tabs>
        <w:numPr>
          <w:ilvl w:val="1"/>
          <w:numId w:val="213"/>
        </w:numPr>
        <w:rPr>
          <w:rFonts w:ascii="Arial" w:cs="Arial" w:eastAsia="Arial" w:hAnsi="Arial"/>
          <w:sz w:val="19"/>
          <w:szCs w:val="19"/>
          <w:color w:val="auto"/>
        </w:rPr>
      </w:pPr>
      <w:r>
        <w:rPr>
          <w:rFonts w:ascii="Arial" w:cs="Arial" w:eastAsia="Arial" w:hAnsi="Arial"/>
          <w:sz w:val="19"/>
          <w:szCs w:val="19"/>
          <w:color w:val="auto"/>
        </w:rPr>
        <w:t>If (A) Tenant does not timely deliver the Relocation Acceptance or the Relocation Rejection to Landlord within such 10 business days, or (B) Tenant timely delivers the Relocation Rejection to Landlord within such 10 business days, then Tenant shall be deemed to have withdrawn Tenant’s Relocation Request, the Relocation Right will lapse and be null and void and of no further force or effect, the Lease shall otherwise continue in full force and effect and Landlord shall have the right to lease all or part of the Relocation Space to any other party at any time on any terms and conditions acceptable to Landlord.</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J</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7" w:name="page248"/>
    <w:bookmarkEnd w:id="247"/>
    <w:p>
      <w:pPr>
        <w:jc w:val="both"/>
        <w:ind w:right="20" w:firstLine="1844"/>
        <w:spacing w:after="0" w:line="256" w:lineRule="auto"/>
        <w:tabs>
          <w:tab w:leader="none" w:pos="2726" w:val="left"/>
        </w:tabs>
        <w:numPr>
          <w:ilvl w:val="2"/>
          <w:numId w:val="214"/>
        </w:numPr>
        <w:rPr>
          <w:rFonts w:ascii="Arial" w:cs="Arial" w:eastAsia="Arial" w:hAnsi="Arial"/>
          <w:sz w:val="19"/>
          <w:szCs w:val="19"/>
          <w:color w:val="auto"/>
        </w:rPr>
      </w:pPr>
      <w:r>
        <w:rPr>
          <w:rFonts w:ascii="Arial" w:cs="Arial" w:eastAsia="Arial" w:hAnsi="Arial"/>
          <w:sz w:val="19"/>
          <w:szCs w:val="19"/>
          <w:color w:val="auto"/>
        </w:rPr>
        <w:t>If Tenant timely delivers the Relocation Acceptance to Landlord within such 10 business days, then Landlord and Tenant shall have 60 days following Landlord’s receipt of the Relocation Acceptance within which they shall promptly and diligently pursue in good faith mutually satisfactory terms for the leasing of the Relocation Space by Tenant, the termination of the Lease on or around the ‘commencement date’ of the new lease for the Relocation Space (“</w:t>
      </w:r>
      <w:r>
        <w:rPr>
          <w:rFonts w:ascii="Arial" w:cs="Arial" w:eastAsia="Arial" w:hAnsi="Arial"/>
          <w:sz w:val="19"/>
          <w:szCs w:val="19"/>
          <w:b w:val="1"/>
          <w:bCs w:val="1"/>
          <w:color w:val="auto"/>
        </w:rPr>
        <w:t>Relocation Commencement Date</w:t>
      </w:r>
      <w:r>
        <w:rPr>
          <w:rFonts w:ascii="Arial" w:cs="Arial" w:eastAsia="Arial" w:hAnsi="Arial"/>
          <w:sz w:val="19"/>
          <w:szCs w:val="19"/>
          <w:color w:val="auto"/>
        </w:rPr>
        <w:t>”) to allow a reasonable period of time for moving and the execution of a new lease agreement incorporating such terms. If, despite Landlord’s diligent good faith efforts, Tenant does not execute such new lease within such 60 days, then Tenant shall be deemed to have withdrawn Tenant’s Relocation Request, the Relocation Right will lapse and be null and void and of no further force or effect, the Lease shall otherwise continue in full force and effect and Landlord shall have the right to lease all or part of the Relocation Space to any other party at any time on any terms and conditions acceptable to Landlord.</w:t>
      </w:r>
    </w:p>
    <w:p>
      <w:pPr>
        <w:spacing w:after="0" w:line="184" w:lineRule="exact"/>
        <w:rPr>
          <w:rFonts w:ascii="Arial" w:cs="Arial" w:eastAsia="Arial" w:hAnsi="Arial"/>
          <w:sz w:val="19"/>
          <w:szCs w:val="19"/>
          <w:color w:val="auto"/>
        </w:rPr>
      </w:pPr>
    </w:p>
    <w:p>
      <w:pPr>
        <w:ind w:left="1740" w:hanging="868"/>
        <w:spacing w:after="0"/>
        <w:tabs>
          <w:tab w:leader="none" w:pos="17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Notwithstanding the foregoing:</w:t>
      </w:r>
    </w:p>
    <w:p>
      <w:pPr>
        <w:spacing w:after="0" w:line="215" w:lineRule="exact"/>
        <w:rPr>
          <w:rFonts w:ascii="Arial" w:cs="Arial" w:eastAsia="Arial" w:hAnsi="Arial"/>
          <w:sz w:val="20"/>
          <w:szCs w:val="20"/>
          <w:color w:val="auto"/>
        </w:rPr>
      </w:pPr>
    </w:p>
    <w:p>
      <w:pPr>
        <w:jc w:val="both"/>
        <w:ind w:right="20" w:firstLine="1735"/>
        <w:spacing w:after="0" w:line="278" w:lineRule="auto"/>
        <w:tabs>
          <w:tab w:leader="none" w:pos="256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(A) the term of the lease for the Relocation Space shall be coterminous with the Term of the Lease, and (B) if the remaining length of the Term of the Lease on the Relocation Commencement Date is less than 120 full calendar months, then Tenant must, as a condition to the exercise of its right and option pursuant to this </w:t>
      </w:r>
      <w:r>
        <w:rPr>
          <w:rFonts w:ascii="Arial" w:cs="Arial" w:eastAsia="Arial" w:hAnsi="Arial"/>
          <w:sz w:val="18"/>
          <w:szCs w:val="18"/>
          <w:u w:val="single" w:color="auto"/>
          <w:color w:val="auto"/>
        </w:rPr>
        <w:t>Exhibit</w:t>
      </w:r>
      <w:r>
        <w:rPr>
          <w:rFonts w:ascii="Arial" w:cs="Arial" w:eastAsia="Arial" w:hAnsi="Arial"/>
          <w:sz w:val="18"/>
          <w:szCs w:val="18"/>
          <w:color w:val="auto"/>
        </w:rPr>
        <w:t>, extend the Term of the Lease to a date that is at least 120 full calendar months from the Relocation Commencement Date by entering into a written agreement with Landlord; it being agreed that any such extension shall be deemed to be an exercise of the next two options to renew, if any, available to Tenant hereunder;</w:t>
      </w:r>
    </w:p>
    <w:p>
      <w:pPr>
        <w:spacing w:after="0" w:line="164" w:lineRule="exact"/>
        <w:rPr>
          <w:rFonts w:ascii="Arial" w:cs="Arial" w:eastAsia="Arial" w:hAnsi="Arial"/>
          <w:sz w:val="18"/>
          <w:szCs w:val="18"/>
          <w:color w:val="auto"/>
        </w:rPr>
      </w:pPr>
    </w:p>
    <w:p>
      <w:pPr>
        <w:jc w:val="both"/>
        <w:ind w:right="20" w:firstLine="1735"/>
        <w:spacing w:after="0" w:line="243" w:lineRule="auto"/>
        <w:tabs>
          <w:tab w:leader="none" w:pos="2617" w:val="left"/>
        </w:tabs>
        <w:numPr>
          <w:ilvl w:val="1"/>
          <w:numId w:val="215"/>
        </w:numPr>
        <w:rPr>
          <w:rFonts w:ascii="Arial" w:cs="Arial" w:eastAsia="Arial" w:hAnsi="Arial"/>
          <w:sz w:val="20"/>
          <w:szCs w:val="20"/>
          <w:color w:val="auto"/>
        </w:rPr>
      </w:pPr>
      <w:r>
        <w:rPr>
          <w:rFonts w:ascii="Arial" w:cs="Arial" w:eastAsia="Arial" w:hAnsi="Arial"/>
          <w:sz w:val="20"/>
          <w:szCs w:val="20"/>
          <w:color w:val="auto"/>
        </w:rPr>
        <w:t>the Base Rent for the Relocation Space shall be equal to the fair market rental value of the Relocation Space and fair market annual increases in such rental value applicable at the time Landlord and Tenant are negotiating, in good faith, mutually satisfactory business terms for the leasing of the Relocation Space by Tenant, taking into account and making appropriate adjustments to reflect current market terms, conditions and concessions for similar space for similar transactions in similar buildings that are then generally available in the Wilmington, Delaware market area (and taking into account whether such terms, conditions and concessions are being made available by Landlord) at that time;</w:t>
      </w:r>
    </w:p>
    <w:p>
      <w:pPr>
        <w:spacing w:after="0" w:line="195" w:lineRule="exact"/>
        <w:rPr>
          <w:rFonts w:ascii="Arial" w:cs="Arial" w:eastAsia="Arial" w:hAnsi="Arial"/>
          <w:sz w:val="20"/>
          <w:szCs w:val="20"/>
          <w:color w:val="auto"/>
        </w:rPr>
      </w:pPr>
    </w:p>
    <w:p>
      <w:pPr>
        <w:ind w:right="20" w:firstLine="1735"/>
        <w:spacing w:after="0" w:line="260" w:lineRule="auto"/>
        <w:tabs>
          <w:tab w:leader="none" w:pos="2672" w:val="left"/>
        </w:tabs>
        <w:numPr>
          <w:ilvl w:val="1"/>
          <w:numId w:val="215"/>
        </w:numPr>
        <w:rPr>
          <w:rFonts w:ascii="Arial" w:cs="Arial" w:eastAsia="Arial" w:hAnsi="Arial"/>
          <w:sz w:val="20"/>
          <w:szCs w:val="20"/>
          <w:color w:val="auto"/>
        </w:rPr>
      </w:pPr>
      <w:r>
        <w:rPr>
          <w:rFonts w:ascii="Arial" w:cs="Arial" w:eastAsia="Arial" w:hAnsi="Arial"/>
          <w:sz w:val="20"/>
          <w:szCs w:val="20"/>
          <w:color w:val="auto"/>
        </w:rPr>
        <w:t>Real Property Taxes, Operating Expenses and Tenant’s Share shall be based on the particular building in which the Relocation Space is located and the rentable square feet contained therein; and</w:t>
      </w:r>
    </w:p>
    <w:p>
      <w:pPr>
        <w:spacing w:after="0" w:line="176" w:lineRule="exact"/>
        <w:rPr>
          <w:rFonts w:ascii="Arial" w:cs="Arial" w:eastAsia="Arial" w:hAnsi="Arial"/>
          <w:sz w:val="20"/>
          <w:szCs w:val="20"/>
          <w:color w:val="auto"/>
        </w:rPr>
      </w:pPr>
    </w:p>
    <w:p>
      <w:pPr>
        <w:ind w:right="40" w:firstLine="1735"/>
        <w:spacing w:after="0" w:line="260" w:lineRule="auto"/>
        <w:tabs>
          <w:tab w:leader="none" w:pos="2661" w:val="left"/>
        </w:tabs>
        <w:numPr>
          <w:ilvl w:val="1"/>
          <w:numId w:val="215"/>
        </w:numPr>
        <w:rPr>
          <w:rFonts w:ascii="Arial" w:cs="Arial" w:eastAsia="Arial" w:hAnsi="Arial"/>
          <w:sz w:val="20"/>
          <w:szCs w:val="20"/>
          <w:color w:val="auto"/>
        </w:rPr>
      </w:pPr>
      <w:r>
        <w:rPr>
          <w:rFonts w:ascii="Arial" w:cs="Arial" w:eastAsia="Arial" w:hAnsi="Arial"/>
          <w:sz w:val="20"/>
          <w:szCs w:val="20"/>
          <w:color w:val="auto"/>
        </w:rPr>
        <w:t>Landlord shall not be responsible for funding special improvements intended to support activities not consistent with the Permitted Use; and</w:t>
      </w:r>
    </w:p>
    <w:p>
      <w:pPr>
        <w:spacing w:after="0" w:line="176" w:lineRule="exact"/>
        <w:rPr>
          <w:rFonts w:ascii="Arial" w:cs="Arial" w:eastAsia="Arial" w:hAnsi="Arial"/>
          <w:sz w:val="20"/>
          <w:szCs w:val="20"/>
          <w:color w:val="auto"/>
        </w:rPr>
      </w:pPr>
    </w:p>
    <w:p>
      <w:pPr>
        <w:jc w:val="both"/>
        <w:ind w:right="20" w:firstLine="1735"/>
        <w:spacing w:after="0" w:line="244" w:lineRule="auto"/>
        <w:tabs>
          <w:tab w:leader="none" w:pos="2606" w:val="left"/>
        </w:tabs>
        <w:numPr>
          <w:ilvl w:val="1"/>
          <w:numId w:val="215"/>
        </w:numPr>
        <w:rPr>
          <w:rFonts w:ascii="Arial" w:cs="Arial" w:eastAsia="Arial" w:hAnsi="Arial"/>
          <w:sz w:val="20"/>
          <w:szCs w:val="20"/>
          <w:color w:val="auto"/>
        </w:rPr>
      </w:pPr>
      <w:r>
        <w:rPr>
          <w:rFonts w:ascii="Arial" w:cs="Arial" w:eastAsia="Arial" w:hAnsi="Arial"/>
          <w:sz w:val="20"/>
          <w:szCs w:val="20"/>
          <w:color w:val="auto"/>
        </w:rPr>
        <w:t>Landlord shall be responsible for performing vapor intrusion testing on any Relocation Space and the surrounding areas and if such testing shows exceedances of applicable Environmental Laws, including, but not limited to, OSHA requirements, prior to the Relocation Commencement Date Landlord shall install a vapor mitigation system, which Landlord shall be responsible for maintaining throughout the term of the lease for the Relocation Space, all of which shall be at Landlord’s sole cost and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Arial" w:cs="Arial" w:eastAsia="Arial" w:hAnsi="Arial"/>
                <w:sz w:val="20"/>
                <w:szCs w:val="20"/>
                <w:color w:val="auto"/>
              </w:rPr>
              <w:t>(d)</w:t>
            </w:r>
          </w:p>
        </w:tc>
        <w:tc>
          <w:tcPr>
            <w:tcW w:w="300" w:type="dxa"/>
            <w:vAlign w:val="bottom"/>
          </w:tcPr>
          <w:p>
            <w:pPr>
              <w:spacing w:after="0"/>
              <w:rPr>
                <w:sz w:val="19"/>
                <w:szCs w:val="19"/>
                <w:color w:val="auto"/>
              </w:rPr>
            </w:pPr>
          </w:p>
        </w:tc>
        <w:tc>
          <w:tcPr>
            <w:tcW w:w="10380" w:type="dxa"/>
            <w:vAlign w:val="bottom"/>
            <w:gridSpan w:val="2"/>
          </w:tcPr>
          <w:p>
            <w:pPr>
              <w:ind w:left="780"/>
              <w:spacing w:after="0"/>
              <w:rPr>
                <w:sz w:val="20"/>
                <w:szCs w:val="20"/>
                <w:color w:val="auto"/>
              </w:rPr>
            </w:pPr>
            <w:r>
              <w:rPr>
                <w:rFonts w:ascii="Arial" w:cs="Arial" w:eastAsia="Arial" w:hAnsi="Arial"/>
                <w:sz w:val="20"/>
                <w:szCs w:val="20"/>
                <w:color w:val="auto"/>
                <w:w w:val="92"/>
              </w:rPr>
              <w:t>The Lease shall terminate and be deemed of no further force and effect on or around the Relocation Commencement</w:t>
            </w:r>
          </w:p>
        </w:tc>
      </w:tr>
      <w:tr>
        <w:trPr>
          <w:trHeight w:val="230"/>
        </w:trPr>
        <w:tc>
          <w:tcPr>
            <w:tcW w:w="580" w:type="dxa"/>
            <w:vAlign w:val="bottom"/>
          </w:tcPr>
          <w:p>
            <w:pPr>
              <w:spacing w:after="0"/>
              <w:rPr>
                <w:sz w:val="19"/>
                <w:szCs w:val="19"/>
                <w:color w:val="auto"/>
              </w:rPr>
            </w:pPr>
          </w:p>
        </w:tc>
        <w:tc>
          <w:tcPr>
            <w:tcW w:w="10680" w:type="dxa"/>
            <w:vAlign w:val="bottom"/>
            <w:gridSpan w:val="3"/>
          </w:tcPr>
          <w:p>
            <w:pPr>
              <w:ind w:left="280"/>
              <w:spacing w:after="0"/>
              <w:rPr>
                <w:sz w:val="20"/>
                <w:szCs w:val="20"/>
                <w:color w:val="auto"/>
              </w:rPr>
            </w:pPr>
            <w:r>
              <w:rPr>
                <w:rFonts w:ascii="Arial" w:cs="Arial" w:eastAsia="Arial" w:hAnsi="Arial"/>
                <w:sz w:val="20"/>
                <w:szCs w:val="20"/>
                <w:color w:val="auto"/>
                <w:w w:val="94"/>
              </w:rPr>
              <w:t>Date (to allow the moving described above) and Tenant shall vacate and surrender the Premises to Landlord in the condition</w:t>
            </w:r>
          </w:p>
        </w:tc>
      </w:tr>
      <w:tr>
        <w:trPr>
          <w:trHeight w:val="230"/>
        </w:trPr>
        <w:tc>
          <w:tcPr>
            <w:tcW w:w="580" w:type="dxa"/>
            <w:vAlign w:val="bottom"/>
          </w:tcPr>
          <w:p>
            <w:pPr>
              <w:spacing w:after="0"/>
              <w:rPr>
                <w:sz w:val="19"/>
                <w:szCs w:val="19"/>
                <w:color w:val="auto"/>
              </w:rPr>
            </w:pPr>
          </w:p>
        </w:tc>
        <w:tc>
          <w:tcPr>
            <w:tcW w:w="10680" w:type="dxa"/>
            <w:vAlign w:val="bottom"/>
            <w:gridSpan w:val="3"/>
          </w:tcPr>
          <w:p>
            <w:pPr>
              <w:ind w:left="280"/>
              <w:spacing w:after="0"/>
              <w:rPr>
                <w:sz w:val="20"/>
                <w:szCs w:val="20"/>
                <w:color w:val="auto"/>
              </w:rPr>
            </w:pPr>
            <w:r>
              <w:rPr>
                <w:rFonts w:ascii="Arial" w:cs="Arial" w:eastAsia="Arial" w:hAnsi="Arial"/>
                <w:sz w:val="20"/>
                <w:szCs w:val="20"/>
                <w:color w:val="auto"/>
                <w:w w:val="90"/>
              </w:rPr>
              <w:t>required to be surrendered under the Lease on or before the termination of the Lease (which shall be on or around the Relocation</w:t>
            </w:r>
          </w:p>
        </w:tc>
      </w:tr>
      <w:tr>
        <w:trPr>
          <w:trHeight w:val="250"/>
        </w:trPr>
        <w:tc>
          <w:tcPr>
            <w:tcW w:w="580" w:type="dxa"/>
            <w:vAlign w:val="bottom"/>
          </w:tcPr>
          <w:p>
            <w:pPr>
              <w:spacing w:after="0"/>
              <w:rPr>
                <w:sz w:val="21"/>
                <w:szCs w:val="21"/>
                <w:color w:val="auto"/>
              </w:rPr>
            </w:pPr>
          </w:p>
        </w:tc>
        <w:tc>
          <w:tcPr>
            <w:tcW w:w="10680" w:type="dxa"/>
            <w:vAlign w:val="bottom"/>
            <w:gridSpan w:val="3"/>
          </w:tcPr>
          <w:p>
            <w:pPr>
              <w:ind w:left="280"/>
              <w:spacing w:after="0"/>
              <w:rPr>
                <w:sz w:val="20"/>
                <w:szCs w:val="20"/>
                <w:color w:val="auto"/>
              </w:rPr>
            </w:pPr>
            <w:r>
              <w:rPr>
                <w:rFonts w:ascii="Arial" w:cs="Arial" w:eastAsia="Arial" w:hAnsi="Arial"/>
                <w:sz w:val="20"/>
                <w:szCs w:val="20"/>
                <w:color w:val="auto"/>
              </w:rPr>
              <w:t>Commencement Date to allow the moving described above).</w:t>
            </w:r>
          </w:p>
        </w:tc>
      </w:tr>
      <w:tr>
        <w:trPr>
          <w:trHeight w:val="617"/>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20"/>
                <w:szCs w:val="20"/>
                <w:color w:val="auto"/>
              </w:rPr>
              <w:t>EXHIBIT J</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254"/>
        </w:trPr>
        <w:tc>
          <w:tcPr>
            <w:tcW w:w="5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Arial" w:cs="Arial" w:eastAsia="Arial" w:hAnsi="Arial"/>
                <w:sz w:val="20"/>
                <w:szCs w:val="20"/>
                <w:color w:val="auto"/>
              </w:rPr>
              <w:t>2</w:t>
            </w:r>
          </w:p>
        </w:tc>
        <w:tc>
          <w:tcPr>
            <w:tcW w:w="9480" w:type="dxa"/>
            <w:vAlign w:val="bottom"/>
          </w:tcPr>
          <w:p>
            <w:pPr>
              <w:spacing w:after="0"/>
              <w:rPr>
                <w:sz w:val="22"/>
                <w:szCs w:val="22"/>
                <w:color w:val="auto"/>
              </w:rPr>
            </w:pPr>
          </w:p>
        </w:tc>
      </w:tr>
      <w:tr>
        <w:trPr>
          <w:trHeight w:val="111"/>
        </w:trPr>
        <w:tc>
          <w:tcPr>
            <w:tcW w:w="5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9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248" w:name="page249"/>
    <w:bookmarkEnd w:id="248"/>
    <w:p>
      <w:pPr>
        <w:jc w:val="both"/>
        <w:ind w:right="20" w:hanging="784"/>
        <w:spacing w:after="0" w:line="250" w:lineRule="auto"/>
        <w:rPr>
          <w:sz w:val="20"/>
          <w:szCs w:val="20"/>
          <w:color w:val="auto"/>
        </w:rPr>
      </w:pPr>
      <w:r>
        <w:rPr>
          <w:rFonts w:ascii="Arial" w:cs="Arial" w:eastAsia="Arial" w:hAnsi="Arial"/>
          <w:sz w:val="20"/>
          <w:szCs w:val="20"/>
          <w:color w:val="auto"/>
        </w:rPr>
        <w:t>(e)</w:t>
      </w:r>
      <w:r>
        <w:rPr>
          <w:sz w:val="20"/>
          <w:szCs w:val="20"/>
          <w:color w:val="auto"/>
        </w:rPr>
        <w:t xml:space="preserve"> </w:t>
      </w:r>
      <w:r>
        <w:rPr>
          <w:rFonts w:ascii="Arial" w:cs="Arial" w:eastAsia="Arial" w:hAnsi="Arial"/>
          <w:sz w:val="20"/>
          <w:szCs w:val="20"/>
          <w:color w:val="auto"/>
        </w:rPr>
        <w:t>Tenant’s right to provide Landlord with Tenant’s Relocation Request is a one-time right, except as otherwise provided herein, is personal to Tenant and any Permitted Transferee or assignee, and is non-transferable to any sublessee (regardless of whether any such sublease was made with or without Landlord’s consent).</w:t>
      </w:r>
    </w:p>
    <w:p>
      <w:pPr>
        <w:sectPr>
          <w:pgSz w:w="11900" w:h="16838" w:orient="portrait"/>
          <w:cols w:equalWidth="0" w:num="1">
            <w:col w:w="10380"/>
          </w:cols>
          <w:pgMar w:left="1180" w:top="339" w:right="339" w:bottom="1440" w:gutter="0" w:footer="0" w:header="0"/>
        </w:sectPr>
      </w:pPr>
    </w:p>
    <w:p>
      <w:pPr>
        <w:spacing w:after="0" w:line="186" w:lineRule="exact"/>
        <w:rPr>
          <w:sz w:val="20"/>
          <w:szCs w:val="20"/>
          <w:color w:val="auto"/>
        </w:rPr>
      </w:pPr>
    </w:p>
    <w:p>
      <w:pPr>
        <w:ind w:left="20"/>
        <w:spacing w:after="0"/>
        <w:rPr>
          <w:sz w:val="20"/>
          <w:szCs w:val="20"/>
          <w:color w:val="auto"/>
        </w:rPr>
      </w:pPr>
      <w:r>
        <w:rPr>
          <w:rFonts w:ascii="Arial" w:cs="Arial" w:eastAsia="Arial" w:hAnsi="Arial"/>
          <w:sz w:val="19"/>
          <w:szCs w:val="19"/>
          <w:color w:val="auto"/>
        </w:rPr>
        <w:t>(f)</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Time is of the essence with respect to Landlord’s and Tenant’s obligations hereunder.</w:t>
      </w:r>
    </w:p>
    <w:p>
      <w:pPr>
        <w:spacing w:after="0" w:line="234" w:lineRule="exact"/>
        <w:rPr>
          <w:sz w:val="20"/>
          <w:szCs w:val="20"/>
          <w:color w:val="auto"/>
        </w:rPr>
      </w:pPr>
    </w:p>
    <w:p>
      <w:pPr>
        <w:sectPr>
          <w:pgSz w:w="11900" w:h="16838" w:orient="portrait"/>
          <w:cols w:equalWidth="0" w:num="2">
            <w:col w:w="200" w:space="660"/>
            <w:col w:w="9520"/>
          </w:cols>
          <w:pgMar w:left="1180" w:top="339" w:right="339" w:bottom="1440" w:gutter="0" w:footer="0" w:header="0"/>
          <w:type w:val="continuous"/>
        </w:sectPr>
      </w:pPr>
    </w:p>
    <w:p>
      <w:pPr>
        <w:spacing w:after="0" w:line="27" w:lineRule="exact"/>
        <w:rPr>
          <w:sz w:val="20"/>
          <w:szCs w:val="20"/>
          <w:color w:val="auto"/>
        </w:rPr>
      </w:pPr>
    </w:p>
    <w:p>
      <w:pPr>
        <w:ind w:hanging="784"/>
        <w:spacing w:after="0" w:line="260" w:lineRule="auto"/>
        <w:rPr>
          <w:sz w:val="20"/>
          <w:szCs w:val="20"/>
          <w:color w:val="auto"/>
        </w:rPr>
      </w:pPr>
      <w:r>
        <w:rPr>
          <w:rFonts w:ascii="Arial" w:cs="Arial" w:eastAsia="Arial" w:hAnsi="Arial"/>
          <w:sz w:val="20"/>
          <w:szCs w:val="20"/>
          <w:color w:val="auto"/>
        </w:rPr>
        <w:t>(g)</w:t>
      </w:r>
      <w:r>
        <w:rPr>
          <w:sz w:val="20"/>
          <w:szCs w:val="20"/>
          <w:color w:val="auto"/>
        </w:rPr>
        <w:t xml:space="preserve"> </w:t>
      </w:r>
      <w:r>
        <w:rPr>
          <w:rFonts w:ascii="Arial" w:cs="Arial" w:eastAsia="Arial" w:hAnsi="Arial"/>
          <w:sz w:val="20"/>
          <w:szCs w:val="20"/>
          <w:color w:val="auto"/>
        </w:rPr>
        <w:t xml:space="preserve">Without limiting the foregoing, the obligations under this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shall not bind any present or future Mortgagee of the Property.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EXHIBIT J</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55880</wp:posOffset>
            </wp:positionV>
            <wp:extent cx="71748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0"/>
          </w:cols>
          <w:pgMar w:left="1180" w:top="339" w:right="339" w:bottom="1440" w:gutter="0" w:footer="0" w:header="0"/>
          <w:type w:val="continuous"/>
        </w:sectPr>
      </w:pPr>
    </w:p>
    <w:bookmarkStart w:id="249" w:name="page250"/>
    <w:bookmarkEnd w:id="249"/>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RIGHT OF FIRST OFFER</w:t>
      </w:r>
    </w:p>
    <w:p>
      <w:pPr>
        <w:spacing w:after="0" w:line="22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Subject to (a) the right of any third party that Landlord is then in active negotiations with for lease of Additional Space (as defined below), (b) the tenant in occupancy of any Additional Space renewing or extending such tenant’s term (regardless of whether any such tenant has an option to renew or extend the term under its lease), (c) intentionally deleted, and (d) Landlord’s right to lease any Additional Space to third-party operators of any amenity to be provided by Landlord to the Project, if and when any space (individually, the “</w:t>
      </w:r>
      <w:r>
        <w:rPr>
          <w:rFonts w:ascii="Arial" w:cs="Arial" w:eastAsia="Arial" w:hAnsi="Arial"/>
          <w:sz w:val="18"/>
          <w:szCs w:val="18"/>
          <w:b w:val="1"/>
          <w:bCs w:val="1"/>
          <w:color w:val="auto"/>
        </w:rPr>
        <w:t>Additional Space</w:t>
      </w:r>
      <w:r>
        <w:rPr>
          <w:rFonts w:ascii="Arial" w:cs="Arial" w:eastAsia="Arial" w:hAnsi="Arial"/>
          <w:sz w:val="18"/>
          <w:szCs w:val="18"/>
          <w:color w:val="auto"/>
        </w:rPr>
        <w:t>”) becomes available for rental during the initial Term of the Lease in the building known as Building 700 in Chestnut Run Plaza (the “</w:t>
      </w:r>
      <w:r>
        <w:rPr>
          <w:rFonts w:ascii="Arial" w:cs="Arial" w:eastAsia="Arial" w:hAnsi="Arial"/>
          <w:sz w:val="18"/>
          <w:szCs w:val="18"/>
          <w:b w:val="1"/>
          <w:bCs w:val="1"/>
          <w:color w:val="auto"/>
        </w:rPr>
        <w:t>ROFO</w:t>
      </w:r>
      <w:r>
        <w:rPr>
          <w:rFonts w:ascii="Arial" w:cs="Arial" w:eastAsia="Arial" w:hAnsi="Arial"/>
          <w:sz w:val="18"/>
          <w:szCs w:val="18"/>
          <w:color w:val="auto"/>
        </w:rPr>
        <w:t xml:space="preserve"> </w:t>
      </w:r>
      <w:r>
        <w:rPr>
          <w:rFonts w:ascii="Arial" w:cs="Arial" w:eastAsia="Arial" w:hAnsi="Arial"/>
          <w:sz w:val="18"/>
          <w:szCs w:val="18"/>
          <w:b w:val="1"/>
          <w:bCs w:val="1"/>
          <w:color w:val="auto"/>
        </w:rPr>
        <w:t>Building</w:t>
      </w:r>
      <w:r>
        <w:rPr>
          <w:rFonts w:ascii="Arial" w:cs="Arial" w:eastAsia="Arial" w:hAnsi="Arial"/>
          <w:sz w:val="18"/>
          <w:szCs w:val="18"/>
          <w:color w:val="auto"/>
        </w:rPr>
        <w:t>”), and provided that (i) there then exists no Event of Default by Tenant, nor any event that with the giving of notice and/or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passage of time would constitute an Event of Default, and (ii) that Tenant and/or its Permitted Transferee(s) or assignee(s) is/are the sole occupant(s) of the Premises, Tenant shall have the right of first offer to lease all of any available Additional Space, subject to the following:</w:t>
      </w:r>
    </w:p>
    <w:p>
      <w:pPr>
        <w:spacing w:after="0" w:line="162" w:lineRule="exact"/>
        <w:rPr>
          <w:sz w:val="20"/>
          <w:szCs w:val="20"/>
          <w:color w:val="auto"/>
        </w:rPr>
      </w:pPr>
    </w:p>
    <w:p>
      <w:pPr>
        <w:jc w:val="both"/>
        <w:ind w:firstLine="872"/>
        <w:spacing w:after="0" w:line="248" w:lineRule="auto"/>
        <w:tabs>
          <w:tab w:leader="none" w:pos="1731" w:val="left"/>
        </w:tabs>
        <w:numPr>
          <w:ilvl w:val="0"/>
          <w:numId w:val="216"/>
        </w:numPr>
        <w:rPr>
          <w:rFonts w:ascii="Arial" w:cs="Arial" w:eastAsia="Arial" w:hAnsi="Arial"/>
          <w:sz w:val="20"/>
          <w:szCs w:val="20"/>
          <w:color w:val="auto"/>
        </w:rPr>
      </w:pPr>
      <w:r>
        <w:rPr>
          <w:rFonts w:ascii="Arial" w:cs="Arial" w:eastAsia="Arial" w:hAnsi="Arial"/>
          <w:sz w:val="20"/>
          <w:szCs w:val="20"/>
          <w:color w:val="auto"/>
        </w:rPr>
        <w:t>On or before the expiration of the 5th Lease Year of the Lease, Landlord shall notify Tenant (the “</w:t>
      </w:r>
      <w:r>
        <w:rPr>
          <w:rFonts w:ascii="Arial" w:cs="Arial" w:eastAsia="Arial" w:hAnsi="Arial"/>
          <w:sz w:val="20"/>
          <w:szCs w:val="20"/>
          <w:b w:val="1"/>
          <w:bCs w:val="1"/>
          <w:color w:val="auto"/>
        </w:rPr>
        <w:t>Offer Notice</w:t>
      </w:r>
      <w:r>
        <w:rPr>
          <w:rFonts w:ascii="Arial" w:cs="Arial" w:eastAsia="Arial" w:hAnsi="Arial"/>
          <w:sz w:val="20"/>
          <w:szCs w:val="20"/>
          <w:color w:val="auto"/>
        </w:rPr>
        <w:t>”) when any Additional Space becomes available for rental by any party other than the tenant then in occupancy of the Additional Space and Tenant shall have 30 days following receipt of the Offer Notice within which to notify Landlord in writing that Tenant elects to lease any such available Additional Space from Landlord upon the terms and conditions of this Lease.</w:t>
      </w:r>
    </w:p>
    <w:p>
      <w:pPr>
        <w:spacing w:after="0" w:line="189" w:lineRule="exact"/>
        <w:rPr>
          <w:rFonts w:ascii="Arial" w:cs="Arial" w:eastAsia="Arial" w:hAnsi="Arial"/>
          <w:sz w:val="20"/>
          <w:szCs w:val="20"/>
          <w:color w:val="auto"/>
        </w:rPr>
      </w:pPr>
    </w:p>
    <w:p>
      <w:pPr>
        <w:jc w:val="both"/>
        <w:ind w:firstLine="1735"/>
        <w:spacing w:after="0" w:line="274" w:lineRule="auto"/>
        <w:tabs>
          <w:tab w:leader="none" w:pos="256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If Tenant timely notifies Landlord in writing within such 30-day time period that Tenant elects to lease the Additional Space, then Landlord and Tenant shall enter into an amendment to this Lease incorporating such Additional Space; provided, however, that, notwithstanding anything contained herein to the contrary, Landlord and Tenant expressly agree that the (A) term of Tenant’s lease of the Additional Space shall be coterminous with the Term of the Lease; (B) Base Rent for the Additional Space shall be the same per square foot Base Rent and increases thereof at the rates then and thereafter payable from time to time under the Lease; (C) Real Property Taxes, Operating Expenses and Tenant’s Share shall be increased to reflect the inclusion of the Additional Space in the Premises; (D) Tenant shall receive the same concessions as set forth in this Lease, adjusted on a prorated basis as applicable.</w:t>
      </w:r>
    </w:p>
    <w:p>
      <w:pPr>
        <w:spacing w:after="0" w:line="168" w:lineRule="exact"/>
        <w:rPr>
          <w:rFonts w:ascii="Arial" w:cs="Arial" w:eastAsia="Arial" w:hAnsi="Arial"/>
          <w:sz w:val="18"/>
          <w:szCs w:val="18"/>
          <w:color w:val="auto"/>
        </w:rPr>
      </w:pPr>
    </w:p>
    <w:p>
      <w:pPr>
        <w:jc w:val="both"/>
        <w:ind w:firstLine="1735"/>
        <w:spacing w:after="0" w:line="243" w:lineRule="auto"/>
        <w:tabs>
          <w:tab w:leader="none" w:pos="2617" w:val="left"/>
        </w:tabs>
        <w:numPr>
          <w:ilvl w:val="1"/>
          <w:numId w:val="216"/>
        </w:numPr>
        <w:rPr>
          <w:rFonts w:ascii="Arial" w:cs="Arial" w:eastAsia="Arial" w:hAnsi="Arial"/>
          <w:sz w:val="20"/>
          <w:szCs w:val="20"/>
          <w:color w:val="auto"/>
        </w:rPr>
      </w:pPr>
      <w:r>
        <w:rPr>
          <w:rFonts w:ascii="Arial" w:cs="Arial" w:eastAsia="Arial" w:hAnsi="Arial"/>
          <w:sz w:val="20"/>
          <w:szCs w:val="20"/>
          <w:color w:val="auto"/>
        </w:rPr>
        <w:t>If (A) Tenant does not so notify Landlord in writing within such 30 days of its exercise of its option to lease all of the Additional Space, or (B) Tenant notifies Landlord in writing within such 30 days that Tenant is not interested in leasing all of the Additional Space, then this right of first offer to lease all of such Additional Space will lapse and be of no further force or effect, the Lease shall otherwise continue in full force and effect and Landlord shall have the right to lease all or part of the Additional Space to any other party at any time on any terms and conditions acceptable to Landlord that are not materially more favorable to Tenant than the terms and conditions of this Lease.</w:t>
      </w:r>
    </w:p>
    <w:p>
      <w:pPr>
        <w:spacing w:after="0" w:line="195" w:lineRule="exact"/>
        <w:rPr>
          <w:rFonts w:ascii="Arial" w:cs="Arial" w:eastAsia="Arial" w:hAnsi="Arial"/>
          <w:sz w:val="20"/>
          <w:szCs w:val="20"/>
          <w:color w:val="auto"/>
        </w:rPr>
      </w:pPr>
    </w:p>
    <w:p>
      <w:pPr>
        <w:jc w:val="both"/>
        <w:ind w:firstLine="872"/>
        <w:spacing w:after="0" w:line="257" w:lineRule="auto"/>
        <w:tabs>
          <w:tab w:leader="none" w:pos="1742" w:val="left"/>
        </w:tabs>
        <w:numPr>
          <w:ilvl w:val="0"/>
          <w:numId w:val="216"/>
        </w:numPr>
        <w:rPr>
          <w:rFonts w:ascii="Arial" w:cs="Arial" w:eastAsia="Arial" w:hAnsi="Arial"/>
          <w:sz w:val="19"/>
          <w:szCs w:val="19"/>
          <w:color w:val="auto"/>
        </w:rPr>
      </w:pPr>
      <w:r>
        <w:rPr>
          <w:rFonts w:ascii="Arial" w:cs="Arial" w:eastAsia="Arial" w:hAnsi="Arial"/>
          <w:sz w:val="19"/>
          <w:szCs w:val="19"/>
          <w:color w:val="auto"/>
        </w:rPr>
        <w:t>On and after the commencement of the 6th Lease Year of the Lease but prior to the initial Expiration Date, if a person or entity is interested in leasing any Additional Space other than the tenant then in occupancy of any such Additional Space (unless such tenant does not desire to continue its lease of such space) and (i) such person or entity submits to Landlord, or (ii) Landlord desire to submit to such person or entity, a letter of intent or comparable proposal (the “</w:t>
      </w:r>
      <w:r>
        <w:rPr>
          <w:rFonts w:ascii="Arial" w:cs="Arial" w:eastAsia="Arial" w:hAnsi="Arial"/>
          <w:sz w:val="19"/>
          <w:szCs w:val="19"/>
          <w:b w:val="1"/>
          <w:bCs w:val="1"/>
          <w:color w:val="auto"/>
        </w:rPr>
        <w:t>Proposal</w:t>
      </w:r>
      <w:r>
        <w:rPr>
          <w:rFonts w:ascii="Arial" w:cs="Arial" w:eastAsia="Arial" w:hAnsi="Arial"/>
          <w:sz w:val="19"/>
          <w:szCs w:val="19"/>
          <w:color w:val="auto"/>
        </w:rPr>
        <w:t>”) in connection therewith which Landlord desires to accept, then Landlord shall notify Tenant (the “</w:t>
      </w:r>
      <w:r>
        <w:rPr>
          <w:rFonts w:ascii="Arial" w:cs="Arial" w:eastAsia="Arial" w:hAnsi="Arial"/>
          <w:sz w:val="19"/>
          <w:szCs w:val="19"/>
          <w:b w:val="1"/>
          <w:bCs w:val="1"/>
          <w:color w:val="auto"/>
        </w:rPr>
        <w:t>Proposal Notice</w:t>
      </w:r>
      <w:r>
        <w:rPr>
          <w:rFonts w:ascii="Arial" w:cs="Arial" w:eastAsia="Arial" w:hAnsi="Arial"/>
          <w:sz w:val="19"/>
          <w:szCs w:val="19"/>
          <w:color w:val="auto"/>
        </w:rPr>
        <w:t>”) that Landlord has so received or desires to submit such a Proposal, such Proposal Notice to include an outline of the applicable business terms and conditions of the Proposal. Tenant shall have 30 days following receipt of the Proposal Notice within which to notify Landlord in writing whether or not Tenant is interested in leasing all of any such Additional Space on the terms set forth in the Proposal Notice. The terms of the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K</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0" w:name="page251"/>
    <w:bookmarkEnd w:id="250"/>
    <w:p>
      <w:pPr>
        <w:jc w:val="both"/>
        <w:ind w:firstLine="864"/>
        <w:spacing w:after="0" w:line="291" w:lineRule="auto"/>
        <w:rPr>
          <w:sz w:val="20"/>
          <w:szCs w:val="20"/>
          <w:color w:val="auto"/>
        </w:rPr>
      </w:pPr>
      <w:r>
        <w:rPr>
          <w:rFonts w:ascii="Arial" w:cs="Arial" w:eastAsia="Arial" w:hAnsi="Arial"/>
          <w:sz w:val="18"/>
          <w:szCs w:val="18"/>
          <w:color w:val="auto"/>
        </w:rPr>
        <w:t>Proposal Notice will be held by Tenant and its employees in a strictly confidential manner and will not be revealed or disseminated to any person or entity other than Tenant’s employees and other parties with a need to know such information in order to evaluate the leasing opportunity, except as required by Applicable Laws or in connection with a dispute involving Landlord and Tenant.</w:t>
      </w:r>
    </w:p>
    <w:p>
      <w:pPr>
        <w:spacing w:after="0" w:line="152" w:lineRule="exact"/>
        <w:rPr>
          <w:sz w:val="20"/>
          <w:szCs w:val="20"/>
          <w:color w:val="auto"/>
        </w:rPr>
      </w:pPr>
    </w:p>
    <w:p>
      <w:pPr>
        <w:jc w:val="both"/>
        <w:ind w:firstLine="1735"/>
        <w:spacing w:after="0" w:line="246" w:lineRule="auto"/>
        <w:tabs>
          <w:tab w:leader="none" w:pos="2562" w:val="left"/>
        </w:tabs>
        <w:numPr>
          <w:ilvl w:val="1"/>
          <w:numId w:val="217"/>
        </w:numPr>
        <w:rPr>
          <w:rFonts w:ascii="Arial" w:cs="Arial" w:eastAsia="Arial" w:hAnsi="Arial"/>
          <w:sz w:val="20"/>
          <w:szCs w:val="20"/>
          <w:color w:val="auto"/>
        </w:rPr>
      </w:pPr>
      <w:r>
        <w:rPr>
          <w:rFonts w:ascii="Arial" w:cs="Arial" w:eastAsia="Arial" w:hAnsi="Arial"/>
          <w:sz w:val="20"/>
          <w:szCs w:val="20"/>
          <w:color w:val="auto"/>
        </w:rPr>
        <w:t>If Tenant timely notifies Landlord in writing within such 30-day time period that Tenant is interested in leasing all of any such Additional Space on the terms set forth in the Proposal Notice, then Landlord and Tenant shall enter into an amendment to the Lease or a new lease for any such Additional Space on the terms set forth in the Proposal Notice and the terms and conditions contained in the Lease which are not inconsistent with the Proposal Notice.</w:t>
      </w:r>
    </w:p>
    <w:p>
      <w:pPr>
        <w:spacing w:after="0" w:line="191" w:lineRule="exact"/>
        <w:rPr>
          <w:rFonts w:ascii="Arial" w:cs="Arial" w:eastAsia="Arial" w:hAnsi="Arial"/>
          <w:sz w:val="20"/>
          <w:szCs w:val="20"/>
          <w:color w:val="auto"/>
        </w:rPr>
      </w:pPr>
    </w:p>
    <w:p>
      <w:pPr>
        <w:jc w:val="both"/>
        <w:ind w:firstLine="1735"/>
        <w:spacing w:after="0" w:line="270" w:lineRule="auto"/>
        <w:tabs>
          <w:tab w:leader="none" w:pos="261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If (A) Tenant does not so notify Landlord in writing within such 30 days of whether or not Tenant is interested in leasing all of any such Additional Space, (B) Tenant notifies Landlord in writing within such 30 days that Tenant is not interested in leasing all of any such Additional Space on the terms set forth in the Proposal Notice and notifies Landlord that Tenant does not want the fair market rental value of any such Additional Space (and annual increases thereof) to be determined by appraisal (or is silent as to whether or not it wants a determination by appraisal), or (C) Tenant notifies Landlord in writing within such 30 days that Tenant is interested in leasing all of any such Additional Space on the terms set forth in the Proposal Notice (“</w:t>
      </w:r>
      <w:r>
        <w:rPr>
          <w:rFonts w:ascii="Arial" w:cs="Arial" w:eastAsia="Arial" w:hAnsi="Arial"/>
          <w:sz w:val="18"/>
          <w:szCs w:val="18"/>
          <w:b w:val="1"/>
          <w:bCs w:val="1"/>
          <w:color w:val="auto"/>
        </w:rPr>
        <w:t>Tenant’s ROFO Notice</w:t>
      </w:r>
      <w:r>
        <w:rPr>
          <w:rFonts w:ascii="Arial" w:cs="Arial" w:eastAsia="Arial" w:hAnsi="Arial"/>
          <w:sz w:val="18"/>
          <w:szCs w:val="18"/>
          <w:color w:val="auto"/>
        </w:rPr>
        <w:t>”) and Tenant then does not execute such amendment or new lease within 15 days after Landlord’s receipt of Tenant’s ROFO Notice despite Landlord’s good faith, reasonable efforts, then this right of first offer to lease all of such Additional Space will lapse and be of no further force or effect until after the first time it is leased after Tenant’s receipt of the Proposal Notice (except pursuant to the balance of this subpart (ii)), the Lease shall otherwise continue in full force and effect and Landlord shall have the right to lease all or part of the Additional Space to any other party at any time on any terms and conditions acceptable to Landlord, except if Landlord materially changes the economic terms of the Proposal (which shall include a decrease to the Base Rent payable to Landlord of more than 5%), Landlord shall again provide Tenant with a copy of the revised Proposal and Tenant shall again have the rights set forth herein.</w:t>
      </w:r>
    </w:p>
    <w:p>
      <w:pPr>
        <w:spacing w:after="0" w:line="172" w:lineRule="exact"/>
        <w:rPr>
          <w:rFonts w:ascii="Arial" w:cs="Arial" w:eastAsia="Arial" w:hAnsi="Arial"/>
          <w:sz w:val="18"/>
          <w:szCs w:val="18"/>
          <w:color w:val="auto"/>
        </w:rPr>
      </w:pPr>
    </w:p>
    <w:p>
      <w:pPr>
        <w:jc w:val="both"/>
        <w:ind w:firstLine="1735"/>
        <w:spacing w:after="0" w:line="257" w:lineRule="auto"/>
        <w:tabs>
          <w:tab w:leader="none" w:pos="2672" w:val="left"/>
        </w:tabs>
        <w:numPr>
          <w:ilvl w:val="1"/>
          <w:numId w:val="217"/>
        </w:numPr>
        <w:rPr>
          <w:rFonts w:ascii="Arial" w:cs="Arial" w:eastAsia="Arial" w:hAnsi="Arial"/>
          <w:sz w:val="19"/>
          <w:szCs w:val="19"/>
          <w:color w:val="auto"/>
        </w:rPr>
      </w:pPr>
      <w:r>
        <w:rPr>
          <w:rFonts w:ascii="Arial" w:cs="Arial" w:eastAsia="Arial" w:hAnsi="Arial"/>
          <w:sz w:val="19"/>
          <w:szCs w:val="19"/>
          <w:color w:val="auto"/>
        </w:rPr>
        <w:t xml:space="preserve">If Tenant timely notifies Landlord in writing within such 30-day time period that Tenant is interested in leasing all of any such Additional Space from Landlord but wants the fair market rental value of any such Additional Space (and annual increases thereof) to be determined by appraisal, then, within 10 days after the expiration of such 30-day period, the fair market rental value of any such Additional Space (and annual increases thereof) shall be determined by appraisal in accordance with the method and procedure set forth in subsection (d)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set forth above and such determination shall be final and binding upon Landlord and Tenant. Notwithstanding the foregoing, if the fair market rental value of any such Additional Space (and annual increases thereof) is determined by appraisal, then Base Rent for any such Additional Space shall be 95% of what the appraisal determines the fair market rental value of any such Additional Space (and annual increases thereof) to be.</w:t>
      </w:r>
    </w:p>
    <w:p>
      <w:pPr>
        <w:spacing w:after="0" w:line="180" w:lineRule="exact"/>
        <w:rPr>
          <w:rFonts w:ascii="Arial" w:cs="Arial" w:eastAsia="Arial" w:hAnsi="Arial"/>
          <w:sz w:val="19"/>
          <w:szCs w:val="19"/>
          <w:color w:val="auto"/>
        </w:rPr>
      </w:pPr>
    </w:p>
    <w:p>
      <w:pPr>
        <w:jc w:val="both"/>
        <w:ind w:firstLine="872"/>
        <w:spacing w:after="0" w:line="246" w:lineRule="auto"/>
        <w:tabs>
          <w:tab w:leader="none" w:pos="1731"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This right of first offer to lease all of any Additional Space is an ongoing right if and when any such Additional Space becomes available, is personal to Tenant and any Permitted Transferee or assignee, and is non-transferable to any sublessee (regardless of whether any such sublease was made with or without Landlord’s consent). Time is of the essence with respect to Landlord’s and Tenant’s obligations under this Section.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K</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20"/>
          <w:szCs w:val="20"/>
          <w:b w:val="1"/>
          <w:bCs w:val="1"/>
          <w:color w:val="auto"/>
        </w:rPr>
        <w:t>Exhibit 10.11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EXHIBIT L</w:t>
            </w:r>
          </w:p>
        </w:tc>
        <w:tc>
          <w:tcPr>
            <w:tcW w:w="5100" w:type="dxa"/>
            <w:vAlign w:val="bottom"/>
            <w:gridSpan w:val="3"/>
          </w:tcPr>
          <w:p>
            <w:pPr>
              <w:spacing w:after="0"/>
              <w:rPr>
                <w:sz w:val="19"/>
                <w:szCs w:val="19"/>
                <w:color w:val="auto"/>
              </w:rPr>
            </w:pPr>
          </w:p>
        </w:tc>
      </w:tr>
      <w:tr>
        <w:trPr>
          <w:trHeight w:val="425"/>
        </w:trPr>
        <w:tc>
          <w:tcPr>
            <w:tcW w:w="2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80" w:type="dxa"/>
            <w:vAlign w:val="bottom"/>
            <w:gridSpan w:val="6"/>
          </w:tcPr>
          <w:p>
            <w:pPr>
              <w:jc w:val="center"/>
              <w:ind w:right="4160"/>
              <w:spacing w:after="0"/>
              <w:rPr>
                <w:sz w:val="20"/>
                <w:szCs w:val="20"/>
                <w:color w:val="auto"/>
              </w:rPr>
            </w:pPr>
            <w:r>
              <w:rPr>
                <w:rFonts w:ascii="Arial" w:cs="Arial" w:eastAsia="Arial" w:hAnsi="Arial"/>
                <w:sz w:val="20"/>
                <w:szCs w:val="20"/>
                <w:b w:val="1"/>
                <w:bCs w:val="1"/>
                <w:color w:val="auto"/>
              </w:rPr>
              <w:t>FORM OF LETTER OF CREDIT</w:t>
            </w:r>
          </w:p>
        </w:tc>
      </w:tr>
      <w:tr>
        <w:trPr>
          <w:trHeight w:val="20"/>
        </w:trPr>
        <w:tc>
          <w:tcPr>
            <w:tcW w:w="4160" w:type="dxa"/>
            <w:vAlign w:val="bottom"/>
            <w:gridSpan w:val="3"/>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26"/>
        </w:trPr>
        <w:tc>
          <w:tcPr>
            <w:tcW w:w="5100" w:type="dxa"/>
            <w:vAlign w:val="bottom"/>
            <w:gridSpan w:val="4"/>
          </w:tcPr>
          <w:p>
            <w:pPr>
              <w:spacing w:after="0"/>
              <w:rPr>
                <w:sz w:val="20"/>
                <w:szCs w:val="20"/>
                <w:color w:val="auto"/>
              </w:rPr>
            </w:pPr>
            <w:r>
              <w:rPr>
                <w:rFonts w:ascii="Arial" w:cs="Arial" w:eastAsia="Arial" w:hAnsi="Arial"/>
                <w:sz w:val="20"/>
                <w:szCs w:val="20"/>
                <w:color w:val="auto"/>
                <w:w w:val="95"/>
              </w:rPr>
              <w:t>IRREVOCABLE STANDBY LETTER OF CREDIT NUMBER</w:t>
            </w:r>
          </w:p>
        </w:tc>
        <w:tc>
          <w:tcPr>
            <w:tcW w:w="6140" w:type="dxa"/>
            <w:vAlign w:val="bottom"/>
            <w:gridSpan w:val="5"/>
          </w:tcPr>
          <w:p>
            <w:pPr>
              <w:jc w:val="right"/>
              <w:ind w:right="4040"/>
              <w:spacing w:after="0"/>
              <w:rPr>
                <w:sz w:val="20"/>
                <w:szCs w:val="20"/>
                <w:color w:val="auto"/>
              </w:rPr>
            </w:pPr>
            <w:r>
              <w:rPr>
                <w:rFonts w:ascii="Arial" w:cs="Arial" w:eastAsia="Arial" w:hAnsi="Arial"/>
                <w:sz w:val="20"/>
                <w:szCs w:val="20"/>
                <w:color w:val="auto"/>
              </w:rPr>
              <w:t>______________</w:t>
            </w:r>
          </w:p>
        </w:tc>
      </w:tr>
      <w:tr>
        <w:trPr>
          <w:trHeight w:val="470"/>
        </w:trPr>
        <w:tc>
          <w:tcPr>
            <w:tcW w:w="3300" w:type="dxa"/>
            <w:vAlign w:val="bottom"/>
            <w:gridSpan w:val="2"/>
          </w:tcPr>
          <w:p>
            <w:pPr>
              <w:spacing w:after="0"/>
              <w:rPr>
                <w:sz w:val="20"/>
                <w:szCs w:val="20"/>
                <w:color w:val="auto"/>
              </w:rPr>
            </w:pPr>
            <w:r>
              <w:rPr>
                <w:rFonts w:ascii="Arial" w:cs="Arial" w:eastAsia="Arial" w:hAnsi="Arial"/>
                <w:sz w:val="20"/>
                <w:szCs w:val="20"/>
                <w:color w:val="auto"/>
              </w:rPr>
              <w:t>ISSUE DATE: _______________</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r>
      <w:tr>
        <w:trPr>
          <w:trHeight w:val="425"/>
        </w:trPr>
        <w:tc>
          <w:tcPr>
            <w:tcW w:w="2380" w:type="dxa"/>
            <w:vAlign w:val="bottom"/>
          </w:tcPr>
          <w:p>
            <w:pPr>
              <w:spacing w:after="0"/>
              <w:rPr>
                <w:sz w:val="20"/>
                <w:szCs w:val="20"/>
                <w:color w:val="auto"/>
              </w:rPr>
            </w:pPr>
            <w:r>
              <w:rPr>
                <w:rFonts w:ascii="Arial" w:cs="Arial" w:eastAsia="Arial" w:hAnsi="Arial"/>
                <w:sz w:val="20"/>
                <w:szCs w:val="20"/>
                <w:color w:val="auto"/>
              </w:rPr>
              <w:t>ISSUING BANK:</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SILICON VALLEY BANK</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20"/>
                <w:szCs w:val="20"/>
                <w:color w:val="auto"/>
              </w:rPr>
              <w:t>3003 TASMAN DRIVE</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29"/>
        </w:trPr>
        <w:tc>
          <w:tcPr>
            <w:tcW w:w="3300" w:type="dxa"/>
            <w:vAlign w:val="bottom"/>
            <w:gridSpan w:val="2"/>
          </w:tcPr>
          <w:p>
            <w:pPr>
              <w:spacing w:after="0"/>
              <w:rPr>
                <w:sz w:val="20"/>
                <w:szCs w:val="20"/>
                <w:color w:val="auto"/>
              </w:rPr>
            </w:pPr>
            <w:r>
              <w:rPr>
                <w:rFonts w:ascii="Arial" w:cs="Arial" w:eastAsia="Arial" w:hAnsi="Arial"/>
                <w:sz w:val="20"/>
                <w:szCs w:val="20"/>
                <w:color w:val="auto"/>
              </w:rPr>
              <w:t>2ND FLOOR, MAIL SORT HF210</w:t>
            </w: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50"/>
        </w:trPr>
        <w:tc>
          <w:tcPr>
            <w:tcW w:w="3300" w:type="dxa"/>
            <w:vAlign w:val="bottom"/>
            <w:gridSpan w:val="2"/>
          </w:tcPr>
          <w:p>
            <w:pPr>
              <w:spacing w:after="0"/>
              <w:rPr>
                <w:sz w:val="20"/>
                <w:szCs w:val="20"/>
                <w:color w:val="auto"/>
              </w:rPr>
            </w:pPr>
            <w:r>
              <w:rPr>
                <w:rFonts w:ascii="Arial" w:cs="Arial" w:eastAsia="Arial" w:hAnsi="Arial"/>
                <w:sz w:val="20"/>
                <w:szCs w:val="20"/>
                <w:color w:val="auto"/>
                <w:w w:val="99"/>
              </w:rPr>
              <w:t>SANTA CLARA, CALIFORNIA 95054</w:t>
            </w: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425"/>
        </w:trPr>
        <w:tc>
          <w:tcPr>
            <w:tcW w:w="2380" w:type="dxa"/>
            <w:vAlign w:val="bottom"/>
          </w:tcPr>
          <w:p>
            <w:pPr>
              <w:spacing w:after="0"/>
              <w:rPr>
                <w:sz w:val="20"/>
                <w:szCs w:val="20"/>
                <w:color w:val="auto"/>
              </w:rPr>
            </w:pPr>
            <w:r>
              <w:rPr>
                <w:rFonts w:ascii="Arial" w:cs="Arial" w:eastAsia="Arial" w:hAnsi="Arial"/>
                <w:sz w:val="20"/>
                <w:szCs w:val="20"/>
                <w:color w:val="auto"/>
              </w:rPr>
              <w:t>BENEFICIARY:</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CRISP PARTNERS LLC</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20"/>
                <w:szCs w:val="20"/>
                <w:color w:val="auto"/>
              </w:rPr>
              <w:t>C/O MRA Group</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20"/>
                <w:szCs w:val="20"/>
                <w:color w:val="auto"/>
                <w:w w:val="96"/>
              </w:rPr>
              <w:t>3 VILLAGE RD, SUITE 200</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50"/>
        </w:trPr>
        <w:tc>
          <w:tcPr>
            <w:tcW w:w="2380" w:type="dxa"/>
            <w:vAlign w:val="bottom"/>
          </w:tcPr>
          <w:p>
            <w:pPr>
              <w:spacing w:after="0"/>
              <w:rPr>
                <w:sz w:val="20"/>
                <w:szCs w:val="20"/>
                <w:color w:val="auto"/>
              </w:rPr>
            </w:pPr>
            <w:r>
              <w:rPr>
                <w:rFonts w:ascii="Arial" w:cs="Arial" w:eastAsia="Arial" w:hAnsi="Arial"/>
                <w:sz w:val="20"/>
                <w:szCs w:val="20"/>
                <w:color w:val="auto"/>
              </w:rPr>
              <w:t>HORSHAM, PA 19044</w:t>
            </w: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425"/>
        </w:trPr>
        <w:tc>
          <w:tcPr>
            <w:tcW w:w="2380" w:type="dxa"/>
            <w:vAlign w:val="bottom"/>
          </w:tcPr>
          <w:p>
            <w:pPr>
              <w:spacing w:after="0"/>
              <w:rPr>
                <w:sz w:val="20"/>
                <w:szCs w:val="20"/>
                <w:color w:val="auto"/>
              </w:rPr>
            </w:pPr>
            <w:r>
              <w:rPr>
                <w:rFonts w:ascii="Arial" w:cs="Arial" w:eastAsia="Arial" w:hAnsi="Arial"/>
                <w:sz w:val="20"/>
                <w:szCs w:val="20"/>
                <w:color w:val="auto"/>
              </w:rPr>
              <w:t>APPLICANT:</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30"/>
        </w:trPr>
        <w:tc>
          <w:tcPr>
            <w:tcW w:w="5100" w:type="dxa"/>
            <w:vAlign w:val="bottom"/>
            <w:gridSpan w:val="4"/>
          </w:tcPr>
          <w:p>
            <w:pPr>
              <w:spacing w:after="0"/>
              <w:rPr>
                <w:sz w:val="20"/>
                <w:szCs w:val="20"/>
                <w:color w:val="auto"/>
              </w:rPr>
            </w:pPr>
            <w:r>
              <w:rPr>
                <w:rFonts w:ascii="Arial" w:cs="Arial" w:eastAsia="Arial" w:hAnsi="Arial"/>
                <w:sz w:val="20"/>
                <w:szCs w:val="20"/>
                <w:color w:val="auto"/>
              </w:rPr>
              <w:t>PRELUDE THERAPEUTICS INCORPORATED</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20"/>
                <w:szCs w:val="20"/>
                <w:color w:val="auto"/>
                <w:w w:val="97"/>
              </w:rPr>
              <w:t>200 POWDER MILL ROAD</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29"/>
        </w:trPr>
        <w:tc>
          <w:tcPr>
            <w:tcW w:w="3300" w:type="dxa"/>
            <w:vAlign w:val="bottom"/>
            <w:gridSpan w:val="2"/>
          </w:tcPr>
          <w:p>
            <w:pPr>
              <w:spacing w:after="0"/>
              <w:rPr>
                <w:sz w:val="20"/>
                <w:szCs w:val="20"/>
                <w:color w:val="auto"/>
              </w:rPr>
            </w:pPr>
            <w:r>
              <w:rPr>
                <w:rFonts w:ascii="Arial" w:cs="Arial" w:eastAsia="Arial" w:hAnsi="Arial"/>
                <w:sz w:val="20"/>
                <w:szCs w:val="20"/>
                <w:color w:val="auto"/>
                <w:w w:val="93"/>
              </w:rPr>
              <w:t>EXPERIMENTAL STATION E400/3213</w:t>
            </w: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50"/>
        </w:trPr>
        <w:tc>
          <w:tcPr>
            <w:tcW w:w="2380" w:type="dxa"/>
            <w:vAlign w:val="bottom"/>
          </w:tcPr>
          <w:p>
            <w:pPr>
              <w:spacing w:after="0"/>
              <w:rPr>
                <w:sz w:val="20"/>
                <w:szCs w:val="20"/>
                <w:color w:val="auto"/>
              </w:rPr>
            </w:pPr>
            <w:r>
              <w:rPr>
                <w:rFonts w:ascii="Arial" w:cs="Arial" w:eastAsia="Arial" w:hAnsi="Arial"/>
                <w:sz w:val="20"/>
                <w:szCs w:val="20"/>
                <w:color w:val="auto"/>
              </w:rPr>
              <w:t>WILMINGTON, DE 19803</w:t>
            </w: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425"/>
        </w:trPr>
        <w:tc>
          <w:tcPr>
            <w:tcW w:w="3300" w:type="dxa"/>
            <w:vAlign w:val="bottom"/>
            <w:gridSpan w:val="2"/>
          </w:tcPr>
          <w:p>
            <w:pPr>
              <w:ind w:left="1740"/>
              <w:spacing w:after="0"/>
              <w:rPr>
                <w:sz w:val="20"/>
                <w:szCs w:val="20"/>
                <w:color w:val="auto"/>
              </w:rPr>
            </w:pPr>
            <w:r>
              <w:rPr>
                <w:rFonts w:ascii="Arial" w:cs="Arial" w:eastAsia="Arial" w:hAnsi="Arial"/>
                <w:sz w:val="20"/>
                <w:szCs w:val="20"/>
                <w:color w:val="auto"/>
              </w:rPr>
              <w:t>AMOUNT:</w:t>
            </w:r>
          </w:p>
        </w:tc>
        <w:tc>
          <w:tcPr>
            <w:tcW w:w="7940" w:type="dxa"/>
            <w:vAlign w:val="bottom"/>
            <w:gridSpan w:val="7"/>
          </w:tcPr>
          <w:p>
            <w:pPr>
              <w:spacing w:after="0"/>
              <w:rPr>
                <w:sz w:val="20"/>
                <w:szCs w:val="20"/>
                <w:color w:val="auto"/>
              </w:rPr>
            </w:pPr>
            <w:r>
              <w:rPr>
                <w:rFonts w:ascii="Arial" w:cs="Arial" w:eastAsia="Arial" w:hAnsi="Arial"/>
                <w:sz w:val="20"/>
                <w:szCs w:val="20"/>
                <w:color w:val="auto"/>
                <w:w w:val="98"/>
              </w:rPr>
              <w:t>US$4,043,700.00 (FOUR MILLION FORTY THREE THOUSAND SEVEN HUNDRED AND</w:t>
            </w:r>
          </w:p>
        </w:tc>
      </w:tr>
      <w:tr>
        <w:trPr>
          <w:trHeight w:val="250"/>
        </w:trPr>
        <w:tc>
          <w:tcPr>
            <w:tcW w:w="5100" w:type="dxa"/>
            <w:vAlign w:val="bottom"/>
            <w:gridSpan w:val="4"/>
          </w:tcPr>
          <w:p>
            <w:pPr>
              <w:ind w:left="1740"/>
              <w:spacing w:after="0"/>
              <w:rPr>
                <w:sz w:val="20"/>
                <w:szCs w:val="20"/>
                <w:color w:val="auto"/>
              </w:rPr>
            </w:pPr>
            <w:r>
              <w:rPr>
                <w:rFonts w:ascii="Arial" w:cs="Arial" w:eastAsia="Arial" w:hAnsi="Arial"/>
                <w:sz w:val="20"/>
                <w:szCs w:val="20"/>
                <w:color w:val="auto"/>
              </w:rPr>
              <w:t>00/100 U.S. DOLLARS)</w:t>
            </w: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445"/>
        </w:trPr>
        <w:tc>
          <w:tcPr>
            <w:tcW w:w="2380" w:type="dxa"/>
            <w:vAlign w:val="bottom"/>
          </w:tcPr>
          <w:p>
            <w:pPr>
              <w:spacing w:after="0"/>
              <w:rPr>
                <w:sz w:val="20"/>
                <w:szCs w:val="20"/>
                <w:color w:val="auto"/>
              </w:rPr>
            </w:pPr>
            <w:r>
              <w:rPr>
                <w:rFonts w:ascii="Arial" w:cs="Arial" w:eastAsia="Arial" w:hAnsi="Arial"/>
                <w:sz w:val="20"/>
                <w:szCs w:val="20"/>
                <w:color w:val="auto"/>
              </w:rPr>
              <w:t>EXPIRATION DATE:</w:t>
            </w:r>
          </w:p>
        </w:tc>
        <w:tc>
          <w:tcPr>
            <w:tcW w:w="8860" w:type="dxa"/>
            <w:vAlign w:val="bottom"/>
            <w:gridSpan w:val="8"/>
          </w:tcPr>
          <w:p>
            <w:pPr>
              <w:ind w:left="60"/>
              <w:spacing w:after="0"/>
              <w:rPr>
                <w:sz w:val="20"/>
                <w:szCs w:val="20"/>
                <w:color w:val="auto"/>
              </w:rPr>
            </w:pPr>
            <w:r>
              <w:rPr>
                <w:rFonts w:ascii="Arial" w:cs="Arial" w:eastAsia="Arial" w:hAnsi="Arial"/>
                <w:sz w:val="20"/>
                <w:szCs w:val="20"/>
                <w:color w:val="auto"/>
              </w:rPr>
              <w:t>_______________ (ONE YEAR FROM ISSUE DATE)</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PLACE OF EXPIRATION: ISSUING BANK’S COUNTERS AT ITS ABOVE ADDRESS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SIR/MADAM:</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WE  HEREBY  ESTABLISH  OUR  IRREVOCABLE  STANDBY  LETTER  OF  CREDIT  NO.  SVBSF______  IN  YOUR  FAVOR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AVAILABLE BY PAYMENT AGAINST YOUR PRESENTATION TO US OF THE FOLLOWING DOCUMENT: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BENEFICIARY’S SIGNED AND DATED STATEMENT STATING AS FOLLOWS: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“THIS DRAW UNDER YOUR IRREVOCABLE STANDBY LETTER OF CREDIT NO. SVBSF ___________ REPRESENTS FUNDS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DUE AND OWING TO US PURSUANT TO THE TERMS OF THAT CERTAIN LEASE AGREEMENT BETWEEN 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AS TENANT, AND ___________________ AS LANDLORD, AS AMENDED, SUPPLEMENTED OR OTHERWISE MODIFIED TO</w:t>
      </w:r>
    </w:p>
    <w:p>
      <w:pPr>
        <w:spacing w:after="0" w:line="11"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DATE. THE UNDERSIGNED HEREBY CERTIFIES THAT: (I) THE UNDERSIGNED IS AN AUTHORIZED REPRESENTATIVE OF LANDLORD; (II) LANDLORD IS THE BENEFICIARY OF LETTER OF CREDIT NO. SVBSF ___________ ISSUED BY SILICON</w:t>
      </w:r>
    </w:p>
    <w:p>
      <w:pPr>
        <w:spacing w:after="0" w:line="244" w:lineRule="auto"/>
        <w:rPr>
          <w:sz w:val="20"/>
          <w:szCs w:val="20"/>
          <w:color w:val="auto"/>
        </w:rPr>
      </w:pPr>
      <w:r>
        <w:rPr>
          <w:rFonts w:ascii="Arial" w:cs="Arial" w:eastAsia="Arial" w:hAnsi="Arial"/>
          <w:sz w:val="20"/>
          <w:szCs w:val="20"/>
          <w:color w:val="auto"/>
        </w:rPr>
        <w:t>VALLEY BANK; AND (III) LANDLORD IS AUTHORIZED TO DRAW DOWN ON THE LETTER OF CREDIT. THE AMOUNT HEREBY DRAWN UNDER THE LETTER OF CREDIT IS US$_____________, WITH</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L</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jc w:val="both"/>
        <w:spacing w:after="0" w:line="260" w:lineRule="auto"/>
        <w:rPr>
          <w:sz w:val="20"/>
          <w:szCs w:val="20"/>
          <w:color w:val="auto"/>
        </w:rPr>
      </w:pPr>
      <w:r>
        <w:rPr>
          <w:rFonts w:ascii="Arial" w:cs="Arial" w:eastAsia="Arial" w:hAnsi="Arial"/>
          <w:sz w:val="20"/>
          <w:szCs w:val="20"/>
          <w:color w:val="auto"/>
        </w:rPr>
        <w:t>PAYMENT TO BE MADE TO THE FOLLOWING ACCOUNT: [INSERT WIRE INSTRUCTIONS (TO INCLUDE NAME AND ACCOUNT NUMBER OF THE BENEFICIARY)].”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PARTIAL DRAWS AND MULTIPLE PRESENTATIONS ARE ALLOWED.</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THIS LETTER OF CREDIT SHALL BE AUTOMATICALLY EXTENDED FOR ADDITIONAL PERIODS OF ONE YEAR, WITHOUT AMENDMENT, FROM THE PRESENT OR EACH FUTURE EXPIRATION DATE UNLESS AT LEAST 60 DAYS PRIOR TO THE THEN CURRENT EXPIRATION DATE WE SEND TO YOU A NOTICE BY REGISTERED OR CERTIFIED MAIL OR OVERNIGHT COURIER SERVICE AT THE ABOVE ADDRESS THAT THIS LETTER OF CREDIT WILL NOT BE EXTENDED BEYOND THE THEN CURRENT EXPIRATION DATE. IN NO EVENT SHALL THIS LETTER OF CREDIT BE AUTOMATICALLY EXTENDED BEYOND JULY 31, 2036. IN THE EVENT WE SEND SUCH NOTICE OF NON-EXTENSION, YOU MAY DRAW HEREUNDER BY YOUR PRESENTATION TO US OF YOUR SIGNED AND DATED STATEMENT STATING THAT YOU HAVE RECEIVED A NON-EXTENSION NOTICE FROM SILICON VALLEY BANK IN RESPECT OF LETTER OF CREDIT NO. SVBSF______________, YOU</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ARE DRAWING ON SUCH LETTER OF CREDIT FOR US$______________, AND YOU HAVE NOT RECEIVED A REPLACEMENT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LETTER OF CREDIT ACCEPTABLE TO YOU.</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DEMANDS FOR PAYMENT SHALL BE MADE BY PRESENTATION OF THE REQUIRED DOCUMENTS ON A BUSINESS DAY AT OUR OFFICE (THE “BANK’S OFFICE”) AT: SILICON VALLEY BANK, 3003 TASMAN DRIVE, MAIL SORT HF 210, SANTA CLARA, CA 95054, ATTENTION: GLOBAL TRADE FINANCE. AS USED IN THIS LETTER OF CREDIT, “BUSINESS DAY” SHALL MEAN ANY DAY OTHER THAN A SATURDAY, SUNDAY OR A DAY ON WHICH BANKING INSTITUTIONS IN THE STATE OF CALIFORNIA ARE AUTHORIZED OR REQUIRED BY LAW TO CLOSE.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FACSIMILE PRESENTATIONS ARE ALSO PERMITTED. EACH FACSIMILE TRANSMISSION SHALL BE MADE AT: (408) 496-2418 OR (408) 969-6510; AND UNDER CONTEMPORANEOUS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TELEPHONE ADVICE TO: (408) 450-5001 OR (408) 654-7176, ATTENTION: GLOBAL TRADE FINANCE. ABSENCE OF THE AFORESAID TELEPHONE ADVICE SHALL NOT AFFECT OUR OBLIGATION TO HONOR ANY DRAW REQUEST.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LETTER OF CREDIT IS TRANSFERABLE IN WHOLE BUT NOT IN PART ONE OR MORE TIMES, BUT IN EACH INSTANCE ONLY TO A SINGLE BENEFICIARY AS TRANSFEREE AND FOR THE THEN AVAILABLE AMOUNT, ASSUMING SUCH TRANSFER TO SUCH TRANSFEREE WOULD BE IN COMPLIANCE WITH THEN APPLICABLE LAW AND REGULATION, INCLUDING BUT NOT LIMITED TO THE REGULATIONS OF THE U.S. DEPARTMENT OF TREASURY AND U.S. DEPARTMENT OF COMMERCE. AT THE TIME OF TRANSFER, THE ORIGINAL LETTER OF CREDIT AND ORIGINALS OR COPIES OF ALL AMENDMENTS, IF ANY, TO THIS LETTER OF CREDIT MUST BE SURRENDERED TO US AT OUR ADDRESS INDICATED IN THIS LETTER OF CREDIT TOGETHER WITH OUR TRANSFER FORM ATTACHED HERETO AS EXHIBIT A DULY EXECUTED. BENEFICIARY SHALL PAY OUR TRANSFER FEE OF ¼ OF 1% OF THE TRANSFER AMOUNT (MINIMUM US$250.00) UNDER THIS LETTER OF CREDIT. EACH TRANSFER SHALL BE EVIDENCED BY EITHER (1) OUR ENDORSEMENT ON THE REVERSE OF THE LETTER OF CREDIT AND WE SHALL FORWARD THE ORIGINAL OF THE LETTER OF CREDIT SO ENDORSED TO THE TRANSFEREE OR (2) OUR ISSUING A REPLACEMENT LETTER OF CREDIT TO THE TRANSFEREE ON SUBSTANTIALLY THE SAME TERMS AND CONDITIONS AS THE TRANSFERRED LETTER OF CREDIT (IN WHICH EVENT THE TRANSFERRED LETTER OF CREDIT SHALL HAVE NO FURTHER EFFECT).</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L</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53" w:name="page254"/>
    <w:bookmarkEnd w:id="253"/>
    <w:p>
      <w:pPr>
        <w:jc w:val="both"/>
        <w:spacing w:after="0" w:line="244" w:lineRule="auto"/>
        <w:rPr>
          <w:sz w:val="20"/>
          <w:szCs w:val="20"/>
          <w:color w:val="auto"/>
        </w:rPr>
      </w:pPr>
      <w:r>
        <w:rPr>
          <w:rFonts w:ascii="Arial" w:cs="Arial" w:eastAsia="Arial" w:hAnsi="Arial"/>
          <w:sz w:val="20"/>
          <w:szCs w:val="20"/>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LETTER OF CREDIT IS SUBJECT TO THE INTERNATIONAL STANDBY PRACTICES (ISP98), INTERNATIONAL CHAMBER OF COMMERCE, PUBLICATION NO. 590.</w:t>
      </w:r>
    </w:p>
    <w:p>
      <w:pPr>
        <w:spacing w:after="0" w:line="200" w:lineRule="exact"/>
        <w:rPr>
          <w:sz w:val="20"/>
          <w:szCs w:val="20"/>
          <w:color w:val="auto"/>
        </w:rPr>
      </w:pPr>
    </w:p>
    <w:p>
      <w:pPr>
        <w:spacing w:after="0" w:line="206" w:lineRule="exact"/>
        <w:rPr>
          <w:sz w:val="20"/>
          <w:szCs w:val="20"/>
          <w:color w:val="auto"/>
        </w:rPr>
      </w:pPr>
    </w:p>
    <w:p>
      <w:pPr>
        <w:spacing w:after="0"/>
        <w:tabs>
          <w:tab w:leader="none" w:pos="3060" w:val="left"/>
        </w:tabs>
        <w:rPr>
          <w:sz w:val="20"/>
          <w:szCs w:val="20"/>
          <w:color w:val="auto"/>
        </w:rPr>
      </w:pPr>
      <w:r>
        <w:rPr>
          <w:rFonts w:ascii="Arial" w:cs="Arial" w:eastAsia="Arial" w:hAnsi="Arial"/>
          <w:sz w:val="20"/>
          <w:szCs w:val="20"/>
          <w:color w:val="auto"/>
        </w:rPr>
        <w:t>AUTHORIZED SIGNATURE</w:t>
      </w:r>
      <w:r>
        <w:rPr>
          <w:sz w:val="20"/>
          <w:szCs w:val="20"/>
          <w:color w:val="auto"/>
        </w:rPr>
        <w:tab/>
      </w:r>
      <w:r>
        <w:rPr>
          <w:rFonts w:ascii="Arial" w:cs="Arial" w:eastAsia="Arial" w:hAnsi="Arial"/>
          <w:sz w:val="19"/>
          <w:szCs w:val="19"/>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L</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20"/>
          <w:szCs w:val="20"/>
          <w:b w:val="1"/>
          <w:bCs w:val="1"/>
          <w:color w:val="auto"/>
        </w:rPr>
        <w:t>Exhibit 10.11</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IRREVOCABLE STANDBY LETTER OF CREDIT NUMBER _____________</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OF TRANSFER FORM</w:t>
      </w:r>
    </w:p>
    <w:p>
      <w:pPr>
        <w:spacing w:after="0" w:line="114"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u w:val="single" w:color="auto"/>
          <w:color w:val="auto"/>
        </w:rPr>
        <w:t>___________________</w:t>
      </w:r>
    </w:p>
    <w:p>
      <w:pPr>
        <w:sectPr>
          <w:pgSz w:w="11900" w:h="16838" w:orient="portrait"/>
          <w:cols w:equalWidth="0" w:num="1">
            <w:col w:w="11240"/>
          </w:cols>
          <w:pgMar w:left="320" w:top="118" w:right="3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 SILICON VALLEY BANK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3003 TASMAN DRIVE</w:t>
      </w:r>
    </w:p>
    <w:p>
      <w:pPr>
        <w:spacing w:after="0"/>
        <w:rPr>
          <w:sz w:val="20"/>
          <w:szCs w:val="20"/>
          <w:color w:val="auto"/>
        </w:rPr>
      </w:pPr>
      <w:r>
        <w:rPr>
          <w:rFonts w:ascii="Arial" w:cs="Arial" w:eastAsia="Arial" w:hAnsi="Arial"/>
          <w:sz w:val="20"/>
          <w:szCs w:val="20"/>
          <w:color w:val="auto"/>
        </w:rPr>
        <w:t>SANTA CLARA, CA 95054</w:t>
      </w:r>
    </w:p>
    <w:p>
      <w:pPr>
        <w:spacing w:after="0" w:line="244" w:lineRule="auto"/>
        <w:rPr>
          <w:sz w:val="20"/>
          <w:szCs w:val="20"/>
          <w:color w:val="auto"/>
        </w:rPr>
      </w:pPr>
      <w:r>
        <w:rPr>
          <w:rFonts w:ascii="Arial" w:cs="Arial" w:eastAsia="Arial" w:hAnsi="Arial"/>
          <w:sz w:val="20"/>
          <w:szCs w:val="20"/>
          <w:color w:val="auto"/>
        </w:rPr>
        <w:t>ATTN: GLOBAL TRADE FINANCE STANDBY LETTERS OF CREDIT</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RE:IRREVOCABLE STANDBY LETTER OF CREDIT</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NO. __________ ISSUED BY SILICON VALLEY BANK, SANTA</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CLARA L/C AMOUNT: _________________</w:t>
      </w:r>
    </w:p>
    <w:p>
      <w:pPr>
        <w:spacing w:after="0" w:line="1142" w:lineRule="exact"/>
        <w:rPr>
          <w:sz w:val="20"/>
          <w:szCs w:val="20"/>
          <w:color w:val="auto"/>
        </w:rPr>
      </w:pPr>
    </w:p>
    <w:p>
      <w:pPr>
        <w:sectPr>
          <w:pgSz w:w="11900" w:h="16838" w:orient="portrait"/>
          <w:cols w:equalWidth="0" w:num="2">
            <w:col w:w="4900" w:space="280"/>
            <w:col w:w="6060"/>
          </w:cols>
          <w:pgMar w:left="320" w:top="118" w:right="3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FOR VALUE RECEIVED, THE UNDERSIGNED BENEFICIARY HEREBY IRREVOCABLY TRANSFERS TO:</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(NAME OF TRANSFEREE)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14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ALL RIGHTS OF THE UNDERSIGNED BENEFICIARY TO DRAW UNDER THE ABOVE LETTER OF CREDIT UP TO ITS AVAILABLE AMOUNT AS SHOWN ABOVE AS OF THE DATE OF THIS TRANSFER.</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sectPr>
          <w:pgSz w:w="11900" w:h="16838" w:orient="portrait"/>
          <w:cols w:equalWidth="0" w:num="1">
            <w:col w:w="11240"/>
          </w:cols>
          <w:pgMar w:left="320" w:top="118" w:right="339" w:bottom="1440" w:gutter="0" w:footer="0" w:header="0"/>
          <w:type w:val="continuous"/>
        </w:sectPr>
      </w:pPr>
    </w:p>
    <w:p>
      <w:pPr>
        <w:spacing w:after="0" w:line="10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(BENEFICIARY’S NAME)</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OF BENEFICIARY)</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AND TITLE)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AUTHENTICATED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7132320" cy="14484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132320" cy="1448435"/>
                    </a:xfrm>
                    <a:prstGeom prst="rect">
                      <a:avLst/>
                    </a:prstGeom>
                    <a:noFill/>
                  </pic:spPr>
                </pic:pic>
              </a:graphicData>
            </a:graphic>
          </wp:anchor>
        </w:drawing>
      </w:r>
    </w:p>
    <w:p>
      <w:pPr>
        <w:spacing w:after="0" w:line="2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name(s), title(s), and signature(s) conform to that/those on file with us for the company and the signature(s) is/are authorized to execute this instrument.</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(Name of Bank)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(Address of Bank)</w:t>
      </w:r>
    </w:p>
    <w:p>
      <w:pPr>
        <w:spacing w:after="0" w:line="603" w:lineRule="exact"/>
        <w:rPr>
          <w:sz w:val="20"/>
          <w:szCs w:val="20"/>
          <w:color w:val="auto"/>
        </w:rPr>
      </w:pPr>
    </w:p>
    <w:p>
      <w:pPr>
        <w:sectPr>
          <w:pgSz w:w="11900" w:h="16838" w:orient="portrait"/>
          <w:cols w:equalWidth="0" w:num="2">
            <w:col w:w="4900" w:space="720"/>
            <w:col w:w="5620"/>
          </w:cols>
          <w:pgMar w:left="320" w:top="118"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L</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5" w:name="page256"/>
    <w:bookmarkEnd w:id="255"/>
    <w:p>
      <w:pPr>
        <w:jc w:val="right"/>
        <w:spacing w:after="0"/>
        <w:rPr>
          <w:sz w:val="20"/>
          <w:szCs w:val="20"/>
          <w:color w:val="auto"/>
        </w:rPr>
      </w:pPr>
      <w:r>
        <w:rPr>
          <w:rFonts w:ascii="Arial" w:cs="Arial" w:eastAsia="Arial" w:hAnsi="Arial"/>
          <w:sz w:val="20"/>
          <w:szCs w:val="20"/>
          <w:b w:val="1"/>
          <w:bCs w:val="1"/>
          <w:color w:val="auto"/>
        </w:rPr>
        <w:t>Exhibit 10.11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SNDA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SUBORDINATION, ATTORNMENT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NON-DISTURBANCE AGREEMENT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made  the  _____  day  of  _______________,  202__,  by  and  among  ____________________,  a</w:t>
      </w:r>
    </w:p>
    <w:p>
      <w:pPr>
        <w:spacing w:after="0" w:line="33" w:lineRule="exact"/>
        <w:rPr>
          <w:sz w:val="20"/>
          <w:szCs w:val="20"/>
          <w:color w:val="auto"/>
        </w:rPr>
      </w:pPr>
    </w:p>
    <w:p>
      <w:pPr>
        <w:spacing w:after="0"/>
        <w:tabs>
          <w:tab w:leader="none" w:pos="2720" w:val="left"/>
          <w:tab w:leader="none" w:pos="3200" w:val="left"/>
          <w:tab w:leader="none" w:pos="4460" w:val="left"/>
          <w:tab w:leader="none" w:pos="6740" w:val="left"/>
          <w:tab w:leader="none" w:pos="7000" w:val="left"/>
          <w:tab w:leader="none" w:pos="9440" w:val="left"/>
          <w:tab w:leader="none" w:pos="9920" w:val="left"/>
        </w:tabs>
        <w:rPr>
          <w:sz w:val="20"/>
          <w:szCs w:val="20"/>
          <w:color w:val="auto"/>
        </w:rPr>
      </w:pPr>
      <w:r>
        <w:rPr>
          <w:rFonts w:ascii="Arial" w:cs="Arial" w:eastAsia="Arial" w:hAnsi="Arial"/>
          <w:sz w:val="20"/>
          <w:szCs w:val="20"/>
          <w:color w:val="auto"/>
        </w:rPr>
        <w:t>__________________________</w:t>
        <w:tab/>
        <w:t>(the</w:t>
        <w:tab/>
        <w:t>“</w:t>
      </w:r>
      <w:r>
        <w:rPr>
          <w:rFonts w:ascii="Arial" w:cs="Arial" w:eastAsia="Arial" w:hAnsi="Arial"/>
          <w:sz w:val="20"/>
          <w:szCs w:val="20"/>
          <w:b w:val="1"/>
          <w:bCs w:val="1"/>
          <w:color w:val="auto"/>
        </w:rPr>
        <w:t>Landlord</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_____________________,</w:t>
      </w:r>
      <w:r>
        <w:rPr>
          <w:sz w:val="20"/>
          <w:szCs w:val="20"/>
          <w:color w:val="auto"/>
        </w:rPr>
        <w:tab/>
      </w:r>
      <w:r>
        <w:rPr>
          <w:rFonts w:ascii="Arial" w:cs="Arial" w:eastAsia="Arial" w:hAnsi="Arial"/>
          <w:sz w:val="20"/>
          <w:szCs w:val="20"/>
          <w:color w:val="auto"/>
        </w:rPr>
        <w:t>a</w:t>
        <w:tab/>
        <w:t>_______________________</w:t>
        <w:tab/>
        <w:t>(the</w:t>
      </w:r>
      <w:r>
        <w:rPr>
          <w:sz w:val="20"/>
          <w:szCs w:val="20"/>
          <w:color w:val="auto"/>
        </w:rPr>
        <w:tab/>
      </w:r>
      <w:r>
        <w:rPr>
          <w:rFonts w:ascii="Arial" w:cs="Arial" w:eastAsia="Arial" w:hAnsi="Arial"/>
          <w:sz w:val="18"/>
          <w:szCs w:val="18"/>
          <w:b w:val="1"/>
          <w:bCs w:val="1"/>
          <w:color w:val="auto"/>
        </w:rPr>
        <w:t>“Tenant”</w:t>
      </w:r>
      <w:r>
        <w:rPr>
          <w:rFonts w:ascii="Arial" w:cs="Arial" w:eastAsia="Arial" w:hAnsi="Arial"/>
          <w:sz w:val="18"/>
          <w:szCs w:val="18"/>
          <w:color w:val="auto"/>
        </w:rPr>
        <w:t>)  and</w:t>
      </w:r>
    </w:p>
    <w:p>
      <w:pPr>
        <w:spacing w:after="0"/>
        <w:rPr>
          <w:sz w:val="20"/>
          <w:szCs w:val="20"/>
          <w:color w:val="auto"/>
        </w:rPr>
      </w:pPr>
      <w:r>
        <w:rPr>
          <w:rFonts w:ascii="Arial" w:cs="Arial" w:eastAsia="Arial" w:hAnsi="Arial"/>
          <w:sz w:val="20"/>
          <w:szCs w:val="20"/>
          <w:color w:val="auto"/>
        </w:rPr>
        <w:t>__________________ (</w:t>
      </w:r>
      <w:r>
        <w:rPr>
          <w:rFonts w:ascii="Arial" w:cs="Arial" w:eastAsia="Arial" w:hAnsi="Arial"/>
          <w:sz w:val="20"/>
          <w:szCs w:val="20"/>
          <w:b w:val="1"/>
          <w:bCs w:val="1"/>
          <w:color w:val="auto"/>
        </w:rPr>
        <w:t>“Bank”</w:t>
      </w:r>
      <w:r>
        <w:rPr>
          <w:rFonts w:ascii="Arial" w:cs="Arial" w:eastAsia="Arial" w:hAnsi="Arial"/>
          <w:sz w:val="20"/>
          <w:szCs w:val="20"/>
          <w:color w:val="auto"/>
        </w:rPr>
        <w:t>).</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340" w:type="dxa"/>
            <w:vAlign w:val="bottom"/>
            <w:gridSpan w:val="4"/>
          </w:tcPr>
          <w:p>
            <w:pPr>
              <w:spacing w:after="0"/>
              <w:rPr>
                <w:sz w:val="20"/>
                <w:szCs w:val="20"/>
                <w:color w:val="auto"/>
              </w:rPr>
            </w:pPr>
            <w:r>
              <w:rPr>
                <w:rFonts w:ascii="Arial" w:cs="Arial" w:eastAsia="Arial" w:hAnsi="Arial"/>
                <w:sz w:val="20"/>
                <w:szCs w:val="20"/>
                <w:b w:val="1"/>
                <w:bCs w:val="1"/>
                <w:color w:val="auto"/>
              </w:rPr>
              <w:t>BACKGROUND</w:t>
            </w:r>
          </w:p>
        </w:tc>
      </w:tr>
      <w:tr>
        <w:trPr>
          <w:trHeight w:val="20"/>
        </w:trPr>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43"/>
        </w:trPr>
        <w:tc>
          <w:tcPr>
            <w:tcW w:w="480" w:type="dxa"/>
            <w:vAlign w:val="bottom"/>
          </w:tcPr>
          <w:p>
            <w:pPr>
              <w:spacing w:after="0"/>
              <w:rPr>
                <w:sz w:val="20"/>
                <w:szCs w:val="20"/>
                <w:color w:val="auto"/>
              </w:rPr>
            </w:pPr>
            <w:r>
              <w:rPr>
                <w:rFonts w:ascii="Arial" w:cs="Arial" w:eastAsia="Arial" w:hAnsi="Arial"/>
                <w:sz w:val="20"/>
                <w:szCs w:val="20"/>
                <w:color w:val="auto"/>
              </w:rPr>
              <w:t>A.</w:t>
            </w:r>
          </w:p>
        </w:tc>
        <w:tc>
          <w:tcPr>
            <w:tcW w:w="10680" w:type="dxa"/>
            <w:vAlign w:val="bottom"/>
            <w:gridSpan w:val="5"/>
          </w:tcPr>
          <w:p>
            <w:pPr>
              <w:ind w:left="1100"/>
              <w:spacing w:after="0"/>
              <w:rPr>
                <w:sz w:val="20"/>
                <w:szCs w:val="20"/>
                <w:color w:val="auto"/>
              </w:rPr>
            </w:pPr>
            <w:r>
              <w:rPr>
                <w:rFonts w:ascii="Arial" w:cs="Arial" w:eastAsia="Arial" w:hAnsi="Arial"/>
                <w:sz w:val="20"/>
                <w:szCs w:val="20"/>
                <w:color w:val="auto"/>
                <w:w w:val="93"/>
              </w:rPr>
              <w:t>Landlord is, or is about to be, the owner of certain premises located at _________________, _________________,</w:t>
            </w:r>
          </w:p>
        </w:tc>
      </w:tr>
      <w:tr>
        <w:trPr>
          <w:trHeight w:val="212"/>
        </w:trPr>
        <w:tc>
          <w:tcPr>
            <w:tcW w:w="480" w:type="dxa"/>
            <w:vAlign w:val="bottom"/>
          </w:tcPr>
          <w:p>
            <w:pPr>
              <w:spacing w:after="0"/>
              <w:rPr>
                <w:sz w:val="18"/>
                <w:szCs w:val="18"/>
                <w:color w:val="auto"/>
              </w:rPr>
            </w:pPr>
          </w:p>
        </w:tc>
        <w:tc>
          <w:tcPr>
            <w:tcW w:w="10680" w:type="dxa"/>
            <w:vAlign w:val="bottom"/>
            <w:gridSpan w:val="5"/>
          </w:tcPr>
          <w:p>
            <w:pPr>
              <w:ind w:left="300"/>
              <w:spacing w:after="0" w:line="212" w:lineRule="exact"/>
              <w:rPr>
                <w:sz w:val="20"/>
                <w:szCs w:val="20"/>
                <w:color w:val="auto"/>
              </w:rPr>
            </w:pPr>
            <w:r>
              <w:rPr>
                <w:rFonts w:ascii="Arial" w:cs="Arial" w:eastAsia="Arial" w:hAnsi="Arial"/>
                <w:sz w:val="20"/>
                <w:szCs w:val="20"/>
                <w:color w:val="auto"/>
                <w:w w:val="91"/>
              </w:rPr>
              <w:t xml:space="preserve">_________________, _________________, as more fully described on </w:t>
            </w:r>
            <w:r>
              <w:rPr>
                <w:rFonts w:ascii="Arial" w:cs="Arial" w:eastAsia="Arial" w:hAnsi="Arial"/>
                <w:sz w:val="20"/>
                <w:szCs w:val="20"/>
                <w:b w:val="1"/>
                <w:bCs w:val="1"/>
                <w:color w:val="auto"/>
                <w:w w:val="91"/>
              </w:rPr>
              <w:t>Exhibit “A”</w:t>
            </w:r>
            <w:r>
              <w:rPr>
                <w:rFonts w:ascii="Arial" w:cs="Arial" w:eastAsia="Arial" w:hAnsi="Arial"/>
                <w:sz w:val="20"/>
                <w:szCs w:val="20"/>
                <w:color w:val="auto"/>
                <w:w w:val="91"/>
              </w:rPr>
              <w:t xml:space="preserve"> (</w:t>
            </w:r>
            <w:r>
              <w:rPr>
                <w:rFonts w:ascii="Arial" w:cs="Arial" w:eastAsia="Arial" w:hAnsi="Arial"/>
                <w:sz w:val="20"/>
                <w:szCs w:val="20"/>
                <w:b w:val="1"/>
                <w:bCs w:val="1"/>
                <w:color w:val="auto"/>
                <w:w w:val="91"/>
              </w:rPr>
              <w:t>“Premises”</w:t>
            </w:r>
            <w:r>
              <w:rPr>
                <w:rFonts w:ascii="Arial" w:cs="Arial" w:eastAsia="Arial" w:hAnsi="Arial"/>
                <w:sz w:val="20"/>
                <w:szCs w:val="20"/>
                <w:color w:val="auto"/>
                <w:w w:val="91"/>
              </w:rPr>
              <w:t>) (including all rights to leases</w:t>
            </w:r>
          </w:p>
        </w:tc>
      </w:tr>
      <w:tr>
        <w:trPr>
          <w:trHeight w:val="20"/>
        </w:trPr>
        <w:tc>
          <w:tcPr>
            <w:tcW w:w="480" w:type="dxa"/>
            <w:vAlign w:val="bottom"/>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10680" w:type="dxa"/>
            <w:vAlign w:val="bottom"/>
            <w:gridSpan w:val="5"/>
          </w:tcPr>
          <w:p>
            <w:pPr>
              <w:ind w:left="300"/>
              <w:spacing w:after="0" w:line="228" w:lineRule="exact"/>
              <w:rPr>
                <w:sz w:val="20"/>
                <w:szCs w:val="20"/>
                <w:color w:val="auto"/>
              </w:rPr>
            </w:pPr>
            <w:r>
              <w:rPr>
                <w:rFonts w:ascii="Arial" w:cs="Arial" w:eastAsia="Arial" w:hAnsi="Arial"/>
                <w:sz w:val="20"/>
                <w:szCs w:val="20"/>
                <w:color w:val="auto"/>
                <w:w w:val="91"/>
              </w:rPr>
              <w:t xml:space="preserve">in connection therewith) which is or will be encumbered by a </w:t>
            </w:r>
            <w:r>
              <w:rPr>
                <w:rFonts w:ascii="Arial" w:cs="Arial" w:eastAsia="Arial" w:hAnsi="Arial"/>
                <w:sz w:val="20"/>
                <w:szCs w:val="20"/>
                <w:b w:val="1"/>
                <w:bCs w:val="1"/>
                <w:color w:val="auto"/>
                <w:w w:val="91"/>
              </w:rPr>
              <w:t>[</w:t>
            </w:r>
            <w:r>
              <w:rPr>
                <w:rFonts w:ascii="Arial" w:cs="Arial" w:eastAsia="Arial" w:hAnsi="Arial"/>
                <w:sz w:val="20"/>
                <w:szCs w:val="20"/>
                <w:color w:val="auto"/>
                <w:w w:val="91"/>
              </w:rPr>
              <w:t>Mortgage</w:t>
            </w:r>
            <w:r>
              <w:rPr>
                <w:rFonts w:ascii="Arial" w:cs="Arial" w:eastAsia="Arial" w:hAnsi="Arial"/>
                <w:sz w:val="20"/>
                <w:szCs w:val="20"/>
                <w:b w:val="1"/>
                <w:bCs w:val="1"/>
                <w:color w:val="auto"/>
                <w:w w:val="91"/>
              </w:rPr>
              <w:t>]</w:t>
            </w:r>
            <w:r>
              <w:rPr>
                <w:rFonts w:ascii="Arial" w:cs="Arial" w:eastAsia="Arial" w:hAnsi="Arial"/>
                <w:sz w:val="20"/>
                <w:szCs w:val="20"/>
                <w:color w:val="auto"/>
                <w:w w:val="91"/>
              </w:rPr>
              <w:t>, dated as of the date hereof, executed and delivered by</w:t>
            </w:r>
          </w:p>
        </w:tc>
      </w:tr>
      <w:tr>
        <w:trPr>
          <w:trHeight w:val="235"/>
        </w:trPr>
        <w:tc>
          <w:tcPr>
            <w:tcW w:w="480" w:type="dxa"/>
            <w:vAlign w:val="bottom"/>
          </w:tcPr>
          <w:p>
            <w:pPr>
              <w:spacing w:after="0"/>
              <w:rPr>
                <w:sz w:val="20"/>
                <w:szCs w:val="20"/>
                <w:color w:val="auto"/>
              </w:rPr>
            </w:pPr>
          </w:p>
        </w:tc>
        <w:tc>
          <w:tcPr>
            <w:tcW w:w="10680" w:type="dxa"/>
            <w:vAlign w:val="bottom"/>
            <w:gridSpan w:val="5"/>
          </w:tcPr>
          <w:p>
            <w:pPr>
              <w:ind w:left="300"/>
              <w:spacing w:after="0"/>
              <w:rPr>
                <w:sz w:val="20"/>
                <w:szCs w:val="20"/>
                <w:color w:val="auto"/>
              </w:rPr>
            </w:pPr>
            <w:r>
              <w:rPr>
                <w:rFonts w:ascii="Arial" w:cs="Arial" w:eastAsia="Arial" w:hAnsi="Arial"/>
                <w:sz w:val="20"/>
                <w:szCs w:val="20"/>
                <w:color w:val="auto"/>
                <w:w w:val="93"/>
              </w:rPr>
              <w:t xml:space="preserve">Landlord in favor of Bank (the </w:t>
            </w:r>
            <w:r>
              <w:rPr>
                <w:rFonts w:ascii="Arial" w:cs="Arial" w:eastAsia="Arial" w:hAnsi="Arial"/>
                <w:sz w:val="20"/>
                <w:szCs w:val="20"/>
                <w:b w:val="1"/>
                <w:bCs w:val="1"/>
                <w:color w:val="auto"/>
                <w:w w:val="93"/>
              </w:rPr>
              <w:t>“Mortgage”</w:t>
            </w:r>
            <w:r>
              <w:rPr>
                <w:rFonts w:ascii="Arial" w:cs="Arial" w:eastAsia="Arial" w:hAnsi="Arial"/>
                <w:sz w:val="20"/>
                <w:szCs w:val="20"/>
                <w:color w:val="auto"/>
                <w:w w:val="93"/>
              </w:rPr>
              <w:t>). The Mortgage, together with all other documents in connection therewith, as they</w:t>
            </w:r>
          </w:p>
        </w:tc>
      </w:tr>
      <w:tr>
        <w:trPr>
          <w:trHeight w:val="250"/>
        </w:trPr>
        <w:tc>
          <w:tcPr>
            <w:tcW w:w="480" w:type="dxa"/>
            <w:vAlign w:val="bottom"/>
          </w:tcPr>
          <w:p>
            <w:pPr>
              <w:spacing w:after="0"/>
              <w:rPr>
                <w:sz w:val="21"/>
                <w:szCs w:val="21"/>
                <w:color w:val="auto"/>
              </w:rPr>
            </w:pPr>
          </w:p>
        </w:tc>
        <w:tc>
          <w:tcPr>
            <w:tcW w:w="10680" w:type="dxa"/>
            <w:vAlign w:val="bottom"/>
            <w:gridSpan w:val="5"/>
          </w:tcPr>
          <w:p>
            <w:pPr>
              <w:ind w:left="300"/>
              <w:spacing w:after="0"/>
              <w:rPr>
                <w:sz w:val="20"/>
                <w:szCs w:val="20"/>
                <w:color w:val="auto"/>
              </w:rPr>
            </w:pPr>
            <w:r>
              <w:rPr>
                <w:rFonts w:ascii="Arial" w:cs="Arial" w:eastAsia="Arial" w:hAnsi="Arial"/>
                <w:sz w:val="20"/>
                <w:szCs w:val="20"/>
                <w:color w:val="auto"/>
              </w:rPr>
              <w:t>have been or may be modified from time to time, are hereinafter collectively referred to as “Loan Documents”.</w:t>
            </w:r>
          </w:p>
        </w:tc>
      </w:tr>
      <w:tr>
        <w:trPr>
          <w:trHeight w:val="425"/>
        </w:trPr>
        <w:tc>
          <w:tcPr>
            <w:tcW w:w="480" w:type="dxa"/>
            <w:vAlign w:val="bottom"/>
          </w:tcPr>
          <w:p>
            <w:pPr>
              <w:spacing w:after="0"/>
              <w:rPr>
                <w:sz w:val="20"/>
                <w:szCs w:val="20"/>
                <w:color w:val="auto"/>
              </w:rPr>
            </w:pPr>
            <w:r>
              <w:rPr>
                <w:rFonts w:ascii="Arial" w:cs="Arial" w:eastAsia="Arial" w:hAnsi="Arial"/>
                <w:sz w:val="20"/>
                <w:szCs w:val="20"/>
                <w:color w:val="auto"/>
              </w:rPr>
              <w:t>B.</w:t>
            </w:r>
          </w:p>
        </w:tc>
        <w:tc>
          <w:tcPr>
            <w:tcW w:w="10680" w:type="dxa"/>
            <w:vAlign w:val="bottom"/>
            <w:gridSpan w:val="5"/>
          </w:tcPr>
          <w:p>
            <w:pPr>
              <w:ind w:left="1100"/>
              <w:spacing w:after="0"/>
              <w:rPr>
                <w:sz w:val="20"/>
                <w:szCs w:val="20"/>
                <w:color w:val="auto"/>
              </w:rPr>
            </w:pPr>
            <w:r>
              <w:rPr>
                <w:rFonts w:ascii="Arial" w:cs="Arial" w:eastAsia="Arial" w:hAnsi="Arial"/>
                <w:sz w:val="20"/>
                <w:szCs w:val="20"/>
                <w:color w:val="auto"/>
                <w:w w:val="90"/>
              </w:rPr>
              <w:t>Tenant previously entered into a lease dated ______________ for a portion of the Premises comprised of _____ square</w:t>
            </w:r>
          </w:p>
        </w:tc>
      </w:tr>
      <w:tr>
        <w:trPr>
          <w:trHeight w:val="250"/>
        </w:trPr>
        <w:tc>
          <w:tcPr>
            <w:tcW w:w="480" w:type="dxa"/>
            <w:vAlign w:val="bottom"/>
          </w:tcPr>
          <w:p>
            <w:pPr>
              <w:spacing w:after="0"/>
              <w:rPr>
                <w:sz w:val="21"/>
                <w:szCs w:val="21"/>
                <w:color w:val="auto"/>
              </w:rPr>
            </w:pPr>
          </w:p>
        </w:tc>
        <w:tc>
          <w:tcPr>
            <w:tcW w:w="10680" w:type="dxa"/>
            <w:vAlign w:val="bottom"/>
            <w:gridSpan w:val="5"/>
          </w:tcPr>
          <w:p>
            <w:pPr>
              <w:ind w:left="300"/>
              <w:spacing w:after="0"/>
              <w:rPr>
                <w:sz w:val="20"/>
                <w:szCs w:val="20"/>
                <w:color w:val="auto"/>
              </w:rPr>
            </w:pPr>
            <w:r>
              <w:rPr>
                <w:rFonts w:ascii="Arial" w:cs="Arial" w:eastAsia="Arial" w:hAnsi="Arial"/>
                <w:sz w:val="20"/>
                <w:szCs w:val="20"/>
                <w:color w:val="auto"/>
                <w:w w:val="90"/>
              </w:rPr>
              <w:t>feet (“Leased Premises”) (together with all amendments, renewals and extensions thereof, collectively referred to as the “Lease”).</w:t>
            </w:r>
          </w:p>
        </w:tc>
      </w:tr>
      <w:tr>
        <w:trPr>
          <w:trHeight w:val="425"/>
        </w:trPr>
        <w:tc>
          <w:tcPr>
            <w:tcW w:w="480" w:type="dxa"/>
            <w:vAlign w:val="bottom"/>
          </w:tcPr>
          <w:p>
            <w:pPr>
              <w:spacing w:after="0"/>
              <w:rPr>
                <w:sz w:val="20"/>
                <w:szCs w:val="20"/>
                <w:color w:val="auto"/>
              </w:rPr>
            </w:pPr>
            <w:r>
              <w:rPr>
                <w:rFonts w:ascii="Arial" w:cs="Arial" w:eastAsia="Arial" w:hAnsi="Arial"/>
                <w:sz w:val="20"/>
                <w:szCs w:val="20"/>
                <w:color w:val="auto"/>
              </w:rPr>
              <w:t>C.</w:t>
            </w:r>
          </w:p>
        </w:tc>
        <w:tc>
          <w:tcPr>
            <w:tcW w:w="10680" w:type="dxa"/>
            <w:vAlign w:val="bottom"/>
            <w:gridSpan w:val="5"/>
          </w:tcPr>
          <w:p>
            <w:pPr>
              <w:ind w:left="1100"/>
              <w:spacing w:after="0"/>
              <w:rPr>
                <w:sz w:val="20"/>
                <w:szCs w:val="20"/>
                <w:color w:val="auto"/>
              </w:rPr>
            </w:pPr>
            <w:r>
              <w:rPr>
                <w:rFonts w:ascii="Arial" w:cs="Arial" w:eastAsia="Arial" w:hAnsi="Arial"/>
                <w:sz w:val="20"/>
                <w:szCs w:val="20"/>
                <w:color w:val="auto"/>
                <w:w w:val="89"/>
              </w:rPr>
              <w:t>The parties desire to set out their understanding as to certain of their respective rights and obligations in the transactions</w:t>
            </w:r>
          </w:p>
        </w:tc>
      </w:tr>
      <w:tr>
        <w:trPr>
          <w:trHeight w:val="250"/>
        </w:trPr>
        <w:tc>
          <w:tcPr>
            <w:tcW w:w="480" w:type="dxa"/>
            <w:vAlign w:val="bottom"/>
          </w:tcPr>
          <w:p>
            <w:pPr>
              <w:spacing w:after="0"/>
              <w:rPr>
                <w:sz w:val="21"/>
                <w:szCs w:val="21"/>
                <w:color w:val="auto"/>
              </w:rPr>
            </w:pPr>
          </w:p>
        </w:tc>
        <w:tc>
          <w:tcPr>
            <w:tcW w:w="10680" w:type="dxa"/>
            <w:vAlign w:val="bottom"/>
            <w:gridSpan w:val="5"/>
          </w:tcPr>
          <w:p>
            <w:pPr>
              <w:ind w:left="300"/>
              <w:spacing w:after="0"/>
              <w:rPr>
                <w:sz w:val="20"/>
                <w:szCs w:val="20"/>
                <w:color w:val="auto"/>
              </w:rPr>
            </w:pPr>
            <w:r>
              <w:rPr>
                <w:rFonts w:ascii="Arial" w:cs="Arial" w:eastAsia="Arial" w:hAnsi="Arial"/>
                <w:sz w:val="20"/>
                <w:szCs w:val="20"/>
                <w:color w:val="auto"/>
              </w:rPr>
              <w:t>above described.</w:t>
            </w:r>
          </w:p>
        </w:tc>
      </w:tr>
    </w:tbl>
    <w:p>
      <w:pPr>
        <w:spacing w:after="0" w:line="189"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hereto, in consideration of the mutual covenants herein contained and intending to be legally</w:t>
      </w:r>
      <w:r>
        <w:rPr>
          <w:rFonts w:ascii="Arial" w:cs="Arial" w:eastAsia="Arial" w:hAnsi="Arial"/>
          <w:sz w:val="20"/>
          <w:szCs w:val="20"/>
          <w:b w:val="1"/>
          <w:bCs w:val="1"/>
          <w:color w:val="auto"/>
        </w:rPr>
        <w:t xml:space="preserve"> </w:t>
      </w:r>
      <w:r>
        <w:rPr>
          <w:rFonts w:ascii="Arial" w:cs="Arial" w:eastAsia="Arial" w:hAnsi="Arial"/>
          <w:sz w:val="20"/>
          <w:szCs w:val="20"/>
          <w:color w:val="auto"/>
        </w:rPr>
        <w:t>bound hereby agree as follows:</w:t>
      </w:r>
    </w:p>
    <w:p>
      <w:pPr>
        <w:spacing w:after="0" w:line="163" w:lineRule="exact"/>
        <w:rPr>
          <w:sz w:val="20"/>
          <w:szCs w:val="20"/>
          <w:color w:val="auto"/>
        </w:rPr>
      </w:pPr>
    </w:p>
    <w:p>
      <w:pPr>
        <w:jc w:val="both"/>
        <w:ind w:left="860" w:hanging="784"/>
        <w:spacing w:after="0" w:line="272" w:lineRule="auto"/>
        <w:tabs>
          <w:tab w:leader="none" w:pos="8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b w:val="1"/>
          <w:bCs w:val="1"/>
          <w:u w:val="single" w:color="auto"/>
          <w:color w:val="auto"/>
        </w:rPr>
        <w:t>Warranties and Representations</w:t>
      </w:r>
      <w:r>
        <w:rPr>
          <w:rFonts w:ascii="Arial" w:cs="Arial" w:eastAsia="Arial" w:hAnsi="Arial"/>
          <w:sz w:val="18"/>
          <w:szCs w:val="18"/>
          <w:color w:val="auto"/>
        </w:rPr>
        <w:t>. Landlord and Tenant each warrants and represents that, as of the date hereof (a) to</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its knowledge, neither Landlord nor Tenant is in default under the terms of the Lease beyond any applicable notice and cure periods, (b) the Lease is in full force and effect, (c) to its knowledge, no payments under the Lease have been collected, anticipated, waived, released, discounted or otherwise discharged or compromised, except as pursuant to the terms of the Lease,</w:t>
      </w:r>
    </w:p>
    <w:p>
      <w:pPr>
        <w:spacing w:after="0" w:line="2" w:lineRule="exact"/>
        <w:rPr>
          <w:sz w:val="20"/>
          <w:szCs w:val="20"/>
          <w:color w:val="auto"/>
        </w:rPr>
      </w:pPr>
    </w:p>
    <w:p>
      <w:pPr>
        <w:ind w:left="860" w:hanging="2"/>
        <w:spacing w:after="0" w:line="244" w:lineRule="auto"/>
        <w:tabs>
          <w:tab w:leader="none" w:pos="1179" w:val="left"/>
        </w:tabs>
        <w:numPr>
          <w:ilvl w:val="0"/>
          <w:numId w:val="219"/>
        </w:numPr>
        <w:rPr>
          <w:rFonts w:ascii="Arial" w:cs="Arial" w:eastAsia="Arial" w:hAnsi="Arial"/>
          <w:sz w:val="20"/>
          <w:szCs w:val="20"/>
          <w:color w:val="auto"/>
        </w:rPr>
      </w:pPr>
      <w:r>
        <w:rPr>
          <w:rFonts w:ascii="Arial" w:cs="Arial" w:eastAsia="Arial" w:hAnsi="Arial"/>
          <w:sz w:val="20"/>
          <w:szCs w:val="20"/>
          <w:color w:val="auto"/>
        </w:rPr>
        <w:t>Landlord has not received any deposits from Tenant other than security deposits under the Lease, if any, and (e) to its knowledge, Tenant has no setoff or counterclaim against Landlord under the Lease.</w:t>
      </w:r>
    </w:p>
    <w:p>
      <w:pPr>
        <w:spacing w:after="0" w:line="185" w:lineRule="exact"/>
        <w:rPr>
          <w:sz w:val="20"/>
          <w:szCs w:val="20"/>
          <w:color w:val="auto"/>
        </w:rPr>
      </w:pPr>
    </w:p>
    <w:p>
      <w:pPr>
        <w:jc w:val="both"/>
        <w:ind w:left="860" w:hanging="784"/>
        <w:spacing w:after="0" w:line="262" w:lineRule="auto"/>
        <w:tabs>
          <w:tab w:leader="none" w:pos="8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9"/>
          <w:szCs w:val="19"/>
          <w:b w:val="1"/>
          <w:bCs w:val="1"/>
          <w:u w:val="single" w:color="auto"/>
          <w:color w:val="auto"/>
        </w:rPr>
        <w:t>Payment of Rent and Other Monies Under the Lease</w:t>
      </w:r>
      <w:r>
        <w:rPr>
          <w:rFonts w:ascii="Arial" w:cs="Arial" w:eastAsia="Arial" w:hAnsi="Arial"/>
          <w:sz w:val="19"/>
          <w:szCs w:val="19"/>
          <w:color w:val="auto"/>
        </w:rPr>
        <w:t>. Landlord and Tenant understand and agree that until all sums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due under the Loan Documents have been finally paid in full, all payments now or hereafter due Landlord under the Lease shall be paid to or at the direction of Bank, pursuant to instructions sent by Bank in accordance with the Mortgage (it being understood that Bank shall not give any notice to Tenant to pay rents directly to Bank except pursuant to the express terms of the Loan Documents). Until further notice from Bank, Tenant is directed by Bank to pay all such sums to Landlord.</w:t>
      </w:r>
    </w:p>
    <w:p>
      <w:pPr>
        <w:spacing w:after="0" w:line="171" w:lineRule="exact"/>
        <w:rPr>
          <w:sz w:val="20"/>
          <w:szCs w:val="20"/>
          <w:color w:val="auto"/>
        </w:rPr>
      </w:pPr>
    </w:p>
    <w:p>
      <w:pPr>
        <w:jc w:val="both"/>
        <w:ind w:left="860" w:hanging="784"/>
        <w:spacing w:after="0" w:line="246" w:lineRule="auto"/>
        <w:tabs>
          <w:tab w:leader="none" w:pos="8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b w:val="1"/>
          <w:bCs w:val="1"/>
          <w:u w:val="single" w:color="auto"/>
          <w:color w:val="auto"/>
        </w:rPr>
        <w:t>Nonassumption of Liability by Bank</w:t>
      </w:r>
      <w:r>
        <w:rPr>
          <w:rFonts w:ascii="Arial" w:cs="Arial" w:eastAsia="Arial" w:hAnsi="Arial"/>
          <w:sz w:val="20"/>
          <w:szCs w:val="20"/>
          <w:color w:val="auto"/>
        </w:rPr>
        <w:t>. Bank does not by execution and acceptance of this Agreement or making</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demand on or collecting monies under the Lease assume any liability or become liable in any manner whatsoever for the performance of any of the terms and conditions thereof, unless and until Bank shall expressly assume such obligations in writing or except for continued acts or omissions after the Bank becomes the owner of the Premises, nor shall Bank be liable for any act or omission of Landlord,</w:t>
      </w:r>
    </w:p>
    <w:p>
      <w:pPr>
        <w:spacing w:after="0" w:line="200" w:lineRule="exact"/>
        <w:rPr>
          <w:sz w:val="20"/>
          <w:szCs w:val="20"/>
          <w:color w:val="auto"/>
        </w:rPr>
      </w:pPr>
    </w:p>
    <w:p>
      <w:pPr>
        <w:spacing w:after="0" w:line="207"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M</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0" w:type="dxa"/>
            <w:vAlign w:val="bottom"/>
            <w:gridSpan w:val="6"/>
          </w:tcPr>
          <w:p>
            <w:pPr>
              <w:spacing w:after="0"/>
              <w:rPr>
                <w:sz w:val="20"/>
                <w:szCs w:val="20"/>
                <w:color w:val="auto"/>
              </w:rPr>
            </w:pPr>
            <w:r>
              <w:rPr>
                <w:rFonts w:ascii="Arial" w:cs="Arial" w:eastAsia="Arial" w:hAnsi="Arial"/>
                <w:sz w:val="20"/>
                <w:szCs w:val="20"/>
                <w:color w:val="auto"/>
                <w:w w:val="93"/>
              </w:rPr>
              <w:t>nor subject to any offsets or defenses which Tenant may have at any time against the Landlord, except as otherwise</w:t>
            </w:r>
          </w:p>
        </w:tc>
      </w:tr>
      <w:tr>
        <w:trPr>
          <w:trHeight w:val="250"/>
        </w:trPr>
        <w:tc>
          <w:tcPr>
            <w:tcW w:w="680" w:type="dxa"/>
            <w:vAlign w:val="bottom"/>
          </w:tcPr>
          <w:p>
            <w:pPr>
              <w:spacing w:after="0"/>
              <w:rPr>
                <w:sz w:val="21"/>
                <w:szCs w:val="21"/>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rPr>
              <w:t>expressly set forth herein.</w:t>
            </w:r>
          </w:p>
        </w:tc>
      </w:tr>
      <w:tr>
        <w:trPr>
          <w:trHeight w:val="401"/>
        </w:trPr>
        <w:tc>
          <w:tcPr>
            <w:tcW w:w="680" w:type="dxa"/>
            <w:vAlign w:val="bottom"/>
          </w:tcPr>
          <w:p>
            <w:pPr>
              <w:ind w:left="80"/>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Arial" w:cs="Arial" w:eastAsia="Arial" w:hAnsi="Arial"/>
                <w:sz w:val="20"/>
                <w:szCs w:val="20"/>
                <w:b w:val="1"/>
                <w:bCs w:val="1"/>
                <w:color w:val="auto"/>
                <w:w w:val="92"/>
              </w:rPr>
              <w:t>Subordination</w:t>
            </w:r>
            <w:r>
              <w:rPr>
                <w:rFonts w:ascii="Arial" w:cs="Arial" w:eastAsia="Arial" w:hAnsi="Arial"/>
                <w:sz w:val="20"/>
                <w:szCs w:val="20"/>
                <w:color w:val="auto"/>
                <w:w w:val="92"/>
              </w:rPr>
              <w:t>.  Tenant covenants and agrees that the Lease now is and shall at all times continue to be subject and</w:t>
            </w: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33"/>
        </w:trPr>
        <w:tc>
          <w:tcPr>
            <w:tcW w:w="680" w:type="dxa"/>
            <w:vAlign w:val="bottom"/>
          </w:tcPr>
          <w:p>
            <w:pPr>
              <w:spacing w:after="0"/>
              <w:rPr>
                <w:sz w:val="20"/>
                <w:szCs w:val="20"/>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w w:val="94"/>
              </w:rPr>
              <w:t>subordinate in each and every respect to the Mortgage and to all renewals, modifications, consolidations, replacements and</w:t>
            </w:r>
          </w:p>
        </w:tc>
      </w:tr>
      <w:tr>
        <w:trPr>
          <w:trHeight w:val="229"/>
        </w:trPr>
        <w:tc>
          <w:tcPr>
            <w:tcW w:w="680" w:type="dxa"/>
            <w:vAlign w:val="bottom"/>
          </w:tcPr>
          <w:p>
            <w:pPr>
              <w:spacing w:after="0"/>
              <w:rPr>
                <w:sz w:val="19"/>
                <w:szCs w:val="19"/>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w w:val="90"/>
              </w:rPr>
              <w:t>extensions thereof, to the full extent of the principal, interest and other sums secured thereby. Tenant, upon request, shall execute</w:t>
            </w:r>
          </w:p>
        </w:tc>
      </w:tr>
      <w:tr>
        <w:trPr>
          <w:trHeight w:val="230"/>
        </w:trPr>
        <w:tc>
          <w:tcPr>
            <w:tcW w:w="680" w:type="dxa"/>
            <w:vAlign w:val="bottom"/>
          </w:tcPr>
          <w:p>
            <w:pPr>
              <w:spacing w:after="0"/>
              <w:rPr>
                <w:sz w:val="19"/>
                <w:szCs w:val="19"/>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w w:val="95"/>
              </w:rPr>
              <w:t>and deliver any commercially reasonable certificate or other instrument which Bank may reasonably request to confirm said</w:t>
            </w:r>
          </w:p>
        </w:tc>
      </w:tr>
      <w:tr>
        <w:trPr>
          <w:trHeight w:val="250"/>
        </w:trPr>
        <w:tc>
          <w:tcPr>
            <w:tcW w:w="680" w:type="dxa"/>
            <w:vAlign w:val="bottom"/>
          </w:tcPr>
          <w:p>
            <w:pPr>
              <w:spacing w:after="0"/>
              <w:rPr>
                <w:sz w:val="21"/>
                <w:szCs w:val="21"/>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rPr>
              <w:t>subordination.</w:t>
            </w:r>
          </w:p>
        </w:tc>
      </w:tr>
      <w:tr>
        <w:trPr>
          <w:trHeight w:val="401"/>
        </w:trPr>
        <w:tc>
          <w:tcPr>
            <w:tcW w:w="680" w:type="dxa"/>
            <w:vAlign w:val="bottom"/>
          </w:tcPr>
          <w:p>
            <w:pPr>
              <w:ind w:left="80"/>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Arial" w:cs="Arial" w:eastAsia="Arial" w:hAnsi="Arial"/>
                <w:sz w:val="20"/>
                <w:szCs w:val="20"/>
                <w:b w:val="1"/>
                <w:bCs w:val="1"/>
                <w:color w:val="auto"/>
                <w:w w:val="91"/>
              </w:rPr>
              <w:t>Non-liability of Bank and Successors</w:t>
            </w:r>
            <w:r>
              <w:rPr>
                <w:rFonts w:ascii="Arial" w:cs="Arial" w:eastAsia="Arial" w:hAnsi="Arial"/>
                <w:sz w:val="20"/>
                <w:szCs w:val="20"/>
                <w:color w:val="auto"/>
                <w:w w:val="91"/>
              </w:rPr>
              <w:t>. Neither Bank nor any other person acquiring or succeeding to the interests of</w:t>
            </w: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33"/>
        </w:trPr>
        <w:tc>
          <w:tcPr>
            <w:tcW w:w="680" w:type="dxa"/>
            <w:vAlign w:val="bottom"/>
          </w:tcPr>
          <w:p>
            <w:pPr>
              <w:spacing w:after="0"/>
              <w:rPr>
                <w:sz w:val="20"/>
                <w:szCs w:val="20"/>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w w:val="94"/>
              </w:rPr>
              <w:t>Landlord as a result of any foreclosure or other proceeding for the enforcement of the Mortgage, or by reason of a transfer of</w:t>
            </w:r>
          </w:p>
        </w:tc>
      </w:tr>
      <w:tr>
        <w:trPr>
          <w:trHeight w:val="223"/>
        </w:trPr>
        <w:tc>
          <w:tcPr>
            <w:tcW w:w="680" w:type="dxa"/>
            <w:vAlign w:val="bottom"/>
          </w:tcPr>
          <w:p>
            <w:pPr>
              <w:spacing w:after="0"/>
              <w:rPr>
                <w:sz w:val="19"/>
                <w:szCs w:val="19"/>
                <w:color w:val="auto"/>
              </w:rPr>
            </w:pPr>
          </w:p>
        </w:tc>
        <w:tc>
          <w:tcPr>
            <w:tcW w:w="10580" w:type="dxa"/>
            <w:vAlign w:val="bottom"/>
            <w:gridSpan w:val="8"/>
          </w:tcPr>
          <w:p>
            <w:pPr>
              <w:ind w:left="180"/>
              <w:spacing w:after="0" w:line="224" w:lineRule="exact"/>
              <w:rPr>
                <w:sz w:val="20"/>
                <w:szCs w:val="20"/>
                <w:color w:val="auto"/>
              </w:rPr>
            </w:pPr>
            <w:r>
              <w:rPr>
                <w:rFonts w:ascii="Arial" w:cs="Arial" w:eastAsia="Arial" w:hAnsi="Arial"/>
                <w:sz w:val="20"/>
                <w:szCs w:val="20"/>
                <w:color w:val="auto"/>
                <w:w w:val="92"/>
              </w:rPr>
              <w:t>Landlord’s interest under the Lease, pursuant to the taking of a deed in lieu of foreclosure (or similar device), nor such person’s</w:t>
            </w:r>
          </w:p>
        </w:tc>
      </w:tr>
      <w:tr>
        <w:trPr>
          <w:trHeight w:val="256"/>
        </w:trPr>
        <w:tc>
          <w:tcPr>
            <w:tcW w:w="680" w:type="dxa"/>
            <w:vAlign w:val="bottom"/>
          </w:tcPr>
          <w:p>
            <w:pPr>
              <w:spacing w:after="0"/>
              <w:rPr>
                <w:sz w:val="22"/>
                <w:szCs w:val="22"/>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w w:val="97"/>
              </w:rPr>
              <w:t xml:space="preserve">successors and assigns (all of the foregoing, including Bank, being hereinafter referred to as the </w:t>
            </w:r>
            <w:r>
              <w:rPr>
                <w:rFonts w:ascii="Arial" w:cs="Arial" w:eastAsia="Arial" w:hAnsi="Arial"/>
                <w:sz w:val="20"/>
                <w:szCs w:val="20"/>
                <w:b w:val="1"/>
                <w:bCs w:val="1"/>
                <w:color w:val="auto"/>
                <w:w w:val="97"/>
              </w:rPr>
              <w:t>“Successor”</w:t>
            </w:r>
            <w:r>
              <w:rPr>
                <w:rFonts w:ascii="Arial" w:cs="Arial" w:eastAsia="Arial" w:hAnsi="Arial"/>
                <w:sz w:val="20"/>
                <w:szCs w:val="20"/>
                <w:color w:val="auto"/>
                <w:w w:val="97"/>
              </w:rPr>
              <w:t>), shall be:</w:t>
            </w:r>
          </w:p>
        </w:tc>
      </w:tr>
      <w:tr>
        <w:trPr>
          <w:trHeight w:val="425"/>
        </w:trPr>
        <w:tc>
          <w:tcPr>
            <w:tcW w:w="680" w:type="dxa"/>
            <w:vAlign w:val="bottom"/>
          </w:tcPr>
          <w:p>
            <w:pPr>
              <w:ind w:left="280"/>
              <w:spacing w:after="0"/>
              <w:rPr>
                <w:sz w:val="20"/>
                <w:szCs w:val="20"/>
                <w:color w:val="auto"/>
              </w:rPr>
            </w:pPr>
            <w:r>
              <w:rPr>
                <w:rFonts w:ascii="Arial" w:cs="Arial" w:eastAsia="Arial" w:hAnsi="Arial"/>
                <w:sz w:val="20"/>
                <w:szCs w:val="20"/>
                <w:color w:val="auto"/>
              </w:rPr>
              <w:t>(a)</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80" w:type="dxa"/>
            <w:vAlign w:val="bottom"/>
            <w:gridSpan w:val="4"/>
          </w:tcPr>
          <w:p>
            <w:pPr>
              <w:ind w:left="300"/>
              <w:spacing w:after="0"/>
              <w:rPr>
                <w:sz w:val="20"/>
                <w:szCs w:val="20"/>
                <w:color w:val="auto"/>
              </w:rPr>
            </w:pPr>
            <w:r>
              <w:rPr>
                <w:rFonts w:ascii="Arial" w:cs="Arial" w:eastAsia="Arial" w:hAnsi="Arial"/>
                <w:sz w:val="20"/>
                <w:szCs w:val="20"/>
                <w:color w:val="auto"/>
                <w:w w:val="90"/>
              </w:rPr>
              <w:t>subject to any credits, offsets, defenses or claims which Tenant might have against any prior landlord</w:t>
            </w:r>
          </w:p>
        </w:tc>
      </w:tr>
      <w:tr>
        <w:trPr>
          <w:trHeight w:val="230"/>
        </w:trPr>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0" w:type="dxa"/>
            <w:vAlign w:val="bottom"/>
            <w:gridSpan w:val="6"/>
          </w:tcPr>
          <w:p>
            <w:pPr>
              <w:ind w:left="60"/>
              <w:spacing w:after="0"/>
              <w:rPr>
                <w:sz w:val="20"/>
                <w:szCs w:val="20"/>
                <w:color w:val="auto"/>
              </w:rPr>
            </w:pPr>
            <w:r>
              <w:rPr>
                <w:rFonts w:ascii="Arial" w:cs="Arial" w:eastAsia="Arial" w:hAnsi="Arial"/>
                <w:sz w:val="20"/>
                <w:szCs w:val="20"/>
                <w:color w:val="auto"/>
                <w:w w:val="95"/>
              </w:rPr>
              <w:t>(including Landlord) or to the payment of rent or other performance under the Lease, except for continued acts or</w:t>
            </w:r>
          </w:p>
        </w:tc>
      </w:tr>
      <w:tr>
        <w:trPr>
          <w:trHeight w:val="250"/>
        </w:trPr>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0" w:type="dxa"/>
            <w:vAlign w:val="bottom"/>
            <w:gridSpan w:val="6"/>
          </w:tcPr>
          <w:p>
            <w:pPr>
              <w:ind w:left="60"/>
              <w:spacing w:after="0"/>
              <w:rPr>
                <w:sz w:val="20"/>
                <w:szCs w:val="20"/>
                <w:color w:val="auto"/>
              </w:rPr>
            </w:pPr>
            <w:r>
              <w:rPr>
                <w:rFonts w:ascii="Arial" w:cs="Arial" w:eastAsia="Arial" w:hAnsi="Arial"/>
                <w:sz w:val="20"/>
                <w:szCs w:val="20"/>
                <w:color w:val="auto"/>
              </w:rPr>
              <w:t>omissions that continue after such succession or transfer;</w:t>
            </w:r>
          </w:p>
        </w:tc>
      </w:tr>
      <w:tr>
        <w:trPr>
          <w:trHeight w:val="425"/>
        </w:trPr>
        <w:tc>
          <w:tcPr>
            <w:tcW w:w="680" w:type="dxa"/>
            <w:vAlign w:val="bottom"/>
          </w:tcPr>
          <w:p>
            <w:pPr>
              <w:ind w:left="280"/>
              <w:spacing w:after="0"/>
              <w:rPr>
                <w:sz w:val="20"/>
                <w:szCs w:val="20"/>
                <w:color w:val="auto"/>
              </w:rPr>
            </w:pPr>
            <w:r>
              <w:rPr>
                <w:rFonts w:ascii="Arial" w:cs="Arial" w:eastAsia="Arial" w:hAnsi="Arial"/>
                <w:sz w:val="20"/>
                <w:szCs w:val="20"/>
                <w:color w:val="auto"/>
              </w:rPr>
              <w:t>(b)</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80" w:type="dxa"/>
            <w:vAlign w:val="bottom"/>
            <w:gridSpan w:val="4"/>
          </w:tcPr>
          <w:p>
            <w:pPr>
              <w:ind w:left="300"/>
              <w:spacing w:after="0"/>
              <w:rPr>
                <w:sz w:val="20"/>
                <w:szCs w:val="20"/>
                <w:color w:val="auto"/>
              </w:rPr>
            </w:pPr>
            <w:r>
              <w:rPr>
                <w:rFonts w:ascii="Arial" w:cs="Arial" w:eastAsia="Arial" w:hAnsi="Arial"/>
                <w:sz w:val="20"/>
                <w:szCs w:val="20"/>
                <w:color w:val="auto"/>
                <w:w w:val="91"/>
              </w:rPr>
              <w:t>bound by any prepayment of rent more than one month in advance and not actually delivered to the</w:t>
            </w:r>
          </w:p>
        </w:tc>
      </w:tr>
      <w:tr>
        <w:trPr>
          <w:trHeight w:val="250"/>
        </w:trPr>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0" w:type="dxa"/>
            <w:vAlign w:val="bottom"/>
            <w:gridSpan w:val="6"/>
          </w:tcPr>
          <w:p>
            <w:pPr>
              <w:ind w:left="60"/>
              <w:spacing w:after="0"/>
              <w:rPr>
                <w:sz w:val="20"/>
                <w:szCs w:val="20"/>
                <w:color w:val="auto"/>
              </w:rPr>
            </w:pPr>
            <w:r>
              <w:rPr>
                <w:rFonts w:ascii="Arial" w:cs="Arial" w:eastAsia="Arial" w:hAnsi="Arial"/>
                <w:sz w:val="20"/>
                <w:szCs w:val="20"/>
                <w:color w:val="auto"/>
              </w:rPr>
              <w:t>Successor;</w:t>
            </w:r>
          </w:p>
        </w:tc>
      </w:tr>
      <w:tr>
        <w:trPr>
          <w:trHeight w:val="425"/>
        </w:trPr>
        <w:tc>
          <w:tcPr>
            <w:tcW w:w="680" w:type="dxa"/>
            <w:vAlign w:val="bottom"/>
          </w:tcPr>
          <w:p>
            <w:pPr>
              <w:ind w:left="280"/>
              <w:spacing w:after="0"/>
              <w:rPr>
                <w:sz w:val="20"/>
                <w:szCs w:val="20"/>
                <w:color w:val="auto"/>
              </w:rPr>
            </w:pPr>
            <w:r>
              <w:rPr>
                <w:rFonts w:ascii="Arial" w:cs="Arial" w:eastAsia="Arial" w:hAnsi="Arial"/>
                <w:sz w:val="20"/>
                <w:szCs w:val="20"/>
                <w:color w:val="auto"/>
              </w:rPr>
              <w:t>(c)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80" w:type="dxa"/>
            <w:vAlign w:val="bottom"/>
            <w:gridSpan w:val="4"/>
          </w:tcPr>
          <w:p>
            <w:pPr>
              <w:ind w:left="300"/>
              <w:spacing w:after="0"/>
              <w:rPr>
                <w:sz w:val="20"/>
                <w:szCs w:val="20"/>
                <w:color w:val="auto"/>
              </w:rPr>
            </w:pPr>
            <w:r>
              <w:rPr>
                <w:rFonts w:ascii="Arial" w:cs="Arial" w:eastAsia="Arial" w:hAnsi="Arial"/>
                <w:sz w:val="20"/>
                <w:szCs w:val="20"/>
                <w:color w:val="auto"/>
                <w:w w:val="92"/>
              </w:rPr>
              <w:t>liable for any act or omission of any prior landlord (including Landlord), except for continued acts or</w:t>
            </w:r>
          </w:p>
        </w:tc>
      </w:tr>
      <w:tr>
        <w:trPr>
          <w:trHeight w:val="250"/>
        </w:trPr>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0" w:type="dxa"/>
            <w:vAlign w:val="bottom"/>
            <w:gridSpan w:val="6"/>
          </w:tcPr>
          <w:p>
            <w:pPr>
              <w:ind w:left="60"/>
              <w:spacing w:after="0"/>
              <w:rPr>
                <w:sz w:val="20"/>
                <w:szCs w:val="20"/>
                <w:color w:val="auto"/>
              </w:rPr>
            </w:pPr>
            <w:r>
              <w:rPr>
                <w:rFonts w:ascii="Arial" w:cs="Arial" w:eastAsia="Arial" w:hAnsi="Arial"/>
                <w:sz w:val="20"/>
                <w:szCs w:val="20"/>
                <w:color w:val="auto"/>
              </w:rPr>
              <w:t>omissions to the extent continuing after such succession or transfer;</w:t>
            </w:r>
          </w:p>
        </w:tc>
      </w:tr>
      <w:tr>
        <w:trPr>
          <w:trHeight w:val="425"/>
        </w:trPr>
        <w:tc>
          <w:tcPr>
            <w:tcW w:w="680" w:type="dxa"/>
            <w:vAlign w:val="bottom"/>
          </w:tcPr>
          <w:p>
            <w:pPr>
              <w:ind w:left="280"/>
              <w:spacing w:after="0"/>
              <w:rPr>
                <w:sz w:val="20"/>
                <w:szCs w:val="20"/>
                <w:color w:val="auto"/>
              </w:rPr>
            </w:pPr>
            <w:r>
              <w:rPr>
                <w:rFonts w:ascii="Arial" w:cs="Arial" w:eastAsia="Arial" w:hAnsi="Arial"/>
                <w:sz w:val="20"/>
                <w:szCs w:val="20"/>
                <w:color w:val="auto"/>
              </w:rPr>
              <w:t>(d)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80" w:type="dxa"/>
            <w:vAlign w:val="bottom"/>
            <w:gridSpan w:val="4"/>
          </w:tcPr>
          <w:p>
            <w:pPr>
              <w:ind w:left="300"/>
              <w:spacing w:after="0"/>
              <w:rPr>
                <w:sz w:val="20"/>
                <w:szCs w:val="20"/>
                <w:color w:val="auto"/>
              </w:rPr>
            </w:pPr>
            <w:r>
              <w:rPr>
                <w:rFonts w:ascii="Arial" w:cs="Arial" w:eastAsia="Arial" w:hAnsi="Arial"/>
                <w:sz w:val="20"/>
                <w:szCs w:val="20"/>
                <w:color w:val="auto"/>
                <w:w w:val="90"/>
              </w:rPr>
              <w:t>required to account or be liable for any security deposits, or any other monies owing by or on deposit</w:t>
            </w:r>
          </w:p>
        </w:tc>
      </w:tr>
      <w:tr>
        <w:trPr>
          <w:trHeight w:val="250"/>
        </w:trPr>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0" w:type="dxa"/>
            <w:vAlign w:val="bottom"/>
            <w:gridSpan w:val="6"/>
          </w:tcPr>
          <w:p>
            <w:pPr>
              <w:ind w:left="60"/>
              <w:spacing w:after="0"/>
              <w:rPr>
                <w:sz w:val="20"/>
                <w:szCs w:val="20"/>
                <w:color w:val="auto"/>
              </w:rPr>
            </w:pPr>
            <w:r>
              <w:rPr>
                <w:rFonts w:ascii="Arial" w:cs="Arial" w:eastAsia="Arial" w:hAnsi="Arial"/>
                <w:sz w:val="20"/>
                <w:szCs w:val="20"/>
                <w:color w:val="auto"/>
                <w:w w:val="92"/>
              </w:rPr>
              <w:t>with any prior landlord (including Landlord) to the credit of Tenant, which are not actually delivered to the Successor;</w:t>
            </w:r>
          </w:p>
        </w:tc>
      </w:tr>
      <w:tr>
        <w:trPr>
          <w:trHeight w:val="445"/>
        </w:trPr>
        <w:tc>
          <w:tcPr>
            <w:tcW w:w="680" w:type="dxa"/>
            <w:vAlign w:val="bottom"/>
          </w:tcPr>
          <w:p>
            <w:pPr>
              <w:ind w:left="280"/>
              <w:spacing w:after="0"/>
              <w:rPr>
                <w:sz w:val="20"/>
                <w:szCs w:val="20"/>
                <w:color w:val="auto"/>
              </w:rPr>
            </w:pPr>
            <w:r>
              <w:rPr>
                <w:rFonts w:ascii="Arial" w:cs="Arial" w:eastAsia="Arial" w:hAnsi="Arial"/>
                <w:sz w:val="20"/>
                <w:szCs w:val="20"/>
                <w:color w:val="auto"/>
              </w:rPr>
              <w:t>(e)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80" w:type="dxa"/>
            <w:vAlign w:val="bottom"/>
            <w:gridSpan w:val="4"/>
          </w:tcPr>
          <w:p>
            <w:pPr>
              <w:ind w:left="300"/>
              <w:spacing w:after="0"/>
              <w:rPr>
                <w:sz w:val="20"/>
                <w:szCs w:val="20"/>
                <w:color w:val="auto"/>
              </w:rPr>
            </w:pPr>
            <w:r>
              <w:rPr>
                <w:rFonts w:ascii="Arial" w:cs="Arial" w:eastAsia="Arial" w:hAnsi="Arial"/>
                <w:sz w:val="20"/>
                <w:szCs w:val="20"/>
                <w:color w:val="auto"/>
              </w:rPr>
              <w:t>bound by any amendment or modification of the Lease made without its consent;</w:t>
            </w:r>
          </w:p>
        </w:tc>
      </w:tr>
      <w:tr>
        <w:trPr>
          <w:trHeight w:val="425"/>
        </w:trPr>
        <w:tc>
          <w:tcPr>
            <w:tcW w:w="680" w:type="dxa"/>
            <w:vAlign w:val="bottom"/>
          </w:tcPr>
          <w:p>
            <w:pPr>
              <w:ind w:left="280"/>
              <w:spacing w:after="0"/>
              <w:rPr>
                <w:sz w:val="20"/>
                <w:szCs w:val="20"/>
                <w:color w:val="auto"/>
              </w:rPr>
            </w:pPr>
            <w:r>
              <w:rPr>
                <w:rFonts w:ascii="Arial" w:cs="Arial" w:eastAsia="Arial" w:hAnsi="Arial"/>
                <w:sz w:val="20"/>
                <w:szCs w:val="20"/>
                <w:color w:val="auto"/>
              </w:rPr>
              <w:t>(f)</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80" w:type="dxa"/>
            <w:vAlign w:val="bottom"/>
            <w:gridSpan w:val="4"/>
          </w:tcPr>
          <w:p>
            <w:pPr>
              <w:ind w:left="300"/>
              <w:spacing w:after="0"/>
              <w:rPr>
                <w:sz w:val="20"/>
                <w:szCs w:val="20"/>
                <w:color w:val="auto"/>
              </w:rPr>
            </w:pPr>
            <w:r>
              <w:rPr>
                <w:rFonts w:ascii="Arial" w:cs="Arial" w:eastAsia="Arial" w:hAnsi="Arial"/>
                <w:sz w:val="20"/>
                <w:szCs w:val="20"/>
                <w:color w:val="auto"/>
              </w:rPr>
              <w:t>bound by any covenant to undertake or complete, or to make any contribution toward, any</w:t>
            </w:r>
          </w:p>
        </w:tc>
      </w:tr>
      <w:tr>
        <w:trPr>
          <w:trHeight w:val="250"/>
        </w:trPr>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0" w:type="dxa"/>
            <w:vAlign w:val="bottom"/>
            <w:gridSpan w:val="6"/>
          </w:tcPr>
          <w:p>
            <w:pPr>
              <w:ind w:left="60"/>
              <w:spacing w:after="0"/>
              <w:rPr>
                <w:sz w:val="20"/>
                <w:szCs w:val="20"/>
                <w:color w:val="auto"/>
              </w:rPr>
            </w:pPr>
            <w:r>
              <w:rPr>
                <w:rFonts w:ascii="Arial" w:cs="Arial" w:eastAsia="Arial" w:hAnsi="Arial"/>
                <w:sz w:val="20"/>
                <w:szCs w:val="20"/>
                <w:color w:val="auto"/>
              </w:rPr>
              <w:t>improvement to or expansion or rehabilitation of the Leased Premises, except as required by the Lease; or</w:t>
            </w:r>
          </w:p>
        </w:tc>
      </w:tr>
      <w:tr>
        <w:trPr>
          <w:trHeight w:val="425"/>
        </w:trPr>
        <w:tc>
          <w:tcPr>
            <w:tcW w:w="680" w:type="dxa"/>
            <w:vAlign w:val="bottom"/>
          </w:tcPr>
          <w:p>
            <w:pPr>
              <w:ind w:left="280"/>
              <w:spacing w:after="0"/>
              <w:rPr>
                <w:sz w:val="20"/>
                <w:szCs w:val="20"/>
                <w:color w:val="auto"/>
              </w:rPr>
            </w:pPr>
            <w:r>
              <w:rPr>
                <w:rFonts w:ascii="Arial" w:cs="Arial" w:eastAsia="Arial" w:hAnsi="Arial"/>
                <w:sz w:val="20"/>
                <w:szCs w:val="20"/>
                <w:color w:val="auto"/>
              </w:rPr>
              <w:t>(g)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80" w:type="dxa"/>
            <w:vAlign w:val="bottom"/>
            <w:gridSpan w:val="4"/>
          </w:tcPr>
          <w:p>
            <w:pPr>
              <w:ind w:left="300"/>
              <w:spacing w:after="0"/>
              <w:rPr>
                <w:sz w:val="20"/>
                <w:szCs w:val="20"/>
                <w:color w:val="auto"/>
              </w:rPr>
            </w:pPr>
            <w:r>
              <w:rPr>
                <w:rFonts w:ascii="Arial" w:cs="Arial" w:eastAsia="Arial" w:hAnsi="Arial"/>
                <w:sz w:val="20"/>
                <w:szCs w:val="20"/>
                <w:color w:val="auto"/>
                <w:w w:val="90"/>
              </w:rPr>
              <w:t>liable for any payment to Tenant of any sums, or the granting to Tenant of any credit, in the nature of</w:t>
            </w:r>
          </w:p>
        </w:tc>
      </w:tr>
      <w:tr>
        <w:trPr>
          <w:trHeight w:val="230"/>
        </w:trPr>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0" w:type="dxa"/>
            <w:vAlign w:val="bottom"/>
            <w:gridSpan w:val="6"/>
          </w:tcPr>
          <w:p>
            <w:pPr>
              <w:ind w:left="60"/>
              <w:spacing w:after="0"/>
              <w:rPr>
                <w:sz w:val="20"/>
                <w:szCs w:val="20"/>
                <w:color w:val="auto"/>
              </w:rPr>
            </w:pPr>
            <w:r>
              <w:rPr>
                <w:rFonts w:ascii="Arial" w:cs="Arial" w:eastAsia="Arial" w:hAnsi="Arial"/>
                <w:sz w:val="20"/>
                <w:szCs w:val="20"/>
                <w:color w:val="auto"/>
                <w:w w:val="94"/>
              </w:rPr>
              <w:t>a contribution towards the cost of preparing, furnishing or moving into the Leased Premises or any portion thereof,</w:t>
            </w:r>
          </w:p>
        </w:tc>
      </w:tr>
      <w:tr>
        <w:trPr>
          <w:trHeight w:val="250"/>
        </w:trPr>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0" w:type="dxa"/>
            <w:vAlign w:val="bottom"/>
            <w:gridSpan w:val="6"/>
          </w:tcPr>
          <w:p>
            <w:pPr>
              <w:ind w:left="60"/>
              <w:spacing w:after="0"/>
              <w:rPr>
                <w:sz w:val="20"/>
                <w:szCs w:val="20"/>
                <w:color w:val="auto"/>
              </w:rPr>
            </w:pPr>
            <w:r>
              <w:rPr>
                <w:rFonts w:ascii="Arial" w:cs="Arial" w:eastAsia="Arial" w:hAnsi="Arial"/>
                <w:sz w:val="20"/>
                <w:szCs w:val="20"/>
                <w:color w:val="auto"/>
              </w:rPr>
              <w:t>except as required by the Lease.</w:t>
            </w:r>
          </w:p>
        </w:tc>
      </w:tr>
      <w:tr>
        <w:trPr>
          <w:trHeight w:val="401"/>
        </w:trPr>
        <w:tc>
          <w:tcPr>
            <w:tcW w:w="680" w:type="dxa"/>
            <w:vAlign w:val="bottom"/>
          </w:tcPr>
          <w:p>
            <w:pPr>
              <w:ind w:left="80"/>
              <w:spacing w:after="0"/>
              <w:rPr>
                <w:sz w:val="20"/>
                <w:szCs w:val="20"/>
                <w:color w:val="auto"/>
              </w:rPr>
            </w:pPr>
            <w:r>
              <w:rPr>
                <w:rFonts w:ascii="Arial" w:cs="Arial" w:eastAsia="Arial" w:hAnsi="Arial"/>
                <w:sz w:val="20"/>
                <w:szCs w:val="20"/>
                <w:color w:val="auto"/>
              </w:rPr>
              <w:t>6.</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Arial" w:cs="Arial" w:eastAsia="Arial" w:hAnsi="Arial"/>
                <w:sz w:val="20"/>
                <w:szCs w:val="20"/>
                <w:b w:val="1"/>
                <w:bCs w:val="1"/>
                <w:color w:val="auto"/>
                <w:w w:val="94"/>
              </w:rPr>
              <w:t>Further Subordination</w:t>
            </w:r>
            <w:r>
              <w:rPr>
                <w:rFonts w:ascii="Arial" w:cs="Arial" w:eastAsia="Arial" w:hAnsi="Arial"/>
                <w:sz w:val="20"/>
                <w:szCs w:val="20"/>
                <w:color w:val="auto"/>
                <w:w w:val="94"/>
              </w:rPr>
              <w:t>.  Tenant covenants and agrees not to subordinate the Lease to any mortgage or other lien</w:t>
            </w: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r>
      <w:tr>
        <w:trPr>
          <w:trHeight w:val="233"/>
        </w:trPr>
        <w:tc>
          <w:tcPr>
            <w:tcW w:w="680" w:type="dxa"/>
            <w:vAlign w:val="bottom"/>
          </w:tcPr>
          <w:p>
            <w:pPr>
              <w:spacing w:after="0"/>
              <w:rPr>
                <w:sz w:val="20"/>
                <w:szCs w:val="20"/>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w w:val="95"/>
              </w:rPr>
              <w:t>encumbering the Premises at any time, other than the Mortgage and any replacement, renewal, consolidation, substitution,</w:t>
            </w:r>
          </w:p>
        </w:tc>
      </w:tr>
      <w:tr>
        <w:trPr>
          <w:trHeight w:val="250"/>
        </w:trPr>
        <w:tc>
          <w:tcPr>
            <w:tcW w:w="680" w:type="dxa"/>
            <w:vAlign w:val="bottom"/>
          </w:tcPr>
          <w:p>
            <w:pPr>
              <w:spacing w:after="0"/>
              <w:rPr>
                <w:sz w:val="21"/>
                <w:szCs w:val="21"/>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w w:val="91"/>
              </w:rPr>
              <w:t>extension, modification, spreader and splitter thereof, until all sums due under the Loan Documents have been finally paid in full.</w:t>
            </w:r>
          </w:p>
        </w:tc>
      </w:tr>
      <w:tr>
        <w:trPr>
          <w:trHeight w:val="401"/>
        </w:trPr>
        <w:tc>
          <w:tcPr>
            <w:tcW w:w="680" w:type="dxa"/>
            <w:vAlign w:val="bottom"/>
          </w:tcPr>
          <w:p>
            <w:pPr>
              <w:ind w:left="80"/>
              <w:spacing w:after="0"/>
              <w:rPr>
                <w:sz w:val="20"/>
                <w:szCs w:val="20"/>
                <w:color w:val="auto"/>
              </w:rPr>
            </w:pPr>
            <w:r>
              <w:rPr>
                <w:rFonts w:ascii="Arial" w:cs="Arial" w:eastAsia="Arial" w:hAnsi="Arial"/>
                <w:sz w:val="20"/>
                <w:szCs w:val="20"/>
                <w:color w:val="auto"/>
              </w:rPr>
              <w:t>7.</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Arial" w:cs="Arial" w:eastAsia="Arial" w:hAnsi="Arial"/>
                <w:sz w:val="20"/>
                <w:szCs w:val="20"/>
                <w:b w:val="1"/>
                <w:bCs w:val="1"/>
                <w:color w:val="auto"/>
                <w:w w:val="92"/>
              </w:rPr>
              <w:t>Notice of Default by Landlord</w:t>
            </w:r>
            <w:r>
              <w:rPr>
                <w:rFonts w:ascii="Arial" w:cs="Arial" w:eastAsia="Arial" w:hAnsi="Arial"/>
                <w:sz w:val="20"/>
                <w:szCs w:val="20"/>
                <w:color w:val="auto"/>
                <w:w w:val="92"/>
              </w:rPr>
              <w:t>. Tenant covenants and agrees that Tenant will notify Bank in writing of any default by</w:t>
            </w: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40" w:type="dxa"/>
            <w:vAlign w:val="bottom"/>
            <w:gridSpan w:val="3"/>
            <w:shd w:val="clear" w:color="auto" w:fill="000000"/>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r>
      <w:tr>
        <w:trPr>
          <w:trHeight w:val="233"/>
        </w:trPr>
        <w:tc>
          <w:tcPr>
            <w:tcW w:w="680" w:type="dxa"/>
            <w:vAlign w:val="bottom"/>
          </w:tcPr>
          <w:p>
            <w:pPr>
              <w:spacing w:after="0"/>
              <w:rPr>
                <w:sz w:val="20"/>
                <w:szCs w:val="20"/>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w w:val="90"/>
              </w:rPr>
              <w:t>Landlord under the Lease which would entitle Tenant to cancel the Lease or abate or set off the rent or any additional rent payable</w:t>
            </w:r>
          </w:p>
        </w:tc>
      </w:tr>
      <w:tr>
        <w:trPr>
          <w:trHeight w:val="230"/>
        </w:trPr>
        <w:tc>
          <w:tcPr>
            <w:tcW w:w="680" w:type="dxa"/>
            <w:vAlign w:val="bottom"/>
          </w:tcPr>
          <w:p>
            <w:pPr>
              <w:spacing w:after="0"/>
              <w:rPr>
                <w:sz w:val="19"/>
                <w:szCs w:val="19"/>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w w:val="91"/>
              </w:rPr>
              <w:t>thereunder, and agrees that notwithstanding any provisions of the Lease, no notice by Tenant of any such cancellation, set off or</w:t>
            </w:r>
          </w:p>
        </w:tc>
      </w:tr>
      <w:tr>
        <w:trPr>
          <w:trHeight w:val="230"/>
        </w:trPr>
        <w:tc>
          <w:tcPr>
            <w:tcW w:w="680" w:type="dxa"/>
            <w:vAlign w:val="bottom"/>
          </w:tcPr>
          <w:p>
            <w:pPr>
              <w:spacing w:after="0"/>
              <w:rPr>
                <w:sz w:val="19"/>
                <w:szCs w:val="19"/>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w w:val="91"/>
              </w:rPr>
              <w:t>abatement shall be effective unless Bank has received notice as aforesaid, and (i) has failed within 30 days of its receipt of such</w:t>
            </w:r>
          </w:p>
        </w:tc>
      </w:tr>
      <w:tr>
        <w:trPr>
          <w:trHeight w:val="250"/>
        </w:trPr>
        <w:tc>
          <w:tcPr>
            <w:tcW w:w="680" w:type="dxa"/>
            <w:vAlign w:val="bottom"/>
          </w:tcPr>
          <w:p>
            <w:pPr>
              <w:spacing w:after="0"/>
              <w:rPr>
                <w:sz w:val="21"/>
                <w:szCs w:val="21"/>
                <w:color w:val="auto"/>
              </w:rPr>
            </w:pPr>
          </w:p>
        </w:tc>
        <w:tc>
          <w:tcPr>
            <w:tcW w:w="10580" w:type="dxa"/>
            <w:vAlign w:val="bottom"/>
            <w:gridSpan w:val="8"/>
          </w:tcPr>
          <w:p>
            <w:pPr>
              <w:ind w:left="180"/>
              <w:spacing w:after="0"/>
              <w:rPr>
                <w:sz w:val="20"/>
                <w:szCs w:val="20"/>
                <w:color w:val="auto"/>
              </w:rPr>
            </w:pPr>
            <w:r>
              <w:rPr>
                <w:rFonts w:ascii="Arial" w:cs="Arial" w:eastAsia="Arial" w:hAnsi="Arial"/>
                <w:sz w:val="20"/>
                <w:szCs w:val="20"/>
                <w:color w:val="auto"/>
              </w:rPr>
              <w:t>notice to cure the default, or (ii) if the default cannot be cured within 30 days, Bank has failed to commence and</w:t>
            </w:r>
          </w:p>
        </w:tc>
      </w:tr>
      <w:tr>
        <w:trPr>
          <w:trHeight w:val="617"/>
        </w:trPr>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80" w:type="dxa"/>
            <w:vAlign w:val="bottom"/>
            <w:gridSpan w:val="7"/>
          </w:tcPr>
          <w:p>
            <w:pPr>
              <w:spacing w:after="0"/>
              <w:rPr>
                <w:sz w:val="20"/>
                <w:szCs w:val="20"/>
                <w:color w:val="auto"/>
              </w:rPr>
            </w:pPr>
            <w:r>
              <w:rPr>
                <w:rFonts w:ascii="Arial" w:cs="Arial" w:eastAsia="Arial" w:hAnsi="Arial"/>
                <w:sz w:val="20"/>
                <w:szCs w:val="20"/>
                <w:color w:val="auto"/>
              </w:rPr>
              <w:t>EXHIBIT M</w:t>
            </w: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54"/>
        </w:trPr>
        <w:tc>
          <w:tcPr>
            <w:tcW w:w="680" w:type="dxa"/>
            <w:vAlign w:val="bottom"/>
          </w:tcPr>
          <w:p>
            <w:pPr>
              <w:spacing w:after="0"/>
              <w:rPr>
                <w:sz w:val="22"/>
                <w:szCs w:val="22"/>
                <w:color w:val="auto"/>
              </w:rPr>
            </w:pPr>
          </w:p>
        </w:tc>
        <w:tc>
          <w:tcPr>
            <w:tcW w:w="980" w:type="dxa"/>
            <w:vAlign w:val="bottom"/>
            <w:gridSpan w:val="2"/>
          </w:tcPr>
          <w:p>
            <w:pPr>
              <w:ind w:left="200"/>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60" w:type="dxa"/>
            <w:vAlign w:val="bottom"/>
          </w:tcPr>
          <w:p>
            <w:pPr>
              <w:spacing w:after="0"/>
              <w:rPr>
                <w:sz w:val="22"/>
                <w:szCs w:val="22"/>
                <w:color w:val="auto"/>
              </w:rPr>
            </w:pPr>
          </w:p>
        </w:tc>
      </w:tr>
      <w:tr>
        <w:trPr>
          <w:trHeight w:val="111"/>
        </w:trPr>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257" w:name="page258"/>
    <w:bookmarkEnd w:id="257"/>
    <w:p>
      <w:pPr>
        <w:ind w:left="787" w:firstLine="798"/>
        <w:spacing w:after="0" w:line="316" w:lineRule="auto"/>
        <w:rPr>
          <w:sz w:val="20"/>
          <w:szCs w:val="20"/>
          <w:color w:val="auto"/>
        </w:rPr>
      </w:pPr>
      <w:r>
        <w:rPr>
          <w:rFonts w:ascii="Arial" w:cs="Arial" w:eastAsia="Arial" w:hAnsi="Arial"/>
          <w:sz w:val="18"/>
          <w:szCs w:val="18"/>
          <w:color w:val="auto"/>
        </w:rPr>
        <w:t>diligently prosecute the curing of the default which gave rise to such right of cancellation, set off or abatement (provided that in no event shall Bank shall have any obligation to cure any such default) to completion within an additional 90 day period.</w:t>
      </w:r>
    </w:p>
    <w:p>
      <w:pPr>
        <w:spacing w:after="0" w:line="124" w:lineRule="exact"/>
        <w:rPr>
          <w:sz w:val="20"/>
          <w:szCs w:val="20"/>
          <w:color w:val="auto"/>
        </w:rPr>
      </w:pPr>
    </w:p>
    <w:p>
      <w:pPr>
        <w:jc w:val="both"/>
        <w:ind w:left="787" w:hanging="784"/>
        <w:spacing w:after="0" w:line="269" w:lineRule="auto"/>
        <w:tabs>
          <w:tab w:leader="none" w:pos="766"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8"/>
          <w:szCs w:val="18"/>
          <w:b w:val="1"/>
          <w:bCs w:val="1"/>
          <w:u w:val="single" w:color="auto"/>
          <w:color w:val="auto"/>
        </w:rPr>
        <w:t>Attornment</w:t>
      </w:r>
      <w:r>
        <w:rPr>
          <w:rFonts w:ascii="Arial" w:cs="Arial" w:eastAsia="Arial" w:hAnsi="Arial"/>
          <w:sz w:val="18"/>
          <w:szCs w:val="18"/>
          <w:color w:val="auto"/>
        </w:rPr>
        <w:t>. If the interest of Landlord under the Lease shall be transferred by reason of foreclosure or other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proceedings for enforcement of the Mortgage, pursuant to the taking of a deed in lieu of foreclosure (or similar device) or as a result of the exercise of any power of sale under the Mortgage, Tenant shall be bound to the Successor and, except as provided herein, the Successor shall be bound to Tenant, under all of the terms, covenants and conditions of the Lease for the balance of the term thereof remaining, with the same force and effect as if the Successor were the landlord, and Tenant does hereby (i) agree to attorn to the Successor as its landlord, (ii) affirm its obligations under the Lease, and (iii) agree to make payments when due of all sums due under the Lease to the Successor, said attornment, affirmation and agreement to be effective and self-operative upon Tenant and the Successor without the execution of any further instruments. Tenant shall, at the request of Successor, execute, acknowledge and deliver such further commercially reasonable instruments evidencing such attornment as are reasonably desired by the Successor. Tenant waives the provisions of any statute or rule of law now or hereafter in effect that may give or purport to give it any right or election to terminate or otherwise adversely affect the Lease or the obligations of Tenant thereunder by reason of any foreclosure or similar proceeding. Anything in the Lease to the contrary notwithstanding, in the event that a Successor shall succeed to the interests of Landlord under the Lease, the Successor shall have no obligation, nor incur any liability, beyond its then interest, if any, in the Premises and Tenant shall look exclusively to such interest of the Successor, if any, in the Premises for the payment and discharge of any obligations imposed upon the Successor hereunder or under the Lease. Tenant agrees that with respect to any judgment which may be obtained by Tenant against the Successor, Tenant shall look solely to the estate or interest owned by the Successor in the Premises and Tenant will not collect or attempt to collect any such judgment out of any other assets of the Successor.</w:t>
      </w:r>
    </w:p>
    <w:p>
      <w:pPr>
        <w:spacing w:after="0" w:line="171" w:lineRule="exact"/>
        <w:rPr>
          <w:sz w:val="20"/>
          <w:szCs w:val="20"/>
          <w:color w:val="auto"/>
        </w:rPr>
      </w:pPr>
    </w:p>
    <w:p>
      <w:pPr>
        <w:jc w:val="both"/>
        <w:ind w:left="787" w:hanging="784"/>
        <w:spacing w:after="0" w:line="280" w:lineRule="auto"/>
        <w:tabs>
          <w:tab w:leader="none" w:pos="766"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8"/>
          <w:szCs w:val="18"/>
          <w:b w:val="1"/>
          <w:bCs w:val="1"/>
          <w:u w:val="single" w:color="auto"/>
          <w:color w:val="auto"/>
        </w:rPr>
        <w:t>Non-Disturbance</w:t>
      </w:r>
      <w:r>
        <w:rPr>
          <w:rFonts w:ascii="Arial" w:cs="Arial" w:eastAsia="Arial" w:hAnsi="Arial"/>
          <w:sz w:val="18"/>
          <w:szCs w:val="18"/>
          <w:color w:val="auto"/>
        </w:rPr>
        <w:t>. As long as no event of default has occurred and is continuing under the Lease, Bank shall not name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Tenant as a party defendant to any action for foreclosure or other enforcement of the Mortgage (unless required by law), nor shall the Lease be terminated by Bank in connection with, or by reasons of, foreclosure or other proceedings for the enforcement of the Mortgage, or by reason of a transfer of Landlord’s interest under the Lease pursuant to the taking of a deed in lieu of foreclosure (or similar device), nor shall Tenant’s use or possession of the Leased Premises be interfered with by Bank or any Successor.</w:t>
      </w:r>
    </w:p>
    <w:p>
      <w:pPr>
        <w:spacing w:after="0" w:line="156" w:lineRule="exact"/>
        <w:rPr>
          <w:sz w:val="20"/>
          <w:szCs w:val="20"/>
          <w:color w:val="auto"/>
        </w:rPr>
      </w:pPr>
    </w:p>
    <w:p>
      <w:pPr>
        <w:jc w:val="both"/>
        <w:ind w:left="787" w:hanging="787"/>
        <w:spacing w:after="0" w:line="248" w:lineRule="auto"/>
        <w:tabs>
          <w:tab w:leader="none" w:pos="1585" w:val="left"/>
        </w:tabs>
        <w:numPr>
          <w:ilvl w:val="0"/>
          <w:numId w:val="220"/>
        </w:numPr>
        <w:rPr>
          <w:rFonts w:ascii="Arial" w:cs="Arial" w:eastAsia="Arial" w:hAnsi="Arial"/>
          <w:sz w:val="20"/>
          <w:szCs w:val="20"/>
          <w:color w:val="auto"/>
        </w:rPr>
      </w:pPr>
      <w:r>
        <w:rPr>
          <w:rFonts w:ascii="Arial" w:cs="Arial" w:eastAsia="Arial" w:hAnsi="Arial"/>
          <w:sz w:val="20"/>
          <w:szCs w:val="20"/>
          <w:b w:val="1"/>
          <w:bCs w:val="1"/>
          <w:u w:val="single" w:color="auto"/>
          <w:color w:val="auto"/>
        </w:rPr>
        <w:t>Lease Requirements</w:t>
      </w:r>
      <w:r>
        <w:rPr>
          <w:rFonts w:ascii="Arial" w:cs="Arial" w:eastAsia="Arial" w:hAnsi="Arial"/>
          <w:sz w:val="20"/>
          <w:szCs w:val="20"/>
          <w:color w:val="auto"/>
        </w:rPr>
        <w:t>. Tenant agrees that this Agreement satisfies any condition or requirement in the Lease, if any,</w:t>
      </w:r>
      <w:r>
        <w:rPr>
          <w:rFonts w:ascii="Arial" w:cs="Arial" w:eastAsia="Arial" w:hAnsi="Arial"/>
          <w:sz w:val="20"/>
          <w:szCs w:val="20"/>
          <w:b w:val="1"/>
          <w:bCs w:val="1"/>
          <w:color w:val="auto"/>
        </w:rPr>
        <w:t xml:space="preserve"> </w:t>
      </w:r>
      <w:r>
        <w:rPr>
          <w:rFonts w:ascii="Arial" w:cs="Arial" w:eastAsia="Arial" w:hAnsi="Arial"/>
          <w:sz w:val="20"/>
          <w:szCs w:val="20"/>
          <w:color w:val="auto"/>
        </w:rPr>
        <w:t>relating to the granting of a Non-Disturbance agreement with respect to the Mortgage. Tenant further agrees that in the event there is any inconsistency between the terms and provisions hereof and the terms and provisions of the Lease, the terms and provisions hereof shall be controlling as between Bank and Tenant.</w:t>
      </w:r>
    </w:p>
    <w:p>
      <w:pPr>
        <w:spacing w:after="0" w:line="183" w:lineRule="exact"/>
        <w:rPr>
          <w:sz w:val="20"/>
          <w:szCs w:val="20"/>
          <w:color w:val="auto"/>
        </w:rPr>
      </w:pPr>
    </w:p>
    <w:p>
      <w:pPr>
        <w:ind w:left="787" w:hanging="787"/>
        <w:spacing w:after="0" w:line="267" w:lineRule="auto"/>
        <w:tabs>
          <w:tab w:leader="none" w:pos="1585" w:val="left"/>
        </w:tabs>
        <w:numPr>
          <w:ilvl w:val="0"/>
          <w:numId w:val="221"/>
        </w:numPr>
        <w:rPr>
          <w:rFonts w:ascii="Arial" w:cs="Arial" w:eastAsia="Arial" w:hAnsi="Arial"/>
          <w:sz w:val="20"/>
          <w:szCs w:val="20"/>
          <w:color w:val="auto"/>
        </w:rPr>
      </w:pPr>
      <w:r>
        <w:rPr>
          <w:rFonts w:ascii="Arial" w:cs="Arial" w:eastAsia="Arial" w:hAnsi="Arial"/>
          <w:sz w:val="20"/>
          <w:szCs w:val="20"/>
          <w:b w:val="1"/>
          <w:bCs w:val="1"/>
          <w:u w:val="single" w:color="auto"/>
          <w:color w:val="auto"/>
        </w:rPr>
        <w:t>Modification</w:t>
      </w:r>
      <w:r>
        <w:rPr>
          <w:rFonts w:ascii="Arial" w:cs="Arial" w:eastAsia="Arial" w:hAnsi="Arial"/>
          <w:sz w:val="20"/>
          <w:szCs w:val="20"/>
          <w:color w:val="auto"/>
        </w:rPr>
        <w:t>. This Agreement may not be modified orally or in any other manner other than by an agreement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signed by the parties hereto or their respective successors in interest.</w:t>
      </w:r>
    </w:p>
    <w:p>
      <w:pPr>
        <w:spacing w:after="0" w:line="163" w:lineRule="exact"/>
        <w:rPr>
          <w:sz w:val="20"/>
          <w:szCs w:val="20"/>
          <w:color w:val="auto"/>
        </w:rPr>
      </w:pPr>
    </w:p>
    <w:p>
      <w:pPr>
        <w:jc w:val="both"/>
        <w:ind w:left="787" w:hanging="787"/>
        <w:spacing w:after="0" w:line="248" w:lineRule="auto"/>
        <w:tabs>
          <w:tab w:leader="none" w:pos="1585" w:val="left"/>
        </w:tabs>
        <w:numPr>
          <w:ilvl w:val="0"/>
          <w:numId w:val="222"/>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Any notice given pursuant to this Agreement shall be valid only if given in writing, and shall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sufficiently given if sent by hand-delivery, recognized overnight courier services or postpaid, registered or certificate mail, return receipt requested, and shall be effective upon delivery or refusal thereof. Notice to the parties to this Agreement shall be addressed as follows:</w:t>
      </w:r>
    </w:p>
    <w:p>
      <w:pPr>
        <w:spacing w:after="0" w:line="200" w:lineRule="exact"/>
        <w:rPr>
          <w:sz w:val="20"/>
          <w:szCs w:val="20"/>
          <w:color w:val="auto"/>
        </w:rPr>
      </w:pPr>
    </w:p>
    <w:p>
      <w:pPr>
        <w:spacing w:after="0" w:line="205" w:lineRule="exact"/>
        <w:rPr>
          <w:sz w:val="20"/>
          <w:szCs w:val="20"/>
          <w:color w:val="auto"/>
        </w:rPr>
      </w:pPr>
    </w:p>
    <w:p>
      <w:pPr>
        <w:ind w:left="807"/>
        <w:spacing w:after="0"/>
        <w:rPr>
          <w:sz w:val="20"/>
          <w:szCs w:val="20"/>
          <w:color w:val="auto"/>
        </w:rPr>
      </w:pPr>
      <w:r>
        <w:rPr>
          <w:rFonts w:ascii="Arial" w:cs="Arial" w:eastAsia="Arial" w:hAnsi="Arial"/>
          <w:sz w:val="20"/>
          <w:szCs w:val="20"/>
          <w:u w:val="single" w:color="auto"/>
          <w:color w:val="auto"/>
        </w:rPr>
        <w:t>EXHIBIT M</w:t>
      </w:r>
    </w:p>
    <w:p>
      <w:pPr>
        <w:spacing w:after="0" w:line="16" w:lineRule="exact"/>
        <w:rPr>
          <w:sz w:val="20"/>
          <w:szCs w:val="20"/>
          <w:color w:val="auto"/>
        </w:rPr>
      </w:pPr>
    </w:p>
    <w:p>
      <w:pPr>
        <w:ind w:left="807"/>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55880</wp:posOffset>
            </wp:positionV>
            <wp:extent cx="71748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7"/>
          </w:cols>
          <w:pgMar w:left="393" w:top="339" w:right="339" w:bottom="1440" w:gutter="0" w:footer="0" w:header="0"/>
        </w:sectPr>
      </w:pPr>
    </w:p>
    <w:bookmarkStart w:id="258" w:name="page259"/>
    <w:bookmarkEnd w:id="258"/>
    <w:p>
      <w:pPr>
        <w:ind w:left="7"/>
        <w:spacing w:after="0"/>
        <w:rPr>
          <w:sz w:val="20"/>
          <w:szCs w:val="20"/>
          <w:color w:val="auto"/>
        </w:rPr>
      </w:pPr>
      <w:r>
        <w:rPr>
          <w:rFonts w:ascii="Arial" w:cs="Arial" w:eastAsia="Arial" w:hAnsi="Arial"/>
          <w:sz w:val="20"/>
          <w:szCs w:val="20"/>
          <w:color w:val="auto"/>
        </w:rPr>
        <w:t>Landlord:</w:t>
      </w:r>
    </w:p>
    <w:p>
      <w:pPr>
        <w:spacing w:after="0" w:line="200" w:lineRule="exact"/>
        <w:rPr>
          <w:sz w:val="20"/>
          <w:szCs w:val="20"/>
          <w:color w:val="auto"/>
        </w:rPr>
      </w:pPr>
    </w:p>
    <w:p>
      <w:pPr>
        <w:spacing w:after="0" w:line="259" w:lineRule="exact"/>
        <w:rPr>
          <w:sz w:val="20"/>
          <w:szCs w:val="20"/>
          <w:color w:val="auto"/>
        </w:rPr>
      </w:pPr>
    </w:p>
    <w:p>
      <w:pPr>
        <w:ind w:left="2527"/>
        <w:spacing w:after="0"/>
        <w:rPr>
          <w:sz w:val="20"/>
          <w:szCs w:val="20"/>
          <w:color w:val="auto"/>
        </w:rPr>
      </w:pPr>
      <w:r>
        <w:rPr>
          <w:rFonts w:ascii="Arial" w:cs="Arial" w:eastAsia="Arial" w:hAnsi="Arial"/>
          <w:sz w:val="20"/>
          <w:szCs w:val="20"/>
          <w:color w:val="auto"/>
        </w:rPr>
        <w:t>Attention:</w:t>
      </w:r>
    </w:p>
    <w:p>
      <w:pPr>
        <w:spacing w:after="0" w:line="216" w:lineRule="exact"/>
        <w:rPr>
          <w:sz w:val="20"/>
          <w:szCs w:val="20"/>
          <w:color w:val="auto"/>
        </w:rPr>
      </w:pPr>
    </w:p>
    <w:p>
      <w:pPr>
        <w:ind w:left="7"/>
        <w:spacing w:after="0"/>
        <w:rPr>
          <w:sz w:val="20"/>
          <w:szCs w:val="20"/>
          <w:color w:val="auto"/>
        </w:rPr>
      </w:pPr>
      <w:r>
        <w:rPr>
          <w:rFonts w:ascii="Arial" w:cs="Arial" w:eastAsia="Arial" w:hAnsi="Arial"/>
          <w:sz w:val="20"/>
          <w:szCs w:val="20"/>
          <w:color w:val="auto"/>
        </w:rPr>
        <w:t>Tenant:</w:t>
      </w:r>
    </w:p>
    <w:p>
      <w:pPr>
        <w:spacing w:after="0" w:line="200" w:lineRule="exact"/>
        <w:rPr>
          <w:sz w:val="20"/>
          <w:szCs w:val="20"/>
          <w:color w:val="auto"/>
        </w:rPr>
      </w:pPr>
    </w:p>
    <w:p>
      <w:pPr>
        <w:spacing w:after="0" w:line="259" w:lineRule="exact"/>
        <w:rPr>
          <w:sz w:val="20"/>
          <w:szCs w:val="20"/>
          <w:color w:val="auto"/>
        </w:rPr>
      </w:pPr>
    </w:p>
    <w:p>
      <w:pPr>
        <w:ind w:left="2527"/>
        <w:spacing w:after="0"/>
        <w:rPr>
          <w:sz w:val="20"/>
          <w:szCs w:val="20"/>
          <w:color w:val="auto"/>
        </w:rPr>
      </w:pPr>
      <w:r>
        <w:rPr>
          <w:rFonts w:ascii="Arial" w:cs="Arial" w:eastAsia="Arial" w:hAnsi="Arial"/>
          <w:sz w:val="20"/>
          <w:szCs w:val="20"/>
          <w:color w:val="auto"/>
        </w:rPr>
        <w:t>Attention:</w:t>
      </w:r>
    </w:p>
    <w:p>
      <w:pPr>
        <w:spacing w:after="0" w:line="216" w:lineRule="exact"/>
        <w:rPr>
          <w:sz w:val="20"/>
          <w:szCs w:val="20"/>
          <w:color w:val="auto"/>
        </w:rPr>
      </w:pPr>
    </w:p>
    <w:p>
      <w:pPr>
        <w:ind w:left="7"/>
        <w:spacing w:after="0"/>
        <w:rPr>
          <w:sz w:val="20"/>
          <w:szCs w:val="20"/>
          <w:color w:val="auto"/>
        </w:rPr>
      </w:pPr>
      <w:r>
        <w:rPr>
          <w:rFonts w:ascii="Arial" w:cs="Arial" w:eastAsia="Arial" w:hAnsi="Arial"/>
          <w:sz w:val="20"/>
          <w:szCs w:val="20"/>
          <w:color w:val="auto"/>
        </w:rPr>
        <w:t>Bank:</w:t>
      </w:r>
    </w:p>
    <w:p>
      <w:pPr>
        <w:spacing w:after="0" w:line="200" w:lineRule="exact"/>
        <w:rPr>
          <w:sz w:val="20"/>
          <w:szCs w:val="20"/>
          <w:color w:val="auto"/>
        </w:rPr>
      </w:pPr>
    </w:p>
    <w:p>
      <w:pPr>
        <w:spacing w:after="0" w:line="259" w:lineRule="exact"/>
        <w:rPr>
          <w:sz w:val="20"/>
          <w:szCs w:val="20"/>
          <w:color w:val="auto"/>
        </w:rPr>
      </w:pPr>
    </w:p>
    <w:p>
      <w:pPr>
        <w:ind w:left="807"/>
        <w:spacing w:after="0"/>
        <w:rPr>
          <w:sz w:val="20"/>
          <w:szCs w:val="20"/>
          <w:color w:val="auto"/>
        </w:rPr>
      </w:pPr>
      <w:r>
        <w:rPr>
          <w:rFonts w:ascii="Arial" w:cs="Arial" w:eastAsia="Arial" w:hAnsi="Arial"/>
          <w:sz w:val="20"/>
          <w:szCs w:val="20"/>
          <w:color w:val="auto"/>
        </w:rPr>
        <w:t>Attention:</w:t>
      </w:r>
    </w:p>
    <w:p>
      <w:pPr>
        <w:spacing w:after="0" w:line="210" w:lineRule="exact"/>
        <w:rPr>
          <w:sz w:val="20"/>
          <w:szCs w:val="20"/>
          <w:color w:val="auto"/>
        </w:rPr>
      </w:pPr>
    </w:p>
    <w:p>
      <w:pPr>
        <w:jc w:val="both"/>
        <w:ind w:left="787" w:hanging="787"/>
        <w:spacing w:after="0" w:line="248" w:lineRule="auto"/>
        <w:tabs>
          <w:tab w:leader="none" w:pos="1585" w:val="left"/>
        </w:tabs>
        <w:numPr>
          <w:ilvl w:val="0"/>
          <w:numId w:val="223"/>
        </w:numPr>
        <w:rPr>
          <w:rFonts w:ascii="Arial" w:cs="Arial" w:eastAsia="Arial" w:hAnsi="Arial"/>
          <w:sz w:val="20"/>
          <w:szCs w:val="20"/>
          <w:color w:val="auto"/>
        </w:rPr>
      </w:pPr>
      <w:r>
        <w:rPr>
          <w:rFonts w:ascii="Arial" w:cs="Arial" w:eastAsia="Arial" w:hAnsi="Arial"/>
          <w:sz w:val="20"/>
          <w:szCs w:val="20"/>
          <w:b w:val="1"/>
          <w:bCs w:val="1"/>
          <w:u w:val="single" w:color="auto"/>
          <w:color w:val="auto"/>
        </w:rPr>
        <w:t>Captions; Counterparts</w:t>
      </w:r>
      <w:r>
        <w:rPr>
          <w:rFonts w:ascii="Arial" w:cs="Arial" w:eastAsia="Arial" w:hAnsi="Arial"/>
          <w:sz w:val="20"/>
          <w:szCs w:val="20"/>
          <w:color w:val="auto"/>
        </w:rPr>
        <w:t>. It is agreed that the captions of this Agreement are for convenience only and are not a part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do not in any way limit or amplify the terms and provisions of this Agreement. This Agreement may be executed in any number of counterparts, each of which shall constitute an original and all of which, when taken together, shall constitute one and the same agreement.</w:t>
      </w:r>
    </w:p>
    <w:p>
      <w:pPr>
        <w:spacing w:after="0" w:line="183" w:lineRule="exact"/>
        <w:rPr>
          <w:sz w:val="20"/>
          <w:szCs w:val="20"/>
          <w:color w:val="auto"/>
        </w:rPr>
      </w:pPr>
    </w:p>
    <w:p>
      <w:pPr>
        <w:jc w:val="both"/>
        <w:ind w:left="787" w:hanging="787"/>
        <w:spacing w:after="0" w:line="253" w:lineRule="auto"/>
        <w:tabs>
          <w:tab w:leader="none" w:pos="1585" w:val="left"/>
        </w:tabs>
        <w:numPr>
          <w:ilvl w:val="0"/>
          <w:numId w:val="224"/>
        </w:numPr>
        <w:rPr>
          <w:rFonts w:ascii="Arial" w:cs="Arial" w:eastAsia="Arial" w:hAnsi="Arial"/>
          <w:sz w:val="20"/>
          <w:szCs w:val="20"/>
          <w:color w:val="auto"/>
        </w:rPr>
      </w:pPr>
      <w:r>
        <w:rPr>
          <w:rFonts w:ascii="Arial" w:cs="Arial" w:eastAsia="Arial" w:hAnsi="Arial"/>
          <w:sz w:val="20"/>
          <w:szCs w:val="20"/>
          <w:b w:val="1"/>
          <w:bCs w:val="1"/>
          <w:u w:val="single" w:color="auto"/>
          <w:color w:val="auto"/>
        </w:rPr>
        <w:t>Benefit and Binding Effect; Governing Law</w:t>
      </w:r>
      <w:r>
        <w:rPr>
          <w:rFonts w:ascii="Arial" w:cs="Arial" w:eastAsia="Arial" w:hAnsi="Arial"/>
          <w:sz w:val="20"/>
          <w:szCs w:val="20"/>
          <w:color w:val="auto"/>
        </w:rPr>
        <w:t>. This Agreement shall bind and inure to the benefit of the successors and</w:t>
      </w:r>
      <w:r>
        <w:rPr>
          <w:rFonts w:ascii="Arial" w:cs="Arial" w:eastAsia="Arial" w:hAnsi="Arial"/>
          <w:sz w:val="20"/>
          <w:szCs w:val="20"/>
          <w:b w:val="1"/>
          <w:bCs w:val="1"/>
          <w:color w:val="auto"/>
        </w:rPr>
        <w:t xml:space="preserve"> </w:t>
      </w:r>
      <w:r>
        <w:rPr>
          <w:rFonts w:ascii="Arial" w:cs="Arial" w:eastAsia="Arial" w:hAnsi="Arial"/>
          <w:sz w:val="20"/>
          <w:szCs w:val="20"/>
          <w:color w:val="auto"/>
        </w:rPr>
        <w:t>assigns of the parties hereto. This Agreement shall be governed by and construed in accordance with the laws of the state in which the Premises is located, without regard to conflict of law principles.</w:t>
      </w:r>
    </w:p>
    <w:p>
      <w:pPr>
        <w:spacing w:after="0" w:line="177" w:lineRule="exact"/>
        <w:rPr>
          <w:sz w:val="20"/>
          <w:szCs w:val="20"/>
          <w:color w:val="auto"/>
        </w:rPr>
      </w:pPr>
    </w:p>
    <w:p>
      <w:pPr>
        <w:jc w:val="both"/>
        <w:ind w:left="787" w:hanging="787"/>
        <w:spacing w:after="0" w:line="248" w:lineRule="auto"/>
        <w:tabs>
          <w:tab w:leader="none" w:pos="1585" w:val="left"/>
        </w:tabs>
        <w:numPr>
          <w:ilvl w:val="0"/>
          <w:numId w:val="225"/>
        </w:numPr>
        <w:rPr>
          <w:rFonts w:ascii="Arial" w:cs="Arial" w:eastAsia="Arial" w:hAnsi="Arial"/>
          <w:sz w:val="20"/>
          <w:szCs w:val="20"/>
          <w:color w:val="auto"/>
        </w:rPr>
      </w:pPr>
      <w:r>
        <w:rPr>
          <w:rFonts w:ascii="Arial" w:cs="Arial" w:eastAsia="Arial" w:hAnsi="Arial"/>
          <w:sz w:val="20"/>
          <w:szCs w:val="20"/>
          <w:b w:val="1"/>
          <w:bCs w:val="1"/>
          <w:u w:val="single" w:color="auto"/>
          <w:color w:val="auto"/>
        </w:rPr>
        <w:t>Estoppel Certificates</w:t>
      </w:r>
      <w:r>
        <w:rPr>
          <w:rFonts w:ascii="Arial" w:cs="Arial" w:eastAsia="Arial" w:hAnsi="Arial"/>
          <w:sz w:val="20"/>
          <w:szCs w:val="20"/>
          <w:color w:val="auto"/>
        </w:rPr>
        <w:t>. Landlord and Tenant shall, within fifteen (15) days after request of Bank furnish a commercially</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estoppel certificate to those named parties as are reasonably requested by Bank (it being agreed that, without limitation, such estoppel certificate may include a certification as to the status of this Lease, the existence of any defaults to such party’s knowledge and the amount of rent that is due and payable).</w:t>
      </w:r>
    </w:p>
    <w:p>
      <w:pPr>
        <w:spacing w:after="0" w:line="183" w:lineRule="exact"/>
        <w:rPr>
          <w:sz w:val="20"/>
          <w:szCs w:val="20"/>
          <w:color w:val="auto"/>
        </w:rPr>
      </w:pPr>
    </w:p>
    <w:p>
      <w:pPr>
        <w:jc w:val="center"/>
        <w:ind w:right="53"/>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07"/>
        <w:spacing w:after="0"/>
        <w:rPr>
          <w:sz w:val="20"/>
          <w:szCs w:val="20"/>
          <w:color w:val="auto"/>
        </w:rPr>
      </w:pPr>
      <w:r>
        <w:rPr>
          <w:rFonts w:ascii="Arial" w:cs="Arial" w:eastAsia="Arial" w:hAnsi="Arial"/>
          <w:sz w:val="20"/>
          <w:szCs w:val="20"/>
          <w:u w:val="single" w:color="auto"/>
          <w:color w:val="auto"/>
        </w:rPr>
        <w:t>EXHIBIT M</w:t>
      </w:r>
    </w:p>
    <w:p>
      <w:pPr>
        <w:spacing w:after="0" w:line="16" w:lineRule="exact"/>
        <w:rPr>
          <w:sz w:val="20"/>
          <w:szCs w:val="20"/>
          <w:color w:val="auto"/>
        </w:rPr>
      </w:pPr>
    </w:p>
    <w:p>
      <w:pPr>
        <w:ind w:left="807"/>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55880</wp:posOffset>
            </wp:positionV>
            <wp:extent cx="71748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7"/>
          </w:cols>
          <w:pgMar w:left="393" w:top="339" w:right="339" w:bottom="1440" w:gutter="0" w:footer="0" w:header="0"/>
        </w:sectPr>
      </w:pPr>
    </w:p>
    <w:bookmarkStart w:id="259" w:name="page260"/>
    <w:bookmarkEnd w:id="259"/>
    <w:p>
      <w:pPr>
        <w:ind w:left="9240"/>
        <w:spacing w:after="0"/>
        <w:rPr>
          <w:sz w:val="20"/>
          <w:szCs w:val="20"/>
          <w:color w:val="auto"/>
        </w:rPr>
      </w:pPr>
      <w:r>
        <w:rPr>
          <w:rFonts w:ascii="Arial" w:cs="Arial" w:eastAsia="Arial" w:hAnsi="Arial"/>
          <w:sz w:val="18"/>
          <w:szCs w:val="18"/>
          <w:b w:val="1"/>
          <w:bCs w:val="1"/>
          <w:color w:val="auto"/>
        </w:rPr>
        <w:t>Exhibit 10.11</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this Agreement to be executed as of the date first above written.</w:t>
      </w:r>
    </w:p>
    <w:p>
      <w:pPr>
        <w:spacing w:after="0" w:line="216"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LANDLORD: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w:t>
      </w:r>
    </w:p>
    <w:p>
      <w:pPr>
        <w:ind w:left="43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w:t>
      </w:r>
    </w:p>
    <w:p>
      <w:pPr>
        <w:ind w:left="43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M</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18"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20"/>
          <w:szCs w:val="20"/>
          <w:b w:val="1"/>
          <w:bCs w:val="1"/>
          <w:color w:val="auto"/>
        </w:rPr>
        <w:t>BANK:</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w:t>
      </w:r>
    </w:p>
    <w:p>
      <w:pPr>
        <w:jc w:val="center"/>
        <w:ind w:right="21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M</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49" w:right="1440" w:bottom="1440" w:gutter="0" w:footer="0" w:header="0"/>
        </w:sectPr>
      </w:pPr>
    </w:p>
    <w:bookmarkStart w:id="261" w:name="page262"/>
    <w:bookmarkEnd w:id="261"/>
    <w:tbl>
      <w:tblPr>
        <w:tblLayout w:type="fixed"/>
        <w:tblInd w:w="120" w:type="dxa"/>
        <w:tblCellMar>
          <w:top w:w="0" w:type="dxa"/>
          <w:left w:w="0" w:type="dxa"/>
          <w:bottom w:w="0" w:type="dxa"/>
          <w:right w:w="0" w:type="dxa"/>
        </w:tblCellMar>
      </w:tblPr>
      <w:tr>
        <w:trPr>
          <w:trHeight w:val="276"/>
        </w:trPr>
        <w:tc>
          <w:tcPr>
            <w:tcW w:w="3220" w:type="dxa"/>
            <w:vAlign w:val="bottom"/>
          </w:tcPr>
          <w:p>
            <w:pPr>
              <w:spacing w:after="0"/>
              <w:rPr>
                <w:sz w:val="20"/>
                <w:szCs w:val="20"/>
                <w:color w:val="auto"/>
              </w:rPr>
            </w:pPr>
            <w:r>
              <w:rPr>
                <w:rFonts w:ascii="Arial" w:cs="Arial" w:eastAsia="Arial" w:hAnsi="Arial"/>
                <w:sz w:val="22"/>
                <w:szCs w:val="22"/>
                <w:b w:val="1"/>
                <w:bCs w:val="1"/>
                <w:color w:val="auto"/>
              </w:rPr>
              <w:t>STATE OF</w:t>
            </w:r>
          </w:p>
        </w:tc>
        <w:tc>
          <w:tcPr>
            <w:tcW w:w="2240" w:type="dxa"/>
            <w:vAlign w:val="bottom"/>
          </w:tcPr>
          <w:p>
            <w:pPr>
              <w:ind w:left="19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3220" w:type="dxa"/>
            <w:vAlign w:val="bottom"/>
            <w:vMerge w:val="restart"/>
          </w:tcPr>
          <w:p>
            <w:pPr>
              <w:spacing w:after="0"/>
              <w:rPr>
                <w:sz w:val="20"/>
                <w:szCs w:val="20"/>
                <w:color w:val="auto"/>
              </w:rPr>
            </w:pPr>
            <w:r>
              <w:rPr>
                <w:rFonts w:ascii="Arial" w:cs="Arial" w:eastAsia="Arial" w:hAnsi="Arial"/>
                <w:sz w:val="22"/>
                <w:szCs w:val="22"/>
                <w:b w:val="1"/>
                <w:bCs w:val="1"/>
                <w:color w:val="auto"/>
              </w:rPr>
              <w:t>COUNTY OF</w:t>
            </w:r>
          </w:p>
        </w:tc>
        <w:tc>
          <w:tcPr>
            <w:tcW w:w="2240" w:type="dxa"/>
            <w:vAlign w:val="bottom"/>
          </w:tcPr>
          <w:p>
            <w:pPr>
              <w:ind w:left="1960"/>
              <w:spacing w:after="0"/>
              <w:rPr>
                <w:sz w:val="20"/>
                <w:szCs w:val="20"/>
                <w:color w:val="auto"/>
              </w:rPr>
            </w:pPr>
            <w:r>
              <w:rPr>
                <w:rFonts w:ascii="Arial" w:cs="Arial" w:eastAsia="Arial" w:hAnsi="Arial"/>
                <w:sz w:val="22"/>
                <w:szCs w:val="22"/>
                <w:color w:val="auto"/>
                <w:w w:val="73"/>
              </w:rPr>
              <w:t>SS.</w:t>
            </w:r>
          </w:p>
        </w:tc>
        <w:tc>
          <w:tcPr>
            <w:tcW w:w="0" w:type="dxa"/>
            <w:vAlign w:val="bottom"/>
          </w:tcPr>
          <w:p>
            <w:pPr>
              <w:spacing w:after="0"/>
              <w:rPr>
                <w:sz w:val="1"/>
                <w:szCs w:val="1"/>
                <w:color w:val="auto"/>
              </w:rPr>
            </w:pPr>
          </w:p>
        </w:tc>
      </w:tr>
      <w:tr>
        <w:trPr>
          <w:trHeight w:val="274"/>
        </w:trPr>
        <w:tc>
          <w:tcPr>
            <w:tcW w:w="3220" w:type="dxa"/>
            <w:vAlign w:val="bottom"/>
            <w:vMerge w:val="continue"/>
          </w:tcPr>
          <w:p>
            <w:pPr>
              <w:spacing w:after="0"/>
              <w:rPr>
                <w:sz w:val="23"/>
                <w:szCs w:val="23"/>
                <w:color w:val="auto"/>
              </w:rPr>
            </w:pPr>
          </w:p>
        </w:tc>
        <w:tc>
          <w:tcPr>
            <w:tcW w:w="2240" w:type="dxa"/>
            <w:vAlign w:val="bottom"/>
          </w:tcPr>
          <w:p>
            <w:pPr>
              <w:ind w:left="19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this, the ____ day of _____________, 202__, before me, a Notary Public, personally appeared __________________, who</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acknowledged himself to be the ________________ of __________________, and that he as such officer, being authorized to do so,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executed the foregoing for the purposes therein contained by signing the name of the limited liability company by himself as such officer.</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Notary Public</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My commission expires: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M</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2" w:name="page263"/>
    <w:bookmarkEnd w:id="262"/>
    <w:tbl>
      <w:tblPr>
        <w:tblLayout w:type="fixed"/>
        <w:tblInd w:w="120" w:type="dxa"/>
        <w:tblCellMar>
          <w:top w:w="0" w:type="dxa"/>
          <w:left w:w="0" w:type="dxa"/>
          <w:bottom w:w="0" w:type="dxa"/>
          <w:right w:w="0" w:type="dxa"/>
        </w:tblCellMar>
      </w:tblPr>
      <w:tr>
        <w:trPr>
          <w:trHeight w:val="276"/>
        </w:trPr>
        <w:tc>
          <w:tcPr>
            <w:tcW w:w="3220" w:type="dxa"/>
            <w:vAlign w:val="bottom"/>
          </w:tcPr>
          <w:p>
            <w:pPr>
              <w:spacing w:after="0"/>
              <w:rPr>
                <w:sz w:val="20"/>
                <w:szCs w:val="20"/>
                <w:color w:val="auto"/>
              </w:rPr>
            </w:pPr>
            <w:r>
              <w:rPr>
                <w:rFonts w:ascii="Arial" w:cs="Arial" w:eastAsia="Arial" w:hAnsi="Arial"/>
                <w:sz w:val="22"/>
                <w:szCs w:val="22"/>
                <w:b w:val="1"/>
                <w:bCs w:val="1"/>
                <w:color w:val="auto"/>
              </w:rPr>
              <w:t>STATE OF</w:t>
            </w:r>
          </w:p>
        </w:tc>
        <w:tc>
          <w:tcPr>
            <w:tcW w:w="2240" w:type="dxa"/>
            <w:vAlign w:val="bottom"/>
          </w:tcPr>
          <w:p>
            <w:pPr>
              <w:ind w:left="19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3220" w:type="dxa"/>
            <w:vAlign w:val="bottom"/>
            <w:vMerge w:val="restart"/>
          </w:tcPr>
          <w:p>
            <w:pPr>
              <w:spacing w:after="0"/>
              <w:rPr>
                <w:sz w:val="20"/>
                <w:szCs w:val="20"/>
                <w:color w:val="auto"/>
              </w:rPr>
            </w:pPr>
            <w:r>
              <w:rPr>
                <w:rFonts w:ascii="Arial" w:cs="Arial" w:eastAsia="Arial" w:hAnsi="Arial"/>
                <w:sz w:val="22"/>
                <w:szCs w:val="22"/>
                <w:b w:val="1"/>
                <w:bCs w:val="1"/>
                <w:color w:val="auto"/>
              </w:rPr>
              <w:t>COUNTY OF</w:t>
            </w:r>
          </w:p>
        </w:tc>
        <w:tc>
          <w:tcPr>
            <w:tcW w:w="2240" w:type="dxa"/>
            <w:vAlign w:val="bottom"/>
          </w:tcPr>
          <w:p>
            <w:pPr>
              <w:ind w:left="1960"/>
              <w:spacing w:after="0"/>
              <w:rPr>
                <w:sz w:val="20"/>
                <w:szCs w:val="20"/>
                <w:color w:val="auto"/>
              </w:rPr>
            </w:pPr>
            <w:r>
              <w:rPr>
                <w:rFonts w:ascii="Arial" w:cs="Arial" w:eastAsia="Arial" w:hAnsi="Arial"/>
                <w:sz w:val="22"/>
                <w:szCs w:val="22"/>
                <w:color w:val="auto"/>
                <w:w w:val="73"/>
              </w:rPr>
              <w:t>SS.</w:t>
            </w:r>
          </w:p>
        </w:tc>
        <w:tc>
          <w:tcPr>
            <w:tcW w:w="0" w:type="dxa"/>
            <w:vAlign w:val="bottom"/>
          </w:tcPr>
          <w:p>
            <w:pPr>
              <w:spacing w:after="0"/>
              <w:rPr>
                <w:sz w:val="1"/>
                <w:szCs w:val="1"/>
                <w:color w:val="auto"/>
              </w:rPr>
            </w:pPr>
          </w:p>
        </w:tc>
      </w:tr>
      <w:tr>
        <w:trPr>
          <w:trHeight w:val="274"/>
        </w:trPr>
        <w:tc>
          <w:tcPr>
            <w:tcW w:w="3220" w:type="dxa"/>
            <w:vAlign w:val="bottom"/>
            <w:vMerge w:val="continue"/>
          </w:tcPr>
          <w:p>
            <w:pPr>
              <w:spacing w:after="0"/>
              <w:rPr>
                <w:sz w:val="23"/>
                <w:szCs w:val="23"/>
                <w:color w:val="auto"/>
              </w:rPr>
            </w:pPr>
          </w:p>
        </w:tc>
        <w:tc>
          <w:tcPr>
            <w:tcW w:w="2240" w:type="dxa"/>
            <w:vAlign w:val="bottom"/>
          </w:tcPr>
          <w:p>
            <w:pPr>
              <w:ind w:left="19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880"/>
        <w:spacing w:after="0"/>
        <w:tabs>
          <w:tab w:leader="none" w:pos="1320" w:val="left"/>
          <w:tab w:leader="none" w:pos="1880" w:val="left"/>
          <w:tab w:leader="none" w:pos="2360" w:val="left"/>
          <w:tab w:leader="none" w:pos="2980" w:val="left"/>
          <w:tab w:leader="none" w:pos="3500" w:val="left"/>
          <w:tab w:leader="none" w:pos="3880" w:val="left"/>
          <w:tab w:leader="none" w:pos="5540" w:val="left"/>
          <w:tab w:leader="none" w:pos="6320" w:val="left"/>
          <w:tab w:leader="none" w:pos="7060" w:val="left"/>
          <w:tab w:leader="none" w:pos="7580" w:val="left"/>
          <w:tab w:leader="none" w:pos="7880" w:val="left"/>
          <w:tab w:leader="none" w:pos="8660" w:val="left"/>
          <w:tab w:leader="none" w:pos="9440" w:val="left"/>
          <w:tab w:leader="none" w:pos="10500" w:val="left"/>
        </w:tabs>
        <w:rPr>
          <w:sz w:val="20"/>
          <w:szCs w:val="20"/>
          <w:color w:val="auto"/>
        </w:rPr>
      </w:pPr>
      <w:r>
        <w:rPr>
          <w:rFonts w:ascii="Arial" w:cs="Arial" w:eastAsia="Arial" w:hAnsi="Arial"/>
          <w:sz w:val="20"/>
          <w:szCs w:val="20"/>
          <w:color w:val="auto"/>
        </w:rPr>
        <w:t>On</w:t>
        <w:tab/>
        <w:t>this,</w:t>
        <w:tab/>
        <w:t>the</w:t>
        <w:tab/>
        <w:t>____</w:t>
        <w:tab/>
        <w:t>day</w:t>
        <w:tab/>
        <w:t>of</w:t>
        <w:tab/>
        <w:t>______________,</w:t>
        <w:tab/>
        <w:t>202__,</w:t>
        <w:tab/>
        <w:t>before</w:t>
        <w:tab/>
        <w:t>me,</w:t>
        <w:tab/>
        <w:t>a</w:t>
        <w:tab/>
        <w:t>Notary</w:t>
        <w:tab/>
        <w:t>Public,</w:t>
        <w:tab/>
        <w:t>personally</w:t>
      </w:r>
      <w:r>
        <w:rPr>
          <w:sz w:val="20"/>
          <w:szCs w:val="20"/>
          <w:color w:val="auto"/>
        </w:rPr>
        <w:tab/>
      </w:r>
      <w:r>
        <w:rPr>
          <w:rFonts w:ascii="Arial" w:cs="Arial" w:eastAsia="Arial" w:hAnsi="Arial"/>
          <w:sz w:val="16"/>
          <w:szCs w:val="16"/>
          <w:color w:val="auto"/>
        </w:rPr>
        <w:t>appeared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 who acknowledged himself to be the _______________________ of _______________________,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 and that he as such officer, being authorized to do so, executed the foregoing for the purposes therein contained</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by signing the name of the_______________________ by himself as such officer.</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 WITNESS WHEREOF, I have hereunto set my hand and official seal.</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Notary Public</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My commission expires: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M</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3" w:name="page264"/>
    <w:bookmarkEnd w:id="263"/>
    <w:tbl>
      <w:tblPr>
        <w:tblLayout w:type="fixed"/>
        <w:tblInd w:w="120" w:type="dxa"/>
        <w:tblCellMar>
          <w:top w:w="0" w:type="dxa"/>
          <w:left w:w="0" w:type="dxa"/>
          <w:bottom w:w="0" w:type="dxa"/>
          <w:right w:w="0" w:type="dxa"/>
        </w:tblCellMar>
      </w:tblPr>
      <w:tr>
        <w:trPr>
          <w:trHeight w:val="276"/>
        </w:trPr>
        <w:tc>
          <w:tcPr>
            <w:tcW w:w="3220" w:type="dxa"/>
            <w:vAlign w:val="bottom"/>
          </w:tcPr>
          <w:p>
            <w:pPr>
              <w:spacing w:after="0"/>
              <w:rPr>
                <w:sz w:val="20"/>
                <w:szCs w:val="20"/>
                <w:color w:val="auto"/>
              </w:rPr>
            </w:pPr>
            <w:r>
              <w:rPr>
                <w:rFonts w:ascii="Arial" w:cs="Arial" w:eastAsia="Arial" w:hAnsi="Arial"/>
                <w:sz w:val="22"/>
                <w:szCs w:val="22"/>
                <w:b w:val="1"/>
                <w:bCs w:val="1"/>
                <w:color w:val="auto"/>
              </w:rPr>
              <w:t>STATE OF</w:t>
            </w:r>
          </w:p>
        </w:tc>
        <w:tc>
          <w:tcPr>
            <w:tcW w:w="2240" w:type="dxa"/>
            <w:vAlign w:val="bottom"/>
          </w:tcPr>
          <w:p>
            <w:pPr>
              <w:ind w:left="19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3220" w:type="dxa"/>
            <w:vAlign w:val="bottom"/>
            <w:vMerge w:val="restart"/>
          </w:tcPr>
          <w:p>
            <w:pPr>
              <w:spacing w:after="0"/>
              <w:rPr>
                <w:sz w:val="20"/>
                <w:szCs w:val="20"/>
                <w:color w:val="auto"/>
              </w:rPr>
            </w:pPr>
            <w:r>
              <w:rPr>
                <w:rFonts w:ascii="Arial" w:cs="Arial" w:eastAsia="Arial" w:hAnsi="Arial"/>
                <w:sz w:val="22"/>
                <w:szCs w:val="22"/>
                <w:b w:val="1"/>
                <w:bCs w:val="1"/>
                <w:color w:val="auto"/>
              </w:rPr>
              <w:t>COUNTY OF</w:t>
            </w:r>
          </w:p>
        </w:tc>
        <w:tc>
          <w:tcPr>
            <w:tcW w:w="2240" w:type="dxa"/>
            <w:vAlign w:val="bottom"/>
          </w:tcPr>
          <w:p>
            <w:pPr>
              <w:ind w:left="1960"/>
              <w:spacing w:after="0"/>
              <w:rPr>
                <w:sz w:val="20"/>
                <w:szCs w:val="20"/>
                <w:color w:val="auto"/>
              </w:rPr>
            </w:pPr>
            <w:r>
              <w:rPr>
                <w:rFonts w:ascii="Arial" w:cs="Arial" w:eastAsia="Arial" w:hAnsi="Arial"/>
                <w:sz w:val="22"/>
                <w:szCs w:val="22"/>
                <w:color w:val="auto"/>
                <w:w w:val="73"/>
              </w:rPr>
              <w:t>SS.</w:t>
            </w:r>
          </w:p>
        </w:tc>
        <w:tc>
          <w:tcPr>
            <w:tcW w:w="0" w:type="dxa"/>
            <w:vAlign w:val="bottom"/>
          </w:tcPr>
          <w:p>
            <w:pPr>
              <w:spacing w:after="0"/>
              <w:rPr>
                <w:sz w:val="1"/>
                <w:szCs w:val="1"/>
                <w:color w:val="auto"/>
              </w:rPr>
            </w:pPr>
          </w:p>
        </w:tc>
      </w:tr>
      <w:tr>
        <w:trPr>
          <w:trHeight w:val="274"/>
        </w:trPr>
        <w:tc>
          <w:tcPr>
            <w:tcW w:w="3220" w:type="dxa"/>
            <w:vAlign w:val="bottom"/>
            <w:vMerge w:val="continue"/>
          </w:tcPr>
          <w:p>
            <w:pPr>
              <w:spacing w:after="0"/>
              <w:rPr>
                <w:sz w:val="23"/>
                <w:szCs w:val="23"/>
                <w:color w:val="auto"/>
              </w:rPr>
            </w:pPr>
          </w:p>
        </w:tc>
        <w:tc>
          <w:tcPr>
            <w:tcW w:w="2240" w:type="dxa"/>
            <w:vAlign w:val="bottom"/>
          </w:tcPr>
          <w:p>
            <w:pPr>
              <w:ind w:left="19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880"/>
        <w:spacing w:after="0"/>
        <w:tabs>
          <w:tab w:leader="none" w:pos="1260" w:val="left"/>
          <w:tab w:leader="none" w:pos="1780" w:val="left"/>
          <w:tab w:leader="none" w:pos="2180" w:val="left"/>
          <w:tab w:leader="none" w:pos="2640" w:val="left"/>
          <w:tab w:leader="none" w:pos="2980" w:val="left"/>
          <w:tab w:leader="none" w:pos="3540" w:val="left"/>
          <w:tab w:leader="none" w:pos="4000" w:val="left"/>
          <w:tab w:leader="none" w:pos="4340" w:val="left"/>
          <w:tab w:leader="none" w:pos="5940" w:val="left"/>
          <w:tab w:leader="none" w:pos="6660" w:val="left"/>
          <w:tab w:leader="none" w:pos="7340" w:val="left"/>
          <w:tab w:leader="none" w:pos="7800" w:val="left"/>
          <w:tab w:leader="none" w:pos="8060" w:val="left"/>
          <w:tab w:leader="none" w:pos="8780" w:val="left"/>
          <w:tab w:leader="none" w:pos="9500" w:val="left"/>
          <w:tab w:leader="none" w:pos="10500" w:val="left"/>
        </w:tabs>
        <w:rPr>
          <w:sz w:val="20"/>
          <w:szCs w:val="20"/>
          <w:color w:val="auto"/>
        </w:rPr>
      </w:pPr>
      <w:r>
        <w:rPr>
          <w:rFonts w:ascii="Arial" w:cs="Arial" w:eastAsia="Arial" w:hAnsi="Arial"/>
          <w:sz w:val="20"/>
          <w:szCs w:val="20"/>
          <w:color w:val="auto"/>
        </w:rPr>
        <w:t>On</w:t>
        <w:tab/>
        <w:t>this,</w:t>
        <w:tab/>
        <w:t>the</w:t>
        <w:tab/>
        <w:t>day</w:t>
        <w:tab/>
        <w:t>of</w:t>
        <w:tab/>
        <w:t>____</w:t>
        <w:tab/>
        <w:t>day</w:t>
        <w:tab/>
        <w:t>of</w:t>
        <w:tab/>
        <w:t>______________,</w:t>
        <w:tab/>
        <w:t>202__,</w:t>
        <w:tab/>
        <w:t>before</w:t>
        <w:tab/>
        <w:t>me,</w:t>
        <w:tab/>
        <w:t>a</w:t>
        <w:tab/>
        <w:t>Notary</w:t>
        <w:tab/>
        <w:t>Public,</w:t>
        <w:tab/>
        <w:t>personally</w:t>
      </w:r>
      <w:r>
        <w:rPr>
          <w:sz w:val="20"/>
          <w:szCs w:val="20"/>
          <w:color w:val="auto"/>
        </w:rPr>
        <w:tab/>
      </w:r>
      <w:r>
        <w:rPr>
          <w:rFonts w:ascii="Arial" w:cs="Arial" w:eastAsia="Arial" w:hAnsi="Arial"/>
          <w:sz w:val="16"/>
          <w:szCs w:val="16"/>
          <w:color w:val="auto"/>
        </w:rPr>
        <w:t>appeared</w:t>
      </w:r>
    </w:p>
    <w:p>
      <w:pPr>
        <w:spacing w:after="0" w:line="15" w:lineRule="exact"/>
        <w:rPr>
          <w:sz w:val="20"/>
          <w:szCs w:val="20"/>
          <w:color w:val="auto"/>
        </w:rPr>
      </w:pPr>
    </w:p>
    <w:p>
      <w:pPr>
        <w:spacing w:after="0"/>
        <w:tabs>
          <w:tab w:leader="none" w:pos="3340" w:val="left"/>
          <w:tab w:leader="none" w:pos="4000" w:val="left"/>
          <w:tab w:leader="none" w:pos="5480" w:val="left"/>
          <w:tab w:leader="none" w:pos="6340" w:val="left"/>
          <w:tab w:leader="none" w:pos="6820" w:val="left"/>
          <w:tab w:leader="none" w:pos="7340" w:val="left"/>
          <w:tab w:leader="none" w:pos="7760" w:val="left"/>
          <w:tab w:leader="none" w:pos="11040" w:val="left"/>
        </w:tabs>
        <w:rPr>
          <w:sz w:val="20"/>
          <w:szCs w:val="20"/>
          <w:color w:val="auto"/>
        </w:rPr>
      </w:pPr>
      <w:r>
        <w:rPr>
          <w:rFonts w:ascii="Arial" w:cs="Arial" w:eastAsia="Arial" w:hAnsi="Arial"/>
          <w:sz w:val="20"/>
          <w:szCs w:val="20"/>
          <w:color w:val="auto"/>
        </w:rPr>
        <w:t>______________________________,</w:t>
      </w:r>
      <w:r>
        <w:rPr>
          <w:sz w:val="20"/>
          <w:szCs w:val="20"/>
          <w:color w:val="auto"/>
        </w:rPr>
        <w:tab/>
      </w:r>
      <w:r>
        <w:rPr>
          <w:rFonts w:ascii="Arial" w:cs="Arial" w:eastAsia="Arial" w:hAnsi="Arial"/>
          <w:sz w:val="20"/>
          <w:szCs w:val="20"/>
          <w:color w:val="auto"/>
        </w:rPr>
        <w:t>who</w:t>
      </w:r>
      <w:r>
        <w:rPr>
          <w:sz w:val="20"/>
          <w:szCs w:val="20"/>
          <w:color w:val="auto"/>
        </w:rPr>
        <w:tab/>
      </w:r>
      <w:r>
        <w:rPr>
          <w:rFonts w:ascii="Arial" w:cs="Arial" w:eastAsia="Arial" w:hAnsi="Arial"/>
          <w:sz w:val="20"/>
          <w:szCs w:val="20"/>
          <w:color w:val="auto"/>
        </w:rPr>
        <w:t>acknowledged</w:t>
      </w:r>
      <w:r>
        <w:rPr>
          <w:sz w:val="20"/>
          <w:szCs w:val="20"/>
          <w:color w:val="auto"/>
        </w:rPr>
        <w:tab/>
      </w:r>
      <w:r>
        <w:rPr>
          <w:rFonts w:ascii="Arial" w:cs="Arial" w:eastAsia="Arial" w:hAnsi="Arial"/>
          <w:sz w:val="20"/>
          <w:szCs w:val="20"/>
          <w:color w:val="auto"/>
        </w:rPr>
        <w:t>herself</w:t>
      </w:r>
      <w:r>
        <w:rPr>
          <w:sz w:val="20"/>
          <w:szCs w:val="20"/>
          <w:color w:val="auto"/>
        </w:rPr>
        <w:tab/>
      </w: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be</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______________________________</w:t>
      </w:r>
      <w:r>
        <w:rPr>
          <w:sz w:val="20"/>
          <w:szCs w:val="20"/>
          <w:color w:val="auto"/>
        </w:rPr>
        <w:tab/>
      </w:r>
      <w:r>
        <w:rPr>
          <w:rFonts w:ascii="Arial" w:cs="Arial" w:eastAsia="Arial" w:hAnsi="Arial"/>
          <w:sz w:val="20"/>
          <w:szCs w:val="20"/>
          <w:color w:val="auto"/>
        </w:rPr>
        <w:t>of</w:t>
      </w:r>
    </w:p>
    <w:p>
      <w:pPr>
        <w:spacing w:after="0"/>
        <w:rPr>
          <w:sz w:val="20"/>
          <w:szCs w:val="20"/>
          <w:color w:val="auto"/>
        </w:rPr>
      </w:pPr>
      <w:r>
        <w:rPr>
          <w:rFonts w:ascii="Arial" w:cs="Arial" w:eastAsia="Arial" w:hAnsi="Arial"/>
          <w:sz w:val="16"/>
          <w:szCs w:val="16"/>
          <w:color w:val="auto"/>
        </w:rPr>
        <w:t>______________________________, and that she as such officer, being authorized to do so, executed the foregoing for the purposes therein</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contained by signing the name of the bank by herself as such officer.</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 WITNESS WHEREOF, I have hereunto set my hand and official seal.</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Notary Public</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My commission expires: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M</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20"/>
          <w:szCs w:val="20"/>
          <w:b w:val="1"/>
          <w:bCs w:val="1"/>
          <w:color w:val="auto"/>
        </w:rPr>
        <w:t>Exhibit 10.11</w:t>
      </w:r>
    </w:p>
    <w:p>
      <w:pPr>
        <w:spacing w:after="0" w:line="217"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u w:val="single" w:color="auto"/>
          <w:color w:val="auto"/>
        </w:rPr>
        <w:t>EXHIBIT “A” TO SNDA</w:t>
      </w:r>
    </w:p>
    <w:p>
      <w:pPr>
        <w:spacing w:after="0" w:line="222"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M</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16"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0"/>
          <w:szCs w:val="20"/>
          <w:b w:val="1"/>
          <w:bCs w:val="1"/>
          <w:color w:val="auto"/>
        </w:rPr>
        <w:t>Exhibit 10.11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N</w:t>
      </w:r>
    </w:p>
    <w:p>
      <w:pPr>
        <w:spacing w:after="0" w:line="216" w:lineRule="exact"/>
        <w:rPr>
          <w:sz w:val="20"/>
          <w:szCs w:val="20"/>
          <w:color w:val="auto"/>
        </w:rPr>
      </w:pPr>
    </w:p>
    <w:p>
      <w:pPr>
        <w:spacing w:after="0"/>
        <w:tabs>
          <w:tab w:leader="none" w:pos="5600" w:val="left"/>
        </w:tabs>
        <w:rPr>
          <w:sz w:val="20"/>
          <w:szCs w:val="20"/>
          <w:color w:val="auto"/>
        </w:rPr>
      </w:pPr>
      <w:r>
        <w:rPr>
          <w:rFonts w:ascii="Arial" w:cs="Arial" w:eastAsia="Arial" w:hAnsi="Arial"/>
          <w:sz w:val="20"/>
          <w:szCs w:val="20"/>
          <w:b w:val="1"/>
          <w:bCs w:val="1"/>
          <w:u w:val="single" w:color="auto"/>
          <w:color w:val="auto"/>
        </w:rPr>
        <w:t>FORM OF MEMORANDUM OF LEASE</w:t>
      </w:r>
      <w:r>
        <w:rPr>
          <w:sz w:val="20"/>
          <w:szCs w:val="20"/>
          <w:color w:val="auto"/>
        </w:rPr>
        <w:tab/>
      </w:r>
      <w:r>
        <w:rPr>
          <w:rFonts w:ascii="Arial" w:cs="Arial" w:eastAsia="Arial" w:hAnsi="Arial"/>
          <w:sz w:val="16"/>
          <w:szCs w:val="16"/>
          <w:color w:val="auto"/>
        </w:rPr>
        <w:t>Tax Parcel No.:</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Prepared by/Return to:</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Christopher J. Lamb, Esquire</w:t>
      </w:r>
    </w:p>
    <w:p>
      <w:pPr>
        <w:ind w:left="5920"/>
        <w:spacing w:after="0"/>
        <w:rPr>
          <w:sz w:val="20"/>
          <w:szCs w:val="20"/>
          <w:color w:val="auto"/>
        </w:rPr>
      </w:pPr>
      <w:r>
        <w:rPr>
          <w:rFonts w:ascii="Arial" w:cs="Arial" w:eastAsia="Arial" w:hAnsi="Arial"/>
          <w:sz w:val="20"/>
          <w:szCs w:val="20"/>
          <w:color w:val="auto"/>
        </w:rPr>
        <w:t>Troutman Pepper Hamilton Sanders LLP</w:t>
      </w:r>
    </w:p>
    <w:p>
      <w:pPr>
        <w:ind w:left="5920"/>
        <w:spacing w:after="0"/>
        <w:rPr>
          <w:sz w:val="20"/>
          <w:szCs w:val="20"/>
          <w:color w:val="auto"/>
        </w:rPr>
      </w:pPr>
      <w:r>
        <w:rPr>
          <w:rFonts w:ascii="Arial" w:cs="Arial" w:eastAsia="Arial" w:hAnsi="Arial"/>
          <w:sz w:val="20"/>
          <w:szCs w:val="20"/>
          <w:color w:val="auto"/>
        </w:rPr>
        <w:t>1313 Market Street, Suite 5100</w:t>
      </w:r>
    </w:p>
    <w:p>
      <w:pPr>
        <w:ind w:left="5920"/>
        <w:spacing w:after="0"/>
        <w:rPr>
          <w:sz w:val="20"/>
          <w:szCs w:val="20"/>
          <w:color w:val="auto"/>
        </w:rPr>
      </w:pPr>
      <w:r>
        <w:rPr>
          <w:rFonts w:ascii="Arial" w:cs="Arial" w:eastAsia="Arial" w:hAnsi="Arial"/>
          <w:sz w:val="20"/>
          <w:szCs w:val="20"/>
          <w:color w:val="auto"/>
        </w:rPr>
        <w:t>Wilmington, DE 19801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MEMORANDUM OF LEASE</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Memorandum of Lease (</w:t>
      </w:r>
      <w:r>
        <w:rPr>
          <w:rFonts w:ascii="Arial" w:cs="Arial" w:eastAsia="Arial" w:hAnsi="Arial"/>
          <w:sz w:val="18"/>
          <w:szCs w:val="18"/>
          <w:b w:val="1"/>
          <w:bCs w:val="1"/>
          <w:color w:val="auto"/>
        </w:rPr>
        <w:t>“Memorandum”</w:t>
      </w:r>
      <w:r>
        <w:rPr>
          <w:rFonts w:ascii="Arial" w:cs="Arial" w:eastAsia="Arial" w:hAnsi="Arial"/>
          <w:sz w:val="18"/>
          <w:szCs w:val="18"/>
          <w:color w:val="auto"/>
        </w:rPr>
        <w:t>) is made and executed as of this ____ day of ______________, 2021, by and</w:t>
      </w:r>
    </w:p>
    <w:p>
      <w:pPr>
        <w:spacing w:after="0" w:line="4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between CRISP PARTNERS LLC, a Delaware limited liability company with an office at C/O MRA Group, 3 Village Rd., Suite 200, Horsham, PA 19044 (</w:t>
      </w:r>
      <w:r>
        <w:rPr>
          <w:rFonts w:ascii="Arial" w:cs="Arial" w:eastAsia="Arial" w:hAnsi="Arial"/>
          <w:sz w:val="19"/>
          <w:szCs w:val="19"/>
          <w:b w:val="1"/>
          <w:bCs w:val="1"/>
          <w:color w:val="auto"/>
        </w:rPr>
        <w:t>“Lessor”</w:t>
      </w:r>
      <w:r>
        <w:rPr>
          <w:rFonts w:ascii="Arial" w:cs="Arial" w:eastAsia="Arial" w:hAnsi="Arial"/>
          <w:sz w:val="19"/>
          <w:szCs w:val="19"/>
          <w:color w:val="auto"/>
        </w:rPr>
        <w:t>), and PRELUDE THERAPEUTICS INCORPORATED, a Delaware corporation with an office at</w:t>
      </w:r>
    </w:p>
    <w:p>
      <w:pPr>
        <w:spacing w:after="0"/>
        <w:rPr>
          <w:sz w:val="20"/>
          <w:szCs w:val="20"/>
          <w:color w:val="auto"/>
        </w:rPr>
      </w:pPr>
      <w:r>
        <w:rPr>
          <w:rFonts w:ascii="Arial" w:cs="Arial" w:eastAsia="Arial" w:hAnsi="Arial"/>
          <w:sz w:val="20"/>
          <w:szCs w:val="20"/>
          <w:color w:val="auto"/>
        </w:rPr>
        <w:t>________________________________________ (</w:t>
      </w:r>
      <w:r>
        <w:rPr>
          <w:rFonts w:ascii="Arial" w:cs="Arial" w:eastAsia="Arial" w:hAnsi="Arial"/>
          <w:sz w:val="20"/>
          <w:szCs w:val="20"/>
          <w:b w:val="1"/>
          <w:bCs w:val="1"/>
          <w:color w:val="auto"/>
        </w:rPr>
        <w:t>“Lessee”</w:t>
      </w:r>
      <w:r>
        <w:rPr>
          <w:rFonts w:ascii="Arial" w:cs="Arial" w:eastAsia="Arial" w:hAnsi="Arial"/>
          <w:sz w:val="20"/>
          <w:szCs w:val="20"/>
          <w:color w:val="auto"/>
        </w:rPr>
        <w: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Lessor and Lessee have entered into that certain Single-Tenant Triple Net Lease dated ____________ (</w:t>
      </w:r>
      <w:r>
        <w:rPr>
          <w:rFonts w:ascii="Arial" w:cs="Arial" w:eastAsia="Arial" w:hAnsi="Arial"/>
          <w:sz w:val="18"/>
          <w:szCs w:val="18"/>
          <w:b w:val="1"/>
          <w:bCs w:val="1"/>
          <w:color w:val="auto"/>
        </w:rPr>
        <w:t>“Lease”</w:t>
      </w:r>
      <w:r>
        <w:rPr>
          <w:rFonts w:ascii="Arial" w:cs="Arial" w:eastAsia="Arial" w:hAnsi="Arial"/>
          <w:sz w:val="18"/>
          <w:szCs w:val="18"/>
          <w:color w:val="auto"/>
        </w:rPr>
        <w:t>) with respect to</w:t>
      </w:r>
    </w:p>
    <w:p>
      <w:pPr>
        <w:spacing w:after="0" w:line="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certain premises known as Building 709 (the “</w:t>
      </w:r>
      <w:r>
        <w:rPr>
          <w:rFonts w:ascii="Arial" w:cs="Arial" w:eastAsia="Arial" w:hAnsi="Arial"/>
          <w:sz w:val="20"/>
          <w:szCs w:val="20"/>
          <w:b w:val="1"/>
          <w:bCs w:val="1"/>
          <w:color w:val="auto"/>
        </w:rPr>
        <w:t>Leased Premises</w:t>
      </w:r>
      <w:r>
        <w:rPr>
          <w:rFonts w:ascii="Arial" w:cs="Arial" w:eastAsia="Arial" w:hAnsi="Arial"/>
          <w:sz w:val="20"/>
          <w:szCs w:val="20"/>
          <w:color w:val="auto"/>
        </w:rPr>
        <w:t xml:space="preserve">”) located in Chestnut Run Plaza, the City of Wilmington, New Castle County, Delaware as more particularly described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t>
      </w:r>
      <w:r>
        <w:rPr>
          <w:rFonts w:ascii="Arial" w:cs="Arial" w:eastAsia="Arial" w:hAnsi="Arial"/>
          <w:sz w:val="20"/>
          <w:szCs w:val="20"/>
          <w:b w:val="1"/>
          <w:bCs w:val="1"/>
          <w:color w:val="auto"/>
        </w:rPr>
        <w:t>“Property”</w:t>
      </w:r>
      <w:r>
        <w:rPr>
          <w:rFonts w:ascii="Arial" w:cs="Arial" w:eastAsia="Arial" w:hAnsi="Arial"/>
          <w:sz w:val="20"/>
          <w:szCs w:val="20"/>
          <w:color w:val="auto"/>
        </w:rPr>
        <w:t>) for the term and on the terms and conditions set forth therein, including certain easements relating thereto.</w:t>
      </w:r>
    </w:p>
    <w:p>
      <w:pPr>
        <w:spacing w:after="0" w:line="19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Lessor and Lessee desire to give notice of the Lease and of the terms, conditions and provisions thereof, including any easements set forth therein.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NOW, THEREFORE, in consideration of the Lease, Lessor and Lessee agree, as follows:</w:t>
      </w:r>
    </w:p>
    <w:p>
      <w:pPr>
        <w:spacing w:after="0" w:line="216" w:lineRule="exact"/>
        <w:rPr>
          <w:sz w:val="20"/>
          <w:szCs w:val="20"/>
          <w:color w:val="auto"/>
        </w:rPr>
      </w:pPr>
    </w:p>
    <w:p>
      <w:pPr>
        <w:jc w:val="both"/>
        <w:ind w:left="860" w:hanging="784"/>
        <w:spacing w:after="0" w:line="260" w:lineRule="auto"/>
        <w:tabs>
          <w:tab w:leader="none" w:pos="8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u w:val="single" w:color="auto"/>
          <w:color w:val="auto"/>
        </w:rPr>
        <w:t>Lease Agreement</w:t>
      </w:r>
      <w:r>
        <w:rPr>
          <w:rFonts w:ascii="Arial" w:cs="Arial" w:eastAsia="Arial" w:hAnsi="Arial"/>
          <w:sz w:val="20"/>
          <w:szCs w:val="20"/>
          <w:color w:val="auto"/>
        </w:rPr>
        <w:t>. Lessor has leased to Lessee and Lessee has leased from Lessor the Leased Premises, together with</w:t>
      </w:r>
      <w:r>
        <w:rPr>
          <w:rFonts w:ascii="Arial" w:cs="Arial" w:eastAsia="Arial" w:hAnsi="Arial"/>
          <w:sz w:val="20"/>
          <w:szCs w:val="20"/>
          <w:u w:val="single" w:color="auto"/>
          <w:color w:val="auto"/>
        </w:rPr>
        <w:t xml:space="preserve"> </w:t>
      </w:r>
      <w:r>
        <w:rPr>
          <w:rFonts w:ascii="Arial" w:cs="Arial" w:eastAsia="Arial" w:hAnsi="Arial"/>
          <w:sz w:val="20"/>
          <w:szCs w:val="20"/>
          <w:color w:val="auto"/>
        </w:rPr>
        <w:t>certain rights and appurtenances thereto, on and subject to the terms and provisions set forth in the Lease.</w:t>
      </w:r>
    </w:p>
    <w:p>
      <w:pPr>
        <w:spacing w:after="0" w:line="177"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The term of the Lease commences on ____________ and expires on ____________, unless sooner terminated</w:t>
      </w:r>
    </w:p>
    <w:p>
      <w:pPr>
        <w:spacing w:after="0" w:line="3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pursuant to the provisions thereof.</w:t>
      </w:r>
    </w:p>
    <w:p>
      <w:pPr>
        <w:spacing w:after="0" w:line="200" w:lineRule="exact"/>
        <w:rPr>
          <w:sz w:val="20"/>
          <w:szCs w:val="20"/>
          <w:color w:val="auto"/>
        </w:rPr>
      </w:pPr>
    </w:p>
    <w:p>
      <w:pPr>
        <w:jc w:val="both"/>
        <w:ind w:left="860" w:hanging="784"/>
        <w:spacing w:after="0" w:line="257" w:lineRule="auto"/>
        <w:tabs>
          <w:tab w:leader="none" w:pos="8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9"/>
          <w:szCs w:val="19"/>
          <w:u w:val="single" w:color="auto"/>
          <w:color w:val="auto"/>
        </w:rPr>
        <w:t>Notice; Lessee Options and Rights</w:t>
      </w:r>
      <w:r>
        <w:rPr>
          <w:rFonts w:ascii="Arial" w:cs="Arial" w:eastAsia="Arial" w:hAnsi="Arial"/>
          <w:sz w:val="19"/>
          <w:szCs w:val="19"/>
          <w:color w:val="auto"/>
        </w:rPr>
        <w:t>. The purpose of this Memorandum is to give notice of the Lease and of all</w:t>
      </w:r>
      <w:r>
        <w:rPr>
          <w:rFonts w:ascii="Arial" w:cs="Arial" w:eastAsia="Arial" w:hAnsi="Arial"/>
          <w:sz w:val="19"/>
          <w:szCs w:val="19"/>
          <w:u w:val="single" w:color="auto"/>
          <w:color w:val="auto"/>
        </w:rPr>
        <w:t xml:space="preserve"> </w:t>
      </w:r>
      <w:r>
        <w:rPr>
          <w:rFonts w:ascii="Arial" w:cs="Arial" w:eastAsia="Arial" w:hAnsi="Arial"/>
          <w:sz w:val="19"/>
          <w:szCs w:val="19"/>
          <w:color w:val="auto"/>
        </w:rPr>
        <w:t>provisions thereof to the same extent as if fully set forth herein. Lessee has the following options pursuant to the express terms and conditions set forth in the Lease: options to renew for three (3) periods of sixty (60) months each, an option to expand the building where the Leased Premises is located, an option to relocate within the Property, a right of first offer to lease space in Building 700 of the Property. In addition, per the express terms and conditions of the Lease, Lessee has rights with respect to certain amenities to be located in Building 700 at the Property. If Lessor subdivides the Property, Lessor must enter into commercially reasonable CC&amp;Rs upon the express terms and conditions of the Lease.</w:t>
      </w:r>
    </w:p>
    <w:p>
      <w:pPr>
        <w:spacing w:after="0" w:line="185" w:lineRule="exact"/>
        <w:rPr>
          <w:sz w:val="20"/>
          <w:szCs w:val="20"/>
          <w:color w:val="auto"/>
        </w:rPr>
      </w:pPr>
    </w:p>
    <w:p>
      <w:pPr>
        <w:jc w:val="both"/>
        <w:ind w:left="860" w:hanging="784"/>
        <w:spacing w:after="0" w:line="291" w:lineRule="auto"/>
        <w:tabs>
          <w:tab w:leader="none" w:pos="8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8"/>
          <w:szCs w:val="18"/>
          <w:u w:val="single" w:color="auto"/>
          <w:color w:val="auto"/>
        </w:rPr>
        <w:t>Memorandum of Lease Termination</w:t>
      </w:r>
      <w:r>
        <w:rPr>
          <w:rFonts w:ascii="Arial" w:cs="Arial" w:eastAsia="Arial" w:hAnsi="Arial"/>
          <w:sz w:val="18"/>
          <w:szCs w:val="18"/>
          <w:color w:val="auto"/>
        </w:rPr>
        <w:t>. Upon the expiration or earlier termination of the Lease, Lessee shall, within 10</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days after request from Lessor, execute a </w:t>
      </w:r>
      <w:r>
        <w:rPr>
          <w:rFonts w:ascii="Arial" w:cs="Arial" w:eastAsia="Arial" w:hAnsi="Arial"/>
          <w:sz w:val="18"/>
          <w:szCs w:val="18"/>
          <w:b w:val="1"/>
          <w:bCs w:val="1"/>
          <w:color w:val="auto"/>
        </w:rPr>
        <w:t>“Memorandum of Lease Termination”</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or in such form as may be required under any applicable laws of the governmental authorities having jurisdiction over the Premises.</w:t>
      </w:r>
    </w:p>
    <w:p>
      <w:pPr>
        <w:spacing w:after="0" w:line="368"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N</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66" w:name="page267"/>
    <w:bookmarkEnd w:id="266"/>
    <w:p>
      <w:pPr>
        <w:jc w:val="both"/>
        <w:ind w:left="860" w:hanging="784"/>
        <w:spacing w:after="0" w:line="244" w:lineRule="auto"/>
        <w:tabs>
          <w:tab w:leader="none" w:pos="8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20"/>
          <w:szCs w:val="20"/>
          <w:u w:val="single" w:color="auto"/>
          <w:color w:val="auto"/>
        </w:rPr>
        <w:t>Miscellaneous</w:t>
      </w:r>
      <w:r>
        <w:rPr>
          <w:rFonts w:ascii="Arial" w:cs="Arial" w:eastAsia="Arial" w:hAnsi="Arial"/>
          <w:sz w:val="20"/>
          <w:szCs w:val="20"/>
          <w:color w:val="auto"/>
        </w:rPr>
        <w:t>. All of the terms, conditions and covenants in the Lease are hereby made a part hereof with the same</w:t>
      </w:r>
      <w:r>
        <w:rPr>
          <w:rFonts w:ascii="Arial" w:cs="Arial" w:eastAsia="Arial" w:hAnsi="Arial"/>
          <w:sz w:val="20"/>
          <w:szCs w:val="20"/>
          <w:u w:val="single" w:color="auto"/>
          <w:color w:val="auto"/>
        </w:rPr>
        <w:t xml:space="preserve"> </w:t>
      </w:r>
      <w:r>
        <w:rPr>
          <w:rFonts w:ascii="Arial" w:cs="Arial" w:eastAsia="Arial" w:hAnsi="Arial"/>
          <w:sz w:val="20"/>
          <w:szCs w:val="20"/>
          <w:color w:val="auto"/>
        </w:rPr>
        <w:t>force and effect as if herein set forth at length. In the event of any conflict between the terms hereof and the terms of the Lease, the terms of the Lease shall govern. Nothing contained herein is intended to modify or alter the terms, conditions or provisions of the Lease. This Memorandum may be executed in counterparts, each of which shall be deemed to constitute an original, but which taken together shall constitute one original agreement.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WITNESS WHEREOF, the parties hereto have executed and delivered this Memorandum of Lease as of the date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324"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Name:</w:t>
      </w:r>
    </w:p>
    <w:p>
      <w:pPr>
        <w:ind w:left="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324"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Name:</w:t>
      </w:r>
    </w:p>
    <w:p>
      <w:pPr>
        <w:ind w:left="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[Appropriate Acknowledgements to be added]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N</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0"/>
          <w:szCs w:val="20"/>
          <w:b w:val="1"/>
          <w:bCs w:val="1"/>
          <w:color w:val="auto"/>
        </w:rPr>
        <w:t>Exhibit 10.11</w:t>
      </w:r>
    </w:p>
    <w:p>
      <w:pPr>
        <w:spacing w:after="0" w:line="217"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EXHIBIT A TO MEMORANDUM OF LEASE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16"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20"/>
          <w:szCs w:val="20"/>
          <w:b w:val="1"/>
          <w:bCs w:val="1"/>
          <w:color w:val="auto"/>
        </w:rPr>
        <w:t>Exhibit 10.11</w:t>
      </w:r>
    </w:p>
    <w:p>
      <w:pPr>
        <w:spacing w:after="0" w:line="217"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EXHIBIT B TO MEMORANDUM OF LEASE</w:t>
      </w:r>
    </w:p>
    <w:p>
      <w:pPr>
        <w:spacing w:after="0" w:line="216" w:lineRule="exact"/>
        <w:rPr>
          <w:sz w:val="20"/>
          <w:szCs w:val="20"/>
          <w:color w:val="auto"/>
        </w:rPr>
      </w:pPr>
    </w:p>
    <w:p>
      <w:pPr>
        <w:spacing w:after="0"/>
        <w:tabs>
          <w:tab w:leader="none" w:pos="5600" w:val="left"/>
        </w:tabs>
        <w:rPr>
          <w:sz w:val="20"/>
          <w:szCs w:val="20"/>
          <w:color w:val="auto"/>
        </w:rPr>
      </w:pPr>
      <w:r>
        <w:rPr>
          <w:rFonts w:ascii="Arial" w:cs="Arial" w:eastAsia="Arial" w:hAnsi="Arial"/>
          <w:sz w:val="20"/>
          <w:szCs w:val="20"/>
          <w:b w:val="1"/>
          <w:bCs w:val="1"/>
          <w:u w:val="single" w:color="auto"/>
          <w:color w:val="auto"/>
        </w:rPr>
        <w:t>FORM OF MEMORANDUM OF LEASE TERMINATION</w:t>
      </w:r>
      <w:r>
        <w:rPr>
          <w:sz w:val="20"/>
          <w:szCs w:val="20"/>
          <w:color w:val="auto"/>
        </w:rPr>
        <w:tab/>
      </w:r>
      <w:r>
        <w:rPr>
          <w:rFonts w:ascii="Arial" w:cs="Arial" w:eastAsia="Arial" w:hAnsi="Arial"/>
          <w:sz w:val="16"/>
          <w:szCs w:val="16"/>
          <w:color w:val="auto"/>
        </w:rPr>
        <w:t>Tax Parcel No.:</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Prepared by/Return to:</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Christopher J. Lamb, Esquire</w:t>
      </w:r>
    </w:p>
    <w:p>
      <w:pPr>
        <w:ind w:left="5920"/>
        <w:spacing w:after="0"/>
        <w:rPr>
          <w:sz w:val="20"/>
          <w:szCs w:val="20"/>
          <w:color w:val="auto"/>
        </w:rPr>
      </w:pPr>
      <w:r>
        <w:rPr>
          <w:rFonts w:ascii="Arial" w:cs="Arial" w:eastAsia="Arial" w:hAnsi="Arial"/>
          <w:sz w:val="20"/>
          <w:szCs w:val="20"/>
          <w:color w:val="auto"/>
        </w:rPr>
        <w:t>Troutman Pepper Hamilton Sanders LLP</w:t>
      </w:r>
    </w:p>
    <w:p>
      <w:pPr>
        <w:ind w:left="5920"/>
        <w:spacing w:after="0"/>
        <w:rPr>
          <w:sz w:val="20"/>
          <w:szCs w:val="20"/>
          <w:color w:val="auto"/>
        </w:rPr>
      </w:pPr>
      <w:r>
        <w:rPr>
          <w:rFonts w:ascii="Arial" w:cs="Arial" w:eastAsia="Arial" w:hAnsi="Arial"/>
          <w:sz w:val="20"/>
          <w:szCs w:val="20"/>
          <w:color w:val="auto"/>
        </w:rPr>
        <w:t>1313 Market Street, Suite 5100</w:t>
      </w:r>
    </w:p>
    <w:p>
      <w:pPr>
        <w:ind w:left="5920"/>
        <w:spacing w:after="0"/>
        <w:rPr>
          <w:sz w:val="20"/>
          <w:szCs w:val="20"/>
          <w:color w:val="auto"/>
        </w:rPr>
      </w:pPr>
      <w:r>
        <w:rPr>
          <w:rFonts w:ascii="Arial" w:cs="Arial" w:eastAsia="Arial" w:hAnsi="Arial"/>
          <w:sz w:val="20"/>
          <w:szCs w:val="20"/>
          <w:color w:val="auto"/>
        </w:rPr>
        <w:t>Wilmington, DE 19801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MEMORANDUM OF LEASE TERMINATION</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Memorandum of Lease Termination (</w:t>
      </w:r>
      <w:r>
        <w:rPr>
          <w:rFonts w:ascii="Arial" w:cs="Arial" w:eastAsia="Arial" w:hAnsi="Arial"/>
          <w:sz w:val="18"/>
          <w:szCs w:val="18"/>
          <w:b w:val="1"/>
          <w:bCs w:val="1"/>
          <w:color w:val="auto"/>
        </w:rPr>
        <w:t>“Termination”</w:t>
      </w:r>
      <w:r>
        <w:rPr>
          <w:rFonts w:ascii="Arial" w:cs="Arial" w:eastAsia="Arial" w:hAnsi="Arial"/>
          <w:sz w:val="18"/>
          <w:szCs w:val="18"/>
          <w:color w:val="auto"/>
        </w:rPr>
        <w:t>) is made and executed as of this ____ day of _____________, 2021, by</w:t>
      </w:r>
    </w:p>
    <w:p>
      <w:pPr>
        <w:spacing w:after="0" w:line="45"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and between CRISP PARTNERS LLC, a Delaware limited liability company with an office at C/O MRA Group, 3 Village Rd., Suite 200, Horsham, PA 19044 (</w:t>
      </w:r>
      <w:r>
        <w:rPr>
          <w:rFonts w:ascii="Arial" w:cs="Arial" w:eastAsia="Arial" w:hAnsi="Arial"/>
          <w:sz w:val="19"/>
          <w:szCs w:val="19"/>
          <w:b w:val="1"/>
          <w:bCs w:val="1"/>
          <w:color w:val="auto"/>
        </w:rPr>
        <w:t>“Lessor”</w:t>
      </w:r>
      <w:r>
        <w:rPr>
          <w:rFonts w:ascii="Arial" w:cs="Arial" w:eastAsia="Arial" w:hAnsi="Arial"/>
          <w:sz w:val="19"/>
          <w:szCs w:val="19"/>
          <w:color w:val="auto"/>
        </w:rPr>
        <w:t>), and PRELUDE THERAPEUTICS INCORPORATED, a Delaware corporation with an office at</w:t>
      </w:r>
    </w:p>
    <w:p>
      <w:pPr>
        <w:spacing w:after="0"/>
        <w:rPr>
          <w:sz w:val="20"/>
          <w:szCs w:val="20"/>
          <w:color w:val="auto"/>
        </w:rPr>
      </w:pPr>
      <w:r>
        <w:rPr>
          <w:rFonts w:ascii="Arial" w:cs="Arial" w:eastAsia="Arial" w:hAnsi="Arial"/>
          <w:sz w:val="20"/>
          <w:szCs w:val="20"/>
          <w:color w:val="auto"/>
        </w:rPr>
        <w:t>_______________________________ (</w:t>
      </w:r>
      <w:r>
        <w:rPr>
          <w:rFonts w:ascii="Arial" w:cs="Arial" w:eastAsia="Arial" w:hAnsi="Arial"/>
          <w:sz w:val="20"/>
          <w:szCs w:val="20"/>
          <w:b w:val="1"/>
          <w:bCs w:val="1"/>
          <w:color w:val="auto"/>
        </w:rPr>
        <w:t>“Lessee”</w:t>
      </w:r>
      <w:r>
        <w:rPr>
          <w:rFonts w:ascii="Arial" w:cs="Arial" w:eastAsia="Arial" w:hAnsi="Arial"/>
          <w:sz w:val="20"/>
          <w:szCs w:val="20"/>
          <w:color w:val="auto"/>
        </w:rPr>
        <w: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Lessor and Lessee have entered into that certain Single-Tenant Triple Net Lease dated ______________ (</w:t>
      </w:r>
      <w:r>
        <w:rPr>
          <w:rFonts w:ascii="Arial" w:cs="Arial" w:eastAsia="Arial" w:hAnsi="Arial"/>
          <w:sz w:val="16"/>
          <w:szCs w:val="16"/>
          <w:b w:val="1"/>
          <w:bCs w:val="1"/>
          <w:color w:val="auto"/>
        </w:rPr>
        <w:t>“Lease”</w:t>
      </w:r>
      <w:r>
        <w:rPr>
          <w:rFonts w:ascii="Arial" w:cs="Arial" w:eastAsia="Arial" w:hAnsi="Arial"/>
          <w:sz w:val="16"/>
          <w:szCs w:val="16"/>
          <w:color w:val="auto"/>
        </w:rPr>
        <w:t>) with respect to</w:t>
      </w:r>
    </w:p>
    <w:p>
      <w:pPr>
        <w:spacing w:after="0" w:line="68"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certain premises (the “</w:t>
      </w:r>
      <w:r>
        <w:rPr>
          <w:rFonts w:ascii="Arial" w:cs="Arial" w:eastAsia="Arial" w:hAnsi="Arial"/>
          <w:sz w:val="18"/>
          <w:szCs w:val="18"/>
          <w:b w:val="1"/>
          <w:bCs w:val="1"/>
          <w:color w:val="auto"/>
        </w:rPr>
        <w:t>Leased Premises</w:t>
      </w:r>
      <w:r>
        <w:rPr>
          <w:rFonts w:ascii="Arial" w:cs="Arial" w:eastAsia="Arial" w:hAnsi="Arial"/>
          <w:sz w:val="18"/>
          <w:szCs w:val="18"/>
          <w:color w:val="auto"/>
        </w:rPr>
        <w:t xml:space="preserve">”) located in the City of Wilmington, New Castle County, Delaware as more particularly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color w:val="auto"/>
        </w:rPr>
        <w:t>) for the term and on the terms and conditions set forth therein, including certain easements relating thereto.</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A  Memorandum  of  Lease  dated  as  of  _______________,  20__  (the  </w:t>
      </w:r>
      <w:r>
        <w:rPr>
          <w:rFonts w:ascii="Arial" w:cs="Arial" w:eastAsia="Arial" w:hAnsi="Arial"/>
          <w:sz w:val="18"/>
          <w:szCs w:val="18"/>
          <w:b w:val="1"/>
          <w:bCs w:val="1"/>
          <w:color w:val="auto"/>
        </w:rPr>
        <w:t>“Memorandum”</w:t>
      </w:r>
      <w:r>
        <w:rPr>
          <w:rFonts w:ascii="Arial" w:cs="Arial" w:eastAsia="Arial" w:hAnsi="Arial"/>
          <w:sz w:val="18"/>
          <w:szCs w:val="18"/>
          <w:color w:val="auto"/>
        </w:rPr>
        <w:t>)  was  subsequently  recorded  in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NOW, THEREFORE, in consideration of the Lease, Lessor and Lessee agree, as follows:</w:t>
      </w:r>
    </w:p>
    <w:p>
      <w:pPr>
        <w:spacing w:after="0" w:line="216" w:lineRule="exact"/>
        <w:rPr>
          <w:sz w:val="20"/>
          <w:szCs w:val="20"/>
          <w:color w:val="auto"/>
        </w:rPr>
      </w:pPr>
    </w:p>
    <w:p>
      <w:pPr>
        <w:jc w:val="both"/>
        <w:ind w:left="860" w:hanging="784"/>
        <w:spacing w:after="0" w:line="244" w:lineRule="auto"/>
        <w:tabs>
          <w:tab w:leader="none" w:pos="8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u w:val="single" w:color="auto"/>
          <w:color w:val="auto"/>
        </w:rPr>
        <w:t>Termination of Memorandum</w:t>
      </w:r>
      <w:r>
        <w:rPr>
          <w:rFonts w:ascii="Arial" w:cs="Arial" w:eastAsia="Arial" w:hAnsi="Arial"/>
          <w:sz w:val="20"/>
          <w:szCs w:val="20"/>
          <w:color w:val="auto"/>
        </w:rPr>
        <w:t>. The Lease has terminated or expired in accordance with the terms and conditions more</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particularly set forth therein, and Lessor and Lessee wish to confirm such termination or expiration and to terminate the Memorandum of record by executing and recording this Termination. Therefore, in consideration of the Premises and intending to be legally bound, the parties hereto agree that the Lease has terminated and, accordingly, the Memorandum should be and is hereby terminated of record and of no further force and effect.</w:t>
      </w:r>
    </w:p>
    <w:p>
      <w:pPr>
        <w:spacing w:after="0" w:line="194" w:lineRule="exact"/>
        <w:rPr>
          <w:sz w:val="20"/>
          <w:szCs w:val="20"/>
          <w:color w:val="auto"/>
        </w:rPr>
      </w:pPr>
    </w:p>
    <w:p>
      <w:pPr>
        <w:jc w:val="both"/>
        <w:ind w:left="860" w:hanging="784"/>
        <w:spacing w:after="0" w:line="250" w:lineRule="auto"/>
        <w:tabs>
          <w:tab w:leader="none" w:pos="8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20"/>
          <w:szCs w:val="20"/>
          <w:u w:val="single" w:color="auto"/>
          <w:color w:val="auto"/>
        </w:rPr>
        <w:t>Miscellaneous</w:t>
      </w:r>
      <w:r>
        <w:rPr>
          <w:rFonts w:ascii="Arial" w:cs="Arial" w:eastAsia="Arial" w:hAnsi="Arial"/>
          <w:sz w:val="20"/>
          <w:szCs w:val="20"/>
          <w:color w:val="auto"/>
        </w:rPr>
        <w:t>. This Termination shall be binding upon, and shall inure to the benefit of, Lessor and Lessee and their</w:t>
      </w:r>
      <w:r>
        <w:rPr>
          <w:rFonts w:ascii="Arial" w:cs="Arial" w:eastAsia="Arial" w:hAnsi="Arial"/>
          <w:sz w:val="20"/>
          <w:szCs w:val="20"/>
          <w:u w:val="single" w:color="auto"/>
          <w:color w:val="auto"/>
        </w:rPr>
        <w:t xml:space="preserve"> </w:t>
      </w:r>
      <w:r>
        <w:rPr>
          <w:rFonts w:ascii="Arial" w:cs="Arial" w:eastAsia="Arial" w:hAnsi="Arial"/>
          <w:sz w:val="20"/>
          <w:szCs w:val="20"/>
          <w:color w:val="auto"/>
        </w:rPr>
        <w:t>respective successors and assigns. This Termination may be executed in counterparts, each of which shall be deemed to constitute an original, but which taken together shall constitute one original agreement.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N</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69" w:name="page270"/>
    <w:bookmarkEnd w:id="269"/>
    <w:p>
      <w:pPr>
        <w:ind w:firstLine="864"/>
        <w:spacing w:after="0" w:line="260" w:lineRule="auto"/>
        <w:rPr>
          <w:sz w:val="20"/>
          <w:szCs w:val="20"/>
          <w:color w:val="auto"/>
        </w:rPr>
      </w:pPr>
      <w:r>
        <w:rPr>
          <w:rFonts w:ascii="Arial" w:cs="Arial" w:eastAsia="Arial" w:hAnsi="Arial"/>
          <w:sz w:val="20"/>
          <w:szCs w:val="20"/>
          <w:color w:val="auto"/>
        </w:rPr>
        <w:t>IN WITNESS WHEREOF, the parties hereto have executed and delivered this Memorandum of Lease Termination as of the date first above written.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324"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Name:</w:t>
      </w:r>
    </w:p>
    <w:p>
      <w:pPr>
        <w:ind w:left="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324"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Name:</w:t>
      </w:r>
    </w:p>
    <w:p>
      <w:pPr>
        <w:ind w:left="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[Appropriate Acknowledgements to be added]</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N</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20"/>
          <w:szCs w:val="20"/>
          <w:b w:val="1"/>
          <w:bCs w:val="1"/>
          <w:color w:val="auto"/>
        </w:rPr>
        <w:t>Exhibit 10.11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OPERATING EXPENSES EXCLUSIONS</w:t>
      </w:r>
    </w:p>
    <w:p>
      <w:pPr>
        <w:spacing w:after="0" w:line="222" w:lineRule="exact"/>
        <w:rPr>
          <w:sz w:val="20"/>
          <w:szCs w:val="20"/>
          <w:color w:val="auto"/>
        </w:rPr>
      </w:pPr>
    </w:p>
    <w:p>
      <w:pPr>
        <w:ind w:left="800" w:hanging="792"/>
        <w:spacing w:after="0"/>
        <w:tabs>
          <w:tab w:leader="none" w:pos="8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depreciation and amortization of the Building or Project and any equipment;</w:t>
      </w:r>
    </w:p>
    <w:p>
      <w:pPr>
        <w:spacing w:after="0" w:line="15" w:lineRule="exact"/>
        <w:rPr>
          <w:rFonts w:ascii="Arial" w:cs="Arial" w:eastAsia="Arial" w:hAnsi="Arial"/>
          <w:sz w:val="20"/>
          <w:szCs w:val="20"/>
          <w:color w:val="auto"/>
        </w:rPr>
      </w:pPr>
    </w:p>
    <w:p>
      <w:pPr>
        <w:ind w:right="80" w:firstLine="8"/>
        <w:spacing w:after="0" w:line="239" w:lineRule="auto"/>
        <w:tabs>
          <w:tab w:leader="none" w:pos="796" w:val="left"/>
        </w:tabs>
        <w:numPr>
          <w:ilvl w:val="0"/>
          <w:numId w:val="226"/>
        </w:numPr>
        <w:rPr>
          <w:rFonts w:ascii="Arial" w:cs="Arial" w:eastAsia="Arial" w:hAnsi="Arial"/>
          <w:sz w:val="20"/>
          <w:szCs w:val="20"/>
          <w:color w:val="auto"/>
        </w:rPr>
      </w:pPr>
      <w:r>
        <w:rPr>
          <w:rFonts w:ascii="Arial" w:cs="Arial" w:eastAsia="Arial" w:hAnsi="Arial"/>
          <w:sz w:val="20"/>
          <w:szCs w:val="20"/>
          <w:color w:val="auto"/>
        </w:rPr>
        <w:t>the cost of the design, construction, renovation, redecorating or other preparation of tenant improvements for Tenant or other tenants or prospective tenants of the Building or Project (including, without limitation, design fees for space planning and all third-party fees and charges, permit, license and inspection fees) and allowances therefor;</w:t>
      </w:r>
    </w:p>
    <w:p>
      <w:pPr>
        <w:spacing w:after="0" w:line="1" w:lineRule="exact"/>
        <w:rPr>
          <w:rFonts w:ascii="Arial" w:cs="Arial" w:eastAsia="Arial" w:hAnsi="Arial"/>
          <w:sz w:val="20"/>
          <w:szCs w:val="20"/>
          <w:color w:val="auto"/>
        </w:rPr>
      </w:pPr>
    </w:p>
    <w:p>
      <w:pPr>
        <w:ind w:right="240" w:firstLine="8"/>
        <w:spacing w:after="0" w:line="239" w:lineRule="auto"/>
        <w:tabs>
          <w:tab w:leader="none" w:pos="796" w:val="left"/>
        </w:tabs>
        <w:numPr>
          <w:ilvl w:val="0"/>
          <w:numId w:val="226"/>
        </w:numPr>
        <w:rPr>
          <w:rFonts w:ascii="Arial" w:cs="Arial" w:eastAsia="Arial" w:hAnsi="Arial"/>
          <w:sz w:val="20"/>
          <w:szCs w:val="20"/>
          <w:color w:val="auto"/>
        </w:rPr>
      </w:pPr>
      <w:r>
        <w:rPr>
          <w:rFonts w:ascii="Arial" w:cs="Arial" w:eastAsia="Arial" w:hAnsi="Arial"/>
          <w:sz w:val="20"/>
          <w:szCs w:val="20"/>
          <w:color w:val="auto"/>
        </w:rPr>
        <w:t>expenses incurred by Landlord to lease space to new tenants or to retain existing tenants, including, without limitation, legal fees and disbursements, leasing commissions, and advertising, marketing and promotional expenses;</w:t>
      </w:r>
    </w:p>
    <w:p>
      <w:pPr>
        <w:ind w:right="760" w:firstLine="8"/>
        <w:spacing w:after="0" w:line="239" w:lineRule="auto"/>
        <w:tabs>
          <w:tab w:leader="none" w:pos="796" w:val="left"/>
        </w:tabs>
        <w:numPr>
          <w:ilvl w:val="0"/>
          <w:numId w:val="226"/>
        </w:numPr>
        <w:rPr>
          <w:rFonts w:ascii="Arial" w:cs="Arial" w:eastAsia="Arial" w:hAnsi="Arial"/>
          <w:sz w:val="20"/>
          <w:szCs w:val="20"/>
          <w:color w:val="auto"/>
        </w:rPr>
      </w:pPr>
      <w:r>
        <w:rPr>
          <w:rFonts w:ascii="Arial" w:cs="Arial" w:eastAsia="Arial" w:hAnsi="Arial"/>
          <w:sz w:val="20"/>
          <w:szCs w:val="20"/>
          <w:color w:val="auto"/>
        </w:rPr>
        <w:t>costs of items considered capital repairs, replacements, improvements and equipment under GAAP consistently applied or otherwise, except for Permitted Capital Items;</w:t>
      </w:r>
    </w:p>
    <w:p>
      <w:pPr>
        <w:ind w:right="220" w:firstLine="8"/>
        <w:spacing w:after="0" w:line="239" w:lineRule="auto"/>
        <w:tabs>
          <w:tab w:leader="none" w:pos="796" w:val="left"/>
        </w:tabs>
        <w:numPr>
          <w:ilvl w:val="0"/>
          <w:numId w:val="226"/>
        </w:numPr>
        <w:rPr>
          <w:rFonts w:ascii="Arial" w:cs="Arial" w:eastAsia="Arial" w:hAnsi="Arial"/>
          <w:sz w:val="20"/>
          <w:szCs w:val="20"/>
          <w:color w:val="auto"/>
        </w:rPr>
      </w:pPr>
      <w:r>
        <w:rPr>
          <w:rFonts w:ascii="Arial" w:cs="Arial" w:eastAsia="Arial" w:hAnsi="Arial"/>
          <w:sz w:val="20"/>
          <w:szCs w:val="20"/>
          <w:color w:val="auto"/>
        </w:rPr>
        <w:t>rentals for items which if purchased, rather than rented, would constitute a capital improvement which is specifically excluded in clause 4 above;</w:t>
      </w:r>
    </w:p>
    <w:p>
      <w:pPr>
        <w:ind w:left="800" w:hanging="792"/>
        <w:spacing w:after="0"/>
        <w:tabs>
          <w:tab w:leader="none" w:pos="8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rent value or rental for any property manager’s offices in the Building or Project;</w:t>
      </w:r>
    </w:p>
    <w:p>
      <w:pPr>
        <w:ind w:right="40" w:firstLine="8"/>
        <w:spacing w:after="0" w:line="239" w:lineRule="auto"/>
        <w:tabs>
          <w:tab w:leader="none" w:pos="796" w:val="left"/>
        </w:tabs>
        <w:numPr>
          <w:ilvl w:val="0"/>
          <w:numId w:val="226"/>
        </w:numPr>
        <w:rPr>
          <w:rFonts w:ascii="Arial" w:cs="Arial" w:eastAsia="Arial" w:hAnsi="Arial"/>
          <w:sz w:val="20"/>
          <w:szCs w:val="20"/>
          <w:color w:val="auto"/>
        </w:rPr>
      </w:pPr>
      <w:r>
        <w:rPr>
          <w:rFonts w:ascii="Arial" w:cs="Arial" w:eastAsia="Arial" w:hAnsi="Arial"/>
          <w:sz w:val="20"/>
          <w:szCs w:val="20"/>
          <w:color w:val="auto"/>
        </w:rPr>
        <w:t>wages, salaries, reimbursable expenses, benefits and other compensation of any personnel above the grade of General Manager and of any officers, trustees, members or partners of Landlord, and Landlord’s general overhead expenses;</w:t>
      </w:r>
    </w:p>
    <w:p>
      <w:pPr>
        <w:ind w:left="800" w:hanging="792"/>
        <w:spacing w:after="0"/>
        <w:tabs>
          <w:tab w:leader="none" w:pos="8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management and administrative fees other than the Permitted Management Fee;</w:t>
      </w:r>
    </w:p>
    <w:p>
      <w:pPr>
        <w:ind w:left="800" w:hanging="792"/>
        <w:spacing w:after="0"/>
        <w:tabs>
          <w:tab w:leader="none" w:pos="8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reserves;</w:t>
      </w:r>
    </w:p>
    <w:p>
      <w:pPr>
        <w:ind w:right="220" w:firstLine="8"/>
        <w:spacing w:after="0" w:line="239" w:lineRule="auto"/>
        <w:tabs>
          <w:tab w:leader="none" w:pos="895" w:val="left"/>
        </w:tabs>
        <w:numPr>
          <w:ilvl w:val="0"/>
          <w:numId w:val="226"/>
        </w:numPr>
        <w:rPr>
          <w:rFonts w:ascii="Arial" w:cs="Arial" w:eastAsia="Arial" w:hAnsi="Arial"/>
          <w:sz w:val="20"/>
          <w:szCs w:val="20"/>
          <w:color w:val="auto"/>
        </w:rPr>
      </w:pPr>
      <w:r>
        <w:rPr>
          <w:rFonts w:ascii="Arial" w:cs="Arial" w:eastAsia="Arial" w:hAnsi="Arial"/>
          <w:sz w:val="20"/>
          <w:szCs w:val="20"/>
          <w:color w:val="auto"/>
        </w:rPr>
        <w:t>any costs or expenses allocable to the Building due to any declaration of covenants or restrictions to which the Premises may be subject, to the extent otherwise excluded from Operating Expenses pursuant to this Lease;</w:t>
      </w:r>
    </w:p>
    <w:p>
      <w:pPr>
        <w:ind w:right="160" w:firstLine="8"/>
        <w:spacing w:after="0" w:line="266" w:lineRule="auto"/>
        <w:tabs>
          <w:tab w:leader="none" w:pos="88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legal, accounting or other professional fees incurred in connection with negotiating, preparing or enforcing leases or lease terms, amendments of leases, terminations of leases or extensions of leases, proceedings against any tenant (including Tenant) relating to the collection of rent or other sums due to Landlord from such tenant or any other disputes with any tenant (including Tenant);</w:t>
      </w:r>
    </w:p>
    <w:p>
      <w:pPr>
        <w:ind w:right="40" w:firstLine="8"/>
        <w:spacing w:after="0" w:line="252" w:lineRule="auto"/>
        <w:tabs>
          <w:tab w:leader="none" w:pos="895" w:val="left"/>
        </w:tabs>
        <w:numPr>
          <w:ilvl w:val="0"/>
          <w:numId w:val="226"/>
        </w:numPr>
        <w:rPr>
          <w:rFonts w:ascii="Arial" w:cs="Arial" w:eastAsia="Arial" w:hAnsi="Arial"/>
          <w:sz w:val="19"/>
          <w:szCs w:val="19"/>
          <w:color w:val="auto"/>
        </w:rPr>
      </w:pPr>
      <w:r>
        <w:rPr>
          <w:rFonts w:ascii="Arial" w:cs="Arial" w:eastAsia="Arial" w:hAnsi="Arial"/>
          <w:sz w:val="19"/>
          <w:szCs w:val="19"/>
          <w:color w:val="auto"/>
        </w:rPr>
        <w:t>legal costs incurred in connection with the development, construction, alteration or improvement of the Building or the Project, or legal, auditing, accounting or other professional fees not allocated to the operation or management of the Project;</w:t>
      </w:r>
    </w:p>
    <w:p>
      <w:pPr>
        <w:ind w:left="900" w:hanging="892"/>
        <w:spacing w:after="0"/>
        <w:tabs>
          <w:tab w:leader="none" w:pos="9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costs associated with the creation of any ground lease and any rental under any ground or underlying lease;</w:t>
      </w:r>
    </w:p>
    <w:p>
      <w:pPr>
        <w:ind w:right="180" w:firstLine="8"/>
        <w:spacing w:after="0" w:line="239" w:lineRule="auto"/>
        <w:tabs>
          <w:tab w:leader="none" w:pos="895" w:val="left"/>
        </w:tabs>
        <w:numPr>
          <w:ilvl w:val="0"/>
          <w:numId w:val="226"/>
        </w:numPr>
        <w:rPr>
          <w:rFonts w:ascii="Arial" w:cs="Arial" w:eastAsia="Arial" w:hAnsi="Arial"/>
          <w:sz w:val="20"/>
          <w:szCs w:val="20"/>
          <w:color w:val="auto"/>
        </w:rPr>
      </w:pPr>
      <w:r>
        <w:rPr>
          <w:rFonts w:ascii="Arial" w:cs="Arial" w:eastAsia="Arial" w:hAnsi="Arial"/>
          <w:sz w:val="20"/>
          <w:szCs w:val="20"/>
          <w:color w:val="auto"/>
        </w:rPr>
        <w:t>interest, principal, and fees on or with respect to any mortgage encumbering the Building or Project, and any costs and expenses in connection with any financing or refinancing of the Building or Project;</w:t>
      </w:r>
    </w:p>
    <w:p>
      <w:pPr>
        <w:ind w:right="140" w:firstLine="8"/>
        <w:spacing w:after="0" w:line="266" w:lineRule="auto"/>
        <w:tabs>
          <w:tab w:leader="none" w:pos="89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repairs or improvements paid for from the proceeds of insurance (or which would have been paid from the proceeds of insurance required to be carried by Landlord under this Lease if Landlord has failed to carry such insurance, or which would have been paid from the proceeds of insurance, but for deductibles under policies carried by Landlord under this Lease in excess of those Landlord is permitted to carry under this Lease), or paid for directly by Tenant, any other tenant(s) of the Building or Project or any third party;</w:t>
      </w:r>
    </w:p>
    <w:p>
      <w:pPr>
        <w:ind w:right="460" w:firstLine="8"/>
        <w:spacing w:after="0" w:line="239" w:lineRule="auto"/>
        <w:tabs>
          <w:tab w:leader="none" w:pos="895" w:val="left"/>
        </w:tabs>
        <w:numPr>
          <w:ilvl w:val="0"/>
          <w:numId w:val="226"/>
        </w:numPr>
        <w:rPr>
          <w:rFonts w:ascii="Arial" w:cs="Arial" w:eastAsia="Arial" w:hAnsi="Arial"/>
          <w:sz w:val="20"/>
          <w:szCs w:val="20"/>
          <w:color w:val="auto"/>
        </w:rPr>
      </w:pPr>
      <w:r>
        <w:rPr>
          <w:rFonts w:ascii="Arial" w:cs="Arial" w:eastAsia="Arial" w:hAnsi="Arial"/>
          <w:sz w:val="20"/>
          <w:szCs w:val="20"/>
          <w:color w:val="auto"/>
        </w:rPr>
        <w:t>any increase in insurance premium to the extent that such increase is caused by or attributable to the use, occupancy or act of another tenant or Landlord;</w:t>
      </w:r>
    </w:p>
    <w:p>
      <w:pPr>
        <w:ind w:right="180" w:firstLine="8"/>
        <w:spacing w:after="0" w:line="239" w:lineRule="auto"/>
        <w:tabs>
          <w:tab w:leader="none" w:pos="895" w:val="left"/>
        </w:tabs>
        <w:numPr>
          <w:ilvl w:val="0"/>
          <w:numId w:val="226"/>
        </w:numPr>
        <w:rPr>
          <w:rFonts w:ascii="Arial" w:cs="Arial" w:eastAsia="Arial" w:hAnsi="Arial"/>
          <w:sz w:val="20"/>
          <w:szCs w:val="20"/>
          <w:color w:val="auto"/>
        </w:rPr>
      </w:pPr>
      <w:r>
        <w:rPr>
          <w:rFonts w:ascii="Arial" w:cs="Arial" w:eastAsia="Arial" w:hAnsi="Arial"/>
          <w:sz w:val="20"/>
          <w:szCs w:val="20"/>
          <w:color w:val="auto"/>
        </w:rPr>
        <w:t>expenses for the replacement of any item covered under warranty to the extent of the warranty, unless such warranty was voided by Tenant or any Tenant Party;</w:t>
      </w:r>
    </w:p>
    <w:p>
      <w:pPr>
        <w:ind w:right="80" w:firstLine="8"/>
        <w:spacing w:after="0" w:line="239" w:lineRule="auto"/>
        <w:tabs>
          <w:tab w:leader="none" w:pos="895" w:val="left"/>
        </w:tabs>
        <w:numPr>
          <w:ilvl w:val="0"/>
          <w:numId w:val="226"/>
        </w:numPr>
        <w:rPr>
          <w:rFonts w:ascii="Arial" w:cs="Arial" w:eastAsia="Arial" w:hAnsi="Arial"/>
          <w:sz w:val="20"/>
          <w:szCs w:val="20"/>
          <w:color w:val="auto"/>
        </w:rPr>
      </w:pPr>
      <w:r>
        <w:rPr>
          <w:rFonts w:ascii="Arial" w:cs="Arial" w:eastAsia="Arial" w:hAnsi="Arial"/>
          <w:sz w:val="20"/>
          <w:szCs w:val="20"/>
          <w:color w:val="auto"/>
        </w:rPr>
        <w:t>amounts received by Landlord through proceeds of insurance to the extent they are compensation for sums previously included in Operating Expenses;</w:t>
      </w:r>
    </w:p>
    <w:p>
      <w:pPr>
        <w:ind w:right="60" w:firstLine="8"/>
        <w:spacing w:after="0" w:line="244" w:lineRule="auto"/>
        <w:tabs>
          <w:tab w:leader="none" w:pos="895" w:val="left"/>
        </w:tabs>
        <w:numPr>
          <w:ilvl w:val="0"/>
          <w:numId w:val="226"/>
        </w:numPr>
        <w:rPr>
          <w:rFonts w:ascii="Arial" w:cs="Arial" w:eastAsia="Arial" w:hAnsi="Arial"/>
          <w:sz w:val="20"/>
          <w:szCs w:val="20"/>
          <w:color w:val="auto"/>
        </w:rPr>
      </w:pPr>
      <w:r>
        <w:rPr>
          <w:rFonts w:ascii="Arial" w:cs="Arial" w:eastAsia="Arial" w:hAnsi="Arial"/>
          <w:sz w:val="20"/>
          <w:szCs w:val="20"/>
          <w:color w:val="auto"/>
        </w:rPr>
        <w:t>costs of repairs, replacements or other work incurred by reason of insurable casualty or eminent domain to the extent of insurance proceeds or condemnation proceeds received by Landlord;</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O</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71" w:name="page272"/>
    <w:bookmarkEnd w:id="271"/>
    <w:p>
      <w:pPr>
        <w:ind w:right="20" w:firstLine="8"/>
        <w:spacing w:after="0" w:line="245" w:lineRule="auto"/>
        <w:tabs>
          <w:tab w:leader="none" w:pos="89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cost of any work or service performed for or facilities furnished to any tenant of the Building or Project that is not performed for or furnished to Tenant or that is performed for or furnished to any tenant in the Building or Project to a greater extent or in a manner more favorable to such tenant than that performed for or furnished to Tenant;</w:t>
      </w:r>
    </w:p>
    <w:p>
      <w:pPr>
        <w:ind w:right="240" w:firstLine="8"/>
        <w:spacing w:after="0" w:line="239" w:lineRule="auto"/>
        <w:tabs>
          <w:tab w:leader="none" w:pos="89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cost of any utilities (including, without limitation, water, electricity, power, gas, sewer, waste disposal, communication and cable T.V. facilities, heating, cooling, lighting and ventilation) for which Landlord is reimbursed by Tenant or entitled to be reimbursed by other tenants of the Building or Project (other than through Operating Expenses);</w:t>
      </w:r>
    </w:p>
    <w:p>
      <w:pPr>
        <w:spacing w:after="0" w:line="1" w:lineRule="exact"/>
        <w:rPr>
          <w:rFonts w:ascii="Arial" w:cs="Arial" w:eastAsia="Arial" w:hAnsi="Arial"/>
          <w:sz w:val="20"/>
          <w:szCs w:val="20"/>
          <w:color w:val="auto"/>
        </w:rPr>
      </w:pPr>
    </w:p>
    <w:p>
      <w:pPr>
        <w:ind w:right="380" w:firstLine="8"/>
        <w:spacing w:after="0" w:line="266" w:lineRule="auto"/>
        <w:tabs>
          <w:tab w:leader="none" w:pos="8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expense for which Landlord is entitled to be reimbursed by any tenant or reimbursed by Tenant as an additional charge in excess of base rent or for which Tenant or any other tenant or occupant of the Building or Project pays directly to third parties;</w:t>
      </w:r>
    </w:p>
    <w:p>
      <w:pPr>
        <w:ind w:left="900" w:hanging="892"/>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costs of any separate electrical meter or any survey Landlord may provide to any of the other tenants in the Building or Project;</w:t>
      </w:r>
    </w:p>
    <w:p>
      <w:pPr>
        <w:spacing w:after="0" w:line="22" w:lineRule="exact"/>
        <w:rPr>
          <w:rFonts w:ascii="Arial" w:cs="Arial" w:eastAsia="Arial" w:hAnsi="Arial"/>
          <w:sz w:val="18"/>
          <w:szCs w:val="18"/>
          <w:color w:val="auto"/>
        </w:rPr>
      </w:pPr>
    </w:p>
    <w:p>
      <w:pPr>
        <w:ind w:left="900" w:hanging="892"/>
        <w:spacing w:after="0"/>
        <w:tabs>
          <w:tab w:leader="none" w:pos="90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costs of any mail center services for other tenants in the Building or Project if such services are not utilized by Tenant;</w:t>
      </w:r>
    </w:p>
    <w:p>
      <w:pPr>
        <w:spacing w:after="0" w:line="11" w:lineRule="exact"/>
        <w:rPr>
          <w:rFonts w:ascii="Arial" w:cs="Arial" w:eastAsia="Arial" w:hAnsi="Arial"/>
          <w:sz w:val="19"/>
          <w:szCs w:val="19"/>
          <w:color w:val="auto"/>
        </w:rPr>
      </w:pPr>
    </w:p>
    <w:p>
      <w:pPr>
        <w:jc w:val="both"/>
        <w:ind w:right="380" w:firstLine="8"/>
        <w:spacing w:after="0" w:line="239" w:lineRule="auto"/>
        <w:tabs>
          <w:tab w:leader="none" w:pos="89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overhead and profit increment paid to affiliates of Landlord for services on or to the Building or the Project or for supplies or other materials, to the extent that the costs of the services, supplies, or materials exceed the competitive costs of the services, supplies, or materials were they not provided by an affiliate of Landlord;</w:t>
      </w:r>
    </w:p>
    <w:p>
      <w:pPr>
        <w:spacing w:after="0" w:line="1" w:lineRule="exact"/>
        <w:rPr>
          <w:rFonts w:ascii="Arial" w:cs="Arial" w:eastAsia="Arial" w:hAnsi="Arial"/>
          <w:sz w:val="20"/>
          <w:szCs w:val="20"/>
          <w:color w:val="auto"/>
        </w:rPr>
      </w:pPr>
    </w:p>
    <w:p>
      <w:pPr>
        <w:ind w:right="120" w:firstLine="8"/>
        <w:spacing w:after="0" w:line="266" w:lineRule="auto"/>
        <w:tabs>
          <w:tab w:leader="none" w:pos="8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costs incurred to test, survey, clean up, contain, encapsulate, abate, remove, dispose of, or otherwise remedy hazardous wastes or asbestos-containing materials on, in, at, under or from the Building or the Project that existed prior to the Commencement Date;</w:t>
      </w:r>
    </w:p>
    <w:p>
      <w:pPr>
        <w:ind w:left="900" w:hanging="892"/>
        <w:spacing w:after="0"/>
        <w:tabs>
          <w:tab w:leader="none" w:pos="90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costs incurred for permanent and temporary works of art;</w:t>
      </w:r>
    </w:p>
    <w:p>
      <w:pPr>
        <w:ind w:left="900" w:hanging="892"/>
        <w:spacing w:after="0"/>
        <w:tabs>
          <w:tab w:leader="none" w:pos="90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Landlord’s income taxes and franchise, gains or estate taxes imposed upon the income of Landlord;</w:t>
      </w:r>
    </w:p>
    <w:p>
      <w:pPr>
        <w:ind w:right="80" w:firstLine="8"/>
        <w:spacing w:after="0" w:line="239" w:lineRule="auto"/>
        <w:tabs>
          <w:tab w:leader="none" w:pos="89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any costs and expenses in connection with the acquisition or sale of the fee, air rights or development rights with respect to the Building or the Project including, without limitation, survey costs, legal fees and disbursements, transfer taxes or stamps, costs of appraisals, engineering and inspection reports, and brokerage commissions;</w:t>
      </w:r>
    </w:p>
    <w:p>
      <w:pPr>
        <w:spacing w:after="0" w:line="1" w:lineRule="exact"/>
        <w:rPr>
          <w:rFonts w:ascii="Arial" w:cs="Arial" w:eastAsia="Arial" w:hAnsi="Arial"/>
          <w:sz w:val="20"/>
          <w:szCs w:val="20"/>
          <w:color w:val="auto"/>
        </w:rPr>
      </w:pPr>
    </w:p>
    <w:p>
      <w:pPr>
        <w:ind w:left="900" w:hanging="892"/>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costs and compensation paid to clerks, attendants or other persons in commercial concessions operated by Landlord for a</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profit;</w:t>
      </w:r>
    </w:p>
    <w:p>
      <w:pPr>
        <w:ind w:right="420" w:firstLine="8"/>
        <w:spacing w:after="0" w:line="239" w:lineRule="auto"/>
        <w:tabs>
          <w:tab w:leader="none" w:pos="89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costs incurred with respect to any specialty use or service in the Building or Project which is operated by Landlord and is not available for use by Tenant or its employees;</w:t>
      </w:r>
    </w:p>
    <w:p>
      <w:pPr>
        <w:ind w:right="600" w:firstLine="8"/>
        <w:spacing w:after="0" w:line="266" w:lineRule="auto"/>
        <w:tabs>
          <w:tab w:leader="none" w:pos="8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payment of damages, attorneys’ fees and any other amounts to any person seeking recovery for negligence or other torts of Landlord or Landlord’s employees, contractors or agents (including, without limitation, any tort claims relating to asbestos);</w:t>
      </w:r>
    </w:p>
    <w:p>
      <w:pPr>
        <w:ind w:right="200" w:firstLine="8"/>
        <w:spacing w:after="0" w:line="239" w:lineRule="auto"/>
        <w:tabs>
          <w:tab w:leader="none" w:pos="89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cost of any repairs, alterations, additions, improvements or replacements made to rectify, remedy or correct any structural or other defect in the original design, construction materials, installations or workmanship of the Project;</w:t>
      </w:r>
    </w:p>
    <w:p>
      <w:pPr>
        <w:ind w:left="900" w:hanging="892"/>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damages and repairs necessitated by the negligence or willful misconduct of Landlord or Landlord’s employees, contractors or</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agents;</w:t>
      </w:r>
    </w:p>
    <w:p>
      <w:pPr>
        <w:ind w:right="120" w:firstLine="8"/>
        <w:spacing w:after="0" w:line="239" w:lineRule="auto"/>
        <w:tabs>
          <w:tab w:leader="none" w:pos="89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costs incurred due to violations by Landlord, or by any tenant (including Tenant) in the Building or Project, of the terms and conditions of any lease, and penalties or interest for late payment of any obligation of Landlord (unless such penalties or interest result from Tenant’s late payment of Rent);</w:t>
      </w:r>
    </w:p>
    <w:p>
      <w:pPr>
        <w:spacing w:after="0" w:line="1" w:lineRule="exact"/>
        <w:rPr>
          <w:rFonts w:ascii="Arial" w:cs="Arial" w:eastAsia="Arial" w:hAnsi="Arial"/>
          <w:sz w:val="20"/>
          <w:szCs w:val="20"/>
          <w:color w:val="auto"/>
        </w:rPr>
      </w:pPr>
    </w:p>
    <w:p>
      <w:pPr>
        <w:ind w:firstLine="8"/>
        <w:spacing w:after="0" w:line="266" w:lineRule="auto"/>
        <w:tabs>
          <w:tab w:leader="none" w:pos="8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Landlord’s general corporate overhead and costs incurred in connection with any office operations of Landlord, including, without limitation, the cost of Landlord’s general corporate accounting and the cost of preparation of Landlord’s income tax or information returns;</w:t>
      </w:r>
    </w:p>
    <w:p>
      <w:pPr>
        <w:ind w:right="140" w:firstLine="8"/>
        <w:spacing w:after="0" w:line="244" w:lineRule="auto"/>
        <w:tabs>
          <w:tab w:leader="none" w:pos="89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any tenant improvement allowance given to any tenant (including Tenant) whether given by contribution or credit against rent or otherwise, and any abatements or credits to base rent or additional rent;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O</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72" w:name="page273"/>
    <w:bookmarkEnd w:id="272"/>
    <w:p>
      <w:pPr>
        <w:ind w:firstLine="8"/>
        <w:spacing w:after="0" w:line="245" w:lineRule="auto"/>
        <w:tabs>
          <w:tab w:leader="none" w:pos="895"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costs incurred in performing work or furnishing services for any tenant (including Tenant) in the Building or Project, whether at such tenant’s or Landlord’s expense, to the extent that such work or service is in excess of any work or service that Landlord is obligated to furnish to such tenant at Landlord’s expense;</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any rental concessions to, or lease buyouts of, Tenant or any other tenant in the Building or Project;</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intentionally omitted;</w:t>
      </w:r>
    </w:p>
    <w:p>
      <w:pPr>
        <w:ind w:right="660" w:firstLine="8"/>
        <w:spacing w:after="0" w:line="239" w:lineRule="auto"/>
        <w:tabs>
          <w:tab w:leader="none" w:pos="895"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costs, expenses and fees of any asset manager or investment advisor representing Landlord or any partner or any other constituent member of Landlord;</w:t>
      </w:r>
    </w:p>
    <w:p>
      <w:pPr>
        <w:ind w:left="900" w:hanging="892"/>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costs arising from Landlord’s charitable or political contributions and real estate industry association dues and licensing fees;</w:t>
      </w:r>
    </w:p>
    <w:p>
      <w:pPr>
        <w:spacing w:after="0" w:line="22" w:lineRule="exact"/>
        <w:rPr>
          <w:rFonts w:ascii="Arial" w:cs="Arial" w:eastAsia="Arial" w:hAnsi="Arial"/>
          <w:sz w:val="18"/>
          <w:szCs w:val="18"/>
          <w:color w:val="auto"/>
        </w:rPr>
      </w:pP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cost of future development of the Building or Project;</w:t>
      </w:r>
    </w:p>
    <w:p>
      <w:pPr>
        <w:ind w:firstLine="8"/>
        <w:spacing w:after="0" w:line="252" w:lineRule="auto"/>
        <w:tabs>
          <w:tab w:leader="none" w:pos="895"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any amounts payable by Landlord by way of indemnity or for damages or which constitute a fine, interest, or penalty other than as a result of the acts or omissions (with respect to omissions, only to the extent in violation of this Lease or Applicable Laws) of Tenant or any Tenant Party, including, without limitation, interest or penalties for any late payments of operating costs;</w:t>
      </w:r>
    </w:p>
    <w:p>
      <w:pPr>
        <w:ind w:right="440" w:firstLine="8"/>
        <w:spacing w:after="0" w:line="252" w:lineRule="auto"/>
        <w:tabs>
          <w:tab w:leader="none" w:pos="895"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any improvement installed or work performed or any other cost or expense incurred by Landlord in order to comply with the requirements for the obtaining or renewal of a certificate of occupancy for the Building or Project or any space therein;</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expenses attributable to storage space in the Building or Project;</w:t>
      </w:r>
    </w:p>
    <w:p>
      <w:pPr>
        <w:ind w:right="100" w:firstLine="8"/>
        <w:spacing w:after="0" w:line="239" w:lineRule="auto"/>
        <w:tabs>
          <w:tab w:leader="none" w:pos="895"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cost of compliance with the Americans with Disabilities Act of 1990, as amended, except as otherwise expressly permitted in the Lease to be included in Operating Expenses;</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operating costs incurred by Landlord relating to retail stores in Building or Project (if any);</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cost of overtime or other expense to Landlord in curing its defaults;</w:t>
      </w:r>
    </w:p>
    <w:p>
      <w:pPr>
        <w:ind w:right="400" w:firstLine="8"/>
        <w:spacing w:after="0" w:line="239" w:lineRule="auto"/>
        <w:tabs>
          <w:tab w:leader="none" w:pos="895" w:val="left"/>
        </w:tabs>
        <w:numPr>
          <w:ilvl w:val="0"/>
          <w:numId w:val="228"/>
        </w:numPr>
        <w:rPr>
          <w:rFonts w:ascii="Arial" w:cs="Arial" w:eastAsia="Arial" w:hAnsi="Arial"/>
          <w:sz w:val="20"/>
          <w:szCs w:val="20"/>
          <w:color w:val="auto"/>
        </w:rPr>
      </w:pPr>
      <w:r>
        <w:rPr>
          <w:rFonts w:ascii="Arial" w:cs="Arial" w:eastAsia="Arial" w:hAnsi="Arial"/>
          <w:sz w:val="20"/>
          <w:szCs w:val="20"/>
          <w:color w:val="auto"/>
        </w:rPr>
        <w:t>unusual, one-time costs related to upgrading or improving common areas, including, without limitation, costs associated with installing new carpeting, lighting, restroom fixtures and turnstiles;</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intentionally omitted;</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costs associated with converting building systems away from the use of CFC’s;</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intentionally omitted;</w:t>
      </w:r>
    </w:p>
    <w:p>
      <w:pPr>
        <w:ind w:left="900" w:hanging="892"/>
        <w:spacing w:after="0"/>
        <w:tabs>
          <w:tab w:leader="none" w:pos="90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costs relating to withdrawing liability or unfunded pension liability under the Multi-Employer Pension Plan Act or similar law;</w:t>
      </w:r>
    </w:p>
    <w:p>
      <w:pPr>
        <w:spacing w:after="0" w:line="11" w:lineRule="exact"/>
        <w:rPr>
          <w:rFonts w:ascii="Arial" w:cs="Arial" w:eastAsia="Arial" w:hAnsi="Arial"/>
          <w:sz w:val="19"/>
          <w:szCs w:val="19"/>
          <w:color w:val="auto"/>
        </w:rPr>
      </w:pP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travel and entertainment costs;</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costs of gifts;</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intentionally omitted;</w:t>
      </w: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costs incurred in connection with the operation and maintenance of Landlord’s information systems;</w:t>
      </w:r>
    </w:p>
    <w:p>
      <w:pPr>
        <w:ind w:right="280" w:firstLine="8"/>
        <w:spacing w:after="0" w:line="239" w:lineRule="auto"/>
        <w:tabs>
          <w:tab w:leader="none" w:pos="895" w:val="left"/>
        </w:tabs>
        <w:numPr>
          <w:ilvl w:val="0"/>
          <w:numId w:val="228"/>
        </w:numPr>
        <w:rPr>
          <w:rFonts w:ascii="Arial" w:cs="Arial" w:eastAsia="Arial" w:hAnsi="Arial"/>
          <w:sz w:val="20"/>
          <w:szCs w:val="20"/>
          <w:color w:val="auto"/>
        </w:rPr>
      </w:pPr>
      <w:r>
        <w:rPr>
          <w:rFonts w:ascii="Arial" w:cs="Arial" w:eastAsia="Arial" w:hAnsi="Arial"/>
          <w:sz w:val="20"/>
          <w:szCs w:val="20"/>
          <w:color w:val="auto"/>
        </w:rPr>
        <w:t>costs associated with the operation of the business of the legal entity which constitutes Landlord, including, without limitation, legal entity formation costs and legal entity accounting fees (including, without limitation, the incremental accounting fees relating to the operation of the Building or Project to the extent incurred separately in reporting operating results to the Building’s or Project’s owners or lenders);</w:t>
      </w:r>
    </w:p>
    <w:p>
      <w:pPr>
        <w:spacing w:after="0" w:line="1" w:lineRule="exact"/>
        <w:rPr>
          <w:rFonts w:ascii="Arial" w:cs="Arial" w:eastAsia="Arial" w:hAnsi="Arial"/>
          <w:sz w:val="20"/>
          <w:szCs w:val="20"/>
          <w:color w:val="auto"/>
        </w:rPr>
      </w:pPr>
    </w:p>
    <w:p>
      <w:pPr>
        <w:ind w:left="900" w:hanging="892"/>
        <w:spacing w:after="0"/>
        <w:tabs>
          <w:tab w:leader="none" w:pos="9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intentionally omitted;</w:t>
      </w:r>
    </w:p>
    <w:p>
      <w:pPr>
        <w:ind w:left="900" w:hanging="892"/>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expenses in connection with the purchase and installation of any informational displays in the Building’s or Project’s elevators or</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lobbies;</w:t>
      </w:r>
    </w:p>
    <w:p>
      <w:pPr>
        <w:ind w:left="900" w:hanging="892"/>
        <w:spacing w:after="0"/>
        <w:tabs>
          <w:tab w:leader="none" w:pos="90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cost of signs in or on the Building or Project identifying the owner of the Building or Project or costs of other tenants’ signs;</w:t>
      </w:r>
    </w:p>
    <w:p>
      <w:pPr>
        <w:spacing w:after="0" w:line="11" w:lineRule="exact"/>
        <w:rPr>
          <w:rFonts w:ascii="Arial" w:cs="Arial" w:eastAsia="Arial" w:hAnsi="Arial"/>
          <w:sz w:val="19"/>
          <w:szCs w:val="19"/>
          <w:color w:val="auto"/>
        </w:rPr>
      </w:pPr>
    </w:p>
    <w:p>
      <w:pPr>
        <w:jc w:val="both"/>
        <w:ind w:right="60" w:firstLine="8"/>
        <w:spacing w:after="0" w:line="257" w:lineRule="auto"/>
        <w:tabs>
          <w:tab w:leader="none" w:pos="895" w:val="left"/>
        </w:tabs>
        <w:numPr>
          <w:ilvl w:val="0"/>
          <w:numId w:val="228"/>
        </w:numPr>
        <w:rPr>
          <w:rFonts w:ascii="Arial" w:cs="Arial" w:eastAsia="Arial" w:hAnsi="Arial"/>
          <w:sz w:val="19"/>
          <w:szCs w:val="19"/>
          <w:color w:val="auto"/>
        </w:rPr>
      </w:pPr>
      <w:r>
        <w:rPr>
          <w:rFonts w:ascii="Arial" w:cs="Arial" w:eastAsia="Arial" w:hAnsi="Arial"/>
          <w:sz w:val="19"/>
          <w:szCs w:val="19"/>
          <w:color w:val="auto"/>
        </w:rPr>
        <w:t>costs and expenses incurred by Landlord in order to comply with any law, rule, ordinance, regulation, statute, requirement, code or executive order, extraordinary as well as ordinary, of any governmental, public or quasi public authority, and any other entity performing similar function, that was applicable to the Premises prior to the Commencement Date and for which compliance is not triggered by Tenant’s specific use or manner of use of the Premises or to Alterations made by Tenant or to the acts or</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O</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73" w:name="page274"/>
    <w:bookmarkEnd w:id="273"/>
    <w:p>
      <w:pPr>
        <w:spacing w:after="0"/>
        <w:rPr>
          <w:sz w:val="20"/>
          <w:szCs w:val="20"/>
          <w:color w:val="auto"/>
        </w:rPr>
      </w:pPr>
      <w:r>
        <w:rPr>
          <w:rFonts w:ascii="Arial" w:cs="Arial" w:eastAsia="Arial" w:hAnsi="Arial"/>
          <w:sz w:val="19"/>
          <w:szCs w:val="19"/>
          <w:color w:val="auto"/>
        </w:rPr>
        <w:t>omissions (with respect to omissions, only to the extent in violation of this Lease or Applicable Laws) of Tenant or any Tenant Party;</w:t>
      </w:r>
    </w:p>
    <w:p>
      <w:pPr>
        <w:spacing w:after="0" w:line="27" w:lineRule="exact"/>
        <w:rPr>
          <w:sz w:val="20"/>
          <w:szCs w:val="20"/>
          <w:color w:val="auto"/>
        </w:rPr>
      </w:pPr>
    </w:p>
    <w:p>
      <w:pPr>
        <w:ind w:firstLine="8"/>
        <w:spacing w:after="0" w:line="252" w:lineRule="auto"/>
        <w:tabs>
          <w:tab w:leader="none" w:pos="895" w:val="left"/>
        </w:tabs>
        <w:numPr>
          <w:ilvl w:val="0"/>
          <w:numId w:val="229"/>
        </w:numPr>
        <w:rPr>
          <w:rFonts w:ascii="Arial" w:cs="Arial" w:eastAsia="Arial" w:hAnsi="Arial"/>
          <w:sz w:val="19"/>
          <w:szCs w:val="19"/>
          <w:color w:val="auto"/>
        </w:rPr>
      </w:pPr>
      <w:r>
        <w:rPr>
          <w:rFonts w:ascii="Arial" w:cs="Arial" w:eastAsia="Arial" w:hAnsi="Arial"/>
          <w:sz w:val="19"/>
          <w:szCs w:val="19"/>
          <w:color w:val="auto"/>
        </w:rPr>
        <w:t>all amounts which would otherwise be included in Operating Expenses which are paid to any affiliate or subsidiaries of Landlord, or any representative, employee or agent of same, to the extent the costs of such services exceed the competitive rates for similar services of comparable quality rendered by persons or entities of similar skill, competence and experience;</w:t>
      </w:r>
    </w:p>
    <w:p>
      <w:pPr>
        <w:ind w:left="900" w:hanging="892"/>
        <w:spacing w:after="0"/>
        <w:tabs>
          <w:tab w:leader="none" w:pos="9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cost to Maintain the Building footings, foundations, structural steel columns or girders;</w:t>
      </w:r>
    </w:p>
    <w:p>
      <w:pPr>
        <w:ind w:left="900" w:hanging="892"/>
        <w:spacing w:after="0"/>
        <w:tabs>
          <w:tab w:leader="none" w:pos="90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expenses for any item or service not provided to Tenant but exclusively to certain other tenants in the Building or Project;</w:t>
      </w:r>
    </w:p>
    <w:p>
      <w:pPr>
        <w:spacing w:after="0" w:line="11" w:lineRule="exact"/>
        <w:rPr>
          <w:rFonts w:ascii="Arial" w:cs="Arial" w:eastAsia="Arial" w:hAnsi="Arial"/>
          <w:sz w:val="19"/>
          <w:szCs w:val="19"/>
          <w:color w:val="auto"/>
        </w:rPr>
      </w:pPr>
    </w:p>
    <w:p>
      <w:pPr>
        <w:ind w:left="900" w:hanging="892"/>
        <w:spacing w:after="0"/>
        <w:tabs>
          <w:tab w:leader="none" w:pos="9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Landlord’s general corporate overhead and administrative expenses;</w:t>
      </w:r>
    </w:p>
    <w:p>
      <w:pPr>
        <w:ind w:left="900" w:hanging="892"/>
        <w:spacing w:after="0"/>
        <w:tabs>
          <w:tab w:leader="none" w:pos="9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cost of sculptures, paintings and other objects of art;</w:t>
      </w:r>
    </w:p>
    <w:p>
      <w:pPr>
        <w:ind w:left="900" w:hanging="892"/>
        <w:spacing w:after="0"/>
        <w:tabs>
          <w:tab w:leader="none" w:pos="9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political and charitable donations;</w:t>
      </w:r>
    </w:p>
    <w:p>
      <w:pPr>
        <w:ind w:left="900" w:hanging="892"/>
        <w:spacing w:after="0"/>
        <w:tabs>
          <w:tab w:leader="none" w:pos="9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any bad debt loss, rent loss or reserves for bad debt or rent loss;</w:t>
      </w:r>
    </w:p>
    <w:p>
      <w:pPr>
        <w:ind w:left="900" w:hanging="892"/>
        <w:spacing w:after="0"/>
        <w:tabs>
          <w:tab w:leader="none" w:pos="9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expenses for the defense of the Landlord’s title to all or any part of the Building or Project;</w:t>
      </w:r>
    </w:p>
    <w:p>
      <w:pPr>
        <w:ind w:left="900" w:hanging="892"/>
        <w:spacing w:after="0"/>
        <w:tabs>
          <w:tab w:leader="none" w:pos="9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O</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9" w:right="399" w:bottom="1440" w:gutter="0" w:footer="0" w:header="0"/>
        </w:sectPr>
      </w:pPr>
    </w:p>
    <w:bookmarkStart w:id="274" w:name="page275"/>
    <w:bookmarkEnd w:id="274"/>
    <w:p>
      <w:pPr>
        <w:jc w:val="right"/>
        <w:spacing w:after="0"/>
        <w:rPr>
          <w:sz w:val="20"/>
          <w:szCs w:val="20"/>
          <w:color w:val="auto"/>
        </w:rPr>
      </w:pPr>
      <w:r>
        <w:rPr>
          <w:rFonts w:ascii="Arial" w:cs="Arial" w:eastAsia="Arial" w:hAnsi="Arial"/>
          <w:sz w:val="20"/>
          <w:szCs w:val="20"/>
          <w:b w:val="1"/>
          <w:bCs w:val="1"/>
          <w:color w:val="auto"/>
        </w:rPr>
        <w:t>Exhibit 10.11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PROJECT LEGAL DESCRIPTION</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that certain tract or Parcel of land situate and lying in the Christiana Hundred, the County of New Castle, State of Delaware being more particularly bounded and described as follows: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BEGINNING at a point at the Southeasterly end of a 439.12 foot radius junction curve joining the northwesterly right-of-way line of Faulkland Road (Delaware Route 34, variable width) and the northeasterly right-of-way line of Centre Road (Delaware Route 141, variable width), having DE. S.P.C.S. NAD ‘83 (2011) values N:636777.848 &amp; E:602194.139, from said beginning point and in the same bearing system running coincident with the curved northeasterly right-of-way line of Centre Road,</w:t>
      </w:r>
    </w:p>
    <w:p>
      <w:pPr>
        <w:spacing w:after="0" w:line="191" w:lineRule="exact"/>
        <w:rPr>
          <w:sz w:val="20"/>
          <w:szCs w:val="20"/>
          <w:color w:val="auto"/>
        </w:rPr>
      </w:pPr>
    </w:p>
    <w:p>
      <w:pPr>
        <w:jc w:val="both"/>
        <w:ind w:left="1700" w:hanging="842"/>
        <w:spacing w:after="0" w:line="234" w:lineRule="exact"/>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Along a curve to the right with a radius of 439.12 feet, an arc length of 582.22 feet, (said curve having a chord bearing and distance of North 28 degrees 48 minutes 44 seconds West, 540.50 feet) to a point of reverse curvature on the easterly right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way line of aforesaid Centre Road, evidenced by rebar with cap set; thence, coincident with the line of Centre Road the following two (2) courses and distances:</w:t>
      </w:r>
    </w:p>
    <w:p>
      <w:pPr>
        <w:spacing w:after="0" w:line="198" w:lineRule="exact"/>
        <w:rPr>
          <w:rFonts w:ascii="Arial" w:cs="Arial" w:eastAsia="Arial" w:hAnsi="Arial"/>
          <w:sz w:val="22"/>
          <w:szCs w:val="22"/>
          <w:color w:val="auto"/>
        </w:rPr>
      </w:pPr>
    </w:p>
    <w:p>
      <w:pPr>
        <w:ind w:left="1700" w:hanging="842"/>
        <w:spacing w:after="0" w:line="238" w:lineRule="auto"/>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North 06 degrees 09 minutes 29 seconds East a distance of 757.38 feet to a point, evidenced by a rebar with cap set; thence,</w:t>
      </w:r>
    </w:p>
    <w:p>
      <w:pPr>
        <w:spacing w:after="0" w:line="196" w:lineRule="exact"/>
        <w:rPr>
          <w:rFonts w:ascii="Arial" w:cs="Arial" w:eastAsia="Arial" w:hAnsi="Arial"/>
          <w:sz w:val="22"/>
          <w:szCs w:val="22"/>
          <w:color w:val="auto"/>
        </w:rPr>
      </w:pPr>
    </w:p>
    <w:p>
      <w:pPr>
        <w:jc w:val="both"/>
        <w:ind w:left="1700" w:hanging="842"/>
        <w:spacing w:after="0" w:line="236" w:lineRule="exact"/>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Curving to the right with a radius of 3,674.43 feet, northwestardly, an arc length of 1,112.86 (said curve having a chord bearing and distance of North 17 degrees 21 minutes 21 seconds East a distance of 426.40 feet) to a point, thence leaving the right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way line of Centre Road;</w:t>
      </w:r>
    </w:p>
    <w:p>
      <w:pPr>
        <w:spacing w:after="0" w:line="194" w:lineRule="exact"/>
        <w:rPr>
          <w:rFonts w:ascii="Arial" w:cs="Arial" w:eastAsia="Arial" w:hAnsi="Arial"/>
          <w:sz w:val="22"/>
          <w:szCs w:val="22"/>
          <w:color w:val="auto"/>
        </w:rPr>
      </w:pPr>
    </w:p>
    <w:p>
      <w:pPr>
        <w:ind w:left="1700" w:hanging="842"/>
        <w:spacing w:after="0"/>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South 52 degrees 43 minutes 44 seconds East a distance of 50.66 feet to a point, thence;</w:t>
      </w:r>
    </w:p>
    <w:p>
      <w:pPr>
        <w:spacing w:after="0" w:line="208" w:lineRule="exact"/>
        <w:rPr>
          <w:rFonts w:ascii="Arial" w:cs="Arial" w:eastAsia="Arial" w:hAnsi="Arial"/>
          <w:sz w:val="22"/>
          <w:szCs w:val="22"/>
          <w:color w:val="auto"/>
        </w:rPr>
      </w:pPr>
    </w:p>
    <w:p>
      <w:pPr>
        <w:ind w:left="1700" w:hanging="842"/>
        <w:spacing w:after="0" w:line="261" w:lineRule="auto"/>
        <w:tabs>
          <w:tab w:leader="none" w:pos="1700" w:val="left"/>
        </w:tabs>
        <w:numPr>
          <w:ilvl w:val="0"/>
          <w:numId w:val="230"/>
        </w:numPr>
        <w:rPr>
          <w:rFonts w:ascii="Arial" w:cs="Arial" w:eastAsia="Arial" w:hAnsi="Arial"/>
          <w:sz w:val="21"/>
          <w:szCs w:val="21"/>
          <w:color w:val="auto"/>
        </w:rPr>
      </w:pPr>
      <w:r>
        <w:rPr>
          <w:rFonts w:ascii="Arial" w:cs="Arial" w:eastAsia="Arial" w:hAnsi="Arial"/>
          <w:sz w:val="19"/>
          <w:szCs w:val="19"/>
          <w:color w:val="auto"/>
        </w:rPr>
        <w:t>Along a curve to the right with a radius of 814.00 feet, an arc length of 157.40 feet, (said curve having a chord bearing and distance of South 44 degrees 05 minutes 49 seconds East, 157.15 feet) to a point, thence;</w:t>
      </w:r>
    </w:p>
    <w:p>
      <w:pPr>
        <w:spacing w:after="0" w:line="172" w:lineRule="exact"/>
        <w:rPr>
          <w:rFonts w:ascii="Arial" w:cs="Arial" w:eastAsia="Arial" w:hAnsi="Arial"/>
          <w:sz w:val="21"/>
          <w:szCs w:val="21"/>
          <w:color w:val="auto"/>
        </w:rPr>
      </w:pPr>
    </w:p>
    <w:p>
      <w:pPr>
        <w:ind w:left="1700" w:hanging="842"/>
        <w:spacing w:after="0"/>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South 38 degrees 33 minutes 27 seconds East a distance of 102.32 feet to a point, thence;</w:t>
      </w:r>
    </w:p>
    <w:p>
      <w:pPr>
        <w:spacing w:after="0" w:line="208" w:lineRule="exact"/>
        <w:rPr>
          <w:rFonts w:ascii="Arial" w:cs="Arial" w:eastAsia="Arial" w:hAnsi="Arial"/>
          <w:sz w:val="22"/>
          <w:szCs w:val="22"/>
          <w:color w:val="auto"/>
        </w:rPr>
      </w:pPr>
    </w:p>
    <w:p>
      <w:pPr>
        <w:ind w:left="1700" w:hanging="842"/>
        <w:spacing w:after="0" w:line="238" w:lineRule="auto"/>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Along a curve to the left with a radius of 384.9 feet, an arc length of 73.33 feet, (said curve having a chord bearing and distance of South 44 degrees 00 minutes 54 seconds East, 73.22 feet) to a point thence;</w:t>
      </w:r>
    </w:p>
    <w:p>
      <w:pPr>
        <w:spacing w:after="0" w:line="193" w:lineRule="exact"/>
        <w:rPr>
          <w:rFonts w:ascii="Arial" w:cs="Arial" w:eastAsia="Arial" w:hAnsi="Arial"/>
          <w:sz w:val="22"/>
          <w:szCs w:val="22"/>
          <w:color w:val="auto"/>
        </w:rPr>
      </w:pPr>
    </w:p>
    <w:p>
      <w:pPr>
        <w:ind w:left="1700" w:hanging="842"/>
        <w:spacing w:after="0"/>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South 17 degrees 35 minutes 47 seconds East a distance of 36.97 feet to a point, thence;</w:t>
      </w:r>
    </w:p>
    <w:p>
      <w:pPr>
        <w:spacing w:after="0" w:line="206" w:lineRule="exact"/>
        <w:rPr>
          <w:rFonts w:ascii="Arial" w:cs="Arial" w:eastAsia="Arial" w:hAnsi="Arial"/>
          <w:sz w:val="22"/>
          <w:szCs w:val="22"/>
          <w:color w:val="auto"/>
        </w:rPr>
      </w:pPr>
    </w:p>
    <w:p>
      <w:pPr>
        <w:ind w:left="1700" w:hanging="842"/>
        <w:spacing w:after="0"/>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South 59 degrees 24 minutes 10 seconds East a distance of 64.95 feet to a point, thence;</w:t>
      </w:r>
    </w:p>
    <w:p>
      <w:pPr>
        <w:spacing w:after="0" w:line="206" w:lineRule="exact"/>
        <w:rPr>
          <w:rFonts w:ascii="Arial" w:cs="Arial" w:eastAsia="Arial" w:hAnsi="Arial"/>
          <w:sz w:val="22"/>
          <w:szCs w:val="22"/>
          <w:color w:val="auto"/>
        </w:rPr>
      </w:pPr>
    </w:p>
    <w:p>
      <w:pPr>
        <w:ind w:left="1700" w:hanging="842"/>
        <w:spacing w:after="0"/>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North 86 degrees 45 minutes 54 seconds East a distance of 42.87 feet to a point, thence;</w:t>
      </w:r>
    </w:p>
    <w:p>
      <w:pPr>
        <w:spacing w:after="0" w:line="208" w:lineRule="exact"/>
        <w:rPr>
          <w:rFonts w:ascii="Arial" w:cs="Arial" w:eastAsia="Arial" w:hAnsi="Arial"/>
          <w:sz w:val="22"/>
          <w:szCs w:val="22"/>
          <w:color w:val="auto"/>
        </w:rPr>
      </w:pPr>
    </w:p>
    <w:p>
      <w:pPr>
        <w:ind w:left="1700" w:right="20" w:hanging="842"/>
        <w:spacing w:after="0" w:line="238" w:lineRule="auto"/>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Along a curve to the left with a radius of 384.90 feet, an arc length of 80.39 feet, (said curve having a chord bearing and distance of South 74 degrees 36 minutes 59 seconds East, 80.24 feet) to a point, thence;</w:t>
      </w:r>
    </w:p>
    <w:p>
      <w:pPr>
        <w:spacing w:after="0" w:line="193" w:lineRule="exact"/>
        <w:rPr>
          <w:rFonts w:ascii="Arial" w:cs="Arial" w:eastAsia="Arial" w:hAnsi="Arial"/>
          <w:sz w:val="22"/>
          <w:szCs w:val="22"/>
          <w:color w:val="auto"/>
        </w:rPr>
      </w:pPr>
    </w:p>
    <w:p>
      <w:pPr>
        <w:ind w:left="1700" w:hanging="842"/>
        <w:spacing w:after="0"/>
        <w:tabs>
          <w:tab w:leader="none" w:pos="1700" w:val="left"/>
        </w:tabs>
        <w:numPr>
          <w:ilvl w:val="0"/>
          <w:numId w:val="230"/>
        </w:numPr>
        <w:rPr>
          <w:rFonts w:ascii="Arial" w:cs="Arial" w:eastAsia="Arial" w:hAnsi="Arial"/>
          <w:sz w:val="22"/>
          <w:szCs w:val="22"/>
          <w:color w:val="auto"/>
        </w:rPr>
      </w:pPr>
      <w:r>
        <w:rPr>
          <w:rFonts w:ascii="Arial" w:cs="Arial" w:eastAsia="Arial" w:hAnsi="Arial"/>
          <w:sz w:val="20"/>
          <w:szCs w:val="20"/>
          <w:color w:val="auto"/>
        </w:rPr>
        <w:t>South 80 degrees 35 minutes 57 seconds East a distance of 837.69 feet to a point, thence;</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P</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75" w:name="page276"/>
    <w:bookmarkEnd w:id="275"/>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74 degrees 57 minutes 03 seconds East a distance of 58.52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74 degrees 08 minutes 02 seconds East a distance of 22.39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72 degrees 57 minutes 23 seconds East a distance of 30.78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71 degrees 11 minutes 45 seconds East a distance of 30.76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69 degrees 04 minutes 35 seconds East a distance of 46.14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36 degrees 31 minutes 42 seconds East a distance of 51.60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77 degrees 51 minutes 48 seconds East a distance of 24.65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North 65 degrees 50 minutes 40 seconds East a distance of 41.52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North 16 degrees 11 minutes 35 seconds East a distance of 33.12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North 25 degrees 48 minutes 02 seconds West a distance of 31.37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North 09 degrees 57 minutes 39 seconds East a distance of 85.93 feet to a point, thence;</w:t>
      </w:r>
    </w:p>
    <w:p>
      <w:pPr>
        <w:spacing w:after="0" w:line="208" w:lineRule="exact"/>
        <w:rPr>
          <w:rFonts w:ascii="Arial" w:cs="Arial" w:eastAsia="Arial" w:hAnsi="Arial"/>
          <w:sz w:val="22"/>
          <w:szCs w:val="22"/>
          <w:color w:val="auto"/>
        </w:rPr>
      </w:pPr>
    </w:p>
    <w:p>
      <w:pPr>
        <w:ind w:left="842" w:hanging="842"/>
        <w:spacing w:after="0" w:line="261" w:lineRule="auto"/>
        <w:tabs>
          <w:tab w:leader="none" w:pos="842" w:val="left"/>
        </w:tabs>
        <w:numPr>
          <w:ilvl w:val="0"/>
          <w:numId w:val="231"/>
        </w:numPr>
        <w:rPr>
          <w:rFonts w:ascii="Arial" w:cs="Arial" w:eastAsia="Arial" w:hAnsi="Arial"/>
          <w:sz w:val="21"/>
          <w:szCs w:val="21"/>
          <w:color w:val="auto"/>
        </w:rPr>
      </w:pPr>
      <w:r>
        <w:rPr>
          <w:rFonts w:ascii="Arial" w:cs="Arial" w:eastAsia="Arial" w:hAnsi="Arial"/>
          <w:sz w:val="19"/>
          <w:szCs w:val="19"/>
          <w:color w:val="auto"/>
        </w:rPr>
        <w:t>Along a curve to the right with a radius of 600.00 feet, an arc length of 303.63 feet, (said curve having a chord bearing and distance of North 24 degrees 27 minutes 30 seconds East, 300.40 feet) to a point, thence;</w:t>
      </w:r>
    </w:p>
    <w:p>
      <w:pPr>
        <w:spacing w:after="0" w:line="172" w:lineRule="exact"/>
        <w:rPr>
          <w:rFonts w:ascii="Arial" w:cs="Arial" w:eastAsia="Arial" w:hAnsi="Arial"/>
          <w:sz w:val="21"/>
          <w:szCs w:val="21"/>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North 38 degrees 57 minutes 21 seconds East a distance of 124.51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29 degrees 24 minutes 32 seconds East a distance of 62.92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70 degrees 13 minutes 34 seconds East a distance of 105.66 feet to a point, thence;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North 67 degrees 36 minutes 25 seconds East a distance of 295.63 feet to a point, thence;</w:t>
      </w:r>
    </w:p>
    <w:p>
      <w:pPr>
        <w:spacing w:after="0" w:line="208" w:lineRule="exact"/>
        <w:rPr>
          <w:rFonts w:ascii="Arial" w:cs="Arial" w:eastAsia="Arial" w:hAnsi="Arial"/>
          <w:sz w:val="22"/>
          <w:szCs w:val="22"/>
          <w:color w:val="auto"/>
        </w:rPr>
      </w:pPr>
    </w:p>
    <w:p>
      <w:pPr>
        <w:ind w:left="842" w:hanging="842"/>
        <w:spacing w:after="0" w:line="240" w:lineRule="exact"/>
        <w:tabs>
          <w:tab w:leader="none" w:pos="842" w:val="left"/>
        </w:tabs>
        <w:numPr>
          <w:ilvl w:val="0"/>
          <w:numId w:val="231"/>
        </w:numPr>
        <w:rPr>
          <w:rFonts w:ascii="Arial" w:cs="Arial" w:eastAsia="Arial" w:hAnsi="Arial"/>
          <w:sz w:val="19"/>
          <w:szCs w:val="19"/>
          <w:color w:val="auto"/>
        </w:rPr>
      </w:pPr>
      <w:r>
        <w:rPr>
          <w:rFonts w:ascii="Arial" w:cs="Arial" w:eastAsia="Arial" w:hAnsi="Arial"/>
          <w:sz w:val="18"/>
          <w:szCs w:val="18"/>
          <w:color w:val="auto"/>
        </w:rPr>
        <w:t>South 53 degrees 59 minutes 36 seconds East a distance of 172.73 feet to a point corner to the same, evidenced by a monument found; thence, still coincident with Parcel #07</w:t>
      </w:r>
      <w:r>
        <w:rPr>
          <w:rFonts w:ascii="MS PGothic" w:cs="MS PGothic" w:eastAsia="MS PGothic" w:hAnsi="MS PGothic"/>
          <w:sz w:val="18"/>
          <w:szCs w:val="18"/>
          <w:color w:val="auto"/>
        </w:rPr>
        <w:t>‐</w:t>
      </w:r>
      <w:r>
        <w:rPr>
          <w:rFonts w:ascii="Arial" w:cs="Arial" w:eastAsia="Arial" w:hAnsi="Arial"/>
          <w:sz w:val="18"/>
          <w:szCs w:val="18"/>
          <w:color w:val="auto"/>
        </w:rPr>
        <w:t>032.40</w:t>
      </w:r>
      <w:r>
        <w:rPr>
          <w:rFonts w:ascii="MS PGothic" w:cs="MS PGothic" w:eastAsia="MS PGothic" w:hAnsi="MS PGothic"/>
          <w:sz w:val="18"/>
          <w:szCs w:val="18"/>
          <w:color w:val="auto"/>
        </w:rPr>
        <w:t>‐</w:t>
      </w:r>
      <w:r>
        <w:rPr>
          <w:rFonts w:ascii="Arial" w:cs="Arial" w:eastAsia="Arial" w:hAnsi="Arial"/>
          <w:sz w:val="18"/>
          <w:szCs w:val="18"/>
          <w:color w:val="auto"/>
        </w:rPr>
        <w:t>119 and extending along Parcel #07</w:t>
      </w:r>
      <w:r>
        <w:rPr>
          <w:rFonts w:ascii="MS PGothic" w:cs="MS PGothic" w:eastAsia="MS PGothic" w:hAnsi="MS PGothic"/>
          <w:sz w:val="18"/>
          <w:szCs w:val="18"/>
          <w:color w:val="auto"/>
        </w:rPr>
        <w:t>‐</w:t>
      </w:r>
      <w:r>
        <w:rPr>
          <w:rFonts w:ascii="Arial" w:cs="Arial" w:eastAsia="Arial" w:hAnsi="Arial"/>
          <w:sz w:val="18"/>
          <w:szCs w:val="18"/>
          <w:color w:val="auto"/>
        </w:rPr>
        <w:t>032.40</w:t>
      </w:r>
      <w:r>
        <w:rPr>
          <w:rFonts w:ascii="MS PGothic" w:cs="MS PGothic" w:eastAsia="MS PGothic" w:hAnsi="MS PGothic"/>
          <w:sz w:val="18"/>
          <w:szCs w:val="18"/>
          <w:color w:val="auto"/>
        </w:rPr>
        <w:t>‐</w:t>
      </w:r>
      <w:r>
        <w:rPr>
          <w:rFonts w:ascii="Arial" w:cs="Arial" w:eastAsia="Arial" w:hAnsi="Arial"/>
          <w:sz w:val="18"/>
          <w:szCs w:val="18"/>
          <w:color w:val="auto"/>
        </w:rPr>
        <w:t>031,</w:t>
      </w:r>
    </w:p>
    <w:p>
      <w:pPr>
        <w:spacing w:after="0" w:line="196" w:lineRule="exact"/>
        <w:rPr>
          <w:rFonts w:ascii="Arial" w:cs="Arial" w:eastAsia="Arial" w:hAnsi="Arial"/>
          <w:sz w:val="19"/>
          <w:szCs w:val="19"/>
          <w:color w:val="auto"/>
        </w:rPr>
      </w:pPr>
    </w:p>
    <w:p>
      <w:pPr>
        <w:ind w:left="842" w:hanging="842"/>
        <w:spacing w:after="0" w:line="240" w:lineRule="exact"/>
        <w:tabs>
          <w:tab w:leader="none" w:pos="842" w:val="left"/>
        </w:tabs>
        <w:numPr>
          <w:ilvl w:val="0"/>
          <w:numId w:val="231"/>
        </w:numPr>
        <w:rPr>
          <w:rFonts w:ascii="Arial" w:cs="Arial" w:eastAsia="Arial" w:hAnsi="Arial"/>
          <w:sz w:val="19"/>
          <w:szCs w:val="19"/>
          <w:color w:val="auto"/>
        </w:rPr>
      </w:pPr>
      <w:r>
        <w:rPr>
          <w:rFonts w:ascii="Arial" w:cs="Arial" w:eastAsia="Arial" w:hAnsi="Arial"/>
          <w:sz w:val="18"/>
          <w:szCs w:val="18"/>
          <w:color w:val="auto"/>
        </w:rPr>
        <w:t>South 53 degrees 09 minutes 06 seconds East a distance of 924.28 feet to a point, corner to Parcel #07</w:t>
      </w:r>
      <w:r>
        <w:rPr>
          <w:rFonts w:ascii="MS PGothic" w:cs="MS PGothic" w:eastAsia="MS PGothic" w:hAnsi="MS PGothic"/>
          <w:sz w:val="18"/>
          <w:szCs w:val="18"/>
          <w:color w:val="auto"/>
        </w:rPr>
        <w:t>‐</w:t>
      </w:r>
      <w:r>
        <w:rPr>
          <w:rFonts w:ascii="Arial" w:cs="Arial" w:eastAsia="Arial" w:hAnsi="Arial"/>
          <w:sz w:val="18"/>
          <w:szCs w:val="18"/>
          <w:color w:val="auto"/>
        </w:rPr>
        <w:t>032.40</w:t>
      </w:r>
      <w:r>
        <w:rPr>
          <w:rFonts w:ascii="MS PGothic" w:cs="MS PGothic" w:eastAsia="MS PGothic" w:hAnsi="MS PGothic"/>
          <w:sz w:val="18"/>
          <w:szCs w:val="18"/>
          <w:color w:val="auto"/>
        </w:rPr>
        <w:t>‐</w:t>
      </w:r>
      <w:r>
        <w:rPr>
          <w:rFonts w:ascii="Arial" w:cs="Arial" w:eastAsia="Arial" w:hAnsi="Arial"/>
          <w:sz w:val="18"/>
          <w:szCs w:val="18"/>
          <w:color w:val="auto"/>
        </w:rPr>
        <w:t>031, evidenced by an iron pipe found; thence, coincident with the same and extending along Parcel #07</w:t>
      </w:r>
      <w:r>
        <w:rPr>
          <w:rFonts w:ascii="MS PGothic" w:cs="MS PGothic" w:eastAsia="MS PGothic" w:hAnsi="MS PGothic"/>
          <w:sz w:val="18"/>
          <w:szCs w:val="18"/>
          <w:color w:val="auto"/>
        </w:rPr>
        <w:t>‐</w:t>
      </w:r>
      <w:r>
        <w:rPr>
          <w:rFonts w:ascii="Arial" w:cs="Arial" w:eastAsia="Arial" w:hAnsi="Arial"/>
          <w:sz w:val="18"/>
          <w:szCs w:val="18"/>
          <w:color w:val="auto"/>
        </w:rPr>
        <w:t>032.40</w:t>
      </w:r>
      <w:r>
        <w:rPr>
          <w:rFonts w:ascii="MS PGothic" w:cs="MS PGothic" w:eastAsia="MS PGothic" w:hAnsi="MS PGothic"/>
          <w:sz w:val="18"/>
          <w:szCs w:val="18"/>
          <w:color w:val="auto"/>
        </w:rPr>
        <w:t>‐</w:t>
      </w:r>
      <w:r>
        <w:rPr>
          <w:rFonts w:ascii="Arial" w:cs="Arial" w:eastAsia="Arial" w:hAnsi="Arial"/>
          <w:sz w:val="18"/>
          <w:szCs w:val="18"/>
          <w:color w:val="auto"/>
        </w:rPr>
        <w:t>032,</w:t>
      </w:r>
    </w:p>
    <w:p>
      <w:pPr>
        <w:spacing w:after="0" w:line="196" w:lineRule="exact"/>
        <w:rPr>
          <w:rFonts w:ascii="Arial" w:cs="Arial" w:eastAsia="Arial" w:hAnsi="Arial"/>
          <w:sz w:val="19"/>
          <w:szCs w:val="19"/>
          <w:color w:val="auto"/>
        </w:rPr>
      </w:pPr>
    </w:p>
    <w:p>
      <w:pPr>
        <w:jc w:val="both"/>
        <w:ind w:left="842" w:hanging="842"/>
        <w:spacing w:after="0" w:line="236" w:lineRule="exact"/>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53 degrees 21 minutes 36 seconds East a distance of 199.94 feet to a point, corner to Parcels #07</w:t>
      </w:r>
      <w:r>
        <w:rPr>
          <w:rFonts w:ascii="MS PGothic" w:cs="MS PGothic" w:eastAsia="MS PGothic" w:hAnsi="MS PGothic"/>
          <w:sz w:val="20"/>
          <w:szCs w:val="20"/>
          <w:color w:val="auto"/>
        </w:rPr>
        <w:t>‐</w:t>
      </w:r>
      <w:r>
        <w:rPr>
          <w:rFonts w:ascii="Arial" w:cs="Arial" w:eastAsia="Arial" w:hAnsi="Arial"/>
          <w:sz w:val="20"/>
          <w:szCs w:val="20"/>
          <w:color w:val="auto"/>
        </w:rPr>
        <w:t>032.40</w:t>
      </w:r>
      <w:r>
        <w:rPr>
          <w:rFonts w:ascii="MS PGothic" w:cs="MS PGothic" w:eastAsia="MS PGothic" w:hAnsi="MS PGothic"/>
          <w:sz w:val="20"/>
          <w:szCs w:val="20"/>
          <w:color w:val="auto"/>
        </w:rPr>
        <w:t>‐</w:t>
      </w:r>
      <w:r>
        <w:rPr>
          <w:rFonts w:ascii="Arial" w:cs="Arial" w:eastAsia="Arial" w:hAnsi="Arial"/>
          <w:sz w:val="20"/>
          <w:szCs w:val="20"/>
          <w:color w:val="auto"/>
        </w:rPr>
        <w:t>032 &amp; 07</w:t>
      </w:r>
      <w:r>
        <w:rPr>
          <w:rFonts w:ascii="MS PGothic" w:cs="MS PGothic" w:eastAsia="MS PGothic" w:hAnsi="MS PGothic"/>
          <w:sz w:val="20"/>
          <w:szCs w:val="20"/>
          <w:color w:val="auto"/>
        </w:rPr>
        <w:t>‐</w:t>
      </w:r>
      <w:r>
        <w:rPr>
          <w:rFonts w:ascii="Arial" w:cs="Arial" w:eastAsia="Arial" w:hAnsi="Arial"/>
          <w:sz w:val="20"/>
          <w:szCs w:val="20"/>
          <w:color w:val="auto"/>
        </w:rPr>
        <w:t>032.40</w:t>
      </w:r>
      <w:r>
        <w:rPr>
          <w:rFonts w:ascii="MS PGothic" w:cs="MS PGothic" w:eastAsia="MS PGothic" w:hAnsi="MS PGothic"/>
          <w:sz w:val="20"/>
          <w:szCs w:val="20"/>
          <w:color w:val="auto"/>
        </w:rPr>
        <w:t>‐</w:t>
      </w:r>
      <w:r>
        <w:rPr>
          <w:rFonts w:ascii="Arial" w:cs="Arial" w:eastAsia="Arial" w:hAnsi="Arial"/>
          <w:sz w:val="20"/>
          <w:szCs w:val="20"/>
          <w:color w:val="auto"/>
        </w:rPr>
        <w:t>035, evidenced by an iron pipe found; thence, coincident with Parcel #07</w:t>
      </w:r>
      <w:r>
        <w:rPr>
          <w:rFonts w:ascii="MS PGothic" w:cs="MS PGothic" w:eastAsia="MS PGothic" w:hAnsi="MS PGothic"/>
          <w:sz w:val="20"/>
          <w:szCs w:val="20"/>
          <w:color w:val="auto"/>
        </w:rPr>
        <w:t>‐</w:t>
      </w:r>
      <w:r>
        <w:rPr>
          <w:rFonts w:ascii="Arial" w:cs="Arial" w:eastAsia="Arial" w:hAnsi="Arial"/>
          <w:sz w:val="20"/>
          <w:szCs w:val="20"/>
          <w:color w:val="auto"/>
        </w:rPr>
        <w:t>032.40</w:t>
      </w:r>
      <w:r>
        <w:rPr>
          <w:rFonts w:ascii="MS PGothic" w:cs="MS PGothic" w:eastAsia="MS PGothic" w:hAnsi="MS PGothic"/>
          <w:sz w:val="20"/>
          <w:szCs w:val="20"/>
          <w:color w:val="auto"/>
        </w:rPr>
        <w:t>‐</w:t>
      </w:r>
      <w:r>
        <w:rPr>
          <w:rFonts w:ascii="Arial" w:cs="Arial" w:eastAsia="Arial" w:hAnsi="Arial"/>
          <w:sz w:val="20"/>
          <w:szCs w:val="20"/>
          <w:color w:val="auto"/>
        </w:rPr>
        <w:t>035 and extending along Parcel #07</w:t>
      </w:r>
      <w:r>
        <w:rPr>
          <w:rFonts w:ascii="MS PGothic" w:cs="MS PGothic" w:eastAsia="MS PGothic" w:hAnsi="MS PGothic"/>
          <w:sz w:val="20"/>
          <w:szCs w:val="20"/>
          <w:color w:val="auto"/>
        </w:rPr>
        <w:t>‐</w:t>
      </w:r>
      <w:r>
        <w:rPr>
          <w:rFonts w:ascii="Arial" w:cs="Arial" w:eastAsia="Arial" w:hAnsi="Arial"/>
          <w:sz w:val="20"/>
          <w:szCs w:val="20"/>
          <w:color w:val="auto"/>
        </w:rPr>
        <w:t>032.40</w:t>
      </w:r>
      <w:r>
        <w:rPr>
          <w:rFonts w:ascii="MS PGothic" w:cs="MS PGothic" w:eastAsia="MS PGothic" w:hAnsi="MS PGothic"/>
          <w:sz w:val="20"/>
          <w:szCs w:val="20"/>
          <w:color w:val="auto"/>
        </w:rPr>
        <w:t>‐</w:t>
      </w:r>
      <w:r>
        <w:rPr>
          <w:rFonts w:ascii="Arial" w:cs="Arial" w:eastAsia="Arial" w:hAnsi="Arial"/>
          <w:sz w:val="20"/>
          <w:szCs w:val="20"/>
          <w:color w:val="auto"/>
        </w:rPr>
        <w:t>036,</w:t>
      </w:r>
    </w:p>
    <w:p>
      <w:pPr>
        <w:spacing w:after="0" w:line="197" w:lineRule="exact"/>
        <w:rPr>
          <w:rFonts w:ascii="Arial" w:cs="Arial" w:eastAsia="Arial" w:hAnsi="Arial"/>
          <w:sz w:val="22"/>
          <w:szCs w:val="22"/>
          <w:color w:val="auto"/>
        </w:rPr>
      </w:pPr>
    </w:p>
    <w:p>
      <w:pPr>
        <w:jc w:val="both"/>
        <w:ind w:left="842" w:hanging="842"/>
        <w:spacing w:after="0" w:line="236" w:lineRule="exact"/>
        <w:tabs>
          <w:tab w:leader="none" w:pos="842" w:val="left"/>
        </w:tabs>
        <w:numPr>
          <w:ilvl w:val="0"/>
          <w:numId w:val="231"/>
        </w:numPr>
        <w:rPr>
          <w:rFonts w:ascii="Arial" w:cs="Arial" w:eastAsia="Arial" w:hAnsi="Arial"/>
          <w:sz w:val="22"/>
          <w:szCs w:val="22"/>
          <w:color w:val="auto"/>
        </w:rPr>
      </w:pPr>
      <w:r>
        <w:rPr>
          <w:rFonts w:ascii="Arial" w:cs="Arial" w:eastAsia="Arial" w:hAnsi="Arial"/>
          <w:sz w:val="20"/>
          <w:szCs w:val="20"/>
          <w:color w:val="auto"/>
        </w:rPr>
        <w:t>South 53 degrees 04 minutes 21 seconds East a distance of 358.74 feet non</w:t>
      </w:r>
      <w:r>
        <w:rPr>
          <w:rFonts w:ascii="MS PGothic" w:cs="MS PGothic" w:eastAsia="MS PGothic" w:hAnsi="MS PGothic"/>
          <w:sz w:val="20"/>
          <w:szCs w:val="20"/>
          <w:color w:val="auto"/>
        </w:rPr>
        <w:t>‐</w:t>
      </w:r>
      <w:r>
        <w:rPr>
          <w:rFonts w:ascii="Arial" w:cs="Arial" w:eastAsia="Arial" w:hAnsi="Arial"/>
          <w:sz w:val="20"/>
          <w:szCs w:val="20"/>
          <w:color w:val="auto"/>
        </w:rPr>
        <w:t>radially to a point in the curved line of the Delaware Valley Railroad, evidenced by a monument found; thence, coincident with the line of the Delaware Valley Railroad the following four (4) courses and distances:</w:t>
      </w:r>
    </w:p>
    <w:p>
      <w:pPr>
        <w:spacing w:after="0" w:line="200" w:lineRule="exact"/>
        <w:rPr>
          <w:sz w:val="20"/>
          <w:szCs w:val="20"/>
          <w:color w:val="auto"/>
        </w:rPr>
      </w:pPr>
    </w:p>
    <w:p>
      <w:pPr>
        <w:spacing w:after="0" w:line="214" w:lineRule="exact"/>
        <w:rPr>
          <w:sz w:val="20"/>
          <w:szCs w:val="20"/>
          <w:color w:val="auto"/>
        </w:rPr>
      </w:pPr>
    </w:p>
    <w:p>
      <w:pPr>
        <w:ind w:left="22"/>
        <w:spacing w:after="0"/>
        <w:rPr>
          <w:sz w:val="20"/>
          <w:szCs w:val="20"/>
          <w:color w:val="auto"/>
        </w:rPr>
      </w:pPr>
      <w:r>
        <w:rPr>
          <w:rFonts w:ascii="Arial" w:cs="Arial" w:eastAsia="Arial" w:hAnsi="Arial"/>
          <w:sz w:val="20"/>
          <w:szCs w:val="20"/>
          <w:u w:val="single" w:color="auto"/>
          <w:color w:val="auto"/>
        </w:rPr>
        <w:t>EXHIBIT P</w:t>
      </w:r>
    </w:p>
    <w:p>
      <w:pPr>
        <w:spacing w:after="0" w:line="16" w:lineRule="exact"/>
        <w:rPr>
          <w:sz w:val="20"/>
          <w:szCs w:val="20"/>
          <w:color w:val="auto"/>
        </w:rPr>
      </w:pPr>
    </w:p>
    <w:p>
      <w:pPr>
        <w:ind w:left="22"/>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55880</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782" w:right="339" w:bottom="1440" w:gutter="0" w:footer="0" w:header="0"/>
        </w:sectPr>
      </w:pPr>
    </w:p>
    <w:bookmarkStart w:id="276" w:name="page277"/>
    <w:bookmarkEnd w:id="276"/>
    <w:p>
      <w:pPr>
        <w:jc w:val="both"/>
        <w:ind w:left="842" w:hanging="842"/>
        <w:spacing w:after="0" w:line="238" w:lineRule="auto"/>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Along a curve to the left with a radius of 746.78 feet, an arc length of 484.61 feet, (said curve having a chord bearing and distance of South 21 degrees 38 minutes 58 seconds West, 476.15 feet) to a point of compound curvature, evidenced by a monument found; thence;</w:t>
      </w:r>
    </w:p>
    <w:p>
      <w:pPr>
        <w:spacing w:after="0" w:line="197" w:lineRule="exact"/>
        <w:rPr>
          <w:rFonts w:ascii="Arial" w:cs="Arial" w:eastAsia="Arial" w:hAnsi="Arial"/>
          <w:sz w:val="22"/>
          <w:szCs w:val="22"/>
          <w:color w:val="auto"/>
        </w:rPr>
      </w:pPr>
    </w:p>
    <w:p>
      <w:pPr>
        <w:jc w:val="both"/>
        <w:ind w:left="842" w:hanging="842"/>
        <w:spacing w:after="0" w:line="238" w:lineRule="auto"/>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Along a curve to the left with a radius of 719.20 feet, an arc length of 323.67 feet, (said curve having a chord bearing and distance of South 09 degrees 00 minutes 33 seconds East, 320.95 feet) to a point, evidenced by a monument found; thence;</w:t>
      </w:r>
    </w:p>
    <w:p>
      <w:pPr>
        <w:spacing w:after="0" w:line="197" w:lineRule="exact"/>
        <w:rPr>
          <w:rFonts w:ascii="Arial" w:cs="Arial" w:eastAsia="Arial" w:hAnsi="Arial"/>
          <w:sz w:val="22"/>
          <w:szCs w:val="22"/>
          <w:color w:val="auto"/>
        </w:rPr>
      </w:pPr>
    </w:p>
    <w:p>
      <w:pPr>
        <w:ind w:left="842" w:right="20" w:hanging="842"/>
        <w:spacing w:after="0" w:line="238" w:lineRule="auto"/>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South 21 degrees 54 minutes 07 seconds East a distance of 427.70 feet to a point of curvature, evidenced by a monument found; thence;</w:t>
      </w:r>
    </w:p>
    <w:p>
      <w:pPr>
        <w:spacing w:after="0" w:line="196" w:lineRule="exact"/>
        <w:rPr>
          <w:rFonts w:ascii="Arial" w:cs="Arial" w:eastAsia="Arial" w:hAnsi="Arial"/>
          <w:sz w:val="22"/>
          <w:szCs w:val="22"/>
          <w:color w:val="auto"/>
        </w:rPr>
      </w:pPr>
    </w:p>
    <w:p>
      <w:pPr>
        <w:jc w:val="both"/>
        <w:ind w:left="842" w:hanging="842"/>
        <w:spacing w:after="0" w:line="238" w:lineRule="auto"/>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Along a curve to the left with a radius of 1965.68 feet, an arc length of 15.72 feet, (said curve having a chord bearing and distance of South 22 degrees 07 minutes 51 seconds East, 15.72 feet) to a point in the northerly line of Faulkland Road (Delaware Route 34, variable width right of way), evidenced by a rebar white cap set; thence, coincident with the line of said Faulkland Road ;</w:t>
      </w:r>
    </w:p>
    <w:p>
      <w:pPr>
        <w:spacing w:after="0" w:line="198" w:lineRule="exact"/>
        <w:rPr>
          <w:rFonts w:ascii="Arial" w:cs="Arial" w:eastAsia="Arial" w:hAnsi="Arial"/>
          <w:sz w:val="22"/>
          <w:szCs w:val="22"/>
          <w:color w:val="auto"/>
        </w:rPr>
      </w:pPr>
    </w:p>
    <w:p>
      <w:pPr>
        <w:ind w:left="842" w:hanging="842"/>
        <w:spacing w:after="0" w:line="238" w:lineRule="auto"/>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North 89 degrees 40 minutes 29 seconds West a distance of 660.93 feet to a point of curvature, evidenced by a rebar with cap set; thence;</w:t>
      </w:r>
    </w:p>
    <w:p>
      <w:pPr>
        <w:spacing w:after="0" w:line="196" w:lineRule="exact"/>
        <w:rPr>
          <w:rFonts w:ascii="Arial" w:cs="Arial" w:eastAsia="Arial" w:hAnsi="Arial"/>
          <w:sz w:val="22"/>
          <w:szCs w:val="22"/>
          <w:color w:val="auto"/>
        </w:rPr>
      </w:pPr>
    </w:p>
    <w:p>
      <w:pPr>
        <w:ind w:left="842" w:hanging="842"/>
        <w:spacing w:after="0" w:line="261" w:lineRule="auto"/>
        <w:tabs>
          <w:tab w:leader="none" w:pos="842" w:val="left"/>
        </w:tabs>
        <w:numPr>
          <w:ilvl w:val="0"/>
          <w:numId w:val="232"/>
        </w:numPr>
        <w:rPr>
          <w:rFonts w:ascii="Arial" w:cs="Arial" w:eastAsia="Arial" w:hAnsi="Arial"/>
          <w:sz w:val="21"/>
          <w:szCs w:val="21"/>
          <w:color w:val="auto"/>
        </w:rPr>
      </w:pPr>
      <w:r>
        <w:rPr>
          <w:rFonts w:ascii="Arial" w:cs="Arial" w:eastAsia="Arial" w:hAnsi="Arial"/>
          <w:sz w:val="19"/>
          <w:szCs w:val="19"/>
          <w:color w:val="auto"/>
        </w:rPr>
        <w:t>Along a curve to the left with a radius of 985.37 feet, an arc length of 381.79 feet, (said curve having a chord bearing and distance of South 79 degrees 13 minutes 31 seconds West, 379.41 feet) to a point, thence;</w:t>
      </w:r>
    </w:p>
    <w:p>
      <w:pPr>
        <w:spacing w:after="0" w:line="172" w:lineRule="exact"/>
        <w:rPr>
          <w:rFonts w:ascii="Arial" w:cs="Arial" w:eastAsia="Arial" w:hAnsi="Arial"/>
          <w:sz w:val="21"/>
          <w:szCs w:val="21"/>
          <w:color w:val="auto"/>
        </w:rPr>
      </w:pPr>
    </w:p>
    <w:p>
      <w:pPr>
        <w:ind w:left="842" w:hanging="842"/>
        <w:spacing w:after="0"/>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South 68 degrees 07 minutes 31 seconds East a distance of 227.58 feet to a point, thence;</w:t>
      </w:r>
    </w:p>
    <w:p>
      <w:pPr>
        <w:spacing w:after="0" w:line="208" w:lineRule="exact"/>
        <w:rPr>
          <w:rFonts w:ascii="Arial" w:cs="Arial" w:eastAsia="Arial" w:hAnsi="Arial"/>
          <w:sz w:val="22"/>
          <w:szCs w:val="22"/>
          <w:color w:val="auto"/>
        </w:rPr>
      </w:pPr>
    </w:p>
    <w:p>
      <w:pPr>
        <w:jc w:val="both"/>
        <w:ind w:left="842" w:hanging="842"/>
        <w:spacing w:after="0" w:line="236" w:lineRule="exact"/>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Along a curve to the right with a radius of 925.37 feet, an arc length of 340.46 feet, (said curve having a chord bearing and distance of South 78 degrees 39 minutes 55 seconds West, 338.54 feet) to a point, monument found; thence, non</w:t>
      </w:r>
      <w:r>
        <w:rPr>
          <w:rFonts w:ascii="MS PGothic" w:cs="MS PGothic" w:eastAsia="MS PGothic" w:hAnsi="MS PGothic"/>
          <w:sz w:val="20"/>
          <w:szCs w:val="20"/>
          <w:color w:val="auto"/>
        </w:rPr>
        <w:t>‐</w:t>
      </w:r>
      <w:r>
        <w:rPr>
          <w:rFonts w:ascii="Arial" w:cs="Arial" w:eastAsia="Arial" w:hAnsi="Arial"/>
          <w:sz w:val="20"/>
          <w:szCs w:val="20"/>
          <w:color w:val="auto"/>
        </w:rPr>
        <w:t xml:space="preserve"> tangentially;</w:t>
      </w:r>
    </w:p>
    <w:p>
      <w:pPr>
        <w:spacing w:after="0" w:line="197" w:lineRule="exact"/>
        <w:rPr>
          <w:rFonts w:ascii="Arial" w:cs="Arial" w:eastAsia="Arial" w:hAnsi="Arial"/>
          <w:sz w:val="22"/>
          <w:szCs w:val="22"/>
          <w:color w:val="auto"/>
        </w:rPr>
      </w:pPr>
    </w:p>
    <w:p>
      <w:pPr>
        <w:ind w:left="842" w:right="20" w:hanging="842"/>
        <w:spacing w:after="0" w:line="238" w:lineRule="auto"/>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North 81 degrees 33 minutes 44 seconds West a distance of 650.92 feet to a point, evidenced by a monument found; thence;</w:t>
      </w:r>
    </w:p>
    <w:p>
      <w:pPr>
        <w:spacing w:after="0" w:line="196" w:lineRule="exact"/>
        <w:rPr>
          <w:rFonts w:ascii="Arial" w:cs="Arial" w:eastAsia="Arial" w:hAnsi="Arial"/>
          <w:sz w:val="22"/>
          <w:szCs w:val="22"/>
          <w:color w:val="auto"/>
        </w:rPr>
      </w:pPr>
    </w:p>
    <w:p>
      <w:pPr>
        <w:ind w:left="842" w:right="20" w:hanging="842"/>
        <w:spacing w:after="0" w:line="238" w:lineRule="auto"/>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North 86 degrees 08 minutes 09 seconds West a distance of 150.48 feet to a point, evidenced by a monument found; thence;</w:t>
      </w:r>
    </w:p>
    <w:p>
      <w:pPr>
        <w:spacing w:after="0" w:line="196" w:lineRule="exact"/>
        <w:rPr>
          <w:rFonts w:ascii="Arial" w:cs="Arial" w:eastAsia="Arial" w:hAnsi="Arial"/>
          <w:sz w:val="22"/>
          <w:szCs w:val="22"/>
          <w:color w:val="auto"/>
        </w:rPr>
      </w:pPr>
    </w:p>
    <w:p>
      <w:pPr>
        <w:ind w:left="842" w:hanging="842"/>
        <w:spacing w:after="0" w:line="238" w:lineRule="auto"/>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North 81 degrees 28 minutes 10 seconds West a distance of 522.61 feet to a point, evidenced by a rebar with cap set; thence;</w:t>
      </w:r>
    </w:p>
    <w:p>
      <w:pPr>
        <w:spacing w:after="0" w:line="196" w:lineRule="exact"/>
        <w:rPr>
          <w:rFonts w:ascii="Arial" w:cs="Arial" w:eastAsia="Arial" w:hAnsi="Arial"/>
          <w:sz w:val="22"/>
          <w:szCs w:val="22"/>
          <w:color w:val="auto"/>
        </w:rPr>
      </w:pPr>
    </w:p>
    <w:p>
      <w:pPr>
        <w:ind w:left="842" w:hanging="842"/>
        <w:spacing w:after="0" w:line="238" w:lineRule="auto"/>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North 81 degrees 42 minutes 47 seconds West a distance of 172.41 feet to a point, evidenced by a rebar with cap set; thence;</w:t>
      </w:r>
    </w:p>
    <w:p>
      <w:pPr>
        <w:spacing w:after="0" w:line="196" w:lineRule="exact"/>
        <w:rPr>
          <w:rFonts w:ascii="Arial" w:cs="Arial" w:eastAsia="Arial" w:hAnsi="Arial"/>
          <w:sz w:val="22"/>
          <w:szCs w:val="22"/>
          <w:color w:val="auto"/>
        </w:rPr>
      </w:pPr>
    </w:p>
    <w:p>
      <w:pPr>
        <w:ind w:left="842" w:hanging="842"/>
        <w:spacing w:after="0" w:line="240" w:lineRule="exact"/>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North 81 degrees 27 minutes 53 seconds West a distance of 45.45 feet non</w:t>
      </w:r>
      <w:r>
        <w:rPr>
          <w:rFonts w:ascii="MS PGothic" w:cs="MS PGothic" w:eastAsia="MS PGothic" w:hAnsi="MS PGothic"/>
          <w:sz w:val="20"/>
          <w:szCs w:val="20"/>
          <w:color w:val="auto"/>
        </w:rPr>
        <w:t>‐</w:t>
      </w:r>
      <w:r>
        <w:rPr>
          <w:rFonts w:ascii="Arial" w:cs="Arial" w:eastAsia="Arial" w:hAnsi="Arial"/>
          <w:sz w:val="20"/>
          <w:szCs w:val="20"/>
          <w:color w:val="auto"/>
        </w:rPr>
        <w:t>tangentially to a point on a curve, evidenced by a monument found; thence;</w:t>
      </w:r>
    </w:p>
    <w:p>
      <w:pPr>
        <w:spacing w:after="0" w:line="196" w:lineRule="exact"/>
        <w:rPr>
          <w:rFonts w:ascii="Arial" w:cs="Arial" w:eastAsia="Arial" w:hAnsi="Arial"/>
          <w:sz w:val="22"/>
          <w:szCs w:val="22"/>
          <w:color w:val="auto"/>
        </w:rPr>
      </w:pPr>
    </w:p>
    <w:p>
      <w:pPr>
        <w:jc w:val="both"/>
        <w:ind w:left="842" w:hanging="842"/>
        <w:spacing w:after="0" w:line="236" w:lineRule="exact"/>
        <w:tabs>
          <w:tab w:leader="none" w:pos="842" w:val="left"/>
        </w:tabs>
        <w:numPr>
          <w:ilvl w:val="0"/>
          <w:numId w:val="232"/>
        </w:numPr>
        <w:rPr>
          <w:rFonts w:ascii="Arial" w:cs="Arial" w:eastAsia="Arial" w:hAnsi="Arial"/>
          <w:sz w:val="22"/>
          <w:szCs w:val="22"/>
          <w:color w:val="auto"/>
        </w:rPr>
      </w:pPr>
      <w:r>
        <w:rPr>
          <w:rFonts w:ascii="Arial" w:cs="Arial" w:eastAsia="Arial" w:hAnsi="Arial"/>
          <w:sz w:val="20"/>
          <w:szCs w:val="20"/>
          <w:color w:val="auto"/>
        </w:rPr>
        <w:t>Along a curve to the left with a radius of 1015.00 feet, an arc length of 238.21 feet, (said curve having a chord bearing and distance of South 86 degrees 01 minutes 47 seconds West, 237.66 feet) to a point, evidenced by a monument found; thence, non</w:t>
      </w:r>
      <w:r>
        <w:rPr>
          <w:rFonts w:ascii="MS PGothic" w:cs="MS PGothic" w:eastAsia="MS PGothic" w:hAnsi="MS PGothic"/>
          <w:sz w:val="20"/>
          <w:szCs w:val="20"/>
          <w:color w:val="auto"/>
        </w:rPr>
        <w:t>‐</w:t>
      </w:r>
      <w:r>
        <w:rPr>
          <w:rFonts w:ascii="Arial" w:cs="Arial" w:eastAsia="Arial" w:hAnsi="Arial"/>
          <w:sz w:val="20"/>
          <w:szCs w:val="20"/>
          <w:color w:val="auto"/>
        </w:rPr>
        <w:t>tangentially;</w:t>
      </w:r>
    </w:p>
    <w:p>
      <w:pPr>
        <w:spacing w:after="0" w:line="200" w:lineRule="exact"/>
        <w:rPr>
          <w:sz w:val="20"/>
          <w:szCs w:val="20"/>
          <w:color w:val="auto"/>
        </w:rPr>
      </w:pPr>
    </w:p>
    <w:p>
      <w:pPr>
        <w:spacing w:after="0" w:line="214" w:lineRule="exact"/>
        <w:rPr>
          <w:sz w:val="20"/>
          <w:szCs w:val="20"/>
          <w:color w:val="auto"/>
        </w:rPr>
      </w:pPr>
    </w:p>
    <w:p>
      <w:pPr>
        <w:ind w:left="22"/>
        <w:spacing w:after="0"/>
        <w:rPr>
          <w:sz w:val="20"/>
          <w:szCs w:val="20"/>
          <w:color w:val="auto"/>
        </w:rPr>
      </w:pPr>
      <w:r>
        <w:rPr>
          <w:rFonts w:ascii="Arial" w:cs="Arial" w:eastAsia="Arial" w:hAnsi="Arial"/>
          <w:sz w:val="20"/>
          <w:szCs w:val="20"/>
          <w:u w:val="single" w:color="auto"/>
          <w:color w:val="auto"/>
        </w:rPr>
        <w:t>EXHIBIT P</w:t>
      </w:r>
    </w:p>
    <w:p>
      <w:pPr>
        <w:spacing w:after="0" w:line="16" w:lineRule="exact"/>
        <w:rPr>
          <w:sz w:val="20"/>
          <w:szCs w:val="20"/>
          <w:color w:val="auto"/>
        </w:rPr>
      </w:pPr>
    </w:p>
    <w:p>
      <w:pPr>
        <w:ind w:left="22"/>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55880</wp:posOffset>
            </wp:positionV>
            <wp:extent cx="71748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339" w:right="339" w:bottom="1440" w:gutter="0" w:footer="0" w:header="0"/>
        </w:sectPr>
      </w:pPr>
    </w:p>
    <w:bookmarkStart w:id="277" w:name="page278"/>
    <w:bookmarkEnd w:id="277"/>
    <w:p>
      <w:pPr>
        <w:ind w:left="1700" w:right="20" w:hanging="842"/>
        <w:spacing w:after="0" w:line="238" w:lineRule="auto"/>
        <w:tabs>
          <w:tab w:leader="none" w:pos="1700" w:val="left"/>
        </w:tabs>
        <w:numPr>
          <w:ilvl w:val="0"/>
          <w:numId w:val="233"/>
        </w:numPr>
        <w:rPr>
          <w:rFonts w:ascii="Arial" w:cs="Arial" w:eastAsia="Arial" w:hAnsi="Arial"/>
          <w:sz w:val="22"/>
          <w:szCs w:val="22"/>
          <w:color w:val="auto"/>
        </w:rPr>
      </w:pPr>
      <w:r>
        <w:rPr>
          <w:rFonts w:ascii="Arial" w:cs="Arial" w:eastAsia="Arial" w:hAnsi="Arial"/>
          <w:sz w:val="20"/>
          <w:szCs w:val="20"/>
          <w:color w:val="auto"/>
        </w:rPr>
        <w:t>South 79 degrees 15 minutes 55 seconds West a distance of 230.96 feet to a point, evidenced by a monument found; thence;</w:t>
      </w:r>
    </w:p>
    <w:p>
      <w:pPr>
        <w:spacing w:after="0" w:line="196" w:lineRule="exact"/>
        <w:rPr>
          <w:rFonts w:ascii="Arial" w:cs="Arial" w:eastAsia="Arial" w:hAnsi="Arial"/>
          <w:sz w:val="22"/>
          <w:szCs w:val="22"/>
          <w:color w:val="auto"/>
        </w:rPr>
      </w:pPr>
    </w:p>
    <w:p>
      <w:pPr>
        <w:ind w:left="1700" w:right="20" w:hanging="842"/>
        <w:spacing w:after="0" w:line="238" w:lineRule="auto"/>
        <w:tabs>
          <w:tab w:leader="none" w:pos="1700" w:val="left"/>
        </w:tabs>
        <w:numPr>
          <w:ilvl w:val="0"/>
          <w:numId w:val="233"/>
        </w:numPr>
        <w:rPr>
          <w:rFonts w:ascii="Arial" w:cs="Arial" w:eastAsia="Arial" w:hAnsi="Arial"/>
          <w:sz w:val="22"/>
          <w:szCs w:val="22"/>
          <w:color w:val="auto"/>
        </w:rPr>
      </w:pPr>
      <w:r>
        <w:rPr>
          <w:rFonts w:ascii="Arial" w:cs="Arial" w:eastAsia="Arial" w:hAnsi="Arial"/>
          <w:sz w:val="20"/>
          <w:szCs w:val="20"/>
          <w:color w:val="auto"/>
        </w:rPr>
        <w:t>South 86 degrees 05 minutes 44 seconds West a distance of 101.00 feet to a point, evidenced by a monument found; thence;</w:t>
      </w:r>
    </w:p>
    <w:p>
      <w:pPr>
        <w:spacing w:after="0" w:line="196" w:lineRule="exact"/>
        <w:rPr>
          <w:rFonts w:ascii="Arial" w:cs="Arial" w:eastAsia="Arial" w:hAnsi="Arial"/>
          <w:sz w:val="22"/>
          <w:szCs w:val="22"/>
          <w:color w:val="auto"/>
        </w:rPr>
      </w:pPr>
    </w:p>
    <w:p>
      <w:pPr>
        <w:ind w:left="1700" w:hanging="842"/>
        <w:spacing w:after="0" w:line="240" w:lineRule="exact"/>
        <w:tabs>
          <w:tab w:leader="none" w:pos="1700" w:val="left"/>
        </w:tabs>
        <w:numPr>
          <w:ilvl w:val="0"/>
          <w:numId w:val="233"/>
        </w:numPr>
        <w:rPr>
          <w:rFonts w:ascii="Arial" w:cs="Arial" w:eastAsia="Arial" w:hAnsi="Arial"/>
          <w:sz w:val="22"/>
          <w:szCs w:val="22"/>
          <w:color w:val="auto"/>
        </w:rPr>
      </w:pPr>
      <w:r>
        <w:rPr>
          <w:rFonts w:ascii="Arial" w:cs="Arial" w:eastAsia="Arial" w:hAnsi="Arial"/>
          <w:sz w:val="20"/>
          <w:szCs w:val="20"/>
          <w:color w:val="auto"/>
        </w:rPr>
        <w:t>South 78 degrees 41 minutes 13 seconds West a distance of 14.04 feet non</w:t>
      </w:r>
      <w:r>
        <w:rPr>
          <w:rFonts w:ascii="MS PGothic" w:cs="MS PGothic" w:eastAsia="MS PGothic" w:hAnsi="MS PGothic"/>
          <w:sz w:val="20"/>
          <w:szCs w:val="20"/>
          <w:color w:val="auto"/>
        </w:rPr>
        <w:t>‐</w:t>
      </w:r>
      <w:r>
        <w:rPr>
          <w:rFonts w:ascii="Arial" w:cs="Arial" w:eastAsia="Arial" w:hAnsi="Arial"/>
          <w:sz w:val="20"/>
          <w:szCs w:val="20"/>
          <w:color w:val="auto"/>
        </w:rPr>
        <w:t>tangentially to a point on a curve, evidenced by a rebar with cap set; thence;</w:t>
      </w:r>
    </w:p>
    <w:p>
      <w:pPr>
        <w:spacing w:after="0" w:line="196" w:lineRule="exact"/>
        <w:rPr>
          <w:rFonts w:ascii="Arial" w:cs="Arial" w:eastAsia="Arial" w:hAnsi="Arial"/>
          <w:sz w:val="22"/>
          <w:szCs w:val="22"/>
          <w:color w:val="auto"/>
        </w:rPr>
      </w:pPr>
    </w:p>
    <w:p>
      <w:pPr>
        <w:jc w:val="both"/>
        <w:ind w:left="1700" w:hanging="842"/>
        <w:spacing w:after="0" w:line="254" w:lineRule="auto"/>
        <w:tabs>
          <w:tab w:leader="none" w:pos="1700" w:val="left"/>
        </w:tabs>
        <w:numPr>
          <w:ilvl w:val="0"/>
          <w:numId w:val="233"/>
        </w:numPr>
        <w:rPr>
          <w:rFonts w:ascii="Arial" w:cs="Arial" w:eastAsia="Arial" w:hAnsi="Arial"/>
          <w:sz w:val="21"/>
          <w:szCs w:val="21"/>
          <w:color w:val="auto"/>
        </w:rPr>
      </w:pPr>
      <w:r>
        <w:rPr>
          <w:rFonts w:ascii="Arial" w:cs="Arial" w:eastAsia="Arial" w:hAnsi="Arial"/>
          <w:sz w:val="19"/>
          <w:szCs w:val="19"/>
          <w:color w:val="auto"/>
        </w:rPr>
        <w:t>Along a curve to the right with a radius of 1673.00 feet, an arc length of 3.63 feet, (said curve having a chord bearing and distance of South 78 degrees 59 minutes 22 seconds West, 3.63 feet) to a point of compound curvature at the Southeasterly end of a 439.12 foot radius junction curve joining the northerly line of aforesaid Faulkland Road and the Easterly line of aforesaid Centre Road, to the point and place of beginning.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Said tract or Parcel of land, contained within described metes and bounds 7,110,478 square feet or 163.23 acres of land (more or less).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EXHIBIT P</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20"/>
          <w:szCs w:val="20"/>
          <w:b w:val="1"/>
          <w:bCs w:val="1"/>
          <w:color w:val="auto"/>
        </w:rPr>
        <w:t>Exhibit 10.11</w:t>
      </w: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0"/>
          <w:szCs w:val="20"/>
          <w:b w:val="1"/>
          <w:bCs w:val="1"/>
          <w:u w:val="single" w:color="auto"/>
          <w:color w:val="auto"/>
        </w:rPr>
        <w:t>EXHIBIT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151130</wp:posOffset>
            </wp:positionV>
            <wp:extent cx="3900170" cy="58032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3900170" cy="580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540"/>
        <w:spacing w:after="0"/>
        <w:rPr>
          <w:sz w:val="20"/>
          <w:szCs w:val="20"/>
          <w:color w:val="auto"/>
        </w:rPr>
      </w:pPr>
      <w:r>
        <w:rPr>
          <w:rFonts w:ascii="Arial" w:cs="Arial" w:eastAsia="Arial" w:hAnsi="Arial"/>
          <w:sz w:val="20"/>
          <w:szCs w:val="20"/>
          <w:b w:val="1"/>
          <w:bCs w:val="1"/>
          <w:u w:val="single" w:color="auto"/>
          <w:color w:val="auto"/>
        </w:rPr>
        <w:t>PERMITTED EXCEPTIONS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Q</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16" w:right="339" w:bottom="1440" w:gutter="0" w:footer="0" w:header="0"/>
        </w:sectPr>
      </w:pPr>
    </w:p>
    <w:bookmarkStart w:id="279" w:name="page280"/>
    <w:bookmarkEnd w:id="2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363220</wp:posOffset>
            </wp:positionV>
            <wp:extent cx="4380230" cy="65322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4380230" cy="653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EXHIBIT Q</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1440" w:right="1440" w:bottom="1440" w:gutter="0" w:footer="0" w:header="0"/>
        </w:sectPr>
      </w:pPr>
    </w:p>
    <w:bookmarkStart w:id="280" w:name="page281"/>
    <w:bookmarkEnd w:id="2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363220</wp:posOffset>
            </wp:positionV>
            <wp:extent cx="4732020" cy="70637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4732020" cy="706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EXHIBIT Q</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1440" w:right="1440" w:bottom="1440" w:gutter="0" w:footer="0" w:header="0"/>
        </w:sectPr>
      </w:pPr>
    </w:p>
    <w:bookmarkStart w:id="281" w:name="page282"/>
    <w:bookmarkEnd w:id="2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363220</wp:posOffset>
            </wp:positionV>
            <wp:extent cx="4757420" cy="70980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4757420" cy="709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EXHIBIT Q</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1440" w:right="1440" w:bottom="1440" w:gutter="0" w:footer="0" w:header="0"/>
        </w:sectPr>
      </w:pPr>
    </w:p>
    <w:bookmarkStart w:id="282" w:name="page283"/>
    <w:bookmarkEnd w:id="2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363220</wp:posOffset>
            </wp:positionV>
            <wp:extent cx="4843145" cy="72269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4843145" cy="722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EXHIBIT Q</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1440" w:right="1440" w:bottom="1440" w:gutter="0" w:footer="0" w:header="0"/>
        </w:sectPr>
      </w:pPr>
    </w:p>
    <w:bookmarkStart w:id="283" w:name="page284"/>
    <w:bookmarkEnd w:id="2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637540</wp:posOffset>
            </wp:positionV>
            <wp:extent cx="4723130" cy="7046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4723130" cy="704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EXHIBIT Q</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55880</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1440" w:right="1440" w:bottom="1440" w:gutter="0" w:footer="0" w:header="0"/>
        </w:sectPr>
      </w:pPr>
    </w:p>
    <w:bookmarkStart w:id="284" w:name="page285"/>
    <w:bookmarkEnd w:id="2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637540</wp:posOffset>
            </wp:positionV>
            <wp:extent cx="4603115" cy="6875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4603115"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EXHIBIT Q</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259"/>
          </w:cols>
          <w:pgMar w:left="1200" w:top="1440" w:right="1440" w:bottom="1440" w:gutter="0" w:footer="0" w:header="0"/>
        </w:sectPr>
      </w:pPr>
    </w:p>
    <w:bookmarkStart w:id="285" w:name="page286"/>
    <w:bookmarkEnd w:id="285"/>
    <w:p>
      <w:pPr>
        <w:jc w:val="right"/>
        <w:spacing w:after="0"/>
        <w:rPr>
          <w:sz w:val="20"/>
          <w:szCs w:val="20"/>
          <w:color w:val="auto"/>
        </w:rPr>
      </w:pPr>
      <w:r>
        <w:rPr>
          <w:rFonts w:ascii="Arial" w:cs="Arial" w:eastAsia="Arial" w:hAnsi="Arial"/>
          <w:sz w:val="20"/>
          <w:szCs w:val="20"/>
          <w:b w:val="1"/>
          <w:bCs w:val="1"/>
          <w:color w:val="auto"/>
        </w:rPr>
        <w:t>Exhibit 10.12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SINGLE-TENANT TRIPLE NET LEASE</w:t>
      </w:r>
    </w:p>
    <w:p>
      <w:pPr>
        <w:spacing w:after="0" w:line="19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FIRST AMENDMENT TO SINGLE-TENANT TRIPLE NET LEASE</w:t>
      </w:r>
      <w:r>
        <w:rPr>
          <w:rFonts w:ascii="Arial" w:cs="Arial" w:eastAsia="Arial" w:hAnsi="Arial"/>
          <w:sz w:val="20"/>
          <w:szCs w:val="20"/>
          <w:color w:val="auto"/>
        </w:rPr>
        <w:t xml:space="preserve"> (the “First Amendment”) is made as of _</w:t>
      </w:r>
      <w:r>
        <w:rPr>
          <w:rFonts w:ascii="Arial" w:cs="Arial" w:eastAsia="Arial" w:hAnsi="Arial"/>
          <w:sz w:val="20"/>
          <w:szCs w:val="20"/>
          <w:u w:val="single" w:color="auto"/>
          <w:color w:val="auto"/>
        </w:rPr>
        <w:t>11/15/2021</w:t>
      </w:r>
      <w:r>
        <w:rPr>
          <w:rFonts w:ascii="Arial" w:cs="Arial" w:eastAsia="Arial" w:hAnsi="Arial"/>
          <w:sz w:val="20"/>
          <w:szCs w:val="20"/>
          <w:color w:val="auto"/>
        </w:rPr>
        <w:t xml:space="preserve">_, by and between </w:t>
      </w:r>
      <w:r>
        <w:rPr>
          <w:rFonts w:ascii="Arial" w:cs="Arial" w:eastAsia="Arial" w:hAnsi="Arial"/>
          <w:sz w:val="20"/>
          <w:szCs w:val="20"/>
          <w:b w:val="1"/>
          <w:bCs w:val="1"/>
          <w:color w:val="auto"/>
        </w:rPr>
        <w:t>CRISP PARTNERS LLC</w:t>
      </w:r>
      <w:r>
        <w:rPr>
          <w:rFonts w:ascii="Arial" w:cs="Arial" w:eastAsia="Arial" w:hAnsi="Arial"/>
          <w:sz w:val="20"/>
          <w:szCs w:val="20"/>
          <w:color w:val="auto"/>
        </w:rPr>
        <w:t xml:space="preserve">, a Delaware limited liability company (“Landlord”) and </w:t>
      </w:r>
      <w:r>
        <w:rPr>
          <w:rFonts w:ascii="Arial" w:cs="Arial" w:eastAsia="Arial" w:hAnsi="Arial"/>
          <w:sz w:val="20"/>
          <w:szCs w:val="20"/>
          <w:b w:val="1"/>
          <w:bCs w:val="1"/>
          <w:color w:val="auto"/>
        </w:rPr>
        <w:t>PRELUDE</w:t>
      </w:r>
      <w:r>
        <w:rPr>
          <w:rFonts w:ascii="Arial" w:cs="Arial" w:eastAsia="Arial" w:hAnsi="Arial"/>
          <w:sz w:val="20"/>
          <w:szCs w:val="20"/>
          <w:color w:val="auto"/>
        </w:rPr>
        <w:t xml:space="preserve"> </w:t>
      </w:r>
      <w:r>
        <w:rPr>
          <w:rFonts w:ascii="Arial" w:cs="Arial" w:eastAsia="Arial" w:hAnsi="Arial"/>
          <w:sz w:val="20"/>
          <w:szCs w:val="20"/>
          <w:b w:val="1"/>
          <w:bCs w:val="1"/>
          <w:color w:val="auto"/>
        </w:rPr>
        <w:t>THERAPEUTICS INCORPORATED</w:t>
      </w:r>
      <w:r>
        <w:rPr>
          <w:rFonts w:ascii="Arial" w:cs="Arial" w:eastAsia="Arial" w:hAnsi="Arial"/>
          <w:sz w:val="20"/>
          <w:szCs w:val="20"/>
          <w:color w:val="auto"/>
        </w:rPr>
        <w:t>, a Delaware corporation (“Tenant”).</w:t>
      </w:r>
    </w:p>
    <w:p>
      <w:pPr>
        <w:spacing w:after="0" w:line="17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Landlord and Tenant entered into that certain Single-Tenant Triple Net Lease dated September 13, 2021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 pursuant to which Tenant is currently in possession of certain premises known as Building 709, consisting of approximately 80,874 rentable square feet of space being further described or depicted in the Lease (the “Premises”), located at Chestnut Run Plaza, 984 Centre Road, Wilmington, Delaware (the “Building”);</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Landlord and Tenant both agree to amend the Lease; and</w:t>
      </w:r>
    </w:p>
    <w:p>
      <w:pPr>
        <w:spacing w:after="0" w:line="216"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Landlord and Tenant, in consideration of the mutual promises contained herein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adequacy of which are hereby acknowledged, and intending to be legally bound, agree as follows:</w:t>
      </w:r>
    </w:p>
    <w:p>
      <w:pPr>
        <w:spacing w:after="0" w:line="118" w:lineRule="exact"/>
        <w:rPr>
          <w:sz w:val="20"/>
          <w:szCs w:val="20"/>
          <w:color w:val="auto"/>
        </w:rPr>
      </w:pPr>
    </w:p>
    <w:p>
      <w:pPr>
        <w:jc w:val="both"/>
        <w:ind w:left="1700" w:hanging="842"/>
        <w:spacing w:after="0" w:line="253" w:lineRule="auto"/>
        <w:tabs>
          <w:tab w:leader="none" w:pos="1700" w:val="left"/>
        </w:tabs>
        <w:numPr>
          <w:ilvl w:val="0"/>
          <w:numId w:val="234"/>
        </w:numPr>
        <w:rPr>
          <w:rFonts w:ascii="Arial" w:cs="Arial" w:eastAsia="Arial" w:hAnsi="Arial"/>
          <w:sz w:val="20"/>
          <w:szCs w:val="20"/>
          <w:color w:val="auto"/>
        </w:rPr>
      </w:pPr>
      <w:r>
        <w:rPr>
          <w:rFonts w:ascii="Arial" w:cs="Arial" w:eastAsia="Arial" w:hAnsi="Arial"/>
          <w:sz w:val="20"/>
          <w:szCs w:val="20"/>
          <w:b w:val="1"/>
          <w:bCs w:val="1"/>
          <w:u w:val="single" w:color="auto"/>
          <w:color w:val="auto"/>
        </w:rPr>
        <w:t>Contingency Date</w:t>
      </w:r>
      <w:r>
        <w:rPr>
          <w:rFonts w:ascii="Arial" w:cs="Arial" w:eastAsia="Arial" w:hAnsi="Arial"/>
          <w:sz w:val="20"/>
          <w:szCs w:val="20"/>
          <w:color w:val="auto"/>
        </w:rPr>
        <w:t>. The Contingency Date as defined in Section 26.21 (“Contingency”) of the Lease is hereby deleted</w:t>
      </w:r>
      <w:r>
        <w:rPr>
          <w:rFonts w:ascii="Arial" w:cs="Arial" w:eastAsia="Arial" w:hAnsi="Arial"/>
          <w:sz w:val="20"/>
          <w:szCs w:val="20"/>
          <w:b w:val="1"/>
          <w:bCs w:val="1"/>
          <w:color w:val="auto"/>
        </w:rPr>
        <w:t xml:space="preserve"> </w:t>
      </w:r>
      <w:r>
        <w:rPr>
          <w:rFonts w:ascii="Arial" w:cs="Arial" w:eastAsia="Arial" w:hAnsi="Arial"/>
          <w:sz w:val="20"/>
          <w:szCs w:val="20"/>
          <w:color w:val="auto"/>
        </w:rPr>
        <w:t>in its entirety and amended to be on or before November 30, 2021 (the “Contingency Date”). All other terms and conditions outlined in Section 26.21 of the Lease shall remain in full force and effect.</w:t>
      </w:r>
    </w:p>
    <w:p>
      <w:pPr>
        <w:spacing w:after="0" w:line="177" w:lineRule="exact"/>
        <w:rPr>
          <w:rFonts w:ascii="Arial" w:cs="Arial" w:eastAsia="Arial" w:hAnsi="Arial"/>
          <w:sz w:val="20"/>
          <w:szCs w:val="20"/>
          <w:color w:val="auto"/>
        </w:rPr>
      </w:pPr>
    </w:p>
    <w:p>
      <w:pPr>
        <w:ind w:left="1700" w:hanging="842"/>
        <w:spacing w:after="0"/>
        <w:tabs>
          <w:tab w:leader="none" w:pos="1700" w:val="left"/>
        </w:tabs>
        <w:numPr>
          <w:ilvl w:val="0"/>
          <w:numId w:val="234"/>
        </w:numPr>
        <w:rPr>
          <w:rFonts w:ascii="Arial" w:cs="Arial" w:eastAsia="Arial" w:hAnsi="Arial"/>
          <w:sz w:val="20"/>
          <w:szCs w:val="20"/>
          <w:color w:val="auto"/>
        </w:rPr>
      </w:pPr>
      <w:r>
        <w:rPr>
          <w:rFonts w:ascii="Arial" w:cs="Arial" w:eastAsia="Arial" w:hAnsi="Arial"/>
          <w:sz w:val="20"/>
          <w:szCs w:val="20"/>
          <w:b w:val="1"/>
          <w:bCs w:val="1"/>
          <w:u w:val="single" w:color="auto"/>
          <w:color w:val="auto"/>
        </w:rPr>
        <w:t>Brownfields Development Agreement</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2580" w:hanging="858"/>
        <w:spacing w:after="0" w:line="272" w:lineRule="auto"/>
        <w:tabs>
          <w:tab w:leader="none" w:pos="25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Pursuant to the Delaware Hazardous Substance Cleanup Act (“HSCA”), the Building and certain other real property at 984 Centre Road, Wilmington, Delaware, is subject to a Brownfields Development Agreement (“BDA”) as defined in 7 Del. C. § 9123 (2), and is a certified brownfield, as defined in 7 Del. C. § 9123</w:t>
      </w:r>
    </w:p>
    <w:p>
      <w:pPr>
        <w:jc w:val="both"/>
        <w:ind w:left="2580"/>
        <w:spacing w:after="0" w:line="257" w:lineRule="auto"/>
        <w:rPr>
          <w:rFonts w:ascii="Arial" w:cs="Arial" w:eastAsia="Arial" w:hAnsi="Arial"/>
          <w:sz w:val="18"/>
          <w:szCs w:val="18"/>
          <w:color w:val="auto"/>
        </w:rPr>
      </w:pPr>
      <w:r>
        <w:rPr>
          <w:rFonts w:ascii="Arial" w:cs="Arial" w:eastAsia="Arial" w:hAnsi="Arial"/>
          <w:sz w:val="19"/>
          <w:szCs w:val="19"/>
          <w:color w:val="auto"/>
        </w:rPr>
        <w:t>(3) (“Certified Brownfield”). Landlord has entered into a BDA with DNREC, a copy of which is attached as Exhibit A. The BDA requires Landlord to take certain measures to conduct a Brownfield Investigation and to implement any Remedial Action Work Plan and Final Plan of Remedial Action, as defined in the BDA, and as issued, approved, modified, or amended by DNREC.</w:t>
      </w:r>
    </w:p>
    <w:p>
      <w:pPr>
        <w:spacing w:after="0" w:line="182" w:lineRule="exact"/>
        <w:rPr>
          <w:rFonts w:ascii="Arial" w:cs="Arial" w:eastAsia="Arial" w:hAnsi="Arial"/>
          <w:sz w:val="18"/>
          <w:szCs w:val="18"/>
          <w:color w:val="auto"/>
        </w:rPr>
      </w:pPr>
    </w:p>
    <w:p>
      <w:pPr>
        <w:jc w:val="both"/>
        <w:ind w:left="2580" w:hanging="858"/>
        <w:spacing w:after="0" w:line="257" w:lineRule="auto"/>
        <w:tabs>
          <w:tab w:leader="none" w:pos="2580" w:val="left"/>
        </w:tabs>
        <w:numPr>
          <w:ilvl w:val="1"/>
          <w:numId w:val="234"/>
        </w:numPr>
        <w:rPr>
          <w:rFonts w:ascii="Arial" w:cs="Arial" w:eastAsia="Arial" w:hAnsi="Arial"/>
          <w:sz w:val="19"/>
          <w:szCs w:val="19"/>
          <w:color w:val="auto"/>
        </w:rPr>
      </w:pPr>
      <w:r>
        <w:rPr>
          <w:rFonts w:ascii="Arial" w:cs="Arial" w:eastAsia="Arial" w:hAnsi="Arial"/>
          <w:sz w:val="19"/>
          <w:szCs w:val="19"/>
          <w:color w:val="auto"/>
        </w:rPr>
        <w:t>In accordance with the BDA part VIII, sections 49–51, on the Effective Date, Landlord, and any assignee, successor-in-interest, lessee or sub-lessee of the Certified Brownfield, or any portion thereof, including Tenant, grants DNREC an irrevocable right of access to the Certified Brownfield at all reasonable times to any area to which access is required for investigation of contamination, and or the implementation of remedies at the Certified Brownfield. Any lease, sublease, assignment or transfer of the Certified Brownfield or any interest in the Certified Brownfield, shall be in compliance with the provisions of the BDA and grant DNREC with an irrevocable right of access to the Certified Brownfield.</w:t>
      </w:r>
    </w:p>
    <w:p>
      <w:pPr>
        <w:spacing w:after="0" w:line="178" w:lineRule="exact"/>
        <w:rPr>
          <w:rFonts w:ascii="Arial" w:cs="Arial" w:eastAsia="Arial" w:hAnsi="Arial"/>
          <w:sz w:val="19"/>
          <w:szCs w:val="19"/>
          <w:color w:val="auto"/>
        </w:rPr>
      </w:pPr>
    </w:p>
    <w:p>
      <w:pPr>
        <w:jc w:val="both"/>
        <w:ind w:left="1700" w:hanging="842"/>
        <w:spacing w:after="0" w:line="285" w:lineRule="auto"/>
        <w:tabs>
          <w:tab w:leader="none" w:pos="1700"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Amendment</w:t>
      </w:r>
      <w:r>
        <w:rPr>
          <w:rFonts w:ascii="Arial" w:cs="Arial" w:eastAsia="Arial" w:hAnsi="Arial"/>
          <w:sz w:val="18"/>
          <w:szCs w:val="18"/>
          <w:color w:val="auto"/>
        </w:rPr>
        <w:t>. Except as modified by this First Amendment, the Lease and all the covenants,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provisions and conditions thereof shall remain in full force and effect and are hereby ratified and affirmed. The term “Lease” and all references thereto as used in the Lease and this First Amendment shall mean and refer to the Lease as amended by this First Amendment. The covenants, agreements, terms, provisions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748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86" w:name="page287"/>
    <w:bookmarkEnd w:id="286"/>
    <w:p>
      <w:pPr>
        <w:jc w:val="both"/>
        <w:ind w:left="1700"/>
        <w:spacing w:after="0" w:line="246" w:lineRule="auto"/>
        <w:rPr>
          <w:sz w:val="20"/>
          <w:szCs w:val="20"/>
          <w:color w:val="auto"/>
        </w:rPr>
      </w:pPr>
      <w:r>
        <w:rPr>
          <w:rFonts w:ascii="Arial" w:cs="Arial" w:eastAsia="Arial" w:hAnsi="Arial"/>
          <w:sz w:val="20"/>
          <w:szCs w:val="20"/>
          <w:color w:val="auto"/>
        </w:rPr>
        <w:t>conditions contained in this First Amendment shall bind and inure to the benefit of the parties hereto and their respective successors and, except as otherwise provided in the Lease, their respective assigns. In the event of any conflict between the terms contained in this First Amendment and the Lease, the terms herein contained shall supersede and control the obligations and liabilities of the parties.</w:t>
      </w:r>
    </w:p>
    <w:p>
      <w:pPr>
        <w:spacing w:after="0" w:line="185" w:lineRule="exact"/>
        <w:rPr>
          <w:sz w:val="20"/>
          <w:szCs w:val="20"/>
          <w:color w:val="auto"/>
        </w:rPr>
      </w:pPr>
    </w:p>
    <w:p>
      <w:pPr>
        <w:jc w:val="both"/>
        <w:ind w:left="1700" w:hanging="842"/>
        <w:spacing w:after="0" w:line="242" w:lineRule="auto"/>
        <w:tabs>
          <w:tab w:leader="none" w:pos="1700" w:val="left"/>
        </w:tabs>
        <w:numPr>
          <w:ilvl w:val="0"/>
          <w:numId w:val="235"/>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 The submission of this First Amendment for examination does not constitute an offer, and this First</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becomes effective only upon execution and delivery hereof by Landlord and Tenant. The foregoing Background paragraphs are incorporated into this First Amendment by this reference thereto with the same force and effect as if stated in full herein. The captions of the paragraphs and subparagraphs in this First Amendment are inserted and included solely for convenience and shall not be considered or given any effect in construing the provisions hereof. This First Amendment may be executed by the parties in any number of counterparts, each of which shall be deemed to constitute an original and all of which, when taken together, shall constitute one and the same instrument. For purposes of this First Amendment, facsimile and electronic signatures shall be deemed to constitute originals.</w:t>
      </w:r>
    </w:p>
    <w:p>
      <w:pPr>
        <w:spacing w:after="0" w:line="194" w:lineRule="exact"/>
        <w:rPr>
          <w:sz w:val="20"/>
          <w:szCs w:val="20"/>
          <w:color w:val="auto"/>
        </w:rPr>
      </w:pPr>
    </w:p>
    <w:p>
      <w:pPr>
        <w:ind w:right="20" w:firstLine="864"/>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Landlord and Tenant have executed and delivered this First Amendment as of the date and year first</w:t>
      </w:r>
      <w:r>
        <w:rPr>
          <w:rFonts w:ascii="Arial" w:cs="Arial" w:eastAsia="Arial" w:hAnsi="Arial"/>
          <w:sz w:val="20"/>
          <w:szCs w:val="20"/>
          <w:b w:val="1"/>
          <w:bCs w:val="1"/>
          <w:color w:val="auto"/>
        </w:rPr>
        <w:t xml:space="preserve"> </w:t>
      </w:r>
      <w:r>
        <w:rPr>
          <w:rFonts w:ascii="Arial" w:cs="Arial" w:eastAsia="Arial" w:hAnsi="Arial"/>
          <w:sz w:val="20"/>
          <w:szCs w:val="20"/>
          <w:color w:val="auto"/>
        </w:rPr>
        <w:t>above written.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3"/>
          </w:tcPr>
          <w:p>
            <w:pPr>
              <w:spacing w:after="0"/>
              <w:rPr>
                <w:sz w:val="20"/>
                <w:szCs w:val="20"/>
                <w:color w:val="auto"/>
              </w:rPr>
            </w:pPr>
            <w:r>
              <w:rPr>
                <w:rFonts w:ascii="Arial" w:cs="Arial" w:eastAsia="Arial" w:hAnsi="Arial"/>
                <w:sz w:val="20"/>
                <w:szCs w:val="20"/>
                <w:color w:val="auto"/>
              </w:rPr>
              <w:t>AS TO LANDLORD:</w:t>
            </w:r>
          </w:p>
        </w:tc>
        <w:tc>
          <w:tcPr>
            <w:tcW w:w="4720" w:type="dxa"/>
            <w:vAlign w:val="bottom"/>
            <w:gridSpan w:val="4"/>
          </w:tcPr>
          <w:p>
            <w:pPr>
              <w:ind w:left="120"/>
              <w:spacing w:after="0"/>
              <w:rPr>
                <w:sz w:val="20"/>
                <w:szCs w:val="20"/>
                <w:color w:val="auto"/>
              </w:rPr>
            </w:pPr>
            <w:r>
              <w:rPr>
                <w:rFonts w:ascii="Arial" w:cs="Arial" w:eastAsia="Arial" w:hAnsi="Arial"/>
                <w:sz w:val="20"/>
                <w:szCs w:val="20"/>
                <w:color w:val="auto"/>
              </w:rPr>
              <w:t>AS TO TENANT:</w:t>
            </w:r>
          </w:p>
        </w:tc>
      </w:tr>
      <w:tr>
        <w:trPr>
          <w:trHeight w:val="256"/>
        </w:trPr>
        <w:tc>
          <w:tcPr>
            <w:tcW w:w="2300" w:type="dxa"/>
            <w:vAlign w:val="bottom"/>
            <w:gridSpan w:val="3"/>
          </w:tcPr>
          <w:p>
            <w:pPr>
              <w:spacing w:after="0"/>
              <w:rPr>
                <w:sz w:val="20"/>
                <w:szCs w:val="20"/>
                <w:color w:val="auto"/>
              </w:rPr>
            </w:pPr>
            <w:r>
              <w:rPr>
                <w:rFonts w:ascii="Arial" w:cs="Arial" w:eastAsia="Arial" w:hAnsi="Arial"/>
                <w:sz w:val="20"/>
                <w:szCs w:val="20"/>
                <w:b w:val="1"/>
                <w:bCs w:val="1"/>
                <w:color w:val="auto"/>
              </w:rPr>
              <w:t>CRISP PARTNERS LLC</w:t>
            </w:r>
          </w:p>
        </w:tc>
        <w:tc>
          <w:tcPr>
            <w:tcW w:w="4720" w:type="dxa"/>
            <w:vAlign w:val="bottom"/>
            <w:gridSpan w:val="4"/>
          </w:tcPr>
          <w:p>
            <w:pPr>
              <w:ind w:left="500"/>
              <w:spacing w:after="0"/>
              <w:rPr>
                <w:sz w:val="20"/>
                <w:szCs w:val="20"/>
                <w:color w:val="auto"/>
              </w:rPr>
            </w:pPr>
            <w:r>
              <w:rPr>
                <w:rFonts w:ascii="Arial" w:cs="Arial" w:eastAsia="Arial" w:hAnsi="Arial"/>
                <w:sz w:val="20"/>
                <w:szCs w:val="20"/>
                <w:b w:val="1"/>
                <w:bCs w:val="1"/>
                <w:color w:val="auto"/>
                <w:w w:val="98"/>
              </w:rPr>
              <w:t>PRELUDE THERAPEUTICS INCORPORATED</w:t>
            </w:r>
          </w:p>
        </w:tc>
      </w:tr>
      <w:tr>
        <w:trPr>
          <w:trHeight w:val="617"/>
        </w:trPr>
        <w:tc>
          <w:tcPr>
            <w:tcW w:w="2300" w:type="dxa"/>
            <w:vAlign w:val="bottom"/>
            <w:gridSpan w:val="3"/>
          </w:tcPr>
          <w:p>
            <w:pPr>
              <w:spacing w:after="0"/>
              <w:rPr>
                <w:sz w:val="20"/>
                <w:szCs w:val="20"/>
                <w:color w:val="auto"/>
              </w:rPr>
            </w:pPr>
            <w:r>
              <w:rPr>
                <w:rFonts w:ascii="Arial" w:cs="Arial" w:eastAsia="Arial" w:hAnsi="Arial"/>
                <w:sz w:val="20"/>
                <w:szCs w:val="20"/>
                <w:color w:val="auto"/>
                <w:w w:val="94"/>
              </w:rPr>
              <w:t>BY: /s/ Lawrence J. Stuardi</w:t>
            </w:r>
          </w:p>
        </w:tc>
        <w:tc>
          <w:tcPr>
            <w:tcW w:w="880" w:type="dxa"/>
            <w:vAlign w:val="bottom"/>
          </w:tcPr>
          <w:p>
            <w:pPr>
              <w:spacing w:after="0"/>
              <w:rPr>
                <w:sz w:val="24"/>
                <w:szCs w:val="24"/>
                <w:color w:val="auto"/>
              </w:rPr>
            </w:pPr>
          </w:p>
        </w:tc>
        <w:tc>
          <w:tcPr>
            <w:tcW w:w="3840" w:type="dxa"/>
            <w:vAlign w:val="bottom"/>
            <w:gridSpan w:val="3"/>
          </w:tcPr>
          <w:p>
            <w:pPr>
              <w:ind w:left="300"/>
              <w:spacing w:after="0"/>
              <w:rPr>
                <w:sz w:val="20"/>
                <w:szCs w:val="20"/>
                <w:color w:val="auto"/>
              </w:rPr>
            </w:pPr>
            <w:r>
              <w:rPr>
                <w:rFonts w:ascii="Arial" w:cs="Arial" w:eastAsia="Arial" w:hAnsi="Arial"/>
                <w:sz w:val="20"/>
                <w:szCs w:val="20"/>
                <w:color w:val="auto"/>
              </w:rPr>
              <w:t>BY: /s/ Krishna Vaddi</w:t>
            </w:r>
          </w:p>
        </w:tc>
      </w:tr>
      <w:tr>
        <w:trPr>
          <w:trHeight w:val="20"/>
        </w:trPr>
        <w:tc>
          <w:tcPr>
            <w:tcW w:w="3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4"/>
        </w:trPr>
        <w:tc>
          <w:tcPr>
            <w:tcW w:w="360" w:type="dxa"/>
            <w:vAlign w:val="bottom"/>
          </w:tcPr>
          <w:p>
            <w:pPr>
              <w:spacing w:after="0"/>
              <w:rPr>
                <w:sz w:val="22"/>
                <w:szCs w:val="22"/>
                <w:color w:val="auto"/>
              </w:rPr>
            </w:pPr>
          </w:p>
        </w:tc>
        <w:tc>
          <w:tcPr>
            <w:tcW w:w="2820" w:type="dxa"/>
            <w:vAlign w:val="bottom"/>
            <w:gridSpan w:val="3"/>
          </w:tcPr>
          <w:p>
            <w:pPr>
              <w:ind w:left="180"/>
              <w:spacing w:after="0"/>
              <w:rPr>
                <w:sz w:val="20"/>
                <w:szCs w:val="20"/>
                <w:color w:val="auto"/>
              </w:rPr>
            </w:pPr>
            <w:r>
              <w:rPr>
                <w:rFonts w:ascii="Arial" w:cs="Arial" w:eastAsia="Arial" w:hAnsi="Arial"/>
                <w:sz w:val="20"/>
                <w:szCs w:val="20"/>
                <w:color w:val="auto"/>
              </w:rPr>
              <w:t>Lawrence J. Stuardi, Member</w:t>
            </w:r>
          </w:p>
        </w:tc>
        <w:tc>
          <w:tcPr>
            <w:tcW w:w="3840" w:type="dxa"/>
            <w:vAlign w:val="bottom"/>
            <w:gridSpan w:val="3"/>
          </w:tcPr>
          <w:p>
            <w:pPr>
              <w:ind w:left="360"/>
              <w:spacing w:after="0"/>
              <w:rPr>
                <w:sz w:val="20"/>
                <w:szCs w:val="20"/>
                <w:color w:val="auto"/>
              </w:rPr>
            </w:pPr>
            <w:r>
              <w:rPr>
                <w:rFonts w:ascii="Arial" w:cs="Arial" w:eastAsia="Arial" w:hAnsi="Arial"/>
                <w:sz w:val="20"/>
                <w:szCs w:val="20"/>
                <w:color w:val="auto"/>
              </w:rPr>
              <w:t>Krishna Vaddi, Chief Executive Officer</w:t>
            </w:r>
          </w:p>
        </w:tc>
      </w:tr>
      <w:tr>
        <w:trPr>
          <w:trHeight w:val="662"/>
        </w:trPr>
        <w:tc>
          <w:tcPr>
            <w:tcW w:w="2180" w:type="dxa"/>
            <w:vAlign w:val="bottom"/>
            <w:gridSpan w:val="2"/>
          </w:tcPr>
          <w:p>
            <w:pPr>
              <w:jc w:val="right"/>
              <w:ind w:right="1101"/>
              <w:spacing w:after="0"/>
              <w:rPr>
                <w:sz w:val="20"/>
                <w:szCs w:val="20"/>
                <w:color w:val="auto"/>
              </w:rPr>
            </w:pPr>
            <w:r>
              <w:rPr>
                <w:rFonts w:ascii="Arial" w:cs="Arial" w:eastAsia="Arial" w:hAnsi="Arial"/>
                <w:sz w:val="20"/>
                <w:szCs w:val="20"/>
                <w:color w:val="auto"/>
              </w:rPr>
              <w:t>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240"/>
          </w:cols>
          <w:pgMar w:left="320" w:top="339"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color w:val="333333"/>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333333"/>
        </w:rPr>
        <w:t>We consent to the incorporation by reference in the following Registration Statements:</w:t>
      </w:r>
    </w:p>
    <w:p>
      <w:pPr>
        <w:spacing w:after="0" w:line="225" w:lineRule="exact"/>
        <w:rPr>
          <w:sz w:val="20"/>
          <w:szCs w:val="20"/>
          <w:color w:val="auto"/>
        </w:rPr>
      </w:pPr>
    </w:p>
    <w:p>
      <w:pPr>
        <w:ind w:left="880" w:right="680" w:hanging="440"/>
        <w:spacing w:after="0" w:line="277" w:lineRule="auto"/>
        <w:tabs>
          <w:tab w:leader="none" w:pos="880" w:val="left"/>
        </w:tabs>
        <w:numPr>
          <w:ilvl w:val="0"/>
          <w:numId w:val="236"/>
        </w:numPr>
        <w:rPr>
          <w:rFonts w:ascii="Arial" w:cs="Arial" w:eastAsia="Arial" w:hAnsi="Arial"/>
          <w:sz w:val="18"/>
          <w:szCs w:val="18"/>
          <w:color w:val="333333"/>
        </w:rPr>
      </w:pPr>
      <w:r>
        <w:rPr>
          <w:rFonts w:ascii="Arial" w:cs="Arial" w:eastAsia="Arial" w:hAnsi="Arial"/>
          <w:sz w:val="18"/>
          <w:szCs w:val="18"/>
          <w:color w:val="333333"/>
        </w:rPr>
        <w:t>Registration Statement (Form S-8 No. 333-249032) pertaining to the 2016 Stock Incentive Plan, 2020 Equity Incentive Plan, and 2020 Employee Stock Purchase Plan of Prelude Therapeutics Incorporated,</w:t>
      </w:r>
    </w:p>
    <w:p>
      <w:pPr>
        <w:spacing w:after="0" w:line="170" w:lineRule="exact"/>
        <w:rPr>
          <w:rFonts w:ascii="Arial" w:cs="Arial" w:eastAsia="Arial" w:hAnsi="Arial"/>
          <w:sz w:val="18"/>
          <w:szCs w:val="18"/>
          <w:color w:val="333333"/>
        </w:rPr>
      </w:pPr>
    </w:p>
    <w:p>
      <w:pPr>
        <w:ind w:left="880" w:right="220" w:hanging="440"/>
        <w:spacing w:after="0" w:line="277" w:lineRule="auto"/>
        <w:tabs>
          <w:tab w:leader="none" w:pos="880" w:val="left"/>
        </w:tabs>
        <w:numPr>
          <w:ilvl w:val="0"/>
          <w:numId w:val="236"/>
        </w:numPr>
        <w:rPr>
          <w:rFonts w:ascii="Arial" w:cs="Arial" w:eastAsia="Arial" w:hAnsi="Arial"/>
          <w:sz w:val="18"/>
          <w:szCs w:val="18"/>
          <w:color w:val="333333"/>
        </w:rPr>
      </w:pPr>
      <w:r>
        <w:rPr>
          <w:rFonts w:ascii="Arial" w:cs="Arial" w:eastAsia="Arial" w:hAnsi="Arial"/>
          <w:sz w:val="18"/>
          <w:szCs w:val="18"/>
          <w:color w:val="333333"/>
        </w:rPr>
        <w:t>Registration Statement (Form S-8 No. 333-254349) pertaining to the 2020 Equity Incentive Plan and 2020 Employee Stock Purchase Plan of Prelude Therapeutics Incorporated, and</w:t>
      </w:r>
    </w:p>
    <w:p>
      <w:pPr>
        <w:spacing w:after="0" w:line="170" w:lineRule="exact"/>
        <w:rPr>
          <w:rFonts w:ascii="Arial" w:cs="Arial" w:eastAsia="Arial" w:hAnsi="Arial"/>
          <w:sz w:val="18"/>
          <w:szCs w:val="18"/>
          <w:color w:val="333333"/>
        </w:rPr>
      </w:pPr>
    </w:p>
    <w:p>
      <w:pPr>
        <w:ind w:left="880" w:hanging="440"/>
        <w:spacing w:after="0"/>
        <w:tabs>
          <w:tab w:leader="none" w:pos="880" w:val="left"/>
        </w:tabs>
        <w:numPr>
          <w:ilvl w:val="0"/>
          <w:numId w:val="236"/>
        </w:numPr>
        <w:rPr>
          <w:rFonts w:ascii="Arial" w:cs="Arial" w:eastAsia="Arial" w:hAnsi="Arial"/>
          <w:sz w:val="18"/>
          <w:szCs w:val="18"/>
          <w:color w:val="333333"/>
        </w:rPr>
      </w:pPr>
      <w:r>
        <w:rPr>
          <w:rFonts w:ascii="Arial" w:cs="Arial" w:eastAsia="Arial" w:hAnsi="Arial"/>
          <w:sz w:val="18"/>
          <w:szCs w:val="18"/>
          <w:color w:val="333333"/>
        </w:rPr>
        <w:t>Registration Statement (Form S-3 No. 333-261019) of Prelude Therapeutics Incorporated;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333333"/>
        </w:rPr>
        <w:t>of our report dated March 17, 2022, with respect to the financial statements of Prelude Therapeutics Incorporated included in this Annual Report (Form 10-</w:t>
      </w:r>
    </w:p>
    <w:p>
      <w:pPr>
        <w:spacing w:after="0" w:line="46" w:lineRule="exact"/>
        <w:rPr>
          <w:sz w:val="20"/>
          <w:szCs w:val="20"/>
          <w:color w:val="auto"/>
        </w:rPr>
      </w:pPr>
    </w:p>
    <w:p>
      <w:pPr>
        <w:ind w:right="5460" w:firstLine="8"/>
        <w:spacing w:after="0" w:line="492" w:lineRule="auto"/>
        <w:tabs>
          <w:tab w:leader="none" w:pos="235" w:val="left"/>
        </w:tabs>
        <w:numPr>
          <w:ilvl w:val="0"/>
          <w:numId w:val="237"/>
        </w:numPr>
        <w:rPr>
          <w:rFonts w:ascii="Arial" w:cs="Arial" w:eastAsia="Arial" w:hAnsi="Arial"/>
          <w:sz w:val="18"/>
          <w:szCs w:val="18"/>
          <w:color w:val="333333"/>
        </w:rPr>
      </w:pPr>
      <w:r>
        <w:rPr>
          <w:rFonts w:ascii="Arial" w:cs="Arial" w:eastAsia="Arial" w:hAnsi="Arial"/>
          <w:sz w:val="18"/>
          <w:szCs w:val="18"/>
          <w:color w:val="333333"/>
        </w:rPr>
        <w:t xml:space="preserve">of Prelude Therapeutics Incorporated for the year ended December 31, 2021. </w:t>
      </w:r>
      <w:r>
        <w:rPr>
          <w:rFonts w:ascii="Arial" w:cs="Arial" w:eastAsia="Arial" w:hAnsi="Arial"/>
          <w:sz w:val="18"/>
          <w:szCs w:val="18"/>
          <w:color w:val="000000"/>
        </w:rPr>
        <w:t>/s/ Ernst &amp; Young 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ectPr>
          <w:pgSz w:w="11900" w:h="16838" w:orient="portrait"/>
          <w:cols w:equalWidth="0" w:num="1">
            <w:col w:w="11240"/>
          </w:cols>
          <w:pgMar w:left="320" w:top="121"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Krishna Vaddi, certify that:</w:t>
      </w:r>
    </w:p>
    <w:p>
      <w:pPr>
        <w:spacing w:after="0" w:line="117" w:lineRule="exact"/>
        <w:rPr>
          <w:sz w:val="20"/>
          <w:szCs w:val="20"/>
          <w:color w:val="auto"/>
        </w:rPr>
      </w:pPr>
    </w:p>
    <w:p>
      <w:pPr>
        <w:ind w:left="440" w:hanging="432"/>
        <w:spacing w:after="0"/>
        <w:tabs>
          <w:tab w:leader="none" w:pos="4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Prelude Therapeutics Incorporated;</w:t>
      </w:r>
    </w:p>
    <w:p>
      <w:pPr>
        <w:spacing w:after="0" w:line="225" w:lineRule="exact"/>
        <w:rPr>
          <w:rFonts w:ascii="Arial" w:cs="Arial" w:eastAsia="Arial" w:hAnsi="Arial"/>
          <w:sz w:val="18"/>
          <w:szCs w:val="18"/>
          <w:color w:val="auto"/>
        </w:rPr>
      </w:pPr>
    </w:p>
    <w:p>
      <w:pPr>
        <w:jc w:val="both"/>
        <w:ind w:left="440" w:right="340" w:hanging="432"/>
        <w:spacing w:after="0" w:line="263" w:lineRule="auto"/>
        <w:tabs>
          <w:tab w:leader="none" w:pos="4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300" w:hanging="432"/>
        <w:spacing w:after="0" w:line="308" w:lineRule="auto"/>
        <w:tabs>
          <w:tab w:leader="none" w:pos="4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320" w:hanging="432"/>
        <w:spacing w:after="0" w:line="263" w:lineRule="auto"/>
        <w:tabs>
          <w:tab w:leader="none" w:pos="4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40" w:right="60"/>
        <w:spacing w:after="0" w:line="263" w:lineRule="auto"/>
        <w:tabs>
          <w:tab w:leader="none" w:pos="68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40" w:right="280"/>
        <w:spacing w:after="0" w:line="263" w:lineRule="auto"/>
        <w:tabs>
          <w:tab w:leader="none" w:pos="69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860"/>
        <w:spacing w:after="0" w:line="342" w:lineRule="auto"/>
        <w:tabs>
          <w:tab w:leader="none" w:pos="685" w:val="left"/>
        </w:tabs>
        <w:numPr>
          <w:ilvl w:val="1"/>
          <w:numId w:val="2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300"/>
        <w:spacing w:after="0" w:line="263" w:lineRule="auto"/>
        <w:tabs>
          <w:tab w:leader="none" w:pos="69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right="220" w:hanging="432"/>
        <w:spacing w:after="0" w:line="308" w:lineRule="auto"/>
        <w:tabs>
          <w:tab w:leader="none" w:pos="4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40" w:right="240"/>
        <w:spacing w:after="0" w:line="277" w:lineRule="auto"/>
        <w:tabs>
          <w:tab w:leader="none" w:pos="68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200"/>
        <w:spacing w:after="0" w:line="277" w:lineRule="auto"/>
        <w:tabs>
          <w:tab w:leader="none" w:pos="69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17, 2022</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Krishna Vaddi</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Krishna Vaddi,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Laurent Chardonnet, certify that:</w:t>
      </w:r>
    </w:p>
    <w:p>
      <w:pPr>
        <w:spacing w:after="0" w:line="117" w:lineRule="exact"/>
        <w:rPr>
          <w:sz w:val="20"/>
          <w:szCs w:val="20"/>
          <w:color w:val="auto"/>
        </w:rPr>
      </w:pPr>
    </w:p>
    <w:p>
      <w:pPr>
        <w:ind w:left="440" w:hanging="432"/>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Prelude Therapeutics Incorporated;</w:t>
      </w:r>
    </w:p>
    <w:p>
      <w:pPr>
        <w:spacing w:after="0" w:line="225" w:lineRule="exact"/>
        <w:rPr>
          <w:rFonts w:ascii="Arial" w:cs="Arial" w:eastAsia="Arial" w:hAnsi="Arial"/>
          <w:sz w:val="18"/>
          <w:szCs w:val="18"/>
          <w:color w:val="auto"/>
        </w:rPr>
      </w:pPr>
    </w:p>
    <w:p>
      <w:pPr>
        <w:jc w:val="both"/>
        <w:ind w:left="440" w:right="340" w:hanging="432"/>
        <w:spacing w:after="0" w:line="263" w:lineRule="auto"/>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300" w:hanging="432"/>
        <w:spacing w:after="0" w:line="308" w:lineRule="auto"/>
        <w:tabs>
          <w:tab w:leader="none" w:pos="4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320" w:hanging="432"/>
        <w:spacing w:after="0" w:line="263" w:lineRule="auto"/>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40" w:right="60"/>
        <w:spacing w:after="0" w:line="263" w:lineRule="auto"/>
        <w:tabs>
          <w:tab w:leader="none" w:pos="68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280"/>
        <w:spacing w:after="0" w:line="263" w:lineRule="auto"/>
        <w:tabs>
          <w:tab w:leader="none" w:pos="69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860"/>
        <w:spacing w:after="0" w:line="342" w:lineRule="auto"/>
        <w:tabs>
          <w:tab w:leader="none" w:pos="685" w:val="left"/>
        </w:tabs>
        <w:numPr>
          <w:ilvl w:val="1"/>
          <w:numId w:val="2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300"/>
        <w:spacing w:after="0" w:line="263" w:lineRule="auto"/>
        <w:tabs>
          <w:tab w:leader="none" w:pos="69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right="220" w:hanging="432"/>
        <w:spacing w:after="0" w:line="308" w:lineRule="auto"/>
        <w:tabs>
          <w:tab w:leader="none" w:pos="4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40" w:right="240"/>
        <w:spacing w:after="0" w:line="277" w:lineRule="auto"/>
        <w:tabs>
          <w:tab w:leader="none" w:pos="68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200"/>
        <w:spacing w:after="0" w:line="277" w:lineRule="auto"/>
        <w:tabs>
          <w:tab w:leader="none" w:pos="69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17, 2022</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Laurent Chardonnet</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Laurent Chardonnet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121"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880" w:right="720" w:hanging="427"/>
        <w:spacing w:after="0" w:line="277" w:lineRule="auto"/>
        <w:tabs>
          <w:tab w:leader="none" w:pos="8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880" w:right="760" w:hanging="427"/>
        <w:spacing w:after="0" w:line="277" w:lineRule="auto"/>
        <w:tabs>
          <w:tab w:leader="none" w:pos="8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Dated: March 17,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Krishna Vaddi</w:t>
            </w:r>
          </w:p>
        </w:tc>
      </w:tr>
      <w:tr>
        <w:trPr>
          <w:trHeight w:val="209"/>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Krishna Vaddi, Ph.D.</w:t>
            </w:r>
          </w:p>
        </w:tc>
      </w:t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 Laurent Chardonnet, Chief Financial Officer of Prelude Therapeutics Incorporated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880" w:right="720" w:hanging="440"/>
        <w:spacing w:after="0" w:line="277" w:lineRule="auto"/>
        <w:tabs>
          <w:tab w:leader="none" w:pos="8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880" w:right="760" w:hanging="440"/>
        <w:spacing w:after="0" w:line="277" w:lineRule="auto"/>
        <w:tabs>
          <w:tab w:leader="none" w:pos="8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Dated: March 17,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Laurent Chardonnet</w:t>
            </w:r>
          </w:p>
        </w:tc>
      </w:tr>
      <w:tr>
        <w:trPr>
          <w:trHeight w:val="209"/>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Laurent Chardonnet</w:t>
            </w:r>
          </w:p>
        </w:tc>
      </w:t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D15094"/>
    <w:multiLevelType w:val="hybridMultilevel"/>
    <w:lvl w:ilvl="0">
      <w:lvlJc w:val="left"/>
      <w:lvlText w:val="☒"/>
      <w:numFmt w:val="bullet"/>
      <w:start w:val="1"/>
    </w:lvl>
  </w:abstractNum>
  <w:abstractNum w:abstractNumId="1">
    <w:nsid w:val="3DB012B3"/>
    <w:multiLevelType w:val="hybridMultilevel"/>
    <w:lvl w:ilvl="0">
      <w:lvlJc w:val="left"/>
      <w:lvlText w:val="☐"/>
      <w:numFmt w:val="bullet"/>
      <w:start w:val="1"/>
    </w:lvl>
  </w:abstractNum>
  <w:abstractNum w:abstractNumId="2">
    <w:nsid w:val="2708C9AF"/>
    <w:multiLevelType w:val="hybridMultilevel"/>
    <w:lvl w:ilvl="0">
      <w:lvlJc w:val="left"/>
      <w:lvlText w:val="•"/>
      <w:numFmt w:val="bullet"/>
      <w:start w:val="1"/>
    </w:lvl>
  </w:abstractNum>
  <w:abstractNum w:abstractNumId="3">
    <w:nsid w:val="5B25ACE2"/>
    <w:multiLevelType w:val="hybridMultilevel"/>
    <w:lvl w:ilvl="0">
      <w:lvlJc w:val="left"/>
      <w:lvlText w:val="•"/>
      <w:numFmt w:val="bullet"/>
      <w:start w:val="1"/>
    </w:lvl>
    <w:lvl w:ilvl="1">
      <w:lvlJc w:val="left"/>
      <w:lvlText w:val="•"/>
      <w:numFmt w:val="bullet"/>
      <w:start w:val="1"/>
    </w:lvl>
  </w:abstractNum>
  <w:abstractNum w:abstractNumId="4">
    <w:nsid w:val="175DFCF0"/>
    <w:multiLevelType w:val="hybridMultilevel"/>
    <w:lvl w:ilvl="0">
      <w:lvlJc w:val="left"/>
      <w:lvlText w:val="•"/>
      <w:numFmt w:val="bullet"/>
      <w:start w:val="1"/>
    </w:lvl>
  </w:abstractNum>
  <w:abstractNum w:abstractNumId="5">
    <w:nsid w:val="4F97E3E4"/>
    <w:multiLevelType w:val="hybridMultilevel"/>
    <w:lvl w:ilvl="0">
      <w:lvlJc w:val="left"/>
      <w:lvlText w:val="•"/>
      <w:numFmt w:val="bullet"/>
      <w:start w:val="1"/>
    </w:lvl>
    <w:lvl w:ilvl="1">
      <w:lvlJc w:val="left"/>
      <w:lvlText w:val="•"/>
      <w:numFmt w:val="bullet"/>
      <w:start w:val="1"/>
    </w:lvl>
  </w:abstractNum>
  <w:abstractNum w:abstractNumId="6">
    <w:nsid w:val="53B0A9E"/>
    <w:multiLevelType w:val="hybridMultilevel"/>
    <w:lvl w:ilvl="0">
      <w:lvlJc w:val="left"/>
      <w:lvlText w:val="•"/>
      <w:numFmt w:val="bullet"/>
      <w:start w:val="1"/>
    </w:lvl>
    <w:lvl w:ilvl="1">
      <w:lvlJc w:val="left"/>
      <w:lvlText w:val="•"/>
      <w:numFmt w:val="bullet"/>
      <w:start w:val="1"/>
    </w:lvl>
  </w:abstractNum>
  <w:abstractNum w:abstractNumId="7">
    <w:nsid w:val="34FD6B4F"/>
    <w:multiLevelType w:val="hybridMultilevel"/>
    <w:lvl w:ilvl="0">
      <w:lvlJc w:val="left"/>
      <w:lvlText w:val="*"/>
      <w:numFmt w:val="bullet"/>
      <w:start w:val="1"/>
    </w:lvl>
  </w:abstractNum>
  <w:abstractNum w:abstractNumId="8">
    <w:nsid w:val="5915FF32"/>
    <w:multiLevelType w:val="hybridMultilevel"/>
    <w:lvl w:ilvl="0">
      <w:lvlJc w:val="left"/>
      <w:lvlText w:val="•"/>
      <w:numFmt w:val="bullet"/>
      <w:start w:val="1"/>
    </w:lvl>
  </w:abstractNum>
  <w:abstractNum w:abstractNumId="9">
    <w:nsid w:val="56438D15"/>
    <w:multiLevelType w:val="hybridMultilevel"/>
    <w:lvl w:ilvl="0">
      <w:lvlJc w:val="left"/>
      <w:lvlText w:val="•"/>
      <w:numFmt w:val="bullet"/>
      <w:start w:val="1"/>
    </w:lvl>
  </w:abstractNum>
  <w:abstractNum w:abstractNumId="10">
    <w:nsid w:val="519E3149"/>
    <w:multiLevelType w:val="hybridMultilevel"/>
    <w:lvl w:ilvl="0">
      <w:lvlJc w:val="left"/>
      <w:lvlText w:val="•"/>
      <w:numFmt w:val="bullet"/>
      <w:start w:val="1"/>
    </w:lvl>
  </w:abstractNum>
  <w:abstractNum w:abstractNumId="11">
    <w:nsid w:val="2C6E4AFD"/>
    <w:multiLevelType w:val="hybridMultilevel"/>
    <w:lvl w:ilvl="0">
      <w:lvlJc w:val="left"/>
      <w:lvlText w:val="(%1)"/>
      <w:numFmt w:val="upperLetter"/>
      <w:start w:val="1"/>
    </w:lvl>
  </w:abstractNum>
  <w:abstractNum w:abstractNumId="12">
    <w:nsid w:val="17A1B582"/>
    <w:multiLevelType w:val="hybridMultilevel"/>
    <w:lvl w:ilvl="0">
      <w:lvlJc w:val="left"/>
      <w:lvlText w:val="a"/>
      <w:numFmt w:val="bullet"/>
      <w:start w:val="1"/>
    </w:lvl>
  </w:abstractNum>
  <w:abstractNum w:abstractNumId="13">
    <w:nsid w:val="4DF72E4E"/>
    <w:multiLevelType w:val="hybridMultilevel"/>
    <w:lvl w:ilvl="0">
      <w:lvlJc w:val="left"/>
      <w:lvlText w:val="•"/>
      <w:numFmt w:val="bullet"/>
      <w:start w:val="1"/>
    </w:lvl>
  </w:abstractNum>
  <w:abstractNum w:abstractNumId="14">
    <w:nsid w:val="5046B5A9"/>
    <w:multiLevelType w:val="hybridMultilevel"/>
    <w:lvl w:ilvl="0">
      <w:lvlJc w:val="left"/>
      <w:lvlText w:val="•"/>
      <w:numFmt w:val="bullet"/>
      <w:start w:val="1"/>
    </w:lvl>
  </w:abstractNum>
  <w:abstractNum w:abstractNumId="15">
    <w:nsid w:val="5D888A08"/>
    <w:multiLevelType w:val="hybridMultilevel"/>
    <w:lvl w:ilvl="0">
      <w:lvlJc w:val="left"/>
      <w:lvlText w:val="•"/>
      <w:numFmt w:val="bullet"/>
      <w:start w:val="1"/>
    </w:lvl>
  </w:abstractNum>
  <w:abstractNum w:abstractNumId="16">
    <w:nsid w:val="2A082C70"/>
    <w:multiLevelType w:val="hybridMultilevel"/>
    <w:lvl w:ilvl="0">
      <w:lvlJc w:val="left"/>
      <w:lvlText w:val="•"/>
      <w:numFmt w:val="bullet"/>
      <w:start w:val="1"/>
    </w:lvl>
  </w:abstractNum>
  <w:abstractNum w:abstractNumId="17">
    <w:nsid w:val="5EC6AFD4"/>
    <w:multiLevelType w:val="hybridMultilevel"/>
    <w:lvl w:ilvl="0">
      <w:lvlJc w:val="left"/>
      <w:lvlText w:val="•"/>
      <w:numFmt w:val="bullet"/>
      <w:start w:val="1"/>
    </w:lvl>
  </w:abstractNum>
  <w:abstractNum w:abstractNumId="18">
    <w:nsid w:val="19E21BB2"/>
    <w:multiLevelType w:val="hybridMultilevel"/>
    <w:lvl w:ilvl="0">
      <w:lvlJc w:val="left"/>
      <w:lvlText w:val="•"/>
      <w:numFmt w:val="bullet"/>
      <w:start w:val="1"/>
    </w:lvl>
  </w:abstractNum>
  <w:abstractNum w:abstractNumId="19">
    <w:nsid w:val="75E0858A"/>
    <w:multiLevelType w:val="hybridMultilevel"/>
    <w:lvl w:ilvl="0">
      <w:lvlJc w:val="left"/>
      <w:lvlText w:val="•"/>
      <w:numFmt w:val="bullet"/>
      <w:start w:val="1"/>
    </w:lvl>
  </w:abstractNum>
  <w:abstractNum w:abstractNumId="20">
    <w:nsid w:val="57A61A29"/>
    <w:multiLevelType w:val="hybridMultilevel"/>
    <w:lvl w:ilvl="0">
      <w:lvlJc w:val="left"/>
      <w:lvlText w:val="•"/>
      <w:numFmt w:val="bullet"/>
      <w:start w:val="1"/>
    </w:lvl>
  </w:abstractNum>
  <w:abstractNum w:abstractNumId="21">
    <w:nsid w:val="5399C654"/>
    <w:multiLevelType w:val="hybridMultilevel"/>
    <w:lvl w:ilvl="0">
      <w:lvlJc w:val="left"/>
      <w:lvlText w:val="•"/>
      <w:numFmt w:val="bullet"/>
      <w:start w:val="1"/>
    </w:lvl>
  </w:abstractNum>
  <w:abstractNum w:abstractNumId="22">
    <w:nsid w:val="20EE1348"/>
    <w:multiLevelType w:val="hybridMultilevel"/>
    <w:lvl w:ilvl="0">
      <w:lvlJc w:val="left"/>
      <w:lvlText w:val="•"/>
      <w:numFmt w:val="bullet"/>
      <w:start w:val="1"/>
    </w:lvl>
  </w:abstractNum>
  <w:abstractNum w:abstractNumId="23">
    <w:nsid w:val="4427069A"/>
    <w:multiLevelType w:val="hybridMultilevel"/>
    <w:lvl w:ilvl="0">
      <w:lvlJc w:val="left"/>
      <w:lvlText w:val="•"/>
      <w:numFmt w:val="bullet"/>
      <w:start w:val="1"/>
    </w:lvl>
  </w:abstractNum>
  <w:abstractNum w:abstractNumId="24">
    <w:nsid w:val="B37E80A"/>
    <w:multiLevelType w:val="hybridMultilevel"/>
    <w:lvl w:ilvl="0">
      <w:lvlJc w:val="left"/>
      <w:lvlText w:val="•"/>
      <w:numFmt w:val="bullet"/>
      <w:start w:val="1"/>
    </w:lvl>
  </w:abstractNum>
  <w:abstractNum w:abstractNumId="25">
    <w:nsid w:val="2157F6BC"/>
    <w:multiLevelType w:val="hybridMultilevel"/>
    <w:lvl w:ilvl="0">
      <w:lvlJc w:val="left"/>
      <w:lvlText w:val="•"/>
      <w:numFmt w:val="bullet"/>
      <w:start w:val="1"/>
    </w:lvl>
  </w:abstractNum>
  <w:abstractNum w:abstractNumId="26">
    <w:nsid w:val="704E1DD5"/>
    <w:multiLevelType w:val="hybridMultilevel"/>
    <w:lvl w:ilvl="0">
      <w:lvlJc w:val="left"/>
      <w:lvlText w:val="•"/>
      <w:numFmt w:val="bullet"/>
      <w:start w:val="1"/>
    </w:lvl>
  </w:abstractNum>
  <w:abstractNum w:abstractNumId="27">
    <w:nsid w:val="57D2F10E"/>
    <w:multiLevelType w:val="hybridMultilevel"/>
    <w:lvl w:ilvl="0">
      <w:lvlJc w:val="left"/>
      <w:lvlText w:val="•"/>
      <w:numFmt w:val="bullet"/>
      <w:start w:val="1"/>
    </w:lvl>
  </w:abstractNum>
  <w:abstractNum w:abstractNumId="28">
    <w:nsid w:val="BFFAE18"/>
    <w:multiLevelType w:val="hybridMultilevel"/>
    <w:lvl w:ilvl="0">
      <w:lvlJc w:val="left"/>
      <w:lvlText w:val="•"/>
      <w:numFmt w:val="bullet"/>
      <w:start w:val="1"/>
    </w:lvl>
  </w:abstractNum>
  <w:abstractNum w:abstractNumId="29">
    <w:nsid w:val="E3E47A8"/>
    <w:multiLevelType w:val="hybridMultilevel"/>
    <w:lvl w:ilvl="0">
      <w:lvlJc w:val="left"/>
      <w:lvlText w:val="•"/>
      <w:numFmt w:val="bullet"/>
      <w:start w:val="1"/>
    </w:lvl>
  </w:abstractNum>
  <w:abstractNum w:abstractNumId="30">
    <w:nsid w:val="2E48F044"/>
    <w:multiLevelType w:val="hybridMultilevel"/>
    <w:lvl w:ilvl="0">
      <w:lvlJc w:val="left"/>
      <w:lvlText w:val="•"/>
      <w:numFmt w:val="bullet"/>
      <w:start w:val="1"/>
    </w:lvl>
  </w:abstractNum>
  <w:abstractNum w:abstractNumId="31">
    <w:nsid w:val="49D0FEAC"/>
    <w:multiLevelType w:val="hybridMultilevel"/>
    <w:lvl w:ilvl="0">
      <w:lvlJc w:val="left"/>
      <w:lvlText w:val="•"/>
      <w:numFmt w:val="bullet"/>
      <w:start w:val="1"/>
    </w:lvl>
  </w:abstractNum>
  <w:abstractNum w:abstractNumId="32">
    <w:nsid w:val="4BEE5A5B"/>
    <w:multiLevelType w:val="hybridMultilevel"/>
    <w:lvl w:ilvl="0">
      <w:lvlJc w:val="left"/>
      <w:lvlText w:val="•"/>
      <w:numFmt w:val="bullet"/>
      <w:start w:val="1"/>
    </w:lvl>
  </w:abstractNum>
  <w:abstractNum w:abstractNumId="33">
    <w:nsid w:val="5551B9F3"/>
    <w:multiLevelType w:val="hybridMultilevel"/>
    <w:lvl w:ilvl="0">
      <w:lvlJc w:val="left"/>
      <w:lvlText w:val="•"/>
      <w:numFmt w:val="bullet"/>
      <w:start w:val="1"/>
    </w:lvl>
  </w:abstractNum>
  <w:abstractNum w:abstractNumId="34">
    <w:nsid w:val="24F6AB8E"/>
    <w:multiLevelType w:val="hybridMultilevel"/>
    <w:lvl w:ilvl="0">
      <w:lvlJc w:val="left"/>
      <w:lvlText w:val="•"/>
      <w:numFmt w:val="bullet"/>
      <w:start w:val="1"/>
    </w:lvl>
  </w:abstractNum>
  <w:abstractNum w:abstractNumId="35">
    <w:nsid w:val="634C574C"/>
    <w:multiLevelType w:val="hybridMultilevel"/>
    <w:lvl w:ilvl="0">
      <w:lvlJc w:val="left"/>
      <w:lvlText w:val="•"/>
      <w:numFmt w:val="bullet"/>
      <w:start w:val="1"/>
    </w:lvl>
  </w:abstractNum>
  <w:abstractNum w:abstractNumId="36">
    <w:nsid w:val="24E99DD7"/>
    <w:multiLevelType w:val="hybridMultilevel"/>
    <w:lvl w:ilvl="0">
      <w:lvlJc w:val="left"/>
      <w:lvlText w:val="•"/>
      <w:numFmt w:val="bullet"/>
      <w:start w:val="1"/>
    </w:lvl>
  </w:abstractNum>
  <w:abstractNum w:abstractNumId="37">
    <w:nsid w:val="2A31B62D"/>
    <w:multiLevelType w:val="hybridMultilevel"/>
    <w:lvl w:ilvl="0">
      <w:lvlJc w:val="left"/>
      <w:lvlText w:val="•"/>
      <w:numFmt w:val="bullet"/>
      <w:start w:val="1"/>
    </w:lvl>
  </w:abstractNum>
  <w:abstractNum w:abstractNumId="38">
    <w:nsid w:val="1849C29B"/>
    <w:multiLevelType w:val="hybridMultilevel"/>
    <w:lvl w:ilvl="0">
      <w:lvlJc w:val="left"/>
      <w:lvlText w:val="•"/>
      <w:numFmt w:val="bullet"/>
      <w:start w:val="1"/>
    </w:lvl>
  </w:abstractNum>
  <w:abstractNum w:abstractNumId="39">
    <w:nsid w:val="7DFF9D09"/>
    <w:multiLevelType w:val="hybridMultilevel"/>
    <w:lvl w:ilvl="0">
      <w:lvlJc w:val="left"/>
      <w:lvlText w:val="•"/>
      <w:numFmt w:val="bullet"/>
      <w:start w:val="1"/>
    </w:lvl>
  </w:abstractNum>
  <w:abstractNum w:abstractNumId="40">
    <w:nsid w:val="754342"/>
    <w:multiLevelType w:val="hybridMultilevel"/>
    <w:lvl w:ilvl="0">
      <w:lvlJc w:val="left"/>
      <w:lvlText w:val="•"/>
      <w:numFmt w:val="bullet"/>
      <w:start w:val="1"/>
    </w:lvl>
  </w:abstractNum>
  <w:abstractNum w:abstractNumId="41">
    <w:nsid w:val="69E7F3E5"/>
    <w:multiLevelType w:val="hybridMultilevel"/>
    <w:lvl w:ilvl="0">
      <w:lvlJc w:val="left"/>
      <w:lvlText w:val="•"/>
      <w:numFmt w:val="bullet"/>
      <w:start w:val="1"/>
    </w:lvl>
  </w:abstractNum>
  <w:abstractNum w:abstractNumId="42">
    <w:nsid w:val="2A6DE806"/>
    <w:multiLevelType w:val="hybridMultilevel"/>
    <w:lvl w:ilvl="0">
      <w:lvlJc w:val="left"/>
      <w:lvlText w:val="•"/>
      <w:numFmt w:val="bullet"/>
      <w:start w:val="1"/>
    </w:lvl>
  </w:abstractNum>
  <w:abstractNum w:abstractNumId="43">
    <w:nsid w:val="1816F8C4"/>
    <w:multiLevelType w:val="hybridMultilevel"/>
    <w:lvl w:ilvl="0">
      <w:lvlJc w:val="left"/>
      <w:lvlText w:val="•"/>
      <w:numFmt w:val="bullet"/>
      <w:start w:val="1"/>
    </w:lvl>
  </w:abstractNum>
  <w:abstractNum w:abstractNumId="44">
    <w:nsid w:val="37DF2233"/>
    <w:multiLevelType w:val="hybridMultilevel"/>
    <w:lvl w:ilvl="0">
      <w:lvlJc w:val="left"/>
      <w:lvlText w:val="•"/>
      <w:numFmt w:val="bullet"/>
      <w:start w:val="1"/>
    </w:lvl>
  </w:abstractNum>
  <w:abstractNum w:abstractNumId="45">
    <w:nsid w:val="7AB49DAF"/>
    <w:multiLevelType w:val="hybridMultilevel"/>
    <w:lvl w:ilvl="0">
      <w:lvlJc w:val="left"/>
      <w:lvlText w:val="%1)"/>
      <w:numFmt w:val="decimal"/>
      <w:start w:val="437"/>
    </w:lvl>
  </w:abstractNum>
  <w:abstractNum w:abstractNumId="46">
    <w:nsid w:val="759F82CD"/>
    <w:multiLevelType w:val="hybridMultilevel"/>
    <w:lvl w:ilvl="0">
      <w:lvlJc w:val="left"/>
      <w:lvlText w:val="•"/>
      <w:numFmt w:val="bullet"/>
      <w:start w:val="1"/>
    </w:lvl>
  </w:abstractNum>
  <w:abstractNum w:abstractNumId="47">
    <w:nsid w:val="61E74EA3"/>
    <w:multiLevelType w:val="hybridMultilevel"/>
    <w:lvl w:ilvl="0">
      <w:lvlJc w:val="left"/>
      <w:lvlText w:val="•"/>
      <w:numFmt w:val="bullet"/>
      <w:start w:val="1"/>
    </w:lvl>
  </w:abstractNum>
  <w:abstractNum w:abstractNumId="48">
    <w:nsid w:val="597B4D84"/>
    <w:multiLevelType w:val="hybridMultilevel"/>
    <w:lvl w:ilvl="0">
      <w:lvlJc w:val="left"/>
      <w:lvlText w:val="•"/>
      <w:numFmt w:val="bullet"/>
      <w:start w:val="1"/>
    </w:lvl>
  </w:abstractNum>
  <w:abstractNum w:abstractNumId="49">
    <w:nsid w:val="F819E7F"/>
    <w:multiLevelType w:val="hybridMultilevel"/>
    <w:lvl w:ilvl="0">
      <w:lvlJc w:val="left"/>
      <w:lvlText w:val="•"/>
      <w:numFmt w:val="bullet"/>
      <w:start w:val="1"/>
    </w:lvl>
  </w:abstractNum>
  <w:abstractNum w:abstractNumId="50">
    <w:nsid w:val="57C7D42D"/>
    <w:multiLevelType w:val="hybridMultilevel"/>
    <w:lvl w:ilvl="0">
      <w:lvlJc w:val="left"/>
      <w:lvlText w:val="•"/>
      <w:numFmt w:val="bullet"/>
      <w:start w:val="1"/>
    </w:lvl>
  </w:abstractNum>
  <w:abstractNum w:abstractNumId="51">
    <w:nsid w:val="312167AD"/>
    <w:multiLevelType w:val="hybridMultilevel"/>
    <w:lvl w:ilvl="0">
      <w:lvlJc w:val="left"/>
      <w:lvlText w:val="•"/>
      <w:numFmt w:val="bullet"/>
      <w:start w:val="1"/>
    </w:lvl>
  </w:abstractNum>
  <w:abstractNum w:abstractNumId="52">
    <w:nsid w:val="631B64D4"/>
    <w:multiLevelType w:val="hybridMultilevel"/>
    <w:lvl w:ilvl="0">
      <w:lvlJc w:val="left"/>
      <w:lvlText w:val="•"/>
      <w:numFmt w:val="bullet"/>
      <w:start w:val="1"/>
    </w:lvl>
  </w:abstractNum>
  <w:abstractNum w:abstractNumId="53">
    <w:nsid w:val="78B5E776"/>
    <w:multiLevelType w:val="hybridMultilevel"/>
    <w:lvl w:ilvl="0">
      <w:lvlJc w:val="left"/>
      <w:lvlText w:val="•"/>
      <w:numFmt w:val="bullet"/>
      <w:start w:val="1"/>
    </w:lvl>
  </w:abstractNum>
  <w:abstractNum w:abstractNumId="54">
    <w:nsid w:val="75486E47"/>
    <w:multiLevelType w:val="hybridMultilevel"/>
    <w:lvl w:ilvl="0">
      <w:lvlJc w:val="left"/>
      <w:lvlText w:val="•"/>
      <w:numFmt w:val="bullet"/>
      <w:start w:val="1"/>
    </w:lvl>
  </w:abstractNum>
  <w:abstractNum w:abstractNumId="55">
    <w:nsid w:val="6E534CDE"/>
    <w:multiLevelType w:val="hybridMultilevel"/>
    <w:lvl w:ilvl="0">
      <w:lvlJc w:val="left"/>
      <w:lvlText w:val="•"/>
      <w:numFmt w:val="bullet"/>
      <w:start w:val="1"/>
    </w:lvl>
  </w:abstractNum>
  <w:abstractNum w:abstractNumId="56">
    <w:nsid w:val="1A0DDE32"/>
    <w:multiLevelType w:val="hybridMultilevel"/>
    <w:lvl w:ilvl="0">
      <w:lvlJc w:val="left"/>
      <w:lvlText w:val="•"/>
      <w:numFmt w:val="bullet"/>
      <w:start w:val="1"/>
    </w:lvl>
  </w:abstractNum>
  <w:abstractNum w:abstractNumId="57">
    <w:nsid w:val="65968C1C"/>
    <w:multiLevelType w:val="hybridMultilevel"/>
    <w:lvl w:ilvl="0">
      <w:lvlJc w:val="left"/>
      <w:lvlText w:val="•"/>
      <w:numFmt w:val="bullet"/>
      <w:start w:val="1"/>
    </w:lvl>
  </w:abstractNum>
  <w:abstractNum w:abstractNumId="58">
    <w:nsid w:val="46263DEC"/>
    <w:multiLevelType w:val="hybridMultilevel"/>
    <w:lvl w:ilvl="0">
      <w:lvlJc w:val="left"/>
      <w:lvlText w:val="•"/>
      <w:numFmt w:val="bullet"/>
      <w:start w:val="1"/>
    </w:lvl>
  </w:abstractNum>
  <w:abstractNum w:abstractNumId="59">
    <w:nsid w:val="260D8C4A"/>
    <w:multiLevelType w:val="hybridMultilevel"/>
    <w:lvl w:ilvl="0">
      <w:lvlJc w:val="left"/>
      <w:lvlText w:val="•"/>
      <w:numFmt w:val="bullet"/>
      <w:start w:val="1"/>
    </w:lvl>
  </w:abstractNum>
  <w:abstractNum w:abstractNumId="60">
    <w:nsid w:val="73D4D3C4"/>
    <w:multiLevelType w:val="hybridMultilevel"/>
    <w:lvl w:ilvl="0">
      <w:lvlJc w:val="left"/>
      <w:lvlText w:val="•"/>
      <w:numFmt w:val="bullet"/>
      <w:start w:val="1"/>
    </w:lvl>
  </w:abstractNum>
  <w:abstractNum w:abstractNumId="61">
    <w:nsid w:val="746F2E30"/>
    <w:multiLevelType w:val="hybridMultilevel"/>
    <w:lvl w:ilvl="0">
      <w:lvlJc w:val="left"/>
      <w:lvlText w:val="%1."/>
      <w:numFmt w:val="decimal"/>
      <w:start w:val="3"/>
    </w:lvl>
  </w:abstractNum>
  <w:abstractNum w:abstractNumId="62">
    <w:nsid w:val="6FDE8AF6"/>
    <w:multiLevelType w:val="hybridMultilevel"/>
    <w:lvl w:ilvl="0">
      <w:lvlJc w:val="left"/>
      <w:lvlText w:val="•"/>
      <w:numFmt w:val="bullet"/>
      <w:start w:val="1"/>
    </w:lvl>
  </w:abstractNum>
  <w:abstractNum w:abstractNumId="63">
    <w:nsid w:val="3FC32E20"/>
    <w:multiLevelType w:val="hybridMultilevel"/>
    <w:lvl w:ilvl="0">
      <w:lvlJc w:val="left"/>
      <w:lvlText w:val="%1."/>
      <w:numFmt w:val="decimal"/>
      <w:start w:val="8"/>
    </w:lvl>
  </w:abstractNum>
  <w:abstractNum w:abstractNumId="64">
    <w:nsid w:val="49C0E823"/>
    <w:multiLevelType w:val="hybridMultilevel"/>
    <w:lvl w:ilvl="0">
      <w:lvlJc w:val="left"/>
      <w:lvlText w:val="%1."/>
      <w:numFmt w:val="decimal"/>
      <w:start w:val="9"/>
    </w:lvl>
  </w:abstractNum>
  <w:abstractNum w:abstractNumId="65">
    <w:nsid w:val="14D53685"/>
    <w:multiLevelType w:val="hybridMultilevel"/>
    <w:lvl w:ilvl="0">
      <w:lvlJc w:val="left"/>
      <w:lvlText w:val="(%1)"/>
      <w:numFmt w:val="decimal"/>
      <w:start w:val="1"/>
    </w:lvl>
  </w:abstractNum>
  <w:abstractNum w:abstractNumId="66">
    <w:nsid w:val="230F856C"/>
    <w:multiLevelType w:val="hybridMultilevel"/>
    <w:lvl w:ilvl="0">
      <w:lvlJc w:val="left"/>
      <w:lvlText w:val="(%1)"/>
      <w:numFmt w:val="decimal"/>
      <w:start w:val="2"/>
    </w:lvl>
  </w:abstractNum>
  <w:abstractNum w:abstractNumId="67">
    <w:nsid w:val="6EAA85FB"/>
    <w:multiLevelType w:val="hybridMultilevel"/>
    <w:lvl w:ilvl="0">
      <w:lvlJc w:val="left"/>
      <w:lvlText w:val="(%1)"/>
      <w:numFmt w:val="decimal"/>
      <w:start w:val="3"/>
    </w:lvl>
  </w:abstractNum>
  <w:abstractNum w:abstractNumId="68">
    <w:nsid w:val="3F06ECB2"/>
    <w:multiLevelType w:val="hybridMultilevel"/>
    <w:lvl w:ilvl="0">
      <w:lvlJc w:val="left"/>
      <w:lvlText w:val="%1"/>
      <w:numFmt w:val="decimal"/>
      <w:start w:val="104"/>
    </w:lvl>
  </w:abstractNum>
  <w:abstractNum w:abstractNumId="69">
    <w:nsid w:val="3B594807"/>
    <w:multiLevelType w:val="hybridMultilevel"/>
    <w:lvl w:ilvl="0">
      <w:lvlJc w:val="left"/>
      <w:lvlText w:val="*"/>
      <w:numFmt w:val="bullet"/>
      <w:start w:val="1"/>
    </w:lvl>
  </w:abstractNum>
  <w:abstractNum w:abstractNumId="70">
    <w:nsid w:val="6CAA2304"/>
    <w:multiLevelType w:val="hybridMultilevel"/>
    <w:lvl w:ilvl="0">
      <w:lvlJc w:val="left"/>
      <w:lvlText w:val="•"/>
      <w:numFmt w:val="bullet"/>
      <w:start w:val="1"/>
    </w:lvl>
  </w:abstractNum>
  <w:abstractNum w:abstractNumId="71">
    <w:nsid w:val="3F7C2FF4"/>
    <w:multiLevelType w:val="hybridMultilevel"/>
    <w:lvl w:ilvl="0">
      <w:lvlJc w:val="left"/>
      <w:lvlText w:val="•"/>
      <w:numFmt w:val="bullet"/>
      <w:start w:val="1"/>
    </w:lvl>
  </w:abstractNum>
  <w:abstractNum w:abstractNumId="72">
    <w:nsid w:val="25413BEC"/>
    <w:multiLevelType w:val="hybridMultilevel"/>
    <w:lvl w:ilvl="0">
      <w:lvlJc w:val="left"/>
      <w:lvlText w:val="•"/>
      <w:numFmt w:val="bullet"/>
      <w:start w:val="1"/>
    </w:lvl>
  </w:abstractNum>
  <w:abstractNum w:abstractNumId="73">
    <w:nsid w:val="17180B0B"/>
    <w:multiLevelType w:val="hybridMultilevel"/>
    <w:lvl w:ilvl="0">
      <w:lvlJc w:val="left"/>
      <w:lvlText w:val="•"/>
      <w:numFmt w:val="bullet"/>
      <w:start w:val="1"/>
    </w:lvl>
  </w:abstractNum>
  <w:abstractNum w:abstractNumId="74">
    <w:nsid w:val="579328B9"/>
    <w:multiLevelType w:val="hybridMultilevel"/>
    <w:lvl w:ilvl="0">
      <w:lvlJc w:val="left"/>
      <w:lvlText w:val="%1."/>
      <w:numFmt w:val="decimal"/>
      <w:start w:val="1"/>
    </w:lvl>
  </w:abstractNum>
  <w:abstractNum w:abstractNumId="75">
    <w:nsid w:val="5D205E20"/>
    <w:multiLevelType w:val="hybridMultilevel"/>
    <w:lvl w:ilvl="0">
      <w:lvlJc w:val="left"/>
      <w:lvlText w:val="%1."/>
      <w:numFmt w:val="decimal"/>
      <w:start w:val="2"/>
    </w:lvl>
  </w:abstractNum>
  <w:abstractNum w:abstractNumId="76">
    <w:nsid w:val="11CCA8BA"/>
    <w:multiLevelType w:val="hybridMultilevel"/>
    <w:lvl w:ilvl="0">
      <w:lvlJc w:val="left"/>
      <w:lvlText w:val="%1."/>
      <w:numFmt w:val="decimal"/>
      <w:start w:val="3"/>
    </w:lvl>
  </w:abstractNum>
  <w:abstractNum w:abstractNumId="77">
    <w:nsid w:val="4D32AB86"/>
    <w:multiLevelType w:val="hybridMultilevel"/>
    <w:lvl w:ilvl="0">
      <w:lvlJc w:val="left"/>
      <w:lvlText w:val="(%1)"/>
      <w:numFmt w:val="lowerRoman"/>
      <w:start w:val="1"/>
    </w:lvl>
  </w:abstractNum>
  <w:abstractNum w:abstractNumId="78">
    <w:nsid w:val="3F07ACC3"/>
    <w:multiLevelType w:val="hybridMultilevel"/>
    <w:lvl w:ilvl="0">
      <w:lvlJc w:val="left"/>
      <w:lvlText w:val="(%1)"/>
      <w:numFmt w:val="lowerRoman"/>
      <w:start w:val="1"/>
    </w:lvl>
  </w:abstractNum>
  <w:abstractNum w:abstractNumId="79">
    <w:nsid w:val="6B47F63E"/>
    <w:multiLevelType w:val="hybridMultilevel"/>
    <w:lvl w:ilvl="0">
      <w:lvlJc w:val="left"/>
      <w:lvlText w:val="(%1)"/>
      <w:numFmt w:val="lowerRoman"/>
      <w:start w:val="4"/>
    </w:lvl>
  </w:abstractNum>
  <w:abstractNum w:abstractNumId="80">
    <w:nsid w:val="5CB44A05"/>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81">
    <w:nsid w:val="16CF80F1"/>
    <w:multiLevelType w:val="hybridMultilevel"/>
    <w:lvl w:ilvl="0">
      <w:lvlJc w:val="left"/>
      <w:lvlText w:val="%1"/>
      <w:numFmt w:val="lowerRoman"/>
      <w:start w:val="1"/>
    </w:lvl>
    <w:lvl w:ilvl="1">
      <w:lvlJc w:val="left"/>
      <w:lvlText w:val="%2."/>
      <w:numFmt w:val="decimal"/>
      <w:start w:val="6"/>
    </w:lvl>
    <w:lvl w:ilvl="2">
      <w:lvlJc w:val="left"/>
      <w:lvlText w:val="%3"/>
      <w:numFmt w:val="lowerRoman"/>
      <w:start w:val="1"/>
    </w:lvl>
  </w:abstractNum>
  <w:abstractNum w:abstractNumId="82">
    <w:nsid w:val="1C695DEC"/>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abstractNum>
  <w:abstractNum w:abstractNumId="83">
    <w:nsid w:val="3FCFAED9"/>
    <w:multiLevelType w:val="hybridMultilevel"/>
    <w:lvl w:ilvl="0">
      <w:lvlJc w:val="left"/>
      <w:lvlText w:val="%1"/>
      <w:numFmt w:val="decimal"/>
      <w:start w:val="1"/>
    </w:lvl>
    <w:lvl w:ilvl="1">
      <w:lvlJc w:val="left"/>
      <w:lvlText w:val="%2."/>
      <w:numFmt w:val="decimal"/>
      <w:start w:val="7"/>
    </w:lvl>
  </w:abstractNum>
  <w:abstractNum w:abstractNumId="84">
    <w:nsid w:val="F856867"/>
    <w:multiLevelType w:val="hybridMultilevel"/>
    <w:lvl w:ilvl="0">
      <w:lvlJc w:val="left"/>
      <w:lvlText w:val="(%1)"/>
      <w:numFmt w:val="decimal"/>
      <w:start w:val="5"/>
    </w:lvl>
    <w:lvl w:ilvl="1">
      <w:lvlJc w:val="left"/>
      <w:lvlText w:val="%2."/>
      <w:numFmt w:val="decimal"/>
      <w:start w:val="8"/>
    </w:lvl>
  </w:abstractNum>
  <w:abstractNum w:abstractNumId="85">
    <w:nsid w:val="11B1CC33"/>
    <w:multiLevelType w:val="hybridMultilevel"/>
    <w:lvl w:ilvl="0">
      <w:lvlJc w:val="left"/>
      <w:lvlText w:val="(%1)"/>
      <w:numFmt w:val="lowerRoman"/>
      <w:start w:val="2"/>
    </w:lvl>
  </w:abstractNum>
  <w:abstractNum w:abstractNumId="86">
    <w:nsid w:val="2E22FBB7"/>
    <w:multiLevelType w:val="hybridMultilevel"/>
    <w:lvl w:ilvl="0">
      <w:lvlJc w:val="left"/>
      <w:lvlText w:val="%1."/>
      <w:numFmt w:val="decimal"/>
      <w:start w:val="9"/>
    </w:lvl>
  </w:abstractNum>
  <w:abstractNum w:abstractNumId="87">
    <w:nsid w:val="29934699"/>
    <w:multiLevelType w:val="hybridMultilevel"/>
    <w:lvl w:ilvl="0">
      <w:lvlJc w:val="left"/>
      <w:lvlText w:val="(%1)"/>
      <w:numFmt w:val="lowerRoman"/>
      <w:start w:val="3"/>
    </w:lvl>
  </w:abstractNum>
  <w:abstractNum w:abstractNumId="88">
    <w:nsid w:val="77485850"/>
    <w:multiLevelType w:val="hybridMultilevel"/>
    <w:lvl w:ilvl="0">
      <w:lvlJc w:val="left"/>
      <w:lvlText w:val="%1."/>
      <w:numFmt w:val="decimal"/>
      <w:start w:val="10"/>
    </w:lvl>
  </w:abstractNum>
  <w:abstractNum w:abstractNumId="89">
    <w:nsid w:val="744939A3"/>
    <w:multiLevelType w:val="hybridMultilevel"/>
    <w:lvl w:ilvl="0">
      <w:lvlJc w:val="left"/>
      <w:lvlText w:val="%1."/>
      <w:numFmt w:val="decimal"/>
      <w:start w:val="12"/>
    </w:lvl>
  </w:abstractNum>
  <w:abstractNum w:abstractNumId="90">
    <w:nsid w:val="4FA0D2E3"/>
    <w:multiLevelType w:val="hybridMultilevel"/>
    <w:lvl w:ilvl="0">
      <w:lvlJc w:val="left"/>
      <w:lvlText w:val="%1."/>
      <w:numFmt w:val="decimal"/>
      <w:start w:val="13"/>
    </w:lvl>
  </w:abstractNum>
  <w:abstractNum w:abstractNumId="91">
    <w:nsid w:val="6B1D2C14"/>
    <w:multiLevelType w:val="hybridMultilevel"/>
    <w:lvl w:ilvl="0">
      <w:lvlJc w:val="left"/>
      <w:lvlText w:val="%1."/>
      <w:numFmt w:val="decimal"/>
      <w:start w:val="1"/>
    </w:lvl>
  </w:abstractNum>
  <w:abstractNum w:abstractNumId="92">
    <w:nsid w:val="68B867D3"/>
    <w:multiLevelType w:val="hybridMultilevel"/>
    <w:lvl w:ilvl="0">
      <w:lvlJc w:val="left"/>
      <w:lvlText w:val="%1."/>
      <w:numFmt w:val="decimal"/>
      <w:start w:val="2"/>
    </w:lvl>
  </w:abstractNum>
  <w:abstractNum w:abstractNumId="93">
    <w:nsid w:val="3F7F5DD9"/>
    <w:multiLevelType w:val="hybridMultilevel"/>
    <w:lvl w:ilvl="0">
      <w:lvlJc w:val="left"/>
      <w:lvlText w:val="%1."/>
      <w:numFmt w:val="decimal"/>
      <w:start w:val="3"/>
    </w:lvl>
  </w:abstractNum>
  <w:abstractNum w:abstractNumId="94">
    <w:nsid w:val="2AE05A34"/>
    <w:multiLevelType w:val="hybridMultilevel"/>
    <w:lvl w:ilvl="0">
      <w:lvlJc w:val="left"/>
      <w:lvlText w:val="(%1)"/>
      <w:numFmt w:val="lowerRoman"/>
      <w:start w:val="1"/>
    </w:lvl>
  </w:abstractNum>
  <w:abstractNum w:abstractNumId="95">
    <w:nsid w:val="32794FF7"/>
    <w:multiLevelType w:val="hybridMultilevel"/>
    <w:lvl w:ilvl="0">
      <w:lvlJc w:val="left"/>
      <w:lvlText w:val="(%1)"/>
      <w:numFmt w:val="lowerRoman"/>
      <w:start w:val="2"/>
    </w:lvl>
  </w:abstractNum>
  <w:abstractNum w:abstractNumId="96">
    <w:nsid w:val="5454945E"/>
    <w:multiLevelType w:val="hybridMultilevel"/>
    <w:lvl w:ilvl="0">
      <w:lvlJc w:val="left"/>
      <w:lvlText w:val="(%1)"/>
      <w:numFmt w:val="lowerRoman"/>
      <w:start w:val="1"/>
    </w:lvl>
  </w:abstractNum>
  <w:abstractNum w:abstractNumId="97">
    <w:nsid w:val="4DEFDFA0"/>
    <w:multiLevelType w:val="hybridMultilevel"/>
    <w:lvl w:ilvl="0">
      <w:lvlJc w:val="left"/>
      <w:lvlText w:val="(%1)"/>
      <w:numFmt w:val="lowerLetter"/>
      <w:start w:val="3"/>
    </w:lvl>
    <w:lvl w:ilvl="1">
      <w:lvlJc w:val="left"/>
      <w:lvlText w:val="(%2)"/>
      <w:numFmt w:val="lowerRoman"/>
      <w:start w:val="4"/>
    </w:lvl>
  </w:abstractNum>
  <w:abstractNum w:abstractNumId="98">
    <w:nsid w:val="2123D5F2"/>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99">
    <w:nsid w:val="135B8110"/>
    <w:multiLevelType w:val="hybridMultilevel"/>
    <w:lvl w:ilvl="0">
      <w:lvlJc w:val="left"/>
      <w:lvlText w:val="%1"/>
      <w:numFmt w:val="lowerRoman"/>
      <w:start w:val="1"/>
    </w:lvl>
    <w:lvl w:ilvl="1">
      <w:lvlJc w:val="left"/>
      <w:lvlText w:val="%2."/>
      <w:numFmt w:val="decimal"/>
      <w:start w:val="6"/>
    </w:lvl>
    <w:lvl w:ilvl="2">
      <w:lvlJc w:val="left"/>
      <w:lvlText w:val="%3"/>
      <w:numFmt w:val="lowerRoman"/>
      <w:start w:val="1"/>
    </w:lvl>
  </w:abstractNum>
  <w:abstractNum w:abstractNumId="100">
    <w:nsid w:val="94927A8"/>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abstractNum>
  <w:abstractNum w:abstractNumId="101">
    <w:nsid w:val="DCDF8F6"/>
    <w:multiLevelType w:val="hybridMultilevel"/>
    <w:lvl w:ilvl="0">
      <w:lvlJc w:val="left"/>
      <w:lvlText w:val="%1"/>
      <w:numFmt w:val="decimal"/>
      <w:start w:val="1"/>
    </w:lvl>
    <w:lvl w:ilvl="1">
      <w:lvlJc w:val="left"/>
      <w:lvlText w:val="%2."/>
      <w:numFmt w:val="decimal"/>
      <w:start w:val="7"/>
    </w:lvl>
  </w:abstractNum>
  <w:abstractNum w:abstractNumId="102">
    <w:nsid w:val="52D7B105"/>
    <w:multiLevelType w:val="hybridMultilevel"/>
    <w:lvl w:ilvl="0">
      <w:lvlJc w:val="left"/>
      <w:lvlText w:val="(%1)"/>
      <w:numFmt w:val="decimal"/>
      <w:start w:val="5"/>
    </w:lvl>
    <w:lvl w:ilvl="1">
      <w:lvlJc w:val="left"/>
      <w:lvlText w:val="%2."/>
      <w:numFmt w:val="decimal"/>
      <w:start w:val="8"/>
    </w:lvl>
  </w:abstractNum>
  <w:abstractNum w:abstractNumId="103">
    <w:nsid w:val="2E8A6394"/>
    <w:multiLevelType w:val="hybridMultilevel"/>
    <w:lvl w:ilvl="0">
      <w:lvlJc w:val="left"/>
      <w:lvlText w:val="%1."/>
      <w:numFmt w:val="decimal"/>
      <w:start w:val="9"/>
    </w:lvl>
  </w:abstractNum>
  <w:abstractNum w:abstractNumId="104">
    <w:nsid w:val="24E60401"/>
    <w:multiLevelType w:val="hybridMultilevel"/>
    <w:lvl w:ilvl="0">
      <w:lvlJc w:val="left"/>
      <w:lvlText w:val="(%1)"/>
      <w:numFmt w:val="lowerRoman"/>
      <w:start w:val="3"/>
    </w:lvl>
  </w:abstractNum>
  <w:abstractNum w:abstractNumId="105">
    <w:nsid w:val="2A6AD9BE"/>
    <w:multiLevelType w:val="hybridMultilevel"/>
    <w:lvl w:ilvl="0">
      <w:lvlJc w:val="left"/>
      <w:lvlText w:val="%1."/>
      <w:numFmt w:val="decimal"/>
      <w:start w:val="10"/>
    </w:lvl>
  </w:abstractNum>
  <w:abstractNum w:abstractNumId="106">
    <w:nsid w:val="BAAC1B4"/>
    <w:multiLevelType w:val="hybridMultilevel"/>
    <w:lvl w:ilvl="0">
      <w:lvlJc w:val="left"/>
      <w:lvlText w:val="%1."/>
      <w:numFmt w:val="decimal"/>
      <w:start w:val="12"/>
    </w:lvl>
  </w:abstractNum>
  <w:abstractNum w:abstractNumId="107">
    <w:nsid w:val="36B2ACBC"/>
    <w:multiLevelType w:val="hybridMultilevel"/>
    <w:lvl w:ilvl="0">
      <w:lvlJc w:val="left"/>
      <w:lvlText w:val="%1."/>
      <w:numFmt w:val="decimal"/>
      <w:start w:val="13"/>
    </w:lvl>
  </w:abstractNum>
  <w:abstractNum w:abstractNumId="108">
    <w:nsid w:val="779D8544"/>
    <w:multiLevelType w:val="hybridMultilevel"/>
    <w:lvl w:ilvl="0">
      <w:lvlJc w:val="left"/>
      <w:lvlText w:val="%1."/>
      <w:numFmt w:val="decimal"/>
      <w:start w:val="1"/>
    </w:lvl>
  </w:abstractNum>
  <w:abstractNum w:abstractNumId="109">
    <w:nsid w:val="4AB26E78"/>
    <w:multiLevelType w:val="hybridMultilevel"/>
    <w:lvl w:ilvl="0">
      <w:lvlJc w:val="left"/>
      <w:lvlText w:val="%1."/>
      <w:numFmt w:val="decimal"/>
      <w:start w:val="2"/>
    </w:lvl>
  </w:abstractNum>
  <w:abstractNum w:abstractNumId="110">
    <w:nsid w:val="21FAA2FA"/>
    <w:multiLevelType w:val="hybridMultilevel"/>
    <w:lvl w:ilvl="0">
      <w:lvlJc w:val="left"/>
      <w:lvlText w:val="%1."/>
      <w:numFmt w:val="decimal"/>
      <w:start w:val="3"/>
    </w:lvl>
  </w:abstractNum>
  <w:abstractNum w:abstractNumId="111">
    <w:nsid w:val="5451CF49"/>
    <w:multiLevelType w:val="hybridMultilevel"/>
    <w:lvl w:ilvl="0">
      <w:lvlJc w:val="left"/>
      <w:lvlText w:val="%1."/>
      <w:numFmt w:val="decimal"/>
      <w:start w:val="5"/>
    </w:lvl>
  </w:abstractNum>
  <w:abstractNum w:abstractNumId="112">
    <w:nsid w:val="6181EF69"/>
    <w:multiLevelType w:val="hybridMultilevel"/>
    <w:lvl w:ilvl="0">
      <w:lvlJc w:val="left"/>
      <w:lvlText w:val="(%1)"/>
      <w:numFmt w:val="lowerRoman"/>
      <w:start w:val="1"/>
    </w:lvl>
  </w:abstractNum>
  <w:abstractNum w:abstractNumId="113">
    <w:nsid w:val="3E6400E6"/>
    <w:multiLevelType w:val="hybridMultilevel"/>
    <w:lvl w:ilvl="0">
      <w:lvlJc w:val="left"/>
      <w:lvlText w:val="(%1)"/>
      <w:numFmt w:val="lowerRoman"/>
      <w:start w:val="1"/>
    </w:lvl>
  </w:abstractNum>
  <w:abstractNum w:abstractNumId="114">
    <w:nsid w:val="14217E23"/>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115">
    <w:nsid w:val="710757D0"/>
    <w:multiLevelType w:val="hybridMultilevel"/>
    <w:lvl w:ilvl="0">
      <w:lvlJc w:val="left"/>
      <w:lvlText w:val="%1"/>
      <w:numFmt w:val="lowerRoman"/>
      <w:start w:val="1"/>
    </w:lvl>
    <w:lvl w:ilvl="1">
      <w:lvlJc w:val="left"/>
      <w:lvlText w:val="%2."/>
      <w:numFmt w:val="decimal"/>
      <w:start w:val="6"/>
    </w:lvl>
    <w:lvl w:ilvl="2">
      <w:lvlJc w:val="left"/>
      <w:lvlText w:val="%3"/>
      <w:numFmt w:val="lowerRoman"/>
      <w:start w:val="1"/>
    </w:lvl>
  </w:abstractNum>
  <w:abstractNum w:abstractNumId="116">
    <w:nsid w:val="5015CD1A"/>
    <w:multiLevelType w:val="hybridMultilevel"/>
    <w:lvl w:ilvl="0">
      <w:lvlJc w:val="left"/>
      <w:lvlText w:val="(%1)"/>
      <w:numFmt w:val="lowerRoman"/>
      <w:start w:val="2"/>
    </w:lvl>
    <w:lvl w:ilvl="1">
      <w:lvlJc w:val="left"/>
      <w:lvlText w:val="%2."/>
      <w:numFmt w:val="decimal"/>
      <w:start w:val="7"/>
    </w:lvl>
    <w:lvl w:ilvl="2">
      <w:lvlJc w:val="left"/>
      <w:lvlText w:val="%3"/>
      <w:numFmt w:val="lowerRoman"/>
      <w:start w:val="1"/>
    </w:lvl>
  </w:abstractNum>
  <w:abstractNum w:abstractNumId="117">
    <w:nsid w:val="424479DA"/>
    <w:multiLevelType w:val="hybridMultilevel"/>
    <w:lvl w:ilvl="0">
      <w:lvlJc w:val="left"/>
      <w:lvlText w:val="%1."/>
      <w:numFmt w:val="decimal"/>
      <w:start w:val="8"/>
    </w:lvl>
  </w:abstractNum>
  <w:abstractNum w:abstractNumId="118">
    <w:nsid w:val="1A9A9E69"/>
    <w:multiLevelType w:val="hybridMultilevel"/>
    <w:lvl w:ilvl="0">
      <w:lvlJc w:val="left"/>
      <w:lvlText w:val="%1."/>
      <w:numFmt w:val="decimal"/>
      <w:start w:val="9"/>
    </w:lvl>
  </w:abstractNum>
  <w:abstractNum w:abstractNumId="119">
    <w:nsid w:val="475E256A"/>
    <w:multiLevelType w:val="hybridMultilevel"/>
    <w:lvl w:ilvl="0">
      <w:lvlJc w:val="left"/>
      <w:lvlText w:val="%1."/>
      <w:numFmt w:val="decimal"/>
      <w:start w:val="10"/>
    </w:lvl>
  </w:abstractNum>
  <w:abstractNum w:abstractNumId="120">
    <w:nsid w:val="368DB37E"/>
    <w:multiLevelType w:val="hybridMultilevel"/>
    <w:lvl w:ilvl="0">
      <w:lvlJc w:val="left"/>
      <w:lvlText w:val="%1."/>
      <w:numFmt w:val="decimal"/>
      <w:start w:val="12"/>
    </w:lvl>
  </w:abstractNum>
  <w:abstractNum w:abstractNumId="121">
    <w:nsid w:val="6A3B714C"/>
    <w:multiLevelType w:val="hybridMultilevel"/>
    <w:lvl w:ilvl="0">
      <w:lvlJc w:val="left"/>
      <w:lvlText w:val="%1."/>
      <w:numFmt w:val="decimal"/>
      <w:start w:val="13"/>
    </w:lvl>
  </w:abstractNum>
  <w:abstractNum w:abstractNumId="122">
    <w:nsid w:val="327B517E"/>
    <w:multiLevelType w:val="hybridMultilevel"/>
    <w:lvl w:ilvl="0">
      <w:lvlJc w:val="left"/>
      <w:lvlText w:val="%1."/>
      <w:numFmt w:val="decimal"/>
      <w:start w:val="1"/>
    </w:lvl>
  </w:abstractNum>
  <w:abstractNum w:abstractNumId="123">
    <w:nsid w:val="1F461B51"/>
    <w:multiLevelType w:val="hybridMultilevel"/>
    <w:lvl w:ilvl="0">
      <w:lvlJc w:val="left"/>
      <w:lvlText w:val="%1."/>
      <w:numFmt w:val="decimal"/>
      <w:start w:val="2"/>
    </w:lvl>
  </w:abstractNum>
  <w:abstractNum w:abstractNumId="124">
    <w:nsid w:val="29BACF25"/>
    <w:multiLevelType w:val="hybridMultilevel"/>
    <w:lvl w:ilvl="0">
      <w:lvlJc w:val="left"/>
      <w:lvlText w:val="%1."/>
      <w:numFmt w:val="decimal"/>
      <w:start w:val="3"/>
    </w:lvl>
  </w:abstractNum>
  <w:abstractNum w:abstractNumId="125">
    <w:nsid w:val="5D5BABB3"/>
    <w:multiLevelType w:val="hybridMultilevel"/>
    <w:lvl w:ilvl="0">
      <w:lvlJc w:val="left"/>
      <w:lvlText w:val="(%1)"/>
      <w:numFmt w:val="lowerRoman"/>
      <w:start w:val="1"/>
    </w:lvl>
  </w:abstractNum>
  <w:abstractNum w:abstractNumId="126">
    <w:nsid w:val="51BF6B48"/>
    <w:multiLevelType w:val="hybridMultilevel"/>
    <w:lvl w:ilvl="0">
      <w:lvlJc w:val="left"/>
      <w:lvlText w:val="(%1)"/>
      <w:numFmt w:val="lowerRoman"/>
      <w:start w:val="1"/>
    </w:lvl>
  </w:abstractNum>
  <w:abstractNum w:abstractNumId="127">
    <w:nsid w:val="7E0F6384"/>
    <w:multiLevelType w:val="hybridMultilevel"/>
    <w:lvl w:ilvl="0">
      <w:lvlJc w:val="left"/>
      <w:lvlText w:val="(%1)"/>
      <w:numFmt w:val="lowerRoman"/>
      <w:start w:val="4"/>
    </w:lvl>
  </w:abstractNum>
  <w:abstractNum w:abstractNumId="128">
    <w:nsid w:val="2B4B8B53"/>
    <w:multiLevelType w:val="hybridMultilevel"/>
    <w:lvl w:ilvl="0">
      <w:lvlJc w:val="left"/>
      <w:lvlText w:val="(%1)"/>
      <w:numFmt w:val="lowerRoman"/>
      <w:start w:val="1"/>
    </w:lvl>
  </w:abstractNum>
  <w:abstractNum w:abstractNumId="129">
    <w:nsid w:val="72E3413A"/>
    <w:multiLevelType w:val="hybridMultilevel"/>
    <w:lvl w:ilvl="0">
      <w:lvlJc w:val="left"/>
      <w:lvlText w:val="%1"/>
      <w:numFmt w:val="lowerRoman"/>
      <w:start w:val="1"/>
    </w:lvl>
    <w:lvl w:ilvl="1">
      <w:lvlJc w:val="left"/>
      <w:lvlText w:val="%2."/>
      <w:numFmt w:val="decimal"/>
      <w:start w:val="6"/>
    </w:lvl>
  </w:abstractNum>
  <w:abstractNum w:abstractNumId="130">
    <w:nsid w:val="116AE494"/>
    <w:multiLevelType w:val="hybridMultilevel"/>
    <w:lvl w:ilvl="0">
      <w:lvlJc w:val="left"/>
      <w:lvlText w:val="(%1)"/>
      <w:numFmt w:val="lowerRoman"/>
      <w:start w:val="2"/>
    </w:lvl>
    <w:lvl w:ilvl="1">
      <w:lvlJc w:val="left"/>
      <w:lvlText w:val="%2"/>
      <w:numFmt w:val="decimal"/>
      <w:start w:val="1"/>
    </w:lvl>
  </w:abstractNum>
  <w:abstractNum w:abstractNumId="131">
    <w:nsid w:val="3494B2FB"/>
    <w:multiLevelType w:val="hybridMultilevel"/>
    <w:lvl w:ilvl="0">
      <w:lvlJc w:val="left"/>
      <w:lvlText w:val="%1"/>
      <w:numFmt w:val="decimal"/>
      <w:start w:val="1"/>
    </w:lvl>
    <w:lvl w:ilvl="1">
      <w:lvlJc w:val="left"/>
      <w:lvlText w:val="%2."/>
      <w:numFmt w:val="decimal"/>
      <w:start w:val="7"/>
    </w:lvl>
  </w:abstractNum>
  <w:abstractNum w:abstractNumId="132">
    <w:nsid w:val="B13A31"/>
    <w:multiLevelType w:val="hybridMultilevel"/>
    <w:lvl w:ilvl="0">
      <w:lvlJc w:val="left"/>
      <w:lvlText w:val="(%1)"/>
      <w:numFmt w:val="decimal"/>
      <w:start w:val="5"/>
    </w:lvl>
    <w:lvl w:ilvl="1">
      <w:lvlJc w:val="left"/>
      <w:lvlText w:val="%2."/>
      <w:numFmt w:val="decimal"/>
      <w:start w:val="8"/>
    </w:lvl>
  </w:abstractNum>
  <w:abstractNum w:abstractNumId="133">
    <w:nsid w:val="64429599"/>
    <w:multiLevelType w:val="hybridMultilevel"/>
    <w:lvl w:ilvl="0">
      <w:lvlJc w:val="left"/>
      <w:lvlText w:val="(%1)"/>
      <w:numFmt w:val="lowerRoman"/>
      <w:start w:val="2"/>
    </w:lvl>
    <w:lvl w:ilvl="1">
      <w:lvlJc w:val="left"/>
      <w:lvlText w:val="%2."/>
      <w:numFmt w:val="decimal"/>
      <w:start w:val="9"/>
    </w:lvl>
  </w:abstractNum>
  <w:abstractNum w:abstractNumId="134">
    <w:nsid w:val="631F1690"/>
    <w:multiLevelType w:val="hybridMultilevel"/>
    <w:lvl w:ilvl="0">
      <w:lvlJc w:val="left"/>
      <w:lvlText w:val="(%1)"/>
      <w:numFmt w:val="lowerRoman"/>
      <w:start w:val="3"/>
    </w:lvl>
  </w:abstractNum>
  <w:abstractNum w:abstractNumId="135">
    <w:nsid w:val="25973E32"/>
    <w:multiLevelType w:val="hybridMultilevel"/>
    <w:lvl w:ilvl="0">
      <w:lvlJc w:val="left"/>
      <w:lvlText w:val="%1."/>
      <w:numFmt w:val="decimal"/>
      <w:start w:val="10"/>
    </w:lvl>
  </w:abstractNum>
  <w:abstractNum w:abstractNumId="136">
    <w:nsid w:val="EAD6F57"/>
    <w:multiLevelType w:val="hybridMultilevel"/>
    <w:lvl w:ilvl="0">
      <w:lvlJc w:val="left"/>
      <w:lvlText w:val="%1."/>
      <w:numFmt w:val="decimal"/>
      <w:start w:val="12"/>
    </w:lvl>
  </w:abstractNum>
  <w:abstractNum w:abstractNumId="137">
    <w:nsid w:val="6EC9D844"/>
    <w:multiLevelType w:val="hybridMultilevel"/>
    <w:lvl w:ilvl="0">
      <w:lvlJc w:val="left"/>
      <w:lvlText w:val="%1."/>
      <w:numFmt w:val="decimal"/>
      <w:start w:val="13"/>
    </w:lvl>
  </w:abstractNum>
  <w:abstractNum w:abstractNumId="138">
    <w:nsid w:val="5C49EAEE"/>
    <w:multiLevelType w:val="hybridMultilevel"/>
    <w:lvl w:ilvl="0">
      <w:lvlJc w:val="left"/>
      <w:lvlText w:val="%1."/>
      <w:numFmt w:val="decimal"/>
      <w:start w:val="1"/>
    </w:lvl>
  </w:abstractNum>
  <w:abstractNum w:abstractNumId="139">
    <w:nsid w:val="64AF49B"/>
    <w:multiLevelType w:val="hybridMultilevel"/>
    <w:lvl w:ilvl="0">
      <w:lvlJc w:val="left"/>
      <w:lvlText w:val="%1."/>
      <w:numFmt w:val="decimal"/>
      <w:start w:val="1"/>
    </w:lvl>
    <w:lvl w:ilvl="1">
      <w:lvlJc w:val="left"/>
      <w:lvlText w:val="•"/>
      <w:numFmt w:val="bullet"/>
      <w:start w:val="1"/>
    </w:lvl>
  </w:abstractNum>
  <w:abstractNum w:abstractNumId="140">
    <w:nsid w:val="397C46BC"/>
    <w:multiLevelType w:val="hybridMultilevel"/>
    <w:lvl w:ilvl="0">
      <w:lvlJc w:val="left"/>
      <w:lvlText w:val="%1."/>
      <w:numFmt w:val="decimal"/>
      <w:start w:val="3"/>
    </w:lvl>
  </w:abstractNum>
  <w:abstractNum w:abstractNumId="141">
    <w:nsid w:val="7E448DE9"/>
    <w:multiLevelType w:val="hybridMultilevel"/>
    <w:lvl w:ilvl="0">
      <w:lvlJc w:val="left"/>
      <w:lvlText w:val="%1."/>
      <w:numFmt w:val="decimal"/>
      <w:start w:val="4"/>
    </w:lvl>
  </w:abstractNum>
  <w:abstractNum w:abstractNumId="142">
    <w:nsid w:val="5A9CC3E5"/>
    <w:multiLevelType w:val="hybridMultilevel"/>
    <w:lvl w:ilvl="0">
      <w:lvlJc w:val="left"/>
      <w:lvlText w:val="%1."/>
      <w:numFmt w:val="decimal"/>
      <w:start w:val="5"/>
    </w:lvl>
  </w:abstractNum>
  <w:abstractNum w:abstractNumId="143">
    <w:nsid w:val="1AFE3625"/>
    <w:multiLevelType w:val="hybridMultilevel"/>
    <w:lvl w:ilvl="0">
      <w:lvlJc w:val="left"/>
      <w:lvlText w:val="%1."/>
      <w:numFmt w:val="decimal"/>
      <w:start w:val="6"/>
    </w:lvl>
  </w:abstractNum>
  <w:abstractNum w:abstractNumId="144">
    <w:nsid w:val="3CA88ECF"/>
    <w:multiLevelType w:val="hybridMultilevel"/>
    <w:lvl w:ilvl="0">
      <w:lvlJc w:val="left"/>
      <w:lvlText w:val="%1."/>
      <w:numFmt w:val="decimal"/>
      <w:start w:val="7"/>
    </w:lvl>
  </w:abstractNum>
  <w:abstractNum w:abstractNumId="145">
    <w:nsid w:val="6EBE4208"/>
    <w:multiLevelType w:val="hybridMultilevel"/>
    <w:lvl w:ilvl="0">
      <w:lvlJc w:val="left"/>
      <w:lvlText w:val="(%1)"/>
      <w:numFmt w:val="decimal"/>
      <w:start w:val="7"/>
    </w:lvl>
  </w:abstractNum>
  <w:abstractNum w:abstractNumId="146">
    <w:nsid w:val="C058DF5"/>
    <w:multiLevelType w:val="hybridMultilevel"/>
    <w:lvl w:ilvl="0">
      <w:lvlJc w:val="left"/>
      <w:lvlText w:val="(%1)"/>
      <w:numFmt w:val="lowerRoman"/>
      <w:start w:val="3"/>
    </w:lvl>
  </w:abstractNum>
  <w:abstractNum w:abstractNumId="147">
    <w:nsid w:val="CBE5BE9"/>
    <w:multiLevelType w:val="hybridMultilevel"/>
    <w:lvl w:ilvl="0">
      <w:lvlJc w:val="left"/>
      <w:lvlText w:val="%1."/>
      <w:numFmt w:val="decimal"/>
      <w:start w:val="9"/>
    </w:lvl>
  </w:abstractNum>
  <w:abstractNum w:abstractNumId="148">
    <w:nsid w:val="3102BBE2"/>
    <w:multiLevelType w:val="hybridMultilevel"/>
    <w:lvl w:ilvl="0">
      <w:lvlJc w:val="left"/>
      <w:lvlText w:val="%1."/>
      <w:numFmt w:val="decimal"/>
      <w:start w:val="10"/>
    </w:lvl>
  </w:abstractNum>
  <w:abstractNum w:abstractNumId="149">
    <w:nsid w:val="26A02C5E"/>
    <w:multiLevelType w:val="hybridMultilevel"/>
    <w:lvl w:ilvl="0">
      <w:lvlJc w:val="left"/>
      <w:lvlText w:val="%1."/>
      <w:numFmt w:val="decimal"/>
      <w:start w:val="11"/>
    </w:lvl>
  </w:abstractNum>
  <w:abstractNum w:abstractNumId="150">
    <w:nsid w:val="541C8153"/>
    <w:multiLevelType w:val="hybridMultilevel"/>
    <w:lvl w:ilvl="0">
      <w:lvlJc w:val="left"/>
      <w:lvlText w:val="%1."/>
      <w:numFmt w:val="decimal"/>
      <w:start w:val="12"/>
    </w:lvl>
  </w:abstractNum>
  <w:abstractNum w:abstractNumId="151">
    <w:nsid w:val="67906F60"/>
    <w:multiLevelType w:val="hybridMultilevel"/>
    <w:lvl w:ilvl="0">
      <w:lvlJc w:val="left"/>
      <w:lvlText w:val="%1."/>
      <w:numFmt w:val="decimal"/>
      <w:start w:val="13"/>
    </w:lvl>
  </w:abstractNum>
  <w:abstractNum w:abstractNumId="152">
    <w:nsid w:val="10DB9DAA"/>
    <w:multiLevelType w:val="hybridMultilevel"/>
    <w:lvl w:ilvl="0">
      <w:lvlJc w:val="left"/>
      <w:lvlText w:val="%1."/>
      <w:numFmt w:val="decimal"/>
      <w:start w:val="14"/>
    </w:lvl>
  </w:abstractNum>
  <w:abstractNum w:abstractNumId="153">
    <w:nsid w:val="697D2D2"/>
    <w:multiLevelType w:val="hybridMultilevel"/>
    <w:lvl w:ilvl="0">
      <w:lvlJc w:val="left"/>
      <w:lvlText w:val="%1."/>
      <w:numFmt w:val="decimal"/>
      <w:start w:val="15"/>
    </w:lvl>
  </w:abstractNum>
  <w:abstractNum w:abstractNumId="154">
    <w:nsid w:val="6D68AB2"/>
    <w:multiLevelType w:val="hybridMultilevel"/>
    <w:lvl w:ilvl="0">
      <w:lvlJc w:val="left"/>
      <w:lvlText w:val="%1"/>
      <w:numFmt w:val="upperLetter"/>
      <w:start w:val="35"/>
    </w:lvl>
  </w:abstractNum>
  <w:abstractNum w:abstractNumId="155">
    <w:nsid w:val="3A966CD0"/>
    <w:multiLevelType w:val="hybridMultilevel"/>
    <w:lvl w:ilvl="0">
      <w:lvlJc w:val="left"/>
      <w:lvlText w:val="%1."/>
      <w:numFmt w:val="decimal"/>
      <w:start w:val="16"/>
    </w:lvl>
  </w:abstractNum>
  <w:abstractNum w:abstractNumId="156">
    <w:nsid w:val="63F37E85"/>
    <w:multiLevelType w:val="hybridMultilevel"/>
    <w:lvl w:ilvl="0">
      <w:lvlJc w:val="left"/>
      <w:lvlText w:val="%1."/>
      <w:numFmt w:val="decimal"/>
      <w:start w:val="18"/>
    </w:lvl>
  </w:abstractNum>
  <w:abstractNum w:abstractNumId="157">
    <w:nsid w:val="5895F5FA"/>
    <w:multiLevelType w:val="hybridMultilevel"/>
    <w:lvl w:ilvl="0">
      <w:lvlJc w:val="left"/>
      <w:lvlText w:val="%1."/>
      <w:numFmt w:val="decimal"/>
      <w:start w:val="19"/>
    </w:lvl>
  </w:abstractNum>
  <w:abstractNum w:abstractNumId="158">
    <w:nsid w:val="38A5D054"/>
    <w:multiLevelType w:val="hybridMultilevel"/>
    <w:lvl w:ilvl="0">
      <w:lvlJc w:val="left"/>
      <w:lvlText w:val="%1."/>
      <w:numFmt w:val="decimal"/>
      <w:start w:val="20"/>
    </w:lvl>
  </w:abstractNum>
  <w:abstractNum w:abstractNumId="159">
    <w:nsid w:val="F3F09D8"/>
    <w:multiLevelType w:val="hybridMultilevel"/>
    <w:lvl w:ilvl="0">
      <w:lvlJc w:val="left"/>
      <w:lvlText w:val="%1."/>
      <w:numFmt w:val="decimal"/>
      <w:start w:val="21"/>
    </w:lvl>
  </w:abstractNum>
  <w:abstractNum w:abstractNumId="160">
    <w:nsid w:val="4B793735"/>
    <w:multiLevelType w:val="hybridMultilevel"/>
    <w:lvl w:ilvl="0">
      <w:lvlJc w:val="left"/>
      <w:lvlText w:val="%1."/>
      <w:numFmt w:val="decimal"/>
      <w:start w:val="22"/>
    </w:lvl>
  </w:abstractNum>
  <w:abstractNum w:abstractNumId="161">
    <w:nsid w:val="4A10B4E8"/>
    <w:multiLevelType w:val="hybridMultilevel"/>
    <w:lvl w:ilvl="0">
      <w:lvlJc w:val="left"/>
      <w:lvlText w:val="%1."/>
      <w:numFmt w:val="decimal"/>
      <w:start w:val="25"/>
    </w:lvl>
  </w:abstractNum>
  <w:abstractNum w:abstractNumId="162">
    <w:nsid w:val="43D3BCD4"/>
    <w:multiLevelType w:val="hybridMultilevel"/>
    <w:lvl w:ilvl="0">
      <w:lvlJc w:val="left"/>
      <w:lvlText w:val="%1."/>
      <w:numFmt w:val="decimal"/>
      <w:start w:val="1"/>
    </w:lvl>
  </w:abstractNum>
  <w:abstractNum w:abstractNumId="163">
    <w:nsid w:val="4C2A7166"/>
    <w:multiLevelType w:val="hybridMultilevel"/>
    <w:lvl w:ilvl="0">
      <w:lvlJc w:val="left"/>
      <w:lvlText w:val="%1"/>
      <w:numFmt w:val="lowerRoman"/>
      <w:start w:val="1"/>
    </w:lvl>
    <w:lvl w:ilvl="1">
      <w:lvlJc w:val="left"/>
      <w:lvlText w:val="%2."/>
      <w:numFmt w:val="decimal"/>
      <w:start w:val="12"/>
    </w:lvl>
  </w:abstractNum>
  <w:abstractNum w:abstractNumId="164">
    <w:nsid w:val="2E534A82"/>
    <w:multiLevelType w:val="hybridMultilevel"/>
    <w:lvl w:ilvl="0">
      <w:lvlJc w:val="left"/>
      <w:lvlText w:val="(%1)"/>
      <w:numFmt w:val="lowerRoman"/>
      <w:start w:val="3"/>
    </w:lvl>
    <w:lvl w:ilvl="1">
      <w:lvlJc w:val="left"/>
      <w:lvlText w:val="%2."/>
      <w:numFmt w:val="decimal"/>
      <w:start w:val="15"/>
    </w:lvl>
  </w:abstractNum>
  <w:abstractNum w:abstractNumId="165">
    <w:nsid w:val="26F2D364"/>
    <w:multiLevelType w:val="hybridMultilevel"/>
    <w:lvl w:ilvl="0">
      <w:lvlJc w:val="left"/>
      <w:lvlText w:val="%1."/>
      <w:numFmt w:val="lowerLetter"/>
      <w:start w:val="1"/>
    </w:lvl>
  </w:abstractNum>
  <w:abstractNum w:abstractNumId="166">
    <w:nsid w:val="71C1AF98"/>
    <w:multiLevelType w:val="hybridMultilevel"/>
    <w:lvl w:ilvl="0">
      <w:lvlJc w:val="left"/>
      <w:lvlText w:val="%1."/>
      <w:numFmt w:val="decimal"/>
      <w:start w:val="1"/>
    </w:lvl>
    <w:lvl w:ilvl="1">
      <w:lvlJc w:val="left"/>
      <w:lvlText w:val="(%2)"/>
      <w:numFmt w:val="lowerLetter"/>
      <w:start w:val="1"/>
    </w:lvl>
  </w:abstractNum>
  <w:abstractNum w:abstractNumId="167">
    <w:nsid w:val="3D00B9D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68">
    <w:nsid w:val="15BCABA8"/>
    <w:multiLevelType w:val="hybridMultilevel"/>
    <w:lvl w:ilvl="0">
      <w:lvlJc w:val="left"/>
      <w:lvlText w:val="%1"/>
      <w:numFmt w:val="lowerLetter"/>
      <w:start w:val="1"/>
    </w:lvl>
    <w:lvl w:ilvl="1">
      <w:lvlJc w:val="left"/>
      <w:lvlText w:val="(%2)"/>
      <w:numFmt w:val="lowerRoman"/>
      <w:start w:val="2"/>
    </w:lvl>
  </w:abstractNum>
  <w:abstractNum w:abstractNumId="169">
    <w:nsid w:val="4E0B9A87"/>
    <w:multiLevelType w:val="hybridMultilevel"/>
    <w:lvl w:ilvl="0">
      <w:lvlJc w:val="left"/>
      <w:lvlText w:val="(%1)"/>
      <w:numFmt w:val="lowerLetter"/>
      <w:start w:val="3"/>
    </w:lvl>
    <w:lvl w:ilvl="1">
      <w:lvlJc w:val="left"/>
      <w:lvlText w:val="%2"/>
      <w:numFmt w:val="lowerRoman"/>
      <w:start w:val="1"/>
    </w:lvl>
  </w:abstractNum>
  <w:abstractNum w:abstractNumId="170">
    <w:nsid w:val="434BAE75"/>
    <w:multiLevelType w:val="hybridMultilevel"/>
    <w:lvl w:ilvl="0">
      <w:lvlJc w:val="left"/>
      <w:lvlText w:val="%1"/>
      <w:numFmt w:val="decimal"/>
      <w:start w:val="1"/>
    </w:lvl>
    <w:lvl w:ilvl="1">
      <w:lvlJc w:val="left"/>
      <w:lvlText w:val="(%2)"/>
      <w:numFmt w:val="lowerLetter"/>
      <w:start w:val="7"/>
    </w:lvl>
  </w:abstractNum>
  <w:abstractNum w:abstractNumId="171">
    <w:nsid w:val="4F38F265"/>
    <w:multiLevelType w:val="hybridMultilevel"/>
    <w:lvl w:ilvl="0">
      <w:lvlJc w:val="left"/>
      <w:lvlText w:val="%1."/>
      <w:numFmt w:val="decimal"/>
      <w:start w:val="4"/>
    </w:lvl>
    <w:lvl w:ilvl="1">
      <w:lvlJc w:val="left"/>
      <w:lvlText w:val="(%2)"/>
      <w:numFmt w:val="lowerLetter"/>
      <w:start w:val="1"/>
    </w:lvl>
  </w:abstractNum>
  <w:abstractNum w:abstractNumId="172">
    <w:nsid w:val="4C502870"/>
    <w:multiLevelType w:val="hybridMultilevel"/>
    <w:lvl w:ilvl="0">
      <w:lvlJc w:val="left"/>
      <w:lvlText w:val="(%1)"/>
      <w:numFmt w:val="lowerRoman"/>
      <w:start w:val="1"/>
    </w:lvl>
  </w:abstractNum>
  <w:abstractNum w:abstractNumId="173">
    <w:nsid w:val="1DE8725A"/>
    <w:multiLevelType w:val="hybridMultilevel"/>
    <w:lvl w:ilvl="0">
      <w:lvlJc w:val="left"/>
      <w:lvlText w:val="(%1)"/>
      <w:numFmt w:val="lowerRoman"/>
      <w:start w:val="2"/>
    </w:lvl>
  </w:abstractNum>
  <w:abstractNum w:abstractNumId="174">
    <w:nsid w:val="6A37288A"/>
    <w:multiLevelType w:val="hybridMultilevel"/>
    <w:lvl w:ilvl="0">
      <w:lvlJc w:val="left"/>
      <w:lvlText w:val="(%1)"/>
      <w:numFmt w:val="lowerLetter"/>
      <w:start w:val="5"/>
    </w:lvl>
  </w:abstractNum>
  <w:abstractNum w:abstractNumId="175">
    <w:nsid w:val="8F8B73F"/>
    <w:multiLevelType w:val="hybridMultilevel"/>
    <w:lvl w:ilvl="0">
      <w:lvlJc w:val="left"/>
      <w:lvlText w:val="%1"/>
      <w:numFmt w:val="lowerLetter"/>
      <w:start w:val="1"/>
    </w:lvl>
    <w:lvl w:ilvl="1">
      <w:lvlJc w:val="left"/>
      <w:lvlText w:val="(%2)"/>
      <w:numFmt w:val="lowerLetter"/>
      <w:start w:val="9"/>
    </w:lvl>
  </w:abstractNum>
  <w:abstractNum w:abstractNumId="176">
    <w:nsid w:val="CA6B462"/>
    <w:multiLevelType w:val="hybridMultilevel"/>
    <w:lvl w:ilvl="0">
      <w:lvlJc w:val="left"/>
      <w:lvlText w:val="(%1)"/>
      <w:numFmt w:val="lowerLetter"/>
      <w:start w:val="3"/>
    </w:lvl>
    <w:lvl w:ilvl="1">
      <w:lvlJc w:val="left"/>
      <w:lvlText w:val="(%2)"/>
      <w:numFmt w:val="lowerLetter"/>
      <w:start w:val="12"/>
    </w:lvl>
  </w:abstractNum>
  <w:abstractNum w:abstractNumId="177">
    <w:nsid w:val="763CB680"/>
    <w:multiLevelType w:val="hybridMultilevel"/>
    <w:lvl w:ilvl="0">
      <w:lvlJc w:val="left"/>
      <w:lvlText w:val="%1."/>
      <w:numFmt w:val="decimal"/>
      <w:start w:val="5"/>
    </w:lvl>
    <w:lvl w:ilvl="1">
      <w:lvlJc w:val="left"/>
      <w:lvlText w:val="(%2)"/>
      <w:numFmt w:val="lowerLetter"/>
      <w:start w:val="1"/>
    </w:lvl>
  </w:abstractNum>
  <w:abstractNum w:abstractNumId="178">
    <w:nsid w:val="15B7132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79">
    <w:nsid w:val="3DA97044"/>
    <w:multiLevelType w:val="hybridMultilevel"/>
    <w:lvl w:ilvl="0">
      <w:lvlJc w:val="left"/>
      <w:lvlText w:val="%1."/>
      <w:numFmt w:val="decimal"/>
      <w:start w:val="7"/>
    </w:lvl>
    <w:lvl w:ilvl="1">
      <w:lvlJc w:val="left"/>
      <w:lvlText w:val="(%2)"/>
      <w:numFmt w:val="lowerLetter"/>
      <w:start w:val="1"/>
    </w:lvl>
  </w:abstractNum>
  <w:abstractNum w:abstractNumId="180">
    <w:nsid w:val="1CDCE2DE"/>
    <w:multiLevelType w:val="hybridMultilevel"/>
    <w:lvl w:ilvl="0">
      <w:lvlJc w:val="left"/>
      <w:lvlText w:val="%1"/>
      <w:numFmt w:val="decimal"/>
      <w:start w:val="100"/>
    </w:lvl>
  </w:abstractNum>
  <w:abstractNum w:abstractNumId="181">
    <w:nsid w:val="69D3947C"/>
    <w:multiLevelType w:val="hybridMultilevel"/>
    <w:lvl w:ilvl="0">
      <w:lvlJc w:val="left"/>
      <w:lvlText w:val="%1"/>
      <w:numFmt w:val="decimal"/>
      <w:start w:val="200"/>
    </w:lvl>
    <w:lvl w:ilvl="1">
      <w:lvlJc w:val="left"/>
      <w:lvlText w:val="•"/>
      <w:numFmt w:val="bullet"/>
      <w:start w:val="1"/>
    </w:lvl>
  </w:abstractNum>
  <w:abstractNum w:abstractNumId="182">
    <w:nsid w:val="2539DFA5"/>
    <w:multiLevelType w:val="hybridMultilevel"/>
    <w:lvl w:ilvl="0">
      <w:lvlJc w:val="left"/>
      <w:lvlText w:val="•"/>
      <w:numFmt w:val="bullet"/>
      <w:start w:val="1"/>
    </w:lvl>
  </w:abstractNum>
  <w:abstractNum w:abstractNumId="183">
    <w:nsid w:val="2DB88089"/>
    <w:multiLevelType w:val="hybridMultilevel"/>
    <w:lvl w:ilvl="0">
      <w:lvlJc w:val="left"/>
      <w:lvlText w:val="%1"/>
      <w:numFmt w:val="decimal"/>
      <w:start w:val="300"/>
    </w:lvl>
    <w:lvl w:ilvl="1">
      <w:lvlJc w:val="left"/>
      <w:lvlText w:val="•"/>
      <w:numFmt w:val="bullet"/>
      <w:start w:val="1"/>
    </w:lvl>
  </w:abstractNum>
  <w:abstractNum w:abstractNumId="184">
    <w:nsid w:val="706B674E"/>
    <w:multiLevelType w:val="hybridMultilevel"/>
    <w:lvl w:ilvl="0">
      <w:lvlJc w:val="left"/>
      <w:lvlText w:val="%1"/>
      <w:numFmt w:val="decimal"/>
      <w:start w:val="400"/>
    </w:lvl>
    <w:lvl w:ilvl="1">
      <w:lvlJc w:val="left"/>
      <w:lvlText w:val="•"/>
      <w:numFmt w:val="bullet"/>
      <w:start w:val="1"/>
    </w:lvl>
  </w:abstractNum>
  <w:abstractNum w:abstractNumId="185">
    <w:nsid w:val="2C106A57"/>
    <w:multiLevelType w:val="hybridMultilevel"/>
    <w:lvl w:ilvl="0">
      <w:lvlJc w:val="left"/>
      <w:lvlText w:val="%1"/>
      <w:numFmt w:val="decimal"/>
      <w:start w:val="410"/>
    </w:lvl>
    <w:lvl w:ilvl="1">
      <w:lvlJc w:val="left"/>
      <w:lvlText w:val="•"/>
      <w:numFmt w:val="bullet"/>
      <w:start w:val="1"/>
    </w:lvl>
  </w:abstractNum>
  <w:abstractNum w:abstractNumId="186">
    <w:nsid w:val="684EED59"/>
    <w:multiLevelType w:val="hybridMultilevel"/>
    <w:lvl w:ilvl="0">
      <w:lvlJc w:val="left"/>
      <w:lvlText w:val="%1"/>
      <w:numFmt w:val="decimal"/>
      <w:start w:val="500"/>
    </w:lvl>
    <w:lvl w:ilvl="1">
      <w:lvlJc w:val="left"/>
      <w:lvlText w:val="•"/>
      <w:numFmt w:val="bullet"/>
      <w:start w:val="1"/>
    </w:lvl>
  </w:abstractNum>
  <w:abstractNum w:abstractNumId="187">
    <w:nsid w:val="545EE5D3"/>
    <w:multiLevelType w:val="hybridMultilevel"/>
    <w:lvl w:ilvl="0">
      <w:lvlJc w:val="left"/>
      <w:lvlText w:val="%1"/>
      <w:numFmt w:val="decimal"/>
      <w:start w:val="600"/>
    </w:lvl>
    <w:lvl w:ilvl="1">
      <w:lvlJc w:val="left"/>
      <w:lvlText w:val="•"/>
      <w:numFmt w:val="bullet"/>
      <w:start w:val="1"/>
    </w:lvl>
  </w:abstractNum>
  <w:abstractNum w:abstractNumId="188">
    <w:nsid w:val="4A66051"/>
    <w:multiLevelType w:val="hybridMultilevel"/>
    <w:lvl w:ilvl="0">
      <w:lvlJc w:val="left"/>
      <w:lvlText w:val="%1"/>
      <w:numFmt w:val="decimal"/>
      <w:start w:val="700"/>
    </w:lvl>
    <w:lvl w:ilvl="1">
      <w:lvlJc w:val="left"/>
      <w:lvlText w:val="•"/>
      <w:numFmt w:val="bullet"/>
      <w:start w:val="1"/>
    </w:lvl>
  </w:abstractNum>
  <w:abstractNum w:abstractNumId="189">
    <w:nsid w:val="20F4BDAD"/>
    <w:multiLevelType w:val="hybridMultilevel"/>
    <w:lvl w:ilvl="0">
      <w:lvlJc w:val="left"/>
      <w:lvlText w:val="•"/>
      <w:numFmt w:val="bullet"/>
      <w:start w:val="1"/>
    </w:lvl>
  </w:abstractNum>
  <w:abstractNum w:abstractNumId="190">
    <w:nsid w:val="639DEFAC"/>
    <w:multiLevelType w:val="hybridMultilevel"/>
    <w:lvl w:ilvl="0">
      <w:lvlJc w:val="left"/>
      <w:lvlText w:val="%1"/>
      <w:numFmt w:val="decimal"/>
      <w:start w:val="710"/>
    </w:lvl>
    <w:lvl w:ilvl="1">
      <w:lvlJc w:val="left"/>
      <w:lvlText w:val="•"/>
      <w:numFmt w:val="bullet"/>
      <w:start w:val="1"/>
    </w:lvl>
  </w:abstractNum>
  <w:abstractNum w:abstractNumId="191">
    <w:nsid w:val="501F9786"/>
    <w:multiLevelType w:val="hybridMultilevel"/>
    <w:lvl w:ilvl="0">
      <w:lvlJc w:val="left"/>
      <w:lvlText w:val="%1"/>
      <w:numFmt w:val="decimal"/>
      <w:start w:val="810"/>
    </w:lvl>
    <w:lvl w:ilvl="1">
      <w:lvlJc w:val="left"/>
      <w:lvlText w:val="•"/>
      <w:numFmt w:val="bullet"/>
      <w:start w:val="1"/>
    </w:lvl>
  </w:abstractNum>
  <w:abstractNum w:abstractNumId="192">
    <w:nsid w:val="6B057295"/>
    <w:multiLevelType w:val="hybridMultilevel"/>
    <w:lvl w:ilvl="0">
      <w:lvlJc w:val="left"/>
      <w:lvlText w:val="o"/>
      <w:numFmt w:val="bullet"/>
      <w:start w:val="1"/>
    </w:lvl>
  </w:abstractNum>
  <w:abstractNum w:abstractNumId="193">
    <w:nsid w:val="2771AC80"/>
    <w:multiLevelType w:val="hybridMultilevel"/>
    <w:lvl w:ilvl="0">
      <w:lvlJc w:val="left"/>
      <w:lvlText w:val="%1"/>
      <w:numFmt w:val="decimal"/>
      <w:start w:val="820"/>
    </w:lvl>
    <w:lvl w:ilvl="1">
      <w:lvlJc w:val="left"/>
      <w:lvlText w:val="•"/>
      <w:numFmt w:val="bullet"/>
      <w:start w:val="1"/>
    </w:lvl>
  </w:abstractNum>
  <w:abstractNum w:abstractNumId="194">
    <w:nsid w:val="1C4A08EC"/>
    <w:multiLevelType w:val="hybridMultilevel"/>
    <w:lvl w:ilvl="0">
      <w:lvlJc w:val="left"/>
      <w:lvlText w:val="%1"/>
      <w:numFmt w:val="decimal"/>
      <w:start w:val="830"/>
    </w:lvl>
    <w:lvl w:ilvl="1">
      <w:lvlJc w:val="left"/>
      <w:lvlText w:val="•"/>
      <w:numFmt w:val="bullet"/>
      <w:start w:val="1"/>
    </w:lvl>
  </w:abstractNum>
  <w:abstractNum w:abstractNumId="195">
    <w:nsid w:val="1958BD17"/>
    <w:multiLevelType w:val="hybridMultilevel"/>
    <w:lvl w:ilvl="0">
      <w:lvlJc w:val="left"/>
      <w:lvlText w:val="%1"/>
      <w:numFmt w:val="decimal"/>
      <w:start w:val="840"/>
    </w:lvl>
    <w:lvl w:ilvl="1">
      <w:lvlJc w:val="left"/>
      <w:lvlText w:val="•"/>
      <w:numFmt w:val="bullet"/>
      <w:start w:val="1"/>
    </w:lvl>
  </w:abstractNum>
  <w:abstractNum w:abstractNumId="196">
    <w:nsid w:val="4E647FE4"/>
    <w:multiLevelType w:val="hybridMultilevel"/>
    <w:lvl w:ilvl="0">
      <w:lvlJc w:val="left"/>
      <w:lvlText w:val="%1"/>
      <w:numFmt w:val="decimal"/>
      <w:start w:val="910"/>
    </w:lvl>
    <w:lvl w:ilvl="1">
      <w:lvlJc w:val="left"/>
      <w:lvlText w:val="•"/>
      <w:numFmt w:val="bullet"/>
      <w:start w:val="1"/>
    </w:lvl>
  </w:abstractNum>
  <w:abstractNum w:abstractNumId="197">
    <w:nsid w:val="E0BB885"/>
    <w:multiLevelType w:val="hybridMultilevel"/>
    <w:lvl w:ilvl="0">
      <w:lvlJc w:val="left"/>
      <w:lvlText w:val="%1"/>
      <w:numFmt w:val="decimal"/>
      <w:start w:val="920"/>
    </w:lvl>
    <w:lvl w:ilvl="1">
      <w:lvlJc w:val="left"/>
      <w:lvlText w:val="•"/>
      <w:numFmt w:val="bullet"/>
      <w:start w:val="1"/>
    </w:lvl>
    <w:lvl w:ilvl="2">
      <w:lvlJc w:val="left"/>
      <w:lvlText w:val="▪"/>
      <w:numFmt w:val="bullet"/>
      <w:start w:val="1"/>
    </w:lvl>
  </w:abstractNum>
  <w:abstractNum w:abstractNumId="198">
    <w:nsid w:val="565976F1"/>
    <w:multiLevelType w:val="hybridMultilevel"/>
    <w:lvl w:ilvl="0">
      <w:lvlJc w:val="left"/>
      <w:lvlText w:val="•"/>
      <w:numFmt w:val="bullet"/>
      <w:start w:val="1"/>
    </w:lvl>
  </w:abstractNum>
  <w:abstractNum w:abstractNumId="199">
    <w:nsid w:val="64212B8C"/>
    <w:multiLevelType w:val="hybridMultilevel"/>
    <w:lvl w:ilvl="0">
      <w:lvlJc w:val="left"/>
      <w:lvlText w:val="•"/>
      <w:numFmt w:val="bullet"/>
      <w:start w:val="1"/>
    </w:lvl>
  </w:abstractNum>
  <w:abstractNum w:abstractNumId="200">
    <w:nsid w:val="5C17530C"/>
    <w:multiLevelType w:val="hybridMultilevel"/>
    <w:lvl w:ilvl="0">
      <w:lvlJc w:val="left"/>
      <w:lvlText w:val="•"/>
      <w:numFmt w:val="bullet"/>
      <w:start w:val="1"/>
    </w:lvl>
  </w:abstractNum>
  <w:abstractNum w:abstractNumId="201">
    <w:nsid w:val="19A52566"/>
    <w:multiLevelType w:val="hybridMultilevel"/>
    <w:lvl w:ilvl="0">
      <w:lvlJc w:val="left"/>
      <w:lvlText w:val="•"/>
      <w:numFmt w:val="bullet"/>
      <w:start w:val="1"/>
    </w:lvl>
  </w:abstractNum>
  <w:abstractNum w:abstractNumId="202">
    <w:nsid w:val="335A1DF1"/>
    <w:multiLevelType w:val="hybridMultilevel"/>
    <w:lvl w:ilvl="0">
      <w:lvlJc w:val="left"/>
      <w:lvlText w:val="•"/>
      <w:numFmt w:val="bullet"/>
      <w:start w:val="1"/>
    </w:lvl>
  </w:abstractNum>
  <w:abstractNum w:abstractNumId="203">
    <w:nsid w:val="28677B7C"/>
    <w:multiLevelType w:val="hybridMultilevel"/>
    <w:lvl w:ilvl="0">
      <w:lvlJc w:val="left"/>
      <w:lvlText w:val="•"/>
      <w:numFmt w:val="bullet"/>
      <w:start w:val="1"/>
    </w:lvl>
  </w:abstractNum>
  <w:abstractNum w:abstractNumId="204">
    <w:nsid w:val="378D97C0"/>
    <w:multiLevelType w:val="hybridMultilevel"/>
    <w:lvl w:ilvl="0">
      <w:lvlJc w:val="left"/>
      <w:lvlText w:val="•"/>
      <w:numFmt w:val="bullet"/>
      <w:start w:val="1"/>
    </w:lvl>
  </w:abstractNum>
  <w:abstractNum w:abstractNumId="205">
    <w:nsid w:val="1D91467C"/>
    <w:multiLevelType w:val="hybridMultilevel"/>
    <w:lvl w:ilvl="0">
      <w:lvlJc w:val="left"/>
      <w:lvlText w:val="•"/>
      <w:numFmt w:val="bullet"/>
      <w:start w:val="1"/>
    </w:lvl>
  </w:abstractNum>
  <w:abstractNum w:abstractNumId="206">
    <w:nsid w:val="316032BB"/>
    <w:multiLevelType w:val="hybridMultilevel"/>
    <w:lvl w:ilvl="0">
      <w:lvlJc w:val="left"/>
      <w:lvlText w:val="•"/>
      <w:numFmt w:val="bullet"/>
      <w:start w:val="1"/>
    </w:lvl>
    <w:lvl w:ilvl="1">
      <w:lvlJc w:val="left"/>
      <w:lvlText w:val="▪"/>
      <w:numFmt w:val="bullet"/>
      <w:start w:val="1"/>
    </w:lvl>
  </w:abstractNum>
  <w:abstractNum w:abstractNumId="207">
    <w:nsid w:val="44344C22"/>
    <w:multiLevelType w:val="hybridMultilevel"/>
    <w:lvl w:ilvl="0">
      <w:lvlJc w:val="left"/>
      <w:lvlText w:val="•"/>
      <w:numFmt w:val="bullet"/>
      <w:start w:val="1"/>
    </w:lvl>
    <w:lvl w:ilvl="1">
      <w:lvlJc w:val="left"/>
      <w:lvlText w:val="▪"/>
      <w:numFmt w:val="bullet"/>
      <w:start w:val="1"/>
    </w:lvl>
  </w:abstractNum>
  <w:abstractNum w:abstractNumId="208">
    <w:nsid w:val="13CDFCFC"/>
    <w:multiLevelType w:val="hybridMultilevel"/>
    <w:lvl w:ilvl="0">
      <w:lvlJc w:val="left"/>
      <w:lvlText w:val="(%1)"/>
      <w:numFmt w:val="lowerLetter"/>
      <w:start w:val="1"/>
    </w:lvl>
    <w:lvl w:ilvl="1">
      <w:lvlJc w:val="left"/>
      <w:lvlText w:val="(%2)"/>
      <w:numFmt w:val="lowerRoman"/>
      <w:start w:val="1"/>
    </w:lvl>
  </w:abstractNum>
  <w:abstractNum w:abstractNumId="209">
    <w:nsid w:val="471745E4"/>
    <w:multiLevelType w:val="hybridMultilevel"/>
    <w:lvl w:ilvl="0">
      <w:lvlJc w:val="left"/>
      <w:lvlText w:val="(%1)"/>
      <w:numFmt w:val="lowerLetter"/>
      <w:start w:val="4"/>
    </w:lvl>
  </w:abstractNum>
  <w:abstractNum w:abstractNumId="210">
    <w:nsid w:val="1DDBC66"/>
    <w:multiLevelType w:val="hybridMultilevel"/>
    <w:lvl w:ilvl="0">
      <w:lvlJc w:val="left"/>
      <w:lvlText w:val="(%1)"/>
      <w:numFmt w:val="lowerLetter"/>
      <w:start w:val="1"/>
    </w:lvl>
    <w:lvl w:ilvl="1">
      <w:lvlJc w:val="left"/>
      <w:lvlText w:val="(%2)"/>
      <w:numFmt w:val="lowerRoman"/>
      <w:start w:val="1"/>
    </w:lvl>
  </w:abstractNum>
  <w:abstractNum w:abstractNumId="211">
    <w:nsid w:val="30AADFDA"/>
    <w:multiLevelType w:val="hybridMultilevel"/>
    <w:lvl w:ilvl="0">
      <w:lvlJc w:val="left"/>
      <w:lvlText w:val="(%1)"/>
      <w:numFmt w:val="lowerLetter"/>
      <w:start w:val="3"/>
    </w:lvl>
  </w:abstractNum>
  <w:abstractNum w:abstractNumId="212">
    <w:nsid w:val="30EADA61"/>
    <w:multiLevelType w:val="hybridMultilevel"/>
    <w:lvl w:ilvl="0">
      <w:lvlJc w:val="left"/>
      <w:lvlText w:val="(%1)"/>
      <w:numFmt w:val="lowerLetter"/>
      <w:start w:val="1"/>
    </w:lvl>
    <w:lvl w:ilvl="1">
      <w:lvlJc w:val="left"/>
      <w:lvlText w:val="(%2)"/>
      <w:numFmt w:val="lowerLetter"/>
      <w:start w:val="9"/>
    </w:lvl>
  </w:abstractNum>
  <w:abstractNum w:abstractNumId="213">
    <w:nsid w:val="27179C0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214">
    <w:nsid w:val="5E636063"/>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215">
    <w:nsid w:val="215641AF"/>
    <w:multiLevelType w:val="hybridMultilevel"/>
    <w:lvl w:ilvl="0">
      <w:lvlJc w:val="left"/>
      <w:lvlText w:val="(%1)"/>
      <w:numFmt w:val="lowerLetter"/>
      <w:start w:val="1"/>
    </w:lvl>
    <w:lvl w:ilvl="1">
      <w:lvlJc w:val="left"/>
      <w:lvlText w:val="(%2)"/>
      <w:numFmt w:val="lowerRoman"/>
      <w:start w:val="1"/>
    </w:lvl>
  </w:abstractNum>
  <w:abstractNum w:abstractNumId="216">
    <w:nsid w:val="53280662"/>
    <w:multiLevelType w:val="hybridMultilevel"/>
    <w:lvl w:ilvl="0">
      <w:lvlJc w:val="left"/>
      <w:lvlText w:val="%1"/>
      <w:numFmt w:val="lowerLetter"/>
      <w:start w:val="1"/>
    </w:lvl>
    <w:lvl w:ilvl="1">
      <w:lvlJc w:val="left"/>
      <w:lvlText w:val="(%2)"/>
      <w:numFmt w:val="lowerRoman"/>
      <w:start w:val="1"/>
    </w:lvl>
  </w:abstractNum>
  <w:abstractNum w:abstractNumId="217">
    <w:nsid w:val="46B24DBC"/>
    <w:multiLevelType w:val="hybridMultilevel"/>
    <w:lvl w:ilvl="0">
      <w:lvlJc w:val="left"/>
      <w:lvlText w:val="(%1)"/>
      <w:numFmt w:val="lowerLetter"/>
      <w:start w:val="3"/>
    </w:lvl>
    <w:lvl w:ilvl="1">
      <w:lvlJc w:val="left"/>
      <w:lvlText w:val="%2"/>
      <w:numFmt w:val="lowerRoman"/>
      <w:start w:val="1"/>
    </w:lvl>
  </w:abstractNum>
  <w:abstractNum w:abstractNumId="218">
    <w:nsid w:val="75B52783"/>
    <w:multiLevelType w:val="hybridMultilevel"/>
    <w:lvl w:ilvl="0">
      <w:lvlJc w:val="left"/>
      <w:lvlText w:val="(%1)"/>
      <w:numFmt w:val="lowerLetter"/>
      <w:start w:val="4"/>
    </w:lvl>
  </w:abstractNum>
  <w:abstractNum w:abstractNumId="219">
    <w:nsid w:val="57CE66B4"/>
    <w:multiLevelType w:val="hybridMultilevel"/>
    <w:lvl w:ilvl="0">
      <w:lvlJc w:val="left"/>
      <w:lvlText w:val="%1."/>
      <w:numFmt w:val="decimal"/>
      <w:start w:val="10"/>
    </w:lvl>
  </w:abstractNum>
  <w:abstractNum w:abstractNumId="220">
    <w:nsid w:val="67A70B69"/>
    <w:multiLevelType w:val="hybridMultilevel"/>
    <w:lvl w:ilvl="0">
      <w:lvlJc w:val="left"/>
      <w:lvlText w:val="%1."/>
      <w:numFmt w:val="decimal"/>
      <w:start w:val="11"/>
    </w:lvl>
  </w:abstractNum>
  <w:abstractNum w:abstractNumId="221">
    <w:nsid w:val="5953172F"/>
    <w:multiLevelType w:val="hybridMultilevel"/>
    <w:lvl w:ilvl="0">
      <w:lvlJc w:val="left"/>
      <w:lvlText w:val="%1."/>
      <w:numFmt w:val="decimal"/>
      <w:start w:val="12"/>
    </w:lvl>
  </w:abstractNum>
  <w:abstractNum w:abstractNumId="222">
    <w:nsid w:val="27EDFE3A"/>
    <w:multiLevelType w:val="hybridMultilevel"/>
    <w:lvl w:ilvl="0">
      <w:lvlJc w:val="left"/>
      <w:lvlText w:val="%1."/>
      <w:numFmt w:val="decimal"/>
      <w:start w:val="13"/>
    </w:lvl>
  </w:abstractNum>
  <w:abstractNum w:abstractNumId="223">
    <w:nsid w:val="52AC7DFF"/>
    <w:multiLevelType w:val="hybridMultilevel"/>
    <w:lvl w:ilvl="0">
      <w:lvlJc w:val="left"/>
      <w:lvlText w:val="%1."/>
      <w:numFmt w:val="decimal"/>
      <w:start w:val="14"/>
    </w:lvl>
  </w:abstractNum>
  <w:abstractNum w:abstractNumId="224">
    <w:nsid w:val="C4C3AF"/>
    <w:multiLevelType w:val="hybridMultilevel"/>
    <w:lvl w:ilvl="0">
      <w:lvlJc w:val="left"/>
      <w:lvlText w:val="%1."/>
      <w:numFmt w:val="decimal"/>
      <w:start w:val="15"/>
    </w:lvl>
  </w:abstractNum>
  <w:abstractNum w:abstractNumId="225">
    <w:nsid w:val="44380727"/>
    <w:multiLevelType w:val="hybridMultilevel"/>
    <w:lvl w:ilvl="0">
      <w:lvlJc w:val="left"/>
      <w:lvlText w:val="%1."/>
      <w:numFmt w:val="decimal"/>
      <w:start w:val="1"/>
    </w:lvl>
  </w:abstractNum>
  <w:abstractNum w:abstractNumId="226">
    <w:nsid w:val="6C053B16"/>
    <w:multiLevelType w:val="hybridMultilevel"/>
    <w:lvl w:ilvl="0">
      <w:lvlJc w:val="left"/>
      <w:lvlText w:val="%1."/>
      <w:numFmt w:val="decimal"/>
      <w:start w:val="20"/>
    </w:lvl>
  </w:abstractNum>
  <w:abstractNum w:abstractNumId="227">
    <w:nsid w:val="4F294393"/>
    <w:multiLevelType w:val="hybridMultilevel"/>
    <w:lvl w:ilvl="0">
      <w:lvlJc w:val="left"/>
      <w:lvlText w:val="%1."/>
      <w:numFmt w:val="decimal"/>
      <w:start w:val="38"/>
    </w:lvl>
  </w:abstractNum>
  <w:abstractNum w:abstractNumId="228">
    <w:nsid w:val="5243BFAC"/>
    <w:multiLevelType w:val="hybridMultilevel"/>
    <w:lvl w:ilvl="0">
      <w:lvlJc w:val="left"/>
      <w:lvlText w:val="%1."/>
      <w:numFmt w:val="decimal"/>
      <w:start w:val="64"/>
    </w:lvl>
  </w:abstractNum>
  <w:abstractNum w:abstractNumId="229">
    <w:nsid w:val="425EB207"/>
    <w:multiLevelType w:val="hybridMultilevel"/>
    <w:lvl w:ilvl="0">
      <w:lvlJc w:val="left"/>
      <w:lvlText w:val="%1."/>
      <w:numFmt w:val="decimal"/>
      <w:start w:val="1"/>
    </w:lvl>
  </w:abstractNum>
  <w:abstractNum w:abstractNumId="230">
    <w:nsid w:val="334A6F1F"/>
    <w:multiLevelType w:val="hybridMultilevel"/>
    <w:lvl w:ilvl="0">
      <w:lvlJc w:val="left"/>
      <w:lvlText w:val="%1."/>
      <w:numFmt w:val="decimal"/>
      <w:start w:val="13"/>
    </w:lvl>
  </w:abstractNum>
  <w:abstractNum w:abstractNumId="231">
    <w:nsid w:val="2E5B12B8"/>
    <w:multiLevelType w:val="hybridMultilevel"/>
    <w:lvl w:ilvl="0">
      <w:lvlJc w:val="left"/>
      <w:lvlText w:val="%1."/>
      <w:numFmt w:val="decimal"/>
      <w:start w:val="33"/>
    </w:lvl>
  </w:abstractNum>
  <w:abstractNum w:abstractNumId="232">
    <w:nsid w:val="5C03D76D"/>
    <w:multiLevelType w:val="hybridMultilevel"/>
    <w:lvl w:ilvl="0">
      <w:lvlJc w:val="left"/>
      <w:lvlText w:val="%1."/>
      <w:numFmt w:val="decimal"/>
      <w:start w:val="47"/>
    </w:lvl>
  </w:abstractNum>
  <w:abstractNum w:abstractNumId="233">
    <w:nsid w:val="66A48D11"/>
    <w:multiLevelType w:val="hybridMultilevel"/>
    <w:lvl w:ilvl="0">
      <w:lvlJc w:val="left"/>
      <w:lvlText w:val="%1."/>
      <w:numFmt w:val="decimal"/>
      <w:start w:val="1"/>
    </w:lvl>
    <w:lvl w:ilvl="1">
      <w:lvlJc w:val="left"/>
      <w:lvlText w:val="%2."/>
      <w:numFmt w:val="lowerLetter"/>
      <w:start w:val="1"/>
    </w:lvl>
  </w:abstractNum>
  <w:abstractNum w:abstractNumId="234">
    <w:nsid w:val="56C28E34"/>
    <w:multiLevelType w:val="hybridMultilevel"/>
    <w:lvl w:ilvl="0">
      <w:lvlJc w:val="left"/>
      <w:lvlText w:val="%1."/>
      <w:numFmt w:val="decimal"/>
      <w:start w:val="4"/>
    </w:lvl>
  </w:abstractNum>
  <w:abstractNum w:abstractNumId="235">
    <w:nsid w:val="13916F2D"/>
    <w:multiLevelType w:val="hybridMultilevel"/>
    <w:lvl w:ilvl="0">
      <w:lvlJc w:val="left"/>
      <w:lvlText w:val="(%1)"/>
      <w:numFmt w:val="decimal"/>
      <w:start w:val="1"/>
    </w:lvl>
  </w:abstractNum>
  <w:abstractNum w:abstractNumId="236">
    <w:nsid w:val="435D38D"/>
    <w:multiLevelType w:val="hybridMultilevel"/>
    <w:lvl w:ilvl="0">
      <w:lvlJc w:val="left"/>
      <w:lvlText w:val="%1)"/>
      <w:numFmt w:val="upperLetter"/>
      <w:start w:val="11"/>
    </w:lvl>
  </w:abstractNum>
  <w:abstractNum w:abstractNumId="237">
    <w:nsid w:val="822C0EF"/>
    <w:multiLevelType w:val="hybridMultilevel"/>
    <w:lvl w:ilvl="0">
      <w:lvlJc w:val="left"/>
      <w:lvlText w:val="%1."/>
      <w:numFmt w:val="decimal"/>
      <w:start w:val="1"/>
    </w:lvl>
    <w:lvl w:ilvl="1">
      <w:lvlJc w:val="left"/>
      <w:lvlText w:val="(%2)"/>
      <w:numFmt w:val="lowerLetter"/>
      <w:start w:val="1"/>
    </w:lvl>
  </w:abstractNum>
  <w:abstractNum w:abstractNumId="238">
    <w:nsid w:val="57C5BB4F"/>
    <w:multiLevelType w:val="hybridMultilevel"/>
    <w:lvl w:ilvl="0">
      <w:lvlJc w:val="left"/>
      <w:lvlText w:val="%1."/>
      <w:numFmt w:val="decimal"/>
      <w:start w:val="1"/>
    </w:lvl>
    <w:lvl w:ilvl="1">
      <w:lvlJc w:val="left"/>
      <w:lvlText w:val="(%2)"/>
      <w:numFmt w:val="lowerLetter"/>
      <w:start w:val="1"/>
    </w:lvl>
  </w:abstractNum>
  <w:abstractNum w:abstractNumId="239">
    <w:nsid w:val="1803D089"/>
    <w:multiLevelType w:val="hybridMultilevel"/>
    <w:lvl w:ilvl="0">
      <w:lvlJc w:val="left"/>
      <w:lvlText w:val="%1."/>
      <w:numFmt w:val="decimal"/>
      <w:start w:val="1"/>
    </w:lvl>
  </w:abstractNum>
  <w:abstractNum w:abstractNumId="240">
    <w:nsid w:val="4F3A06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7"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jpeg"/><Relationship Id="rId256" Type="http://schemas.openxmlformats.org/officeDocument/2006/relationships/image" Target="media/image237.jpe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jpe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jpe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jpe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jpeg"/><Relationship Id="rId331" Type="http://schemas.openxmlformats.org/officeDocument/2006/relationships/image" Target="media/image312.png"/><Relationship Id="rId332" Type="http://schemas.openxmlformats.org/officeDocument/2006/relationships/image" Target="media/image313.jpeg"/><Relationship Id="rId333" Type="http://schemas.openxmlformats.org/officeDocument/2006/relationships/image" Target="media/image314.png"/><Relationship Id="rId334" Type="http://schemas.openxmlformats.org/officeDocument/2006/relationships/image" Target="media/image315.jpeg"/><Relationship Id="rId335" Type="http://schemas.openxmlformats.org/officeDocument/2006/relationships/image" Target="media/image316.png"/><Relationship Id="rId336" Type="http://schemas.openxmlformats.org/officeDocument/2006/relationships/image" Target="media/image317.jpeg"/><Relationship Id="rId337" Type="http://schemas.openxmlformats.org/officeDocument/2006/relationships/image" Target="media/image318.png"/><Relationship Id="rId338" Type="http://schemas.openxmlformats.org/officeDocument/2006/relationships/image" Target="media/image319.jpeg"/><Relationship Id="rId339" Type="http://schemas.openxmlformats.org/officeDocument/2006/relationships/image" Target="media/image320.png"/><Relationship Id="rId340" Type="http://schemas.openxmlformats.org/officeDocument/2006/relationships/image" Target="media/image321.jpeg"/><Relationship Id="rId341" Type="http://schemas.openxmlformats.org/officeDocument/2006/relationships/image" Target="media/image322.png"/><Relationship Id="rId342" Type="http://schemas.openxmlformats.org/officeDocument/2006/relationships/image" Target="media/image323.jpe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146" Type="http://schemas.openxmlformats.org/officeDocument/2006/relationships/hyperlink" Target="http://www.sec.gov/Archives/edgar/data/0001678660/000156459020052747/prld-ex31_234.htm" TargetMode="External"/><Relationship Id="rId147" Type="http://schemas.openxmlformats.org/officeDocument/2006/relationships/hyperlink" Target="http://www.sec.gov/Archives/edgar/data/0001678660/000156459020052747/prld-ex32_235.htm" TargetMode="External"/><Relationship Id="rId148" Type="http://schemas.openxmlformats.org/officeDocument/2006/relationships/hyperlink" Target="http://www.sec.gov/Archives/edgar/data/0001678660/000119312520246920/d935180dex41.htm" TargetMode="External"/><Relationship Id="rId149" Type="http://schemas.openxmlformats.org/officeDocument/2006/relationships/hyperlink" Target="http://www.sec.gov/Archives/edgar/data/0001678660/000119312520240138/d935180dex42.htm" TargetMode="External"/><Relationship Id="rId150" Type="http://schemas.openxmlformats.org/officeDocument/2006/relationships/hyperlink" Target="http://www.sec.gov/Archives/edgar/data/0001678660/000119312521000946/d85697dex43.htm" TargetMode="External"/><Relationship Id="rId151" Type="http://schemas.openxmlformats.org/officeDocument/2006/relationships/hyperlink" Target="http://www.sec.gov/Archives/edgar/data/0001678660/000119312520240138/d935180dex101.htm" TargetMode="External"/><Relationship Id="rId152" Type="http://schemas.openxmlformats.org/officeDocument/2006/relationships/hyperlink" Target="http://www.sec.gov/Archives/edgar/data/0001678660/000119312520240138/d935180dex102.htm" TargetMode="External"/><Relationship Id="rId153" Type="http://schemas.openxmlformats.org/officeDocument/2006/relationships/hyperlink" Target="http://www.sec.gov/Archives/edgar/data/0001678660/000119312520249549/d935180dex103.htm" TargetMode="External"/><Relationship Id="rId154" Type="http://schemas.openxmlformats.org/officeDocument/2006/relationships/hyperlink" Target="http://www.sec.gov/Archives/edgar/data/0001678660/000119312520249549/d935180dex104.htm" TargetMode="External"/><Relationship Id="rId155" Type="http://schemas.openxmlformats.org/officeDocument/2006/relationships/hyperlink" Target="http://www.sec.gov/Archives/edgar/data/0001678660/000119312520285568/d88737dex101.htm" TargetMode="External"/><Relationship Id="rId156" Type="http://schemas.openxmlformats.org/officeDocument/2006/relationships/hyperlink" Target="http://www.sec.gov/Archives/edgar/data/0001678660/000119312521000946/d85697dex106.htm" TargetMode="External"/><Relationship Id="rId158" Type="http://schemas.openxmlformats.org/officeDocument/2006/relationships/hyperlink" Target="http://www.sec.gov/Archives/edgar/data/0001678660/000119312520240138/d935180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2022-03-17T07:16:17Z</dcterms:created>
  <dcterms:modified xsi:type="dcterms:W3CDTF">2022-03-17T07:16:17Z</dcterms:modified>
</cp:coreProperties>
</file>