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197485</wp:posOffset>
            </wp:positionH>
            <wp:positionV relativeFrom="page">
              <wp:posOffset>312420</wp:posOffset>
            </wp:positionV>
            <wp:extent cx="7153910" cy="285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910" cy="28575"/>
                    </a:xfrm>
                    <a:prstGeom prst="rect">
                      <a:avLst/>
                    </a:prstGeom>
                    <a:noFill/>
                  </pic:spPr>
                </pic:pic>
              </a:graphicData>
            </a:graphic>
          </wp:anchor>
        </w:drawing>
        <w:drawing>
          <wp:anchor simplePos="0" relativeHeight="251657728" behindDoc="1" locked="0" layoutInCell="0" allowOverlap="1">
            <wp:simplePos x="0" y="0"/>
            <wp:positionH relativeFrom="page">
              <wp:posOffset>197485</wp:posOffset>
            </wp:positionH>
            <wp:positionV relativeFrom="page">
              <wp:posOffset>413385</wp:posOffset>
            </wp:positionV>
            <wp:extent cx="715391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3910" cy="6985"/>
                    </a:xfrm>
                    <a:prstGeom prst="rect">
                      <a:avLst/>
                    </a:prstGeom>
                    <a:noFill/>
                  </pic:spPr>
                </pic:pic>
              </a:graphicData>
            </a:graphic>
          </wp:anchor>
        </w:drawing>
        <w:t>UNITED STATES</w:t>
      </w:r>
    </w:p>
    <w:p>
      <w:pPr>
        <w:spacing w:after="0" w:line="36" w:lineRule="exact"/>
        <w:rPr>
          <w:sz w:val="24"/>
          <w:szCs w:val="24"/>
          <w:color w:val="auto"/>
        </w:rPr>
      </w:pPr>
    </w:p>
    <w:p>
      <w:pPr>
        <w:jc w:val="center"/>
        <w:ind w:right="-8"/>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1" w:lineRule="exact"/>
        <w:rPr>
          <w:sz w:val="24"/>
          <w:szCs w:val="24"/>
          <w:color w:val="auto"/>
        </w:rPr>
      </w:pPr>
    </w:p>
    <w:p>
      <w:pPr>
        <w:jc w:val="center"/>
        <w:ind w:right="-8"/>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33" w:lineRule="exact"/>
        <w:rPr>
          <w:sz w:val="24"/>
          <w:szCs w:val="24"/>
          <w:color w:val="auto"/>
        </w:rPr>
      </w:pPr>
    </w:p>
    <w:p>
      <w:pPr>
        <w:jc w:val="center"/>
        <w:ind w:right="-8"/>
        <w:spacing w:after="0"/>
        <w:rPr>
          <w:sz w:val="20"/>
          <w:szCs w:val="20"/>
          <w:color w:val="auto"/>
        </w:rPr>
      </w:pPr>
      <w:r>
        <w:rPr>
          <w:rFonts w:ascii="Times New Roman" w:cs="Times New Roman" w:eastAsia="Times New Roman" w:hAnsi="Times New Roman"/>
          <w:sz w:val="27"/>
          <w:szCs w:val="27"/>
          <w:b w:val="1"/>
          <w:bCs w:val="1"/>
          <w:color w:val="auto"/>
        </w:rPr>
        <w:t>FORM 8-K</w:t>
      </w:r>
    </w:p>
    <w:p>
      <w:pPr>
        <w:spacing w:after="0" w:line="222" w:lineRule="exact"/>
        <w:rPr>
          <w:sz w:val="24"/>
          <w:szCs w:val="24"/>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CURRENT REPORT</w:t>
      </w:r>
    </w:p>
    <w:p>
      <w:pPr>
        <w:spacing w:after="0" w:line="28" w:lineRule="exact"/>
        <w:rPr>
          <w:sz w:val="24"/>
          <w:szCs w:val="24"/>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PURSUANT TO SECTION 13 OR 15(d)</w:t>
      </w:r>
    </w:p>
    <w:p>
      <w:pPr>
        <w:spacing w:after="0" w:line="9" w:lineRule="exact"/>
        <w:rPr>
          <w:sz w:val="24"/>
          <w:szCs w:val="24"/>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OF THE SECURITIES EXCHANGE ACT OF 1934</w:t>
      </w:r>
    </w:p>
    <w:p>
      <w:pPr>
        <w:spacing w:after="0" w:line="172" w:lineRule="exact"/>
        <w:rPr>
          <w:sz w:val="24"/>
          <w:szCs w:val="24"/>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Date of Report (Date of earliest event reported): November 3, 2025</w:t>
      </w:r>
    </w:p>
    <w:p>
      <w:pPr>
        <w:spacing w:after="0" w:line="190" w:lineRule="exact"/>
        <w:rPr>
          <w:sz w:val="24"/>
          <w:szCs w:val="24"/>
          <w:color w:val="auto"/>
        </w:rPr>
      </w:pPr>
    </w:p>
    <w:p>
      <w:pPr>
        <w:jc w:val="center"/>
        <w:ind w:right="-8"/>
        <w:spacing w:after="0"/>
        <w:rPr>
          <w:sz w:val="20"/>
          <w:szCs w:val="20"/>
          <w:color w:val="auto"/>
        </w:rPr>
      </w:pPr>
      <w:r>
        <w:rPr>
          <w:rFonts w:ascii="Times New Roman" w:cs="Times New Roman" w:eastAsia="Times New Roman" w:hAnsi="Times New Roman"/>
          <w:sz w:val="36"/>
          <w:szCs w:val="36"/>
          <w:b w:val="1"/>
          <w:bCs w:val="1"/>
          <w:color w:val="auto"/>
        </w:rPr>
        <w:t>Prelude Therapeutics Incorporated</w:t>
      </w:r>
    </w:p>
    <w:p>
      <w:pPr>
        <w:spacing w:after="0" w:line="50" w:lineRule="exact"/>
        <w:rPr>
          <w:sz w:val="24"/>
          <w:szCs w:val="24"/>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p>
      <w:pPr>
        <w:spacing w:after="0" w:line="353" w:lineRule="exact"/>
        <w:rPr>
          <w:sz w:val="24"/>
          <w:szCs w:val="24"/>
          <w:color w:val="auto"/>
        </w:rPr>
      </w:pPr>
    </w:p>
    <w:tbl>
      <w:tblPr>
        <w:tblLayout w:type="fixed"/>
        <w:tblInd w:w="9" w:type="dxa"/>
        <w:tblCellMar>
          <w:top w:w="0" w:type="dxa"/>
          <w:left w:w="0" w:type="dxa"/>
          <w:bottom w:w="0" w:type="dxa"/>
          <w:right w:w="0" w:type="dxa"/>
        </w:tblCellMar>
      </w:tblPr>
      <w:tr>
        <w:trPr>
          <w:trHeight w:val="203"/>
        </w:trPr>
        <w:tc>
          <w:tcPr>
            <w:tcW w:w="3940" w:type="dxa"/>
            <w:vAlign w:val="bottom"/>
            <w:gridSpan w:val="2"/>
          </w:tcPr>
          <w:p>
            <w:pPr>
              <w:jc w:val="center"/>
              <w:ind w:right="580"/>
              <w:spacing w:after="0"/>
              <w:rPr>
                <w:sz w:val="20"/>
                <w:szCs w:val="20"/>
                <w:color w:val="auto"/>
              </w:rPr>
            </w:pPr>
            <w:r>
              <w:rPr>
                <w:rFonts w:ascii="Times New Roman" w:cs="Times New Roman" w:eastAsia="Times New Roman" w:hAnsi="Times New Roman"/>
                <w:sz w:val="15"/>
                <w:szCs w:val="15"/>
                <w:b w:val="1"/>
                <w:bCs w:val="1"/>
                <w:color w:val="auto"/>
                <w:w w:val="98"/>
              </w:rPr>
              <w:t>Delaware</w:t>
            </w:r>
          </w:p>
        </w:tc>
        <w:tc>
          <w:tcPr>
            <w:tcW w:w="3380" w:type="dxa"/>
            <w:vAlign w:val="bottom"/>
            <w:gridSpan w:val="3"/>
          </w:tcPr>
          <w:p>
            <w:pPr>
              <w:jc w:val="center"/>
              <w:spacing w:after="0"/>
              <w:rPr>
                <w:sz w:val="20"/>
                <w:szCs w:val="20"/>
                <w:color w:val="auto"/>
              </w:rPr>
            </w:pPr>
            <w:r>
              <w:rPr>
                <w:rFonts w:ascii="Times New Roman" w:cs="Times New Roman" w:eastAsia="Times New Roman" w:hAnsi="Times New Roman"/>
                <w:sz w:val="15"/>
                <w:szCs w:val="15"/>
                <w:b w:val="1"/>
                <w:bCs w:val="1"/>
                <w:color w:val="auto"/>
              </w:rPr>
              <w:t>001-39527</w:t>
            </w:r>
          </w:p>
        </w:tc>
        <w:tc>
          <w:tcPr>
            <w:tcW w:w="3940" w:type="dxa"/>
            <w:vAlign w:val="bottom"/>
            <w:gridSpan w:val="2"/>
          </w:tcPr>
          <w:p>
            <w:pPr>
              <w:jc w:val="center"/>
              <w:ind w:left="484"/>
              <w:spacing w:after="0"/>
              <w:rPr>
                <w:sz w:val="20"/>
                <w:szCs w:val="20"/>
                <w:color w:val="auto"/>
              </w:rPr>
            </w:pPr>
            <w:r>
              <w:rPr>
                <w:rFonts w:ascii="Times New Roman" w:cs="Times New Roman" w:eastAsia="Times New Roman" w:hAnsi="Times New Roman"/>
                <w:sz w:val="15"/>
                <w:szCs w:val="15"/>
                <w:b w:val="1"/>
                <w:bCs w:val="1"/>
                <w:color w:val="auto"/>
              </w:rPr>
              <w:t>81-1384762</w:t>
            </w:r>
          </w:p>
        </w:tc>
      </w:tr>
      <w:tr>
        <w:trPr>
          <w:trHeight w:val="167"/>
        </w:trPr>
        <w:tc>
          <w:tcPr>
            <w:tcW w:w="3380" w:type="dxa"/>
            <w:vAlign w:val="bottom"/>
            <w:tcBorders>
              <w:top w:val="single" w:sz="8" w:color="auto"/>
            </w:tcBorders>
          </w:tcPr>
          <w:p>
            <w:pPr>
              <w:jc w:val="center"/>
              <w:spacing w:after="0" w:line="167" w:lineRule="exact"/>
              <w:rPr>
                <w:sz w:val="20"/>
                <w:szCs w:val="20"/>
                <w:color w:val="auto"/>
              </w:rPr>
            </w:pPr>
            <w:r>
              <w:rPr>
                <w:rFonts w:ascii="Times New Roman" w:cs="Times New Roman" w:eastAsia="Times New Roman" w:hAnsi="Times New Roman"/>
                <w:sz w:val="15"/>
                <w:szCs w:val="15"/>
                <w:color w:val="auto"/>
              </w:rPr>
              <w:t>(State or other jurisdiction</w:t>
            </w:r>
          </w:p>
        </w:tc>
        <w:tc>
          <w:tcPr>
            <w:tcW w:w="560" w:type="dxa"/>
            <w:vAlign w:val="bottom"/>
          </w:tcPr>
          <w:p>
            <w:pPr>
              <w:spacing w:after="0"/>
              <w:rPr>
                <w:sz w:val="14"/>
                <w:szCs w:val="14"/>
                <w:color w:val="auto"/>
              </w:rPr>
            </w:pPr>
          </w:p>
        </w:tc>
        <w:tc>
          <w:tcPr>
            <w:tcW w:w="3380" w:type="dxa"/>
            <w:vAlign w:val="bottom"/>
            <w:tcBorders>
              <w:top w:val="single" w:sz="8" w:color="auto"/>
            </w:tcBorders>
            <w:gridSpan w:val="3"/>
          </w:tcPr>
          <w:p>
            <w:pPr>
              <w:jc w:val="center"/>
              <w:ind w:right="40"/>
              <w:spacing w:after="0" w:line="167" w:lineRule="exact"/>
              <w:rPr>
                <w:sz w:val="20"/>
                <w:szCs w:val="20"/>
                <w:color w:val="auto"/>
              </w:rPr>
            </w:pPr>
            <w:r>
              <w:rPr>
                <w:rFonts w:ascii="Times New Roman" w:cs="Times New Roman" w:eastAsia="Times New Roman" w:hAnsi="Times New Roman"/>
                <w:sz w:val="15"/>
                <w:szCs w:val="15"/>
                <w:color w:val="auto"/>
              </w:rPr>
              <w:t>(Commission</w:t>
            </w:r>
          </w:p>
        </w:tc>
        <w:tc>
          <w:tcPr>
            <w:tcW w:w="560" w:type="dxa"/>
            <w:vAlign w:val="bottom"/>
          </w:tcPr>
          <w:p>
            <w:pPr>
              <w:spacing w:after="0"/>
              <w:rPr>
                <w:sz w:val="14"/>
                <w:szCs w:val="14"/>
                <w:color w:val="auto"/>
              </w:rPr>
            </w:pPr>
          </w:p>
        </w:tc>
        <w:tc>
          <w:tcPr>
            <w:tcW w:w="3380" w:type="dxa"/>
            <w:vAlign w:val="bottom"/>
            <w:tcBorders>
              <w:top w:val="single" w:sz="8" w:color="auto"/>
            </w:tcBorders>
          </w:tcPr>
          <w:p>
            <w:pPr>
              <w:jc w:val="center"/>
              <w:spacing w:after="0" w:line="167" w:lineRule="exact"/>
              <w:rPr>
                <w:sz w:val="20"/>
                <w:szCs w:val="20"/>
                <w:color w:val="auto"/>
              </w:rPr>
            </w:pPr>
            <w:r>
              <w:rPr>
                <w:rFonts w:ascii="Times New Roman" w:cs="Times New Roman" w:eastAsia="Times New Roman" w:hAnsi="Times New Roman"/>
                <w:sz w:val="15"/>
                <w:szCs w:val="15"/>
                <w:color w:val="auto"/>
              </w:rPr>
              <w:t>(IRS Employer</w:t>
            </w:r>
          </w:p>
        </w:tc>
      </w:tr>
      <w:tr>
        <w:trPr>
          <w:trHeight w:val="197"/>
        </w:trPr>
        <w:tc>
          <w:tcPr>
            <w:tcW w:w="3940" w:type="dxa"/>
            <w:vAlign w:val="bottom"/>
            <w:gridSpan w:val="2"/>
          </w:tcPr>
          <w:p>
            <w:pPr>
              <w:jc w:val="center"/>
              <w:ind w:right="580"/>
              <w:spacing w:after="0"/>
              <w:rPr>
                <w:sz w:val="20"/>
                <w:szCs w:val="20"/>
                <w:color w:val="auto"/>
              </w:rPr>
            </w:pPr>
            <w:r>
              <w:rPr>
                <w:rFonts w:ascii="Times New Roman" w:cs="Times New Roman" w:eastAsia="Times New Roman" w:hAnsi="Times New Roman"/>
                <w:sz w:val="15"/>
                <w:szCs w:val="15"/>
                <w:color w:val="auto"/>
              </w:rPr>
              <w:t>of incorporation)</w:t>
            </w:r>
          </w:p>
        </w:tc>
        <w:tc>
          <w:tcPr>
            <w:tcW w:w="3380" w:type="dxa"/>
            <w:vAlign w:val="bottom"/>
            <w:gridSpan w:val="3"/>
          </w:tcPr>
          <w:p>
            <w:pPr>
              <w:jc w:val="center"/>
              <w:spacing w:after="0"/>
              <w:rPr>
                <w:sz w:val="20"/>
                <w:szCs w:val="20"/>
                <w:color w:val="auto"/>
              </w:rPr>
            </w:pPr>
            <w:r>
              <w:rPr>
                <w:rFonts w:ascii="Times New Roman" w:cs="Times New Roman" w:eastAsia="Times New Roman" w:hAnsi="Times New Roman"/>
                <w:sz w:val="15"/>
                <w:szCs w:val="15"/>
                <w:color w:val="auto"/>
              </w:rPr>
              <w:t>File Number)</w:t>
            </w:r>
          </w:p>
        </w:tc>
        <w:tc>
          <w:tcPr>
            <w:tcW w:w="560" w:type="dxa"/>
            <w:vAlign w:val="bottom"/>
          </w:tcPr>
          <w:p>
            <w:pPr>
              <w:spacing w:after="0"/>
              <w:rPr>
                <w:sz w:val="17"/>
                <w:szCs w:val="17"/>
                <w:color w:val="auto"/>
              </w:rPr>
            </w:pPr>
          </w:p>
        </w:tc>
        <w:tc>
          <w:tcPr>
            <w:tcW w:w="33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Identification No.)</w:t>
            </w:r>
          </w:p>
        </w:tc>
      </w:tr>
      <w:tr>
        <w:trPr>
          <w:trHeight w:val="287"/>
        </w:trPr>
        <w:tc>
          <w:tcPr>
            <w:tcW w:w="3940" w:type="dxa"/>
            <w:vAlign w:val="bottom"/>
            <w:gridSpan w:val="2"/>
          </w:tcPr>
          <w:p>
            <w:pPr>
              <w:jc w:val="center"/>
              <w:ind w:left="1264"/>
              <w:spacing w:after="0"/>
              <w:rPr>
                <w:sz w:val="20"/>
                <w:szCs w:val="20"/>
                <w:color w:val="auto"/>
              </w:rPr>
            </w:pPr>
            <w:r>
              <w:rPr>
                <w:rFonts w:ascii="Times New Roman" w:cs="Times New Roman" w:eastAsia="Times New Roman" w:hAnsi="Times New Roman"/>
                <w:sz w:val="15"/>
                <w:szCs w:val="15"/>
                <w:b w:val="1"/>
                <w:bCs w:val="1"/>
                <w:color w:val="auto"/>
              </w:rPr>
              <w:t>175 Innovation Boulevard</w:t>
            </w:r>
          </w:p>
        </w:tc>
        <w:tc>
          <w:tcPr>
            <w:tcW w:w="1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03"/>
        </w:trPr>
        <w:tc>
          <w:tcPr>
            <w:tcW w:w="3940" w:type="dxa"/>
            <w:vAlign w:val="bottom"/>
            <w:tcBorders>
              <w:bottom w:val="single" w:sz="8" w:color="auto"/>
            </w:tcBorders>
            <w:gridSpan w:val="2"/>
          </w:tcPr>
          <w:p>
            <w:pPr>
              <w:jc w:val="center"/>
              <w:ind w:left="1244"/>
              <w:spacing w:after="0"/>
              <w:rPr>
                <w:sz w:val="20"/>
                <w:szCs w:val="20"/>
                <w:color w:val="auto"/>
              </w:rPr>
            </w:pPr>
            <w:r>
              <w:rPr>
                <w:rFonts w:ascii="Times New Roman" w:cs="Times New Roman" w:eastAsia="Times New Roman" w:hAnsi="Times New Roman"/>
                <w:sz w:val="15"/>
                <w:szCs w:val="15"/>
                <w:b w:val="1"/>
                <w:bCs w:val="1"/>
                <w:color w:val="auto"/>
              </w:rPr>
              <w:t>Wilminton, Delaware</w:t>
            </w:r>
          </w:p>
        </w:tc>
        <w:tc>
          <w:tcPr>
            <w:tcW w:w="1340" w:type="dxa"/>
            <w:vAlign w:val="bottom"/>
            <w:tcBorders>
              <w:bottom w:val="single" w:sz="8" w:color="auto"/>
            </w:tcBorders>
          </w:tcPr>
          <w:p>
            <w:pPr>
              <w:spacing w:after="0"/>
              <w:rPr>
                <w:sz w:val="17"/>
                <w:szCs w:val="17"/>
                <w:color w:val="auto"/>
              </w:rPr>
            </w:pPr>
          </w:p>
        </w:tc>
        <w:tc>
          <w:tcPr>
            <w:tcW w:w="680" w:type="dxa"/>
            <w:vAlign w:val="bottom"/>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3940" w:type="dxa"/>
            <w:vAlign w:val="bottom"/>
            <w:tcBorders>
              <w:bottom w:val="single" w:sz="8" w:color="auto"/>
            </w:tcBorders>
            <w:gridSpan w:val="2"/>
          </w:tcPr>
          <w:p>
            <w:pPr>
              <w:jc w:val="right"/>
              <w:ind w:right="2384"/>
              <w:spacing w:after="0"/>
              <w:rPr>
                <w:sz w:val="20"/>
                <w:szCs w:val="20"/>
                <w:color w:val="auto"/>
              </w:rPr>
            </w:pPr>
            <w:r>
              <w:rPr>
                <w:rFonts w:ascii="Times New Roman" w:cs="Times New Roman" w:eastAsia="Times New Roman" w:hAnsi="Times New Roman"/>
                <w:sz w:val="15"/>
                <w:szCs w:val="15"/>
                <w:b w:val="1"/>
                <w:bCs w:val="1"/>
                <w:color w:val="auto"/>
              </w:rPr>
              <w:t>19805</w:t>
            </w:r>
          </w:p>
        </w:tc>
      </w:tr>
      <w:tr>
        <w:trPr>
          <w:trHeight w:val="197"/>
        </w:trPr>
        <w:tc>
          <w:tcPr>
            <w:tcW w:w="3940" w:type="dxa"/>
            <w:vAlign w:val="bottom"/>
            <w:gridSpan w:val="2"/>
          </w:tcPr>
          <w:p>
            <w:pPr>
              <w:jc w:val="center"/>
              <w:ind w:left="1264"/>
              <w:spacing w:after="0"/>
              <w:rPr>
                <w:sz w:val="20"/>
                <w:szCs w:val="20"/>
                <w:color w:val="auto"/>
              </w:rPr>
            </w:pPr>
            <w:r>
              <w:rPr>
                <w:rFonts w:ascii="Times New Roman" w:cs="Times New Roman" w:eastAsia="Times New Roman" w:hAnsi="Times New Roman"/>
                <w:sz w:val="15"/>
                <w:szCs w:val="15"/>
                <w:color w:val="auto"/>
              </w:rPr>
              <w:t>(Address of principal executive offices)</w:t>
            </w:r>
          </w:p>
        </w:tc>
        <w:tc>
          <w:tcPr>
            <w:tcW w:w="1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380" w:type="dxa"/>
            <w:vAlign w:val="bottom"/>
          </w:tcPr>
          <w:p>
            <w:pPr>
              <w:jc w:val="center"/>
              <w:ind w:right="1864"/>
              <w:spacing w:after="0"/>
              <w:rPr>
                <w:sz w:val="20"/>
                <w:szCs w:val="20"/>
                <w:color w:val="auto"/>
              </w:rPr>
            </w:pPr>
            <w:r>
              <w:rPr>
                <w:rFonts w:ascii="Times New Roman" w:cs="Times New Roman" w:eastAsia="Times New Roman" w:hAnsi="Times New Roman"/>
                <w:sz w:val="15"/>
                <w:szCs w:val="15"/>
                <w:color w:val="auto"/>
              </w:rPr>
              <w:t>(Zip code)</w:t>
            </w:r>
          </w:p>
        </w:tc>
      </w:tr>
    </w:tbl>
    <w:p>
      <w:pPr>
        <w:spacing w:after="0" w:line="148" w:lineRule="exact"/>
        <w:rPr>
          <w:sz w:val="24"/>
          <w:szCs w:val="24"/>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Registrant's telephone number, including area code (302) 467-1280</w:t>
      </w:r>
    </w:p>
    <w:p>
      <w:pPr>
        <w:spacing w:after="0" w:line="191" w:lineRule="exact"/>
        <w:rPr>
          <w:sz w:val="24"/>
          <w:szCs w:val="24"/>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Not Applicable</w:t>
      </w:r>
    </w:p>
    <w:p>
      <w:pPr>
        <w:spacing w:after="0" w:line="28" w:lineRule="exact"/>
        <w:rPr>
          <w:sz w:val="24"/>
          <w:szCs w:val="24"/>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(Former Name or Former Address, if Changed Since Last Report)</w:t>
      </w:r>
    </w:p>
    <w:p>
      <w:pPr>
        <w:spacing w:after="0" w:line="267" w:lineRule="exact"/>
        <w:rPr>
          <w:sz w:val="24"/>
          <w:szCs w:val="24"/>
          <w:color w:val="auto"/>
        </w:rPr>
      </w:pPr>
    </w:p>
    <w:p>
      <w:pPr>
        <w:ind w:left="9" w:right="300"/>
        <w:spacing w:after="0" w:line="286" w:lineRule="auto"/>
        <w:rPr>
          <w:sz w:val="20"/>
          <w:szCs w:val="20"/>
          <w:color w:val="auto"/>
        </w:rPr>
      </w:pPr>
      <w:r>
        <w:rPr>
          <w:rFonts w:ascii="Times New Roman" w:cs="Times New Roman" w:eastAsia="Times New Roman" w:hAnsi="Times New Roman"/>
          <w:sz w:val="15"/>
          <w:szCs w:val="15"/>
          <w:color w:val="auto"/>
        </w:rPr>
        <w:t>Check the appropriate box below if the Form 8-K filing is intended to simultaneously satisfy the filing obligation of the registrant under any of the following provisions (see General Instruction A.2. below):</w:t>
      </w:r>
    </w:p>
    <w:p>
      <w:pPr>
        <w:spacing w:after="0" w:line="43" w:lineRule="exact"/>
        <w:rPr>
          <w:sz w:val="24"/>
          <w:szCs w:val="24"/>
          <w:color w:val="auto"/>
        </w:rPr>
      </w:pPr>
    </w:p>
    <w:p>
      <w:pPr>
        <w:ind w:left="169" w:hanging="169"/>
        <w:spacing w:after="0"/>
        <w:tabs>
          <w:tab w:leader="none" w:pos="169"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Written communications pursuant to Rule 425 under the Securities Act (17 CFR 230.425)</w:t>
      </w:r>
    </w:p>
    <w:p>
      <w:pPr>
        <w:spacing w:after="0" w:line="122" w:lineRule="exact"/>
        <w:rPr>
          <w:rFonts w:ascii="MS PGothic" w:cs="MS PGothic" w:eastAsia="MS PGothic" w:hAnsi="MS PGothic"/>
          <w:sz w:val="15"/>
          <w:szCs w:val="15"/>
          <w:color w:val="auto"/>
        </w:rPr>
      </w:pPr>
    </w:p>
    <w:p>
      <w:pPr>
        <w:ind w:left="169" w:hanging="169"/>
        <w:spacing w:after="0"/>
        <w:tabs>
          <w:tab w:leader="none" w:pos="169"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Soliciting material pursuant to Rule 14a-12 under the Exchange Act (17 CFR 240.14a-12)</w:t>
      </w:r>
    </w:p>
    <w:p>
      <w:pPr>
        <w:spacing w:after="0" w:line="111" w:lineRule="exact"/>
        <w:rPr>
          <w:rFonts w:ascii="MS PGothic" w:cs="MS PGothic" w:eastAsia="MS PGothic" w:hAnsi="MS PGothic"/>
          <w:sz w:val="15"/>
          <w:szCs w:val="15"/>
          <w:color w:val="auto"/>
        </w:rPr>
      </w:pPr>
    </w:p>
    <w:p>
      <w:pPr>
        <w:ind w:left="169" w:hanging="169"/>
        <w:spacing w:after="0"/>
        <w:tabs>
          <w:tab w:leader="none" w:pos="169"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Pre-commencement communications pursuant to Rule 14d-2(b) under the Exchange Act (17 CFR 240.14d-2(b))</w:t>
      </w:r>
    </w:p>
    <w:p>
      <w:pPr>
        <w:spacing w:after="0" w:line="111" w:lineRule="exact"/>
        <w:rPr>
          <w:rFonts w:ascii="MS PGothic" w:cs="MS PGothic" w:eastAsia="MS PGothic" w:hAnsi="MS PGothic"/>
          <w:sz w:val="15"/>
          <w:szCs w:val="15"/>
          <w:color w:val="auto"/>
        </w:rPr>
      </w:pPr>
    </w:p>
    <w:p>
      <w:pPr>
        <w:ind w:left="169" w:hanging="169"/>
        <w:spacing w:after="0"/>
        <w:tabs>
          <w:tab w:leader="none" w:pos="169"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Pre-commencement communications pursuant to Rule 13e-4(c) under the Exchange Act (17 CFR 240.13e-4(c))</w:t>
      </w:r>
    </w:p>
    <w:p>
      <w:pPr>
        <w:spacing w:after="0" w:line="259" w:lineRule="exact"/>
        <w:rPr>
          <w:sz w:val="24"/>
          <w:szCs w:val="24"/>
          <w:color w:val="auto"/>
        </w:rPr>
      </w:pPr>
    </w:p>
    <w:p>
      <w:pPr>
        <w:ind w:left="9"/>
        <w:spacing w:after="0"/>
        <w:rPr>
          <w:sz w:val="20"/>
          <w:szCs w:val="20"/>
          <w:color w:val="auto"/>
        </w:rPr>
      </w:pPr>
      <w:r>
        <w:rPr>
          <w:rFonts w:ascii="Times New Roman" w:cs="Times New Roman" w:eastAsia="Times New Roman" w:hAnsi="Times New Roman"/>
          <w:sz w:val="15"/>
          <w:szCs w:val="15"/>
          <w:color w:val="auto"/>
        </w:rPr>
        <w:t>Securities registered pursuant to Section 12(b) of the Securities Exchange Act of 1934:</w:t>
      </w:r>
    </w:p>
    <w:p>
      <w:pPr>
        <w:spacing w:after="0" w:line="181" w:lineRule="exact"/>
        <w:rPr>
          <w:sz w:val="24"/>
          <w:szCs w:val="24"/>
          <w:color w:val="auto"/>
        </w:rPr>
      </w:pPr>
    </w:p>
    <w:tbl>
      <w:tblPr>
        <w:tblLayout w:type="fixed"/>
        <w:tblInd w:w="529" w:type="dxa"/>
        <w:tblCellMar>
          <w:top w:w="0" w:type="dxa"/>
          <w:left w:w="0" w:type="dxa"/>
          <w:bottom w:w="0" w:type="dxa"/>
          <w:right w:w="0" w:type="dxa"/>
        </w:tblCellMar>
      </w:tblPr>
      <w:tr>
        <w:trPr>
          <w:trHeight w:val="172"/>
        </w:trPr>
        <w:tc>
          <w:tcPr>
            <w:tcW w:w="8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Trading</w:t>
            </w:r>
          </w:p>
        </w:tc>
        <w:tc>
          <w:tcPr>
            <w:tcW w:w="1120" w:type="dxa"/>
            <w:vAlign w:val="bottom"/>
            <w:gridSpan w:val="2"/>
          </w:tcPr>
          <w:p>
            <w:pPr>
              <w:spacing w:after="0"/>
              <w:rPr>
                <w:sz w:val="15"/>
                <w:szCs w:val="15"/>
                <w:color w:val="auto"/>
              </w:rPr>
            </w:pPr>
          </w:p>
        </w:tc>
        <w:tc>
          <w:tcPr>
            <w:tcW w:w="1060" w:type="dxa"/>
            <w:vAlign w:val="bottom"/>
          </w:tcPr>
          <w:p>
            <w:pPr>
              <w:spacing w:after="0"/>
              <w:rPr>
                <w:sz w:val="15"/>
                <w:szCs w:val="15"/>
                <w:color w:val="auto"/>
              </w:rPr>
            </w:pPr>
          </w:p>
        </w:tc>
        <w:tc>
          <w:tcPr>
            <w:tcW w:w="2680" w:type="dxa"/>
            <w:vAlign w:val="bottom"/>
          </w:tcPr>
          <w:p>
            <w:pPr>
              <w:spacing w:after="0"/>
              <w:rPr>
                <w:sz w:val="15"/>
                <w:szCs w:val="15"/>
                <w:color w:val="auto"/>
              </w:rPr>
            </w:pPr>
          </w:p>
        </w:tc>
      </w:tr>
      <w:tr>
        <w:trPr>
          <w:trHeight w:val="162"/>
        </w:trPr>
        <w:tc>
          <w:tcPr>
            <w:tcW w:w="800" w:type="dxa"/>
            <w:vAlign w:val="bottom"/>
          </w:tcPr>
          <w:p>
            <w:pPr>
              <w:spacing w:after="0"/>
              <w:rPr>
                <w:sz w:val="14"/>
                <w:szCs w:val="14"/>
                <w:color w:val="auto"/>
              </w:rPr>
            </w:pPr>
          </w:p>
        </w:tc>
        <w:tc>
          <w:tcPr>
            <w:tcW w:w="110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rPr>
              <w:t>Title of each class</w:t>
            </w:r>
          </w:p>
        </w:tc>
        <w:tc>
          <w:tcPr>
            <w:tcW w:w="2880" w:type="dxa"/>
            <w:vAlign w:val="bottom"/>
          </w:tcPr>
          <w:p>
            <w:pPr>
              <w:spacing w:after="0"/>
              <w:rPr>
                <w:sz w:val="14"/>
                <w:szCs w:val="14"/>
                <w:color w:val="auto"/>
              </w:rPr>
            </w:pPr>
          </w:p>
        </w:tc>
        <w:tc>
          <w:tcPr>
            <w:tcW w:w="640" w:type="dxa"/>
            <w:vAlign w:val="bottom"/>
            <w:gridSpan w:val="3"/>
          </w:tcPr>
          <w:p>
            <w:pPr>
              <w:jc w:val="center"/>
              <w:spacing w:after="0" w:line="162" w:lineRule="exact"/>
              <w:rPr>
                <w:sz w:val="20"/>
                <w:szCs w:val="20"/>
                <w:color w:val="auto"/>
              </w:rPr>
            </w:pPr>
            <w:r>
              <w:rPr>
                <w:rFonts w:ascii="Times New Roman" w:cs="Times New Roman" w:eastAsia="Times New Roman" w:hAnsi="Times New Roman"/>
                <w:sz w:val="15"/>
                <w:szCs w:val="15"/>
                <w:color w:val="auto"/>
              </w:rPr>
              <w:t>Symbol(s)</w:t>
            </w:r>
          </w:p>
        </w:tc>
        <w:tc>
          <w:tcPr>
            <w:tcW w:w="1040" w:type="dxa"/>
            <w:vAlign w:val="bottom"/>
          </w:tcPr>
          <w:p>
            <w:pPr>
              <w:spacing w:after="0"/>
              <w:rPr>
                <w:sz w:val="14"/>
                <w:szCs w:val="14"/>
                <w:color w:val="auto"/>
              </w:rPr>
            </w:pPr>
          </w:p>
        </w:tc>
        <w:tc>
          <w:tcPr>
            <w:tcW w:w="3740" w:type="dxa"/>
            <w:vAlign w:val="bottom"/>
            <w:gridSpan w:val="2"/>
          </w:tcPr>
          <w:p>
            <w:pPr>
              <w:jc w:val="center"/>
              <w:ind w:left="984"/>
              <w:spacing w:after="0" w:line="162" w:lineRule="exact"/>
              <w:rPr>
                <w:sz w:val="20"/>
                <w:szCs w:val="20"/>
                <w:color w:val="auto"/>
              </w:rPr>
            </w:pPr>
            <w:r>
              <w:rPr>
                <w:rFonts w:ascii="Times New Roman" w:cs="Times New Roman" w:eastAsia="Times New Roman" w:hAnsi="Times New Roman"/>
                <w:sz w:val="15"/>
                <w:szCs w:val="15"/>
                <w:color w:val="auto"/>
              </w:rPr>
              <w:t>Name of each exchange on which registered</w:t>
            </w:r>
          </w:p>
        </w:tc>
      </w:tr>
      <w:tr>
        <w:trPr>
          <w:trHeight w:val="20"/>
        </w:trPr>
        <w:tc>
          <w:tcPr>
            <w:tcW w:w="8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r>
      <w:tr>
        <w:trPr>
          <w:trHeight w:val="196"/>
        </w:trPr>
        <w:tc>
          <w:tcPr>
            <w:tcW w:w="4780" w:type="dxa"/>
            <w:vAlign w:val="bottom"/>
            <w:gridSpan w:val="3"/>
          </w:tcPr>
          <w:p>
            <w:pPr>
              <w:jc w:val="center"/>
              <w:ind w:right="2080"/>
              <w:spacing w:after="0"/>
              <w:rPr>
                <w:sz w:val="20"/>
                <w:szCs w:val="20"/>
                <w:color w:val="auto"/>
              </w:rPr>
            </w:pPr>
            <w:r>
              <w:rPr>
                <w:rFonts w:ascii="Times New Roman" w:cs="Times New Roman" w:eastAsia="Times New Roman" w:hAnsi="Times New Roman"/>
                <w:sz w:val="15"/>
                <w:szCs w:val="15"/>
                <w:color w:val="auto"/>
              </w:rPr>
              <w:t>Common Stock, $0.0001 par value per share</w:t>
            </w:r>
          </w:p>
        </w:tc>
        <w:tc>
          <w:tcPr>
            <w:tcW w:w="80" w:type="dxa"/>
            <w:vAlign w:val="bottom"/>
          </w:tcPr>
          <w:p>
            <w:pPr>
              <w:spacing w:after="0"/>
              <w:rPr>
                <w:sz w:val="17"/>
                <w:szCs w:val="17"/>
                <w:color w:val="auto"/>
              </w:rPr>
            </w:pPr>
          </w:p>
        </w:tc>
        <w:tc>
          <w:tcPr>
            <w:tcW w:w="1600" w:type="dxa"/>
            <w:vAlign w:val="bottom"/>
            <w:gridSpan w:val="3"/>
          </w:tcPr>
          <w:p>
            <w:pPr>
              <w:jc w:val="center"/>
              <w:ind w:right="1120"/>
              <w:spacing w:after="0"/>
              <w:rPr>
                <w:sz w:val="20"/>
                <w:szCs w:val="20"/>
                <w:color w:val="auto"/>
              </w:rPr>
            </w:pPr>
            <w:r>
              <w:rPr>
                <w:rFonts w:ascii="Times New Roman" w:cs="Times New Roman" w:eastAsia="Times New Roman" w:hAnsi="Times New Roman"/>
                <w:sz w:val="15"/>
                <w:szCs w:val="15"/>
                <w:color w:val="auto"/>
              </w:rPr>
              <w:t>PRLD</w:t>
            </w:r>
          </w:p>
        </w:tc>
        <w:tc>
          <w:tcPr>
            <w:tcW w:w="1060" w:type="dxa"/>
            <w:vAlign w:val="bottom"/>
          </w:tcPr>
          <w:p>
            <w:pPr>
              <w:spacing w:after="0"/>
              <w:rPr>
                <w:sz w:val="17"/>
                <w:szCs w:val="17"/>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NASDAQ</w:t>
            </w:r>
          </w:p>
        </w:tc>
      </w:tr>
    </w:tbl>
    <w:p>
      <w:pPr>
        <w:spacing w:after="0" w:line="348" w:lineRule="exact"/>
        <w:rPr>
          <w:sz w:val="24"/>
          <w:szCs w:val="24"/>
          <w:color w:val="auto"/>
        </w:rPr>
      </w:pPr>
    </w:p>
    <w:p>
      <w:pPr>
        <w:ind w:left="9"/>
        <w:spacing w:after="0"/>
        <w:rPr>
          <w:sz w:val="20"/>
          <w:szCs w:val="20"/>
          <w:color w:val="auto"/>
        </w:rPr>
      </w:pPr>
      <w:r>
        <w:rPr>
          <w:rFonts w:ascii="Times New Roman" w:cs="Times New Roman" w:eastAsia="Times New Roman" w:hAnsi="Times New Roman"/>
          <w:sz w:val="15"/>
          <w:szCs w:val="15"/>
          <w:color w:val="auto"/>
        </w:rPr>
        <w:t>Indicate by check mark whether the registrant is an emerging growth company as defined in Rule 405 of the Securities Act of 1933 (§230.405 of this chapter) or Rule 12b-2 of the</w:t>
      </w:r>
    </w:p>
    <w:p>
      <w:pPr>
        <w:spacing w:after="0" w:line="24" w:lineRule="exact"/>
        <w:rPr>
          <w:sz w:val="24"/>
          <w:szCs w:val="24"/>
          <w:color w:val="auto"/>
        </w:rPr>
      </w:pPr>
    </w:p>
    <w:p>
      <w:pPr>
        <w:ind w:left="9"/>
        <w:spacing w:after="0"/>
        <w:rPr>
          <w:sz w:val="20"/>
          <w:szCs w:val="20"/>
          <w:color w:val="auto"/>
        </w:rPr>
      </w:pPr>
      <w:r>
        <w:rPr>
          <w:rFonts w:ascii="Times New Roman" w:cs="Times New Roman" w:eastAsia="Times New Roman" w:hAnsi="Times New Roman"/>
          <w:sz w:val="15"/>
          <w:szCs w:val="15"/>
          <w:color w:val="auto"/>
        </w:rPr>
        <w:t>Securities Exchange Act of 1934 (§240.12b-2 of this chapter):</w:t>
      </w:r>
    </w:p>
    <w:p>
      <w:pPr>
        <w:spacing w:after="0" w:line="140" w:lineRule="exact"/>
        <w:rPr>
          <w:sz w:val="24"/>
          <w:szCs w:val="24"/>
          <w:color w:val="auto"/>
        </w:rPr>
      </w:pPr>
    </w:p>
    <w:p>
      <w:pPr>
        <w:ind w:left="9429"/>
        <w:spacing w:after="0" w:line="173" w:lineRule="exact"/>
        <w:rPr>
          <w:sz w:val="20"/>
          <w:szCs w:val="20"/>
          <w:color w:val="auto"/>
        </w:rPr>
      </w:pP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5"/>
          <w:szCs w:val="15"/>
          <w:color w:val="auto"/>
        </w:rPr>
        <w:t>☒</w:t>
      </w:r>
    </w:p>
    <w:p>
      <w:pPr>
        <w:spacing w:after="0" w:line="227" w:lineRule="exact"/>
        <w:rPr>
          <w:sz w:val="24"/>
          <w:szCs w:val="24"/>
          <w:color w:val="auto"/>
        </w:rPr>
      </w:pPr>
    </w:p>
    <w:p>
      <w:pPr>
        <w:ind w:left="9" w:right="60"/>
        <w:spacing w:after="0" w:line="200"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715391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391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123190</wp:posOffset>
            </wp:positionV>
            <wp:extent cx="7153910" cy="285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3910" cy="285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245745</wp:posOffset>
            </wp:positionV>
            <wp:extent cx="7153910" cy="146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9"/>
          </w:cols>
          <w:pgMar w:left="311" w:top="706" w:right="319" w:bottom="1440" w:gutter="0" w:footer="0" w:header="0"/>
        </w:sectPr>
      </w:pPr>
    </w:p>
    <w:bookmarkStart w:id="1" w:name="page2"/>
    <w:bookmarkEnd w:id="1"/>
    <w:p>
      <w:pPr>
        <w:ind w:left="9"/>
        <w:spacing w:after="0"/>
        <w:tabs>
          <w:tab w:leader="none" w:pos="1069" w:val="left"/>
        </w:tabs>
        <w:rPr>
          <w:sz w:val="20"/>
          <w:szCs w:val="20"/>
          <w:color w:val="auto"/>
        </w:rPr>
      </w:pPr>
      <w:r>
        <w:rPr>
          <w:rFonts w:ascii="Times New Roman" w:cs="Times New Roman" w:eastAsia="Times New Roman" w:hAnsi="Times New Roman"/>
          <w:sz w:val="15"/>
          <w:szCs w:val="15"/>
          <w:b w:val="1"/>
          <w:bCs w:val="1"/>
          <w:color w:val="auto"/>
        </w:rPr>
        <w:t>Item 1.01</w:t>
      </w:r>
      <w:r>
        <w:rPr>
          <w:sz w:val="20"/>
          <w:szCs w:val="20"/>
          <w:color w:val="auto"/>
        </w:rPr>
        <w:tab/>
      </w:r>
      <w:r>
        <w:rPr>
          <w:rFonts w:ascii="Times New Roman" w:cs="Times New Roman" w:eastAsia="Times New Roman" w:hAnsi="Times New Roman"/>
          <w:sz w:val="15"/>
          <w:szCs w:val="15"/>
          <w:b w:val="1"/>
          <w:bCs w:val="1"/>
          <w:color w:val="auto"/>
        </w:rPr>
        <w:t>Entry into a Material Definitive Agreement.</w:t>
      </w:r>
    </w:p>
    <w:p>
      <w:pPr>
        <w:spacing w:after="0" w:line="191"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i w:val="1"/>
          <w:iCs w:val="1"/>
          <w:color w:val="auto"/>
        </w:rPr>
        <w:t>Exclusive Option Agreement</w:t>
      </w:r>
    </w:p>
    <w:p>
      <w:pPr>
        <w:spacing w:after="0" w:line="195" w:lineRule="exact"/>
        <w:rPr>
          <w:sz w:val="20"/>
          <w:szCs w:val="20"/>
          <w:color w:val="auto"/>
        </w:rPr>
      </w:pPr>
    </w:p>
    <w:p>
      <w:pPr>
        <w:jc w:val="both"/>
        <w:ind w:left="9"/>
        <w:spacing w:after="0" w:line="269" w:lineRule="auto"/>
        <w:rPr>
          <w:sz w:val="20"/>
          <w:szCs w:val="20"/>
          <w:color w:val="auto"/>
        </w:rPr>
      </w:pPr>
      <w:r>
        <w:rPr>
          <w:rFonts w:ascii="Times New Roman" w:cs="Times New Roman" w:eastAsia="Times New Roman" w:hAnsi="Times New Roman"/>
          <w:sz w:val="15"/>
          <w:szCs w:val="15"/>
          <w:color w:val="auto"/>
        </w:rPr>
        <w:t>On November 3, 2025, Prelude Therapeutics Incorporated (the “Company”) entered into an Exclusive Option Agreement (the “Option Agreement”) with Incyte Corporation (“Incyte”) to acquire the Company’s mutative selective JAK2V617F JH2 inhibitor program (the “Program”) for patients with myeloproliferative neoplasms (“MPNs”). The Program has the potential to reduce mutant allele burden, modify disease progression, and transform treatment outcomes for MPN patients.</w:t>
      </w:r>
    </w:p>
    <w:p>
      <w:pPr>
        <w:spacing w:after="0" w:line="147" w:lineRule="exact"/>
        <w:rPr>
          <w:sz w:val="20"/>
          <w:szCs w:val="20"/>
          <w:color w:val="auto"/>
        </w:rPr>
      </w:pPr>
    </w:p>
    <w:p>
      <w:pPr>
        <w:jc w:val="both"/>
        <w:ind w:left="9"/>
        <w:spacing w:after="0" w:line="286" w:lineRule="auto"/>
        <w:rPr>
          <w:sz w:val="20"/>
          <w:szCs w:val="20"/>
          <w:color w:val="auto"/>
        </w:rPr>
      </w:pPr>
      <w:r>
        <w:rPr>
          <w:rFonts w:ascii="Times New Roman" w:cs="Times New Roman" w:eastAsia="Times New Roman" w:hAnsi="Times New Roman"/>
          <w:sz w:val="15"/>
          <w:szCs w:val="15"/>
          <w:color w:val="auto"/>
        </w:rPr>
        <w:t>Under the Option Agreement, Incyte will receive an exclusive option to acquire the Company’s entire right, title, and interest in and to certain assets, properties, and rights related to the Program, including the Company’s library of preclinical candidates (collectively, the “Transferred Assets”).</w:t>
      </w:r>
    </w:p>
    <w:p>
      <w:pPr>
        <w:spacing w:after="0" w:line="134"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color w:val="auto"/>
        </w:rPr>
        <w:t>The Company will receive $60 million in capital, comprised of an initial payment of $35 million in cash, plus a $25 million equity investment by Incyte.</w:t>
      </w:r>
    </w:p>
    <w:p>
      <w:pPr>
        <w:spacing w:after="0" w:line="191" w:lineRule="exact"/>
        <w:rPr>
          <w:sz w:val="20"/>
          <w:szCs w:val="20"/>
          <w:color w:val="auto"/>
        </w:rPr>
      </w:pPr>
    </w:p>
    <w:p>
      <w:pPr>
        <w:jc w:val="both"/>
        <w:ind w:left="9"/>
        <w:spacing w:after="0" w:line="269" w:lineRule="auto"/>
        <w:rPr>
          <w:sz w:val="20"/>
          <w:szCs w:val="20"/>
          <w:color w:val="auto"/>
        </w:rPr>
      </w:pPr>
      <w:r>
        <w:rPr>
          <w:rFonts w:ascii="Times New Roman" w:cs="Times New Roman" w:eastAsia="Times New Roman" w:hAnsi="Times New Roman"/>
          <w:sz w:val="15"/>
          <w:szCs w:val="15"/>
          <w:color w:val="auto"/>
        </w:rPr>
        <w:t>The Option Agreement includes, as an exhibit, the form of an Asset Purchase Agreement (the “APA”), which contemplates the sale, transfer, assignment, and conveyance by the Company to Incyte, and the purchase, acquisition, and assumption by Incyte from the Company, of the Company’s entire right, title, and interest in and to the Transferred Assets in the event Incyte exercises its option under the Option Agreement.</w:t>
      </w:r>
    </w:p>
    <w:p>
      <w:pPr>
        <w:spacing w:after="0" w:line="147" w:lineRule="exact"/>
        <w:rPr>
          <w:sz w:val="20"/>
          <w:szCs w:val="20"/>
          <w:color w:val="auto"/>
        </w:rPr>
      </w:pPr>
    </w:p>
    <w:p>
      <w:pPr>
        <w:jc w:val="both"/>
        <w:ind w:left="9"/>
        <w:spacing w:after="0" w:line="259" w:lineRule="auto"/>
        <w:rPr>
          <w:sz w:val="20"/>
          <w:szCs w:val="20"/>
          <w:color w:val="auto"/>
        </w:rPr>
      </w:pPr>
      <w:r>
        <w:rPr>
          <w:rFonts w:ascii="Times New Roman" w:cs="Times New Roman" w:eastAsia="Times New Roman" w:hAnsi="Times New Roman"/>
          <w:sz w:val="15"/>
          <w:szCs w:val="15"/>
          <w:color w:val="auto"/>
        </w:rPr>
        <w:t>The Company expects to continue to advance the Program with the goal of preparing an IND-ready data package. At any time commencing on the effective date of the Option Agreement until the later of (a) 30 days after the Company’s delivery of the IND-ready data package or (b) 15 months after the effective date of the Option Agreement (which 15 month period shall automatically toll for the Company to deliver the IND-ready package but such tolling will not exceed 3 months unless otherwise agreed by the parties) (the “Option Period”), Incyte may elect to exercise its exclusive option to acquire the Program and associated assets from the Company pursuant to the APA for $100 million. Under the APA, the Company would be eligible to receive up to $775 million in additional clinical and regulatory milestones, and single digit royalties on global net sales. Combined, total potential cash payments from the transaction could reach up to $910 million.</w:t>
      </w:r>
    </w:p>
    <w:p>
      <w:pPr>
        <w:spacing w:after="0" w:line="155" w:lineRule="exact"/>
        <w:rPr>
          <w:sz w:val="20"/>
          <w:szCs w:val="20"/>
          <w:color w:val="auto"/>
        </w:rPr>
      </w:pPr>
    </w:p>
    <w:p>
      <w:pPr>
        <w:jc w:val="both"/>
        <w:ind w:left="9"/>
        <w:spacing w:after="0" w:line="264" w:lineRule="auto"/>
        <w:rPr>
          <w:sz w:val="20"/>
          <w:szCs w:val="20"/>
          <w:color w:val="auto"/>
        </w:rPr>
      </w:pPr>
      <w:r>
        <w:rPr>
          <w:rFonts w:ascii="Times New Roman" w:cs="Times New Roman" w:eastAsia="Times New Roman" w:hAnsi="Times New Roman"/>
          <w:sz w:val="15"/>
          <w:szCs w:val="15"/>
          <w:color w:val="auto"/>
        </w:rPr>
        <w:t>The Company will continue to own and develop all Transferred Assets. If the option is exercised during the Option Period and the parties enter into and close the transaction set forth in the APA, Incyte will own all Transferred Assets subject to the Company’s right, in its sole discretion and cost, to continue to conduct development activities during the Option Period to nominate and select development candidate(s) for the Program. If Incyte elects to not exercise its option to acquire the Program, all Transferred Assets would remain in the sole ownership and control of the Company.</w:t>
      </w:r>
    </w:p>
    <w:p>
      <w:pPr>
        <w:spacing w:after="0" w:line="146"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i w:val="1"/>
          <w:iCs w:val="1"/>
          <w:color w:val="auto"/>
        </w:rPr>
        <w:t>Securities Purchase Agreement</w:t>
      </w:r>
    </w:p>
    <w:p>
      <w:pPr>
        <w:spacing w:after="0" w:line="195" w:lineRule="exact"/>
        <w:rPr>
          <w:sz w:val="20"/>
          <w:szCs w:val="20"/>
          <w:color w:val="auto"/>
        </w:rPr>
      </w:pPr>
    </w:p>
    <w:p>
      <w:pPr>
        <w:jc w:val="both"/>
        <w:ind w:left="9"/>
        <w:spacing w:after="0" w:line="261" w:lineRule="auto"/>
        <w:rPr>
          <w:sz w:val="20"/>
          <w:szCs w:val="20"/>
          <w:color w:val="auto"/>
        </w:rPr>
      </w:pPr>
      <w:r>
        <w:rPr>
          <w:rFonts w:ascii="Times New Roman" w:cs="Times New Roman" w:eastAsia="Times New Roman" w:hAnsi="Times New Roman"/>
          <w:sz w:val="15"/>
          <w:szCs w:val="15"/>
          <w:color w:val="auto"/>
        </w:rPr>
        <w:t>Concurrently with the Option Agreement, on November 3, 2025, the Company entered into a securities purchase agreement with Incyte (the “Securities Purchase Agreement”), pursuant to which Incyte has agreed to purchase 6,250,000 shares (the “Shares”) of the Company’s non-voting common stock (the “Non-Voting Common Stock”) at a price of $4.00 per share for a total of $25 million. Pursuant to the Company’s Amended and Restated Certificate of Incorporation and subject to the Beneficial Ownership Limitation as set forth therein, Incyte may elect to convert the Shares into voting shares of the Company’s common stock at any time. The closing of the purchase of the Shares (the “Closing”) is expected to occur within five business days of the satisfaction of the Closing conditions set forth in the Securities Purchase Agreement.</w:t>
      </w:r>
    </w:p>
    <w:p>
      <w:pPr>
        <w:spacing w:after="0" w:line="152" w:lineRule="exact"/>
        <w:rPr>
          <w:sz w:val="20"/>
          <w:szCs w:val="20"/>
          <w:color w:val="auto"/>
        </w:rPr>
      </w:pPr>
    </w:p>
    <w:p>
      <w:pPr>
        <w:jc w:val="both"/>
        <w:ind w:left="9"/>
        <w:spacing w:after="0" w:line="259" w:lineRule="auto"/>
        <w:rPr>
          <w:sz w:val="20"/>
          <w:szCs w:val="20"/>
          <w:color w:val="auto"/>
        </w:rPr>
      </w:pPr>
      <w:r>
        <w:rPr>
          <w:rFonts w:ascii="Times New Roman" w:cs="Times New Roman" w:eastAsia="Times New Roman" w:hAnsi="Times New Roman"/>
          <w:sz w:val="15"/>
          <w:szCs w:val="15"/>
          <w:color w:val="auto"/>
        </w:rPr>
        <w:t>The Securities Purchase Agreement includes, as an exhibit, the form of a registration rights agreement (the “Registration Rights Agreement”) which the Company will enter into with Incyte upon Closing pursuant to which the Company will agree to prepare and file a registration statement on Form S-3 with the Securities and Exchange Commission (the “SEC”) registering the resale of the Shares by Incyte (the “Resale Registration Shelf”), (i) as promptly as reasonably practicable following the request of Incyte, and in any event within sixty</w:t>
      </w:r>
    </w:p>
    <w:p>
      <w:pPr>
        <w:spacing w:after="0" w:line="2" w:lineRule="exact"/>
        <w:rPr>
          <w:sz w:val="20"/>
          <w:szCs w:val="20"/>
          <w:color w:val="auto"/>
        </w:rPr>
      </w:pPr>
    </w:p>
    <w:p>
      <w:pPr>
        <w:ind w:left="9" w:right="20" w:hanging="9"/>
        <w:spacing w:after="0" w:line="265" w:lineRule="auto"/>
        <w:tabs>
          <w:tab w:leader="none" w:pos="301"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days of such request, (ii) or no later than thirty (30) days after the Closing of the sale of the Non-Voting Common Stock. The Company will also agree to use reasonable best efforts to cause such registration statement to become effective as promptly as practicable after filing the Resale Registration Shelf.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197485</wp:posOffset>
            </wp:positionV>
            <wp:extent cx="7153910" cy="146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9"/>
          </w:cols>
          <w:pgMar w:left="311" w:top="121" w:right="319" w:bottom="1440" w:gutter="0" w:footer="0" w:header="0"/>
        </w:sectPr>
      </w:pPr>
    </w:p>
    <w:bookmarkStart w:id="2" w:name="page3"/>
    <w:bookmarkEnd w:id="2"/>
    <w:p>
      <w:pPr>
        <w:jc w:val="both"/>
        <w:ind w:right="20"/>
        <w:spacing w:after="0" w:line="286" w:lineRule="auto"/>
        <w:rPr>
          <w:sz w:val="20"/>
          <w:szCs w:val="20"/>
          <w:color w:val="auto"/>
        </w:rPr>
      </w:pPr>
      <w:r>
        <w:rPr>
          <w:rFonts w:ascii="Times New Roman" w:cs="Times New Roman" w:eastAsia="Times New Roman" w:hAnsi="Times New Roman"/>
          <w:sz w:val="15"/>
          <w:szCs w:val="15"/>
          <w:color w:val="auto"/>
        </w:rPr>
        <w:t>The Company intends to apply the initial payment from the Option Agreement and net proceeds from the sale of the Shares pursuant to the Securities Purchase Agreement to advance its pipeline, including the KAT6A program, the JAK2V617F program, and for working capital and general corporate purposes.</w:t>
      </w:r>
    </w:p>
    <w:p>
      <w:pPr>
        <w:spacing w:after="0" w:line="13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5"/>
          <w:szCs w:val="15"/>
          <w:color w:val="auto"/>
        </w:rPr>
        <w:t>The foregoing descriptions of the terms of each of the Option Agreement, Securities Purchase Agreement, and Registration Rights Agreement do not purport to be complete and are qualified in their entirety by the full text of each agreement, copies of which will be filed as exhibits to the Company's Annual Report on Form 10-K for the fiscal year ending December 31, 2025.</w:t>
      </w:r>
    </w:p>
    <w:p>
      <w:pPr>
        <w:spacing w:after="0" w:line="143"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5"/>
          <w:szCs w:val="15"/>
          <w:b w:val="1"/>
          <w:bCs w:val="1"/>
          <w:color w:val="auto"/>
        </w:rPr>
        <w:t>Item 3.02</w:t>
      </w:r>
      <w:r>
        <w:rPr>
          <w:sz w:val="20"/>
          <w:szCs w:val="20"/>
          <w:color w:val="auto"/>
        </w:rPr>
        <w:tab/>
      </w:r>
      <w:r>
        <w:rPr>
          <w:rFonts w:ascii="Times New Roman" w:cs="Times New Roman" w:eastAsia="Times New Roman" w:hAnsi="Times New Roman"/>
          <w:sz w:val="15"/>
          <w:szCs w:val="15"/>
          <w:b w:val="1"/>
          <w:bCs w:val="1"/>
          <w:color w:val="auto"/>
        </w:rPr>
        <w:t>Unregistered Sales of Equity Securities.</w:t>
      </w:r>
    </w:p>
    <w:p>
      <w:pPr>
        <w:spacing w:after="0" w:line="19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The information contained above in Item 1.01 is hereby incorporated by reference into this Item 3.02. Based in part upon the representations of Incyte in the Securities Purchase Agreement, the offering and sale of the Shares will be exempt from registration under Section 4(a)(2) of the Securities Act of 1933, as amended (the “Securities Act”). The Shares will not be registered under the Securities Act or any state securities laws and may not be offered or sold in the United States absent registration with the SEC or an applicable exemption from the registration requirements. The sale of the securities will not involve a public offering. Incyte represented that it is an accredited investor, as such term is defined in Rule 501(a) of Regulation D under the Securities Act, and that it is acquiring the Shares for investment purposes only and not with a view to any distribution of the Shares in violation of the United States federal securities laws.</w:t>
      </w:r>
    </w:p>
    <w:p>
      <w:pPr>
        <w:spacing w:after="0" w:line="15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5"/>
          <w:szCs w:val="15"/>
          <w:b w:val="1"/>
          <w:bCs w:val="1"/>
          <w:color w:val="auto"/>
        </w:rPr>
        <w:t>Item 5.02</w:t>
      </w:r>
      <w:r>
        <w:rPr>
          <w:sz w:val="20"/>
          <w:szCs w:val="20"/>
          <w:color w:val="auto"/>
        </w:rPr>
        <w:tab/>
      </w:r>
      <w:r>
        <w:rPr>
          <w:rFonts w:ascii="Times New Roman" w:cs="Times New Roman" w:eastAsia="Times New Roman" w:hAnsi="Times New Roman"/>
          <w:sz w:val="15"/>
          <w:szCs w:val="15"/>
          <w:b w:val="1"/>
          <w:bCs w:val="1"/>
          <w:color w:val="auto"/>
        </w:rPr>
        <w:t>Departure of Directors or Certain Officers; Election of Directors; Appointment of Certain Officers; Compensatory Arrangements of Certain Officers</w:t>
      </w:r>
    </w:p>
    <w:p>
      <w:pPr>
        <w:spacing w:after="0" w:line="1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On November 4, 2025, the Company announced that Jane Huang, M.D. resigned as the President and Chief Medical Officer of the Company, effective on November 3, 2025 (the “Separation Date”). Dr. Huang’s resignation was not due to any disagreement with the Company on any matter relating to the Company’s operations, policies or practices. Effective as of November 4, 2025, the Company and Dr. Huang entered into a Consulting Agreement, pursuant to which Dr. Huang will provide consulting services regarding matters relating to the Company’s clinical programs at an hourly rate of $750, as may be requested from time to time by the Company, until September 15, 2026 (the “Consulting Period”). During the Consulting Period, Dr. Huang’s outstanding equity awards will continue to vest pursuant to the terms of the applicable equity award.</w:t>
      </w:r>
    </w:p>
    <w:p>
      <w:pPr>
        <w:spacing w:after="0" w:line="1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5"/>
          <w:szCs w:val="15"/>
          <w:color w:val="auto"/>
        </w:rPr>
        <w:t>On November 4, 2025, the Company also announced that until September 15, 2026, Dr. Victor Sandor, M.D.C.M., former Chief Medical Officer of Array Biopharma and current board member of the Company and chair of the Science and Technology Committee, will provide strategic and operational oversight of clinical development.</w:t>
      </w:r>
    </w:p>
    <w:p>
      <w:pPr>
        <w:spacing w:after="0" w:line="13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5"/>
          <w:szCs w:val="15"/>
          <w:b w:val="1"/>
          <w:bCs w:val="1"/>
          <w:color w:val="auto"/>
        </w:rPr>
        <w:t>Item 7.01</w:t>
      </w:r>
      <w:r>
        <w:rPr>
          <w:sz w:val="20"/>
          <w:szCs w:val="20"/>
          <w:color w:val="auto"/>
        </w:rPr>
        <w:tab/>
      </w:r>
      <w:r>
        <w:rPr>
          <w:rFonts w:ascii="Times New Roman" w:cs="Times New Roman" w:eastAsia="Times New Roman" w:hAnsi="Times New Roman"/>
          <w:sz w:val="15"/>
          <w:szCs w:val="15"/>
          <w:b w:val="1"/>
          <w:bCs w:val="1"/>
          <w:color w:val="auto"/>
        </w:rPr>
        <w:t>Regulation FD Disclosure.</w:t>
      </w:r>
    </w:p>
    <w:p>
      <w:pPr>
        <w:spacing w:after="0" w:line="19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On November 4, 2025, the Company and Incyte issued a press release relating to the Option Agreement and Securities Purchase Agreement. A copy of such press release is furnished herewith as Exhibit 99.1. The Company also issued a press release announcing its decision to pause the clinical development of its first-in-class SMARCA2 degrader program relating to its strategic portfolio shift. A copy of such press release is furnished herewith as Exhibit 99.2. In connection with the foregoing, the Company has updated its corporate presentation. A copy of the updated corporate presentation release is furnished herewith as Exhibit 99.3.</w:t>
      </w:r>
    </w:p>
    <w:p>
      <w:pPr>
        <w:spacing w:after="0" w:line="15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5"/>
          <w:szCs w:val="15"/>
          <w:color w:val="auto"/>
        </w:rPr>
        <w:t>The information in Item 7.01 of this Current Report on Form 8-K and Exhibits 99.1, 99.2, and 99.3 attached hereto shall not be deemed “filed” for purposes of Section 18 of the Securities Exchange Act of 1934, as amended (the “Exchange Act”), or otherwise subject to liability under that section, nor shall it be deemed incorporated by reference in any filing under the Securities Act, or the Exchange Act, except as expressly set forth by specific reference in such a filing.</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Cautionary Note Regarding Forward-Looking Statements.</w:t>
      </w:r>
    </w:p>
    <w:p>
      <w:pPr>
        <w:spacing w:after="0" w:line="19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5"/>
          <w:szCs w:val="15"/>
          <w:color w:val="auto"/>
        </w:rPr>
        <w:t>This Current Report on Form 8-K contains forward-looking statements within the meaning of the “safe harbor” provisions of the Private Securities Litigation Reform Act of 1995, including, but not limited to, anticipated discovery, preclinical and clinical development activities for the Company’s product candidates, the potential safety, efficacy, benefits and addressable market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153910" cy="146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3" w:name="page4"/>
    <w:bookmarkEnd w:id="3"/>
    <w:p>
      <w:pPr>
        <w:jc w:val="both"/>
        <w:spacing w:after="0" w:line="255" w:lineRule="auto"/>
        <w:rPr>
          <w:sz w:val="20"/>
          <w:szCs w:val="20"/>
          <w:color w:val="auto"/>
        </w:rPr>
      </w:pPr>
      <w:r>
        <w:rPr>
          <w:rFonts w:ascii="Times New Roman" w:cs="Times New Roman" w:eastAsia="Times New Roman" w:hAnsi="Times New Roman"/>
          <w:sz w:val="15"/>
          <w:szCs w:val="15"/>
          <w:color w:val="auto"/>
        </w:rPr>
        <w:t>Company’s product candidates, the expected timeline for clinical trial results for the Company’s product candidates, and the sufficiency of the Company’s cash runway. All statements other than statements of historical fact are statements that could be deemed forward-looking statements. The words “believes,” “anticipates,” “estimates,” “plans,” “expects,” “intends,” “may,” “could,” “should,” “potential,” “likely,” “projects,” “continue,” “will,” “schedule,” and “would” and similar expressions are intended to identify forward-looking statements, although not all forward-looking statements contain these identifying words. These forward-looking statements are predictions based on the Company’s current expectations and projections about future events and various assumptions. Although the Company believes that the expectations reflected in such forward-looking statements are reasonable, the Company cannot guarantee future events, results, actions, levels of activity, performance or achievements, and the timing and results of biotechnology development and potential regulatory approval is inherently uncertain. Forward-looking statements are subject to risks and uncertainties that may cause the Company’s actual activities or results to differ significantly from those expressed in any forward-looking statement, including risks and uncertainties related to the Company’s ability to advance its product candidates, the receipt and timing of potential regulatory designations, approvals and commercialization of product candidates, clinical trial sites and our ability to enroll eligible patients, supply chain and manufacturing facilities, the Company’s ability to maintain and recognize the benefits of certain designations received by product candidates, the timing and results of preclinical and clinical trials, the Company’s ability to fund development activities and achieve development goals, the Company’s ability to protect intellectual property, and other risks and uncertainties described under the heading “Risk Factors” in the Company’s Annual Report on Form 10-K for the year ended December 31, 2024, its Quarterly Reports on Form 10-Q and other documents that the Company files from time to time with the SEC. These forward-looking statements speak only as of the date of this Form 8-K, and the Company undertakes no obligation to revise or update any forward-looking statements to reflect events or circumstances after the date hereof, except as may be required by law.</w:t>
      </w:r>
    </w:p>
    <w:p>
      <w:pPr>
        <w:spacing w:after="0" w:line="15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5"/>
          <w:szCs w:val="15"/>
          <w:b w:val="1"/>
          <w:bCs w:val="1"/>
          <w:color w:val="auto"/>
        </w:rPr>
        <w:t>Item 9.01</w:t>
      </w:r>
      <w:r>
        <w:rPr>
          <w:sz w:val="20"/>
          <w:szCs w:val="20"/>
          <w:color w:val="auto"/>
        </w:rPr>
        <w:tab/>
      </w:r>
      <w:r>
        <w:rPr>
          <w:rFonts w:ascii="Times New Roman" w:cs="Times New Roman" w:eastAsia="Times New Roman" w:hAnsi="Times New Roman"/>
          <w:sz w:val="15"/>
          <w:szCs w:val="15"/>
          <w:b w:val="1"/>
          <w:bCs w:val="1"/>
          <w:color w:val="auto"/>
        </w:rPr>
        <w:t>Financial Statements and Exhibits.</w:t>
      </w:r>
    </w:p>
    <w:p>
      <w:pPr>
        <w:spacing w:after="0" w:line="8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5"/>
          <w:szCs w:val="15"/>
          <w:b w:val="1"/>
          <w:bCs w:val="1"/>
          <w:color w:val="auto"/>
        </w:rPr>
        <w:t>(d) Exhibits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4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Exhibit No.</w:t>
            </w:r>
          </w:p>
        </w:tc>
        <w:tc>
          <w:tcPr>
            <w:tcW w:w="98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5"/>
                <w:szCs w:val="15"/>
                <w:b w:val="1"/>
                <w:bCs w:val="1"/>
                <w:color w:val="auto"/>
              </w:rPr>
              <w:t>Description</w:t>
            </w:r>
          </w:p>
        </w:tc>
      </w:tr>
      <w:tr>
        <w:trPr>
          <w:trHeight w:val="321"/>
        </w:trPr>
        <w:tc>
          <w:tcPr>
            <w:tcW w:w="260" w:type="dxa"/>
            <w:vAlign w:val="bottom"/>
          </w:tcPr>
          <w:p>
            <w:pPr>
              <w:spacing w:after="0"/>
              <w:rPr>
                <w:sz w:val="20"/>
                <w:szCs w:val="20"/>
                <w:color w:val="auto"/>
              </w:rPr>
            </w:pPr>
            <w:r>
              <w:rPr>
                <w:rFonts w:ascii="Times New Roman" w:cs="Times New Roman" w:eastAsia="Times New Roman" w:hAnsi="Times New Roman"/>
                <w:sz w:val="15"/>
                <w:szCs w:val="15"/>
                <w:color w:val="0000EE"/>
                <w:w w:val="91"/>
              </w:rPr>
              <w:t>99.</w:t>
            </w:r>
            <w:r>
              <w:rPr>
                <w:rFonts w:ascii="Times New Roman" w:cs="Times New Roman" w:eastAsia="Times New Roman" w:hAnsi="Times New Roman"/>
                <w:sz w:val="15"/>
                <w:szCs w:val="15"/>
                <w:u w:val="single" w:color="auto"/>
                <w:color w:val="0000EE"/>
                <w:w w:val="91"/>
              </w:rPr>
              <w:t>1</w:t>
            </w:r>
          </w:p>
        </w:tc>
        <w:tc>
          <w:tcPr>
            <w:tcW w:w="1200" w:type="dxa"/>
            <w:vAlign w:val="bottom"/>
          </w:tcPr>
          <w:p>
            <w:pPr>
              <w:spacing w:after="0"/>
              <w:rPr>
                <w:sz w:val="24"/>
                <w:szCs w:val="24"/>
                <w:color w:val="auto"/>
              </w:rPr>
            </w:pPr>
          </w:p>
        </w:tc>
        <w:tc>
          <w:tcPr>
            <w:tcW w:w="9800" w:type="dxa"/>
            <w:vAlign w:val="bottom"/>
            <w:gridSpan w:val="4"/>
          </w:tcPr>
          <w:p>
            <w:pPr>
              <w:spacing w:after="0"/>
              <w:rPr>
                <w:sz w:val="20"/>
                <w:szCs w:val="20"/>
                <w:color w:val="auto"/>
              </w:rPr>
            </w:pPr>
            <w:r>
              <w:rPr>
                <w:rFonts w:ascii="Times New Roman" w:cs="Times New Roman" w:eastAsia="Times New Roman" w:hAnsi="Times New Roman"/>
                <w:sz w:val="15"/>
                <w:szCs w:val="15"/>
                <w:color w:val="0000EE"/>
              </w:rPr>
              <w:t>Press release announcing Exclusive Option Agreement with Incyte, dated November 4, 2025.</w:t>
            </w:r>
          </w:p>
        </w:tc>
      </w:tr>
      <w:tr>
        <w:trPr>
          <w:trHeight w:val="343"/>
        </w:trPr>
        <w:tc>
          <w:tcPr>
            <w:tcW w:w="26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5"/>
                <w:szCs w:val="15"/>
                <w:color w:val="0000EE"/>
                <w:w w:val="91"/>
              </w:rPr>
              <w:t>99.</w:t>
            </w:r>
            <w:r>
              <w:rPr>
                <w:rFonts w:ascii="Times New Roman" w:cs="Times New Roman" w:eastAsia="Times New Roman" w:hAnsi="Times New Roman"/>
                <w:sz w:val="15"/>
                <w:szCs w:val="15"/>
                <w:u w:val="single" w:color="auto"/>
                <w:color w:val="0000EE"/>
                <w:w w:val="91"/>
              </w:rPr>
              <w:t>2</w:t>
            </w:r>
          </w:p>
        </w:tc>
        <w:tc>
          <w:tcPr>
            <w:tcW w:w="1200" w:type="dxa"/>
            <w:vAlign w:val="bottom"/>
          </w:tcPr>
          <w:p>
            <w:pPr>
              <w:spacing w:after="0"/>
              <w:rPr>
                <w:sz w:val="24"/>
                <w:szCs w:val="24"/>
                <w:color w:val="auto"/>
              </w:rPr>
            </w:pPr>
          </w:p>
        </w:tc>
        <w:tc>
          <w:tcPr>
            <w:tcW w:w="566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5"/>
                <w:szCs w:val="15"/>
                <w:color w:val="0000EE"/>
              </w:rPr>
              <w:t>Press release announcing Strategic Business Update, dated November 4, 2025.</w:t>
            </w:r>
          </w:p>
        </w:tc>
        <w:tc>
          <w:tcPr>
            <w:tcW w:w="4140" w:type="dxa"/>
            <w:vAlign w:val="bottom"/>
          </w:tcPr>
          <w:p>
            <w:pPr>
              <w:spacing w:after="0"/>
              <w:rPr>
                <w:sz w:val="24"/>
                <w:szCs w:val="24"/>
                <w:color w:val="auto"/>
              </w:rPr>
            </w:pPr>
          </w:p>
        </w:tc>
      </w:tr>
      <w:tr>
        <w:trPr>
          <w:trHeight w:val="343"/>
        </w:trPr>
        <w:tc>
          <w:tcPr>
            <w:tcW w:w="26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5"/>
                <w:szCs w:val="15"/>
                <w:color w:val="0000EE"/>
                <w:w w:val="91"/>
              </w:rPr>
              <w:t>99.</w:t>
            </w:r>
            <w:r>
              <w:rPr>
                <w:rFonts w:ascii="Times New Roman" w:cs="Times New Roman" w:eastAsia="Times New Roman" w:hAnsi="Times New Roman"/>
                <w:sz w:val="15"/>
                <w:szCs w:val="15"/>
                <w:u w:val="single" w:color="auto"/>
                <w:color w:val="0000EE"/>
                <w:w w:val="91"/>
              </w:rPr>
              <w:t>3</w:t>
            </w:r>
          </w:p>
        </w:tc>
        <w:tc>
          <w:tcPr>
            <w:tcW w:w="1200" w:type="dxa"/>
            <w:vAlign w:val="bottom"/>
          </w:tcPr>
          <w:p>
            <w:pPr>
              <w:spacing w:after="0"/>
              <w:rPr>
                <w:sz w:val="24"/>
                <w:szCs w:val="24"/>
                <w:color w:val="auto"/>
              </w:rPr>
            </w:pPr>
          </w:p>
        </w:tc>
        <w:tc>
          <w:tcPr>
            <w:tcW w:w="300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5"/>
                <w:szCs w:val="15"/>
                <w:color w:val="0000EE"/>
              </w:rPr>
              <w:t>Corporate presentation, dated November 4, 2025.</w:t>
            </w:r>
          </w:p>
        </w:tc>
        <w:tc>
          <w:tcPr>
            <w:tcW w:w="1760" w:type="dxa"/>
            <w:vAlign w:val="bottom"/>
            <w:tcBorders>
              <w:top w:val="single" w:sz="8" w:color="0000EE"/>
            </w:tcBorders>
          </w:tcPr>
          <w:p>
            <w:pPr>
              <w:spacing w:after="0"/>
              <w:rPr>
                <w:sz w:val="24"/>
                <w:szCs w:val="24"/>
                <w:color w:val="auto"/>
              </w:rPr>
            </w:pPr>
          </w:p>
        </w:tc>
        <w:tc>
          <w:tcPr>
            <w:tcW w:w="5040" w:type="dxa"/>
            <w:vAlign w:val="bottom"/>
            <w:gridSpan w:val="2"/>
          </w:tcPr>
          <w:p>
            <w:pPr>
              <w:spacing w:after="0"/>
              <w:rPr>
                <w:sz w:val="24"/>
                <w:szCs w:val="24"/>
                <w:color w:val="auto"/>
              </w:rPr>
            </w:pPr>
          </w:p>
        </w:tc>
      </w:tr>
      <w:tr>
        <w:trPr>
          <w:trHeight w:val="378"/>
        </w:trPr>
        <w:tc>
          <w:tcPr>
            <w:tcW w:w="260" w:type="dxa"/>
            <w:vAlign w:val="bottom"/>
          </w:tcPr>
          <w:p>
            <w:pPr>
              <w:spacing w:after="0"/>
              <w:rPr>
                <w:sz w:val="20"/>
                <w:szCs w:val="20"/>
                <w:color w:val="auto"/>
              </w:rPr>
            </w:pPr>
            <w:r>
              <w:rPr>
                <w:rFonts w:ascii="Times New Roman" w:cs="Times New Roman" w:eastAsia="Times New Roman" w:hAnsi="Times New Roman"/>
                <w:sz w:val="15"/>
                <w:szCs w:val="15"/>
                <w:color w:val="auto"/>
              </w:rPr>
              <w:t>104</w:t>
            </w:r>
          </w:p>
        </w:tc>
        <w:tc>
          <w:tcPr>
            <w:tcW w:w="1200" w:type="dxa"/>
            <w:vAlign w:val="bottom"/>
          </w:tcPr>
          <w:p>
            <w:pPr>
              <w:spacing w:after="0"/>
              <w:rPr>
                <w:sz w:val="24"/>
                <w:szCs w:val="24"/>
                <w:color w:val="auto"/>
              </w:rPr>
            </w:pPr>
          </w:p>
        </w:tc>
        <w:tc>
          <w:tcPr>
            <w:tcW w:w="980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Cover Page Interactive Data File (embedded within the Inline XBRL Document).</w:t>
            </w:r>
          </w:p>
        </w:tc>
      </w:tr>
      <w:tr>
        <w:trPr>
          <w:trHeight w:val="150"/>
        </w:trPr>
        <w:tc>
          <w:tcPr>
            <w:tcW w:w="2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300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4140" w:type="dxa"/>
            <w:vAlign w:val="bottom"/>
            <w:tcBorders>
              <w:bottom w:val="single" w:sz="8" w:color="auto"/>
            </w:tcBorders>
          </w:tcPr>
          <w:p>
            <w:pPr>
              <w:spacing w:after="0"/>
              <w:rPr>
                <w:sz w:val="13"/>
                <w:szCs w:val="13"/>
                <w:color w:val="auto"/>
              </w:rPr>
            </w:pPr>
          </w:p>
        </w:tc>
      </w:tr>
    </w:tbl>
    <w:p>
      <w:pPr>
        <w:sectPr>
          <w:pgSz w:w="11900" w:h="16838" w:orient="portrait"/>
          <w:cols w:equalWidth="0" w:num="1">
            <w:col w:w="11260"/>
          </w:cols>
          <w:pgMar w:left="320" w:top="125" w:right="319" w:bottom="1440" w:gutter="0" w:footer="0" w:header="0"/>
        </w:sectPr>
      </w:pPr>
    </w:p>
    <w:bookmarkStart w:id="4" w:name="page5"/>
    <w:bookmarkEnd w:id="4"/>
    <w:p>
      <w:pPr>
        <w:jc w:val="center"/>
        <w:ind w:right="-179"/>
        <w:spacing w:after="0"/>
        <w:rPr>
          <w:sz w:val="20"/>
          <w:szCs w:val="20"/>
          <w:color w:val="auto"/>
        </w:rPr>
      </w:pPr>
      <w:r>
        <w:rPr>
          <w:rFonts w:ascii="Times New Roman" w:cs="Times New Roman" w:eastAsia="Times New Roman" w:hAnsi="Times New Roman"/>
          <w:sz w:val="15"/>
          <w:szCs w:val="15"/>
          <w:b w:val="1"/>
          <w:bCs w:val="1"/>
          <w:color w:val="auto"/>
        </w:rPr>
        <w:t>SIGNATURE</w:t>
      </w:r>
    </w:p>
    <w:p>
      <w:pPr>
        <w:spacing w:after="0" w:line="19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5"/>
          <w:szCs w:val="15"/>
          <w:color w:val="auto"/>
        </w:rPr>
        <w:t>Pursuant to the requirements of the Securities Exchange Act of 1934, as amended, the registrant has duly caused this report to be signed on its behalf by the undersigned hereunto duly authorized.</w:t>
      </w:r>
    </w:p>
    <w:p>
      <w:pPr>
        <w:spacing w:after="0" w:line="31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5"/>
          <w:szCs w:val="15"/>
          <w:b w:val="1"/>
          <w:bCs w:val="1"/>
          <w:color w:val="auto"/>
        </w:rPr>
        <w:t>PRELUDE THERAPEUTICS INCORPORATED</w:t>
      </w:r>
    </w:p>
    <w:p>
      <w:pPr>
        <w:spacing w:after="0" w:line="375" w:lineRule="exact"/>
        <w:rPr>
          <w:sz w:val="20"/>
          <w:szCs w:val="20"/>
          <w:color w:val="auto"/>
        </w:rPr>
      </w:pPr>
    </w:p>
    <w:p>
      <w:pPr>
        <w:spacing w:after="0"/>
        <w:tabs>
          <w:tab w:leader="none" w:pos="5380" w:val="left"/>
          <w:tab w:leader="none" w:pos="5840" w:val="left"/>
        </w:tabs>
        <w:rPr>
          <w:sz w:val="20"/>
          <w:szCs w:val="20"/>
          <w:color w:val="auto"/>
        </w:rPr>
      </w:pPr>
      <w:r>
        <w:rPr>
          <w:rFonts w:ascii="Times New Roman" w:cs="Times New Roman" w:eastAsia="Times New Roman" w:hAnsi="Times New Roman"/>
          <w:sz w:val="15"/>
          <w:szCs w:val="15"/>
          <w:color w:val="auto"/>
        </w:rPr>
        <w:t>Date: November 4, 2025</w:t>
      </w:r>
      <w:r>
        <w:rPr>
          <w:sz w:val="20"/>
          <w:szCs w:val="20"/>
          <w:color w:val="auto"/>
        </w:rPr>
        <w:tab/>
      </w: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 Bryant Lim</w:t>
      </w:r>
    </w:p>
    <w:p>
      <w:pPr>
        <w:spacing w:after="0" w:line="4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5"/>
          <w:szCs w:val="15"/>
          <w:color w:val="auto"/>
        </w:rPr>
        <w:t>Bryant Lim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-106680</wp:posOffset>
            </wp:positionV>
            <wp:extent cx="343281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32810" cy="6985"/>
                    </a:xfrm>
                    <a:prstGeom prst="rect">
                      <a:avLst/>
                    </a:prstGeom>
                    <a:noFill/>
                  </pic:spPr>
                </pic:pic>
              </a:graphicData>
            </a:graphic>
          </wp:anchor>
        </w:drawing>
      </w:r>
    </w:p>
    <w:p>
      <w:pPr>
        <w:spacing w:after="0" w:line="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5"/>
          <w:szCs w:val="15"/>
          <w:color w:val="auto"/>
        </w:rPr>
        <w:t>Chief Legal Officer, Corporate Secretary, and Chief Financial Officer</w:t>
      </w:r>
    </w:p>
    <w:p>
      <w:pPr>
        <w:sectPr>
          <w:pgSz w:w="11900" w:h="16838" w:orient="portrait"/>
          <w:cols w:equalWidth="0" w:num="1">
            <w:col w:w="11080"/>
          </w:cols>
          <w:pgMar w:left="320" w:top="121" w:right="49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5"/>
          <w:szCs w:val="15"/>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1882140" cy="6997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82140" cy="699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Announces Exclusive Option Agreement with Incyte to Advance Mutant Selective JAK2V617F JH2 Inhibitors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Incyte secures an exclusive option to acquire Prelude’s mutant selective JAK2V617F JH2 inhibitor program</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Mutant selective JAK2V617F JH2 inhibitors have disease-modifying potential in treating patients living with myeloproliferative neoplasms (MPNs)</w:t>
      </w:r>
    </w:p>
    <w:p>
      <w:pPr>
        <w:spacing w:after="0" w:line="191" w:lineRule="exact"/>
        <w:rPr>
          <w:sz w:val="20"/>
          <w:szCs w:val="20"/>
          <w:color w:val="auto"/>
        </w:rPr>
      </w:pPr>
    </w:p>
    <w:p>
      <w:pPr>
        <w:jc w:val="center"/>
        <w:ind w:right="20"/>
        <w:spacing w:after="0" w:line="289" w:lineRule="auto"/>
        <w:rPr>
          <w:sz w:val="20"/>
          <w:szCs w:val="20"/>
          <w:color w:val="auto"/>
        </w:rPr>
      </w:pPr>
      <w:r>
        <w:rPr>
          <w:rFonts w:ascii="Times New Roman" w:cs="Times New Roman" w:eastAsia="Times New Roman" w:hAnsi="Times New Roman"/>
          <w:sz w:val="15"/>
          <w:szCs w:val="15"/>
          <w:i w:val="1"/>
          <w:iCs w:val="1"/>
          <w:color w:val="auto"/>
        </w:rPr>
        <w:t>Prelude to receive a $35 million upfront payment and $25 million strategic equity investment, $100 million if Incyte were to exercise the option to acquire the program, and up to $775 million in additional potential milestones plus royalties on net sales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Prelude will continue to develop all JAK2V617F program assets during the option period; if optioned, Incyte would lead development and commercialization globally</w:t>
      </w:r>
    </w:p>
    <w:p>
      <w:pPr>
        <w:spacing w:after="0" w:line="37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5"/>
          <w:szCs w:val="15"/>
          <w:b w:val="1"/>
          <w:bCs w:val="1"/>
          <w:color w:val="auto"/>
        </w:rPr>
        <w:t xml:space="preserve">WILMINGTON, Del., - Nov. 4, 2025 - </w:t>
      </w:r>
      <w:r>
        <w:rPr>
          <w:rFonts w:ascii="Times New Roman" w:cs="Times New Roman" w:eastAsia="Times New Roman" w:hAnsi="Times New Roman"/>
          <w:sz w:val="15"/>
          <w:szCs w:val="15"/>
          <w:color w:val="auto"/>
        </w:rPr>
        <w:t>Prelude Therapeutics Incorporated (Nasdaq:PRLD), a clinical-stage precision oncology company, today announced an exclusive option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agreement with Incyte (Nasdaq:INCY) focused on Prelude’s previously undisclosed mutant selective JAK2V617F JH2 inhibitor program in development for patients with myeloproliferative neoplasms (MPNs). Per the agreement, Incyte secures an exclusive option to acquire the JAK2V617F program in exchange for an upfront payment and a strategic equity investment in Prelude, plus potential downstream milestones and royalties.</w:t>
      </w:r>
    </w:p>
    <w:p>
      <w:pPr>
        <w:spacing w:after="0" w:line="148"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5"/>
          <w:szCs w:val="15"/>
          <w:color w:val="auto"/>
        </w:rPr>
        <w:t xml:space="preserve">Kris Vaddi, Ph.D., Chief Executive Officer of Prelude stated, “We’re pleased to put this agreement in place with Incyte, recognized global leaders in the MPN field. Prelude and Incyte both aim to deliver transformational treatments to </w:t>
      </w:r>
      <w:r>
        <w:rPr>
          <w:rFonts w:ascii="Times New Roman" w:cs="Times New Roman" w:eastAsia="Times New Roman" w:hAnsi="Times New Roman"/>
          <w:sz w:val="15"/>
          <w:szCs w:val="15"/>
          <w:color w:val="333333"/>
        </w:rPr>
        <w:t>improve upon the standard of care established with first generation JAK2 JH1 inhibitors like Jakafi</w:t>
      </w:r>
      <w:r>
        <w:rPr>
          <w:rFonts w:ascii="Times New Roman" w:cs="Times New Roman" w:eastAsia="Times New Roman" w:hAnsi="Times New Roman"/>
          <w:sz w:val="25"/>
          <w:szCs w:val="25"/>
          <w:color w:val="333333"/>
          <w:vertAlign w:val="superscript"/>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333333"/>
        </w:rPr>
        <w:t>(ruxolitinib).</w:t>
      </w:r>
      <w:r>
        <w:rPr>
          <w:rFonts w:ascii="Times New Roman" w:cs="Times New Roman" w:eastAsia="Times New Roman" w:hAnsi="Times New Roman"/>
          <w:sz w:val="15"/>
          <w:szCs w:val="15"/>
          <w:color w:val="auto"/>
        </w:rPr>
        <w:t xml:space="preserve"> Our research team made significant progress discovering the first known inhibitors that bind into the JAK2 JH2 ‘deep pocket’ where the V617F mutation resides. These potent and orally bioavailable compounds demonstrate mutant specific inhibition and the potential for disease modification in multiple preclinical models of MPNs</w:t>
      </w:r>
      <w:r>
        <w:rPr>
          <w:rFonts w:ascii="Times New Roman" w:cs="Times New Roman" w:eastAsia="Times New Roman" w:hAnsi="Times New Roman"/>
          <w:sz w:val="15"/>
          <w:szCs w:val="15"/>
          <w:color w:val="333333"/>
        </w:rPr>
        <w:t>.</w:t>
      </w:r>
      <w:r>
        <w:rPr>
          <w:rFonts w:ascii="Times New Roman" w:cs="Times New Roman" w:eastAsia="Times New Roman" w:hAnsi="Times New Roman"/>
          <w:sz w:val="15"/>
          <w:szCs w:val="15"/>
          <w:color w:val="auto"/>
        </w:rPr>
        <w:t xml:space="preserve"> Today’s agreement with Incyte provides us with the capital needed to advance further our JAK2V617F program, while also allowing us to advance the development of our other pipeline programs.”</w:t>
      </w:r>
    </w:p>
    <w:p>
      <w:pPr>
        <w:spacing w:after="0" w:line="170"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5"/>
          <w:szCs w:val="15"/>
          <w:color w:val="auto"/>
        </w:rPr>
        <w:t>"The agreement with Prelude provides an opportunity to enhance our robust portfolio of clinical and preclinical JAK2V617F candidates for patients with MPNs,” said Bill Meury, President and Chief Executive Officer of Incyte. “This transaction aligns with our strategy to develop new and innovative therapies poised to make a meaningful difference for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153910" cy="146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5"/>
          <w:szCs w:val="15"/>
          <w:b w:val="1"/>
          <w:bCs w:val="1"/>
          <w:i w:val="1"/>
          <w:iCs w:val="1"/>
          <w:color w:val="auto"/>
        </w:rPr>
        <w:t>Terms of the Agreement</w:t>
      </w:r>
    </w:p>
    <w:p>
      <w:pPr>
        <w:spacing w:after="0" w:line="2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5"/>
          <w:szCs w:val="15"/>
          <w:color w:val="auto"/>
        </w:rPr>
        <w:t>Under the terms of the Transaction Agreement, Incyte secures an exclusive option to acquire Prelude’s mutant selective JAK2V617F JH2 inhibitor program, including Prelude’s library of preclinical candidates. Prelude will receive $60 million in capital, comprised of an upfront payment of $35 million, plus a $25 million equity investment by Incyte in Prelude. Incyte will purchase 6.25 million shares of Prelude non-voting common stock at a price of $4.00 per share at deal close. Prelude intends to apply the upfront payment and net proceeds from the sale of the purchased shares to advance the JAK2V617F program and other pipeline assets, and for working capital and general corporate purposes.</w:t>
      </w:r>
    </w:p>
    <w:p>
      <w:pPr>
        <w:spacing w:after="0" w:line="155" w:lineRule="exact"/>
        <w:rPr>
          <w:sz w:val="20"/>
          <w:szCs w:val="20"/>
          <w:color w:val="auto"/>
        </w:rPr>
      </w:pPr>
    </w:p>
    <w:p>
      <w:pPr>
        <w:jc w:val="both"/>
        <w:ind w:right="280"/>
        <w:spacing w:after="0" w:line="264" w:lineRule="auto"/>
        <w:rPr>
          <w:sz w:val="20"/>
          <w:szCs w:val="20"/>
          <w:color w:val="auto"/>
        </w:rPr>
      </w:pPr>
      <w:r>
        <w:rPr>
          <w:rFonts w:ascii="Times New Roman" w:cs="Times New Roman" w:eastAsia="Times New Roman" w:hAnsi="Times New Roman"/>
          <w:sz w:val="15"/>
          <w:szCs w:val="15"/>
          <w:color w:val="auto"/>
        </w:rPr>
        <w:t>Prelude expects to advance the JAK2V617F program to pre-defined milestones. Incyte may elect to exercise its exclusive option during the option period to acquire the program and associated assets from Prelude for $100 million. As the JAK2V617F program candidates advance in the clinic, Prelude would be eligible to receive up to $775 million in additional clinical and regulatory milestones, and single digit royalties on global net sales. Combined, total potential cash payments from the transaction, excluding royalties, could reach up to $910 million.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If Incyte elects to not exercise its option to acquire the program, all JAK2V617F global program rights and interests would remain in the sole ownership and control of Prelude.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Prelude Therapeutics was advised on the transaction by Morgan Lewis &amp; Bockius LLP as legal counsel.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Mutant selective JAK2V617F JH2 inhibitor program</w:t>
      </w:r>
    </w:p>
    <w:p>
      <w:pPr>
        <w:spacing w:after="0" w:line="28" w:lineRule="exact"/>
        <w:rPr>
          <w:sz w:val="20"/>
          <w:szCs w:val="20"/>
          <w:color w:val="auto"/>
        </w:rPr>
      </w:pPr>
    </w:p>
    <w:p>
      <w:pPr>
        <w:ind w:right="20"/>
        <w:spacing w:after="0" w:line="230" w:lineRule="auto"/>
        <w:rPr>
          <w:sz w:val="20"/>
          <w:szCs w:val="20"/>
          <w:color w:val="auto"/>
        </w:rPr>
      </w:pPr>
      <w:r>
        <w:rPr>
          <w:rFonts w:ascii="Times New Roman" w:cs="Times New Roman" w:eastAsia="Times New Roman" w:hAnsi="Times New Roman"/>
          <w:sz w:val="15"/>
          <w:szCs w:val="15"/>
          <w:color w:val="auto"/>
        </w:rPr>
        <w:t>JAK2V617F is the primary driver mutation responsible for disease progression in the majority of patients living with myeloproliferative neoplasms (MPNs). The mutation impacts approximately 95% of patients with polycythemia vera (PV), 60% of patients with essential thrombocythemia (ET) and 55% of patients with myelofibrosis (MF). Identifying JAK2 JH2 inhibitors that selectively target V617F+ cells has long been a shared goal and challenge for industry. If successful, this approach has potential to reduce mutant allele burden, modify disease progression, and transform treatment outcomes for MPN patients. Prelude has discovered novel allosteric inhibitors that bind into the JAK2 JH2 “deep pocket” where the V617F mutation resides. These candidates demonstrate mutant specific inhibition in multiple preclinical models of MPNs. The first disclosure of program data was accepted for oral presentation at the American Society of Hematology (ASH) 67</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5"/>
          <w:szCs w:val="15"/>
          <w:color w:val="auto"/>
        </w:rPr>
        <w:t xml:space="preserve"> Annual Meeting taking place in Orlando, FL December 6-9, 2025. The abstract can be found on the ASH 2025 website </w:t>
      </w:r>
      <w:r>
        <w:rPr>
          <w:rFonts w:ascii="Times New Roman" w:cs="Times New Roman" w:eastAsia="Times New Roman" w:hAnsi="Times New Roman"/>
          <w:sz w:val="15"/>
          <w:szCs w:val="15"/>
          <w:u w:val="single" w:color="auto"/>
          <w:color w:val="0000FF"/>
        </w:rPr>
        <w:t>ASH Annual Meeting &amp; Exposition - Hematology.org</w:t>
      </w:r>
      <w:r>
        <w:rPr>
          <w:rFonts w:ascii="Times New Roman" w:cs="Times New Roman" w:eastAsia="Times New Roman" w:hAnsi="Times New Roman"/>
          <w:sz w:val="15"/>
          <w:szCs w:val="15"/>
          <w:color w:val="000000"/>
        </w:rPr>
        <w: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About Prelude Therapeutics</w:t>
      </w:r>
    </w:p>
    <w:p>
      <w:pPr>
        <w:spacing w:after="0" w:line="28"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5"/>
          <w:szCs w:val="15"/>
          <w:color w:val="auto"/>
        </w:rPr>
        <w:t>Prelude Therapeutics is a leading precision oncology company developing innovative medicines in areas of high unmet need for cancer patients. Our pipeline features highly selective KAT6A degraders and mutant selective JAK2V617F JH2 inhibitors - new approaches to clinically validated targets with transformative potential for patients. We are also leveraging our expertise in targeted protein degradation to discover and develop next generation degrader antibody conjugates (DACs) with novel payloads. We are on a mission to extend the promise of precision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153910" cy="146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5"/>
          <w:szCs w:val="15"/>
          <w:color w:val="auto"/>
        </w:rPr>
        <w:t xml:space="preserve">medicine to every cancer patient in need. Our corporate presentation can be found at </w:t>
      </w:r>
      <w:r>
        <w:rPr>
          <w:rFonts w:ascii="Times New Roman" w:cs="Times New Roman" w:eastAsia="Times New Roman" w:hAnsi="Times New Roman"/>
          <w:sz w:val="15"/>
          <w:szCs w:val="15"/>
          <w:u w:val="single" w:color="auto"/>
          <w:color w:val="0000FF"/>
        </w:rPr>
        <w:t>Events &amp; Presentations - Prelude Therapeutics</w:t>
      </w:r>
      <w:r>
        <w:rPr>
          <w:rFonts w:ascii="Times New Roman" w:cs="Times New Roman" w:eastAsia="Times New Roman" w:hAnsi="Times New Roman"/>
          <w:sz w:val="15"/>
          <w:szCs w:val="15"/>
          <w:color w:val="auto"/>
        </w:rPr>
        <w:t>. For more information, visit preludetx.com.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Prelude Cautionary Note Regarding Forward-Looking Statements</w:t>
      </w:r>
    </w:p>
    <w:p>
      <w:pPr>
        <w:spacing w:after="0" w:line="2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5"/>
          <w:szCs w:val="15"/>
          <w:color w:val="auto"/>
        </w:rPr>
        <w:t>This press release contains forward-looking statements within the meaning of the "safe harbor" provisions of the Private Securities Litigation Reform Act of 1995, including, but not limited to, anticipated discovery, preclinical and clinical development activities for Prelude’s product candidates, the potential safety, efficacy, benefits and addressable market for Prelude’s product candidates, the expected timeline for clinical trial results for Prelude’s product candidates, and the sufficiency of Prelude’s cash runway. All statements other than statements of historical fact are statements that could be deemed forward-looking statements. The words “believes,” “anticipates,” “estimates,” “plans,” “expects,” “intends,” “may,” “could,” “should,” “potential,” “likely,” “projects,” “continue,” “will,” “schedule,” and “would” and similar expressions are intended to identify forward-looking statements, although not all forward-looking statements contain these identifying words. These forward-looking statements are predictions based on the Company’s current expectations and projections about future events and various assumptions. Although Prelude believes that the expectations reflected in such forward-looking statements are reasonable, Prelude cannot guarantee future events, results, actions, levels of activity, performance or achievements, and the timing and results of biotechnology development and potential regulatory approval is inherently uncertain. Forward-looking statements are subject to risks and uncertainties that may cause Prelude's actual activities or results to differ significantly from those expressed in any forward-looking statement, including risks and uncertainties related to Prelude's ability to advance its product candidates, the receipt and timing of potential regulatory designations, approvals and commercialization of product candidates, clinical trial sites and our ability to enroll eligible patients, supply chain and manufacturing facilities, Prelude’s ability to maintain and recognize the benefits of certain designations received by product candidates, the timing and results of preclinical and clinical trials, Prelude's ability to fund development activities and achieve development goals, Prelude's ability to protect intellectual property, and other risks and uncertainties described under the heading "Risk Factors" in Prelude’s Annual Report on Form 10-K for the year ended December 31, 2024, its Quarterly Reports on Form 10-Q and other documents that Prelude files from time to time with the Securities and Exchange Commission. These forward-looking statements speak only as of the date of this press release, and Prelude undertakes no obligation to revise or update any forward-looking statements to reflect events or circumstances after the date hereof, except as may be required by law.</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 # #</w:t>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Contacts: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Prelude: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Robert A. Doody, Jr.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Senior Vice President,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Prelude Therapeutics Incorporated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484.639.7235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rdoody@preludetx.com</w:t>
      </w:r>
    </w:p>
    <w:p>
      <w:pPr>
        <w:sectPr>
          <w:pgSz w:w="11900" w:h="16838" w:orient="portrait"/>
          <w:cols w:equalWidth="0" w:num="1">
            <w:col w:w="11220"/>
          </w:cols>
          <w:pgMar w:left="320" w:top="125" w:right="35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5"/>
          <w:szCs w:val="15"/>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2633980</wp:posOffset>
            </wp:positionH>
            <wp:positionV relativeFrom="paragraph">
              <wp:posOffset>133350</wp:posOffset>
            </wp:positionV>
            <wp:extent cx="1882140" cy="6997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82140" cy="699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Announces Strategic Business Update</w:t>
      </w:r>
    </w:p>
    <w:p>
      <w:pPr>
        <w:spacing w:after="0" w:line="18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5"/>
          <w:szCs w:val="15"/>
          <w:i w:val="1"/>
          <w:iCs w:val="1"/>
          <w:color w:val="auto"/>
        </w:rPr>
        <w:t>Prelude to prioritize development of mutant selective JAK2V617F JH2 inhibitor and KAT6A selective degrader programs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Pausing further clinical development of SMARCA2 selective degrader programs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JAK2V617F option agreement with Incyte, as previously announced, includes upfront payment of $35 million, a $25 million equity investment and $100 million if option is exercised</w:t>
      </w:r>
    </w:p>
    <w:p>
      <w:pPr>
        <w:spacing w:after="0" w:line="191" w:lineRule="exact"/>
        <w:rPr>
          <w:sz w:val="20"/>
          <w:szCs w:val="20"/>
          <w:color w:val="auto"/>
        </w:rPr>
      </w:pPr>
    </w:p>
    <w:p>
      <w:pPr>
        <w:ind w:left="4580" w:right="260" w:hanging="3776"/>
        <w:spacing w:after="0" w:line="289" w:lineRule="auto"/>
        <w:rPr>
          <w:sz w:val="20"/>
          <w:szCs w:val="20"/>
          <w:color w:val="auto"/>
        </w:rPr>
      </w:pPr>
      <w:r>
        <w:rPr>
          <w:rFonts w:ascii="Times New Roman" w:cs="Times New Roman" w:eastAsia="Times New Roman" w:hAnsi="Times New Roman"/>
          <w:sz w:val="15"/>
          <w:szCs w:val="15"/>
          <w:i w:val="1"/>
          <w:iCs w:val="1"/>
          <w:color w:val="auto"/>
        </w:rPr>
        <w:t>Cumulative capital expected to fund planned operations into 2027 based on the Company’s preliminary estimates, and potentially into the third quarter of 2028 if Incyte exercises option on JAK2 program</w:t>
      </w:r>
    </w:p>
    <w:p>
      <w:pPr>
        <w:spacing w:after="0" w:line="130"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5"/>
          <w:szCs w:val="15"/>
          <w:i w:val="1"/>
          <w:iCs w:val="1"/>
          <w:color w:val="auto"/>
        </w:rPr>
        <w:t>Company to release third quarter 2025 financial results and conduct an investor conference call on November 12, 2025</w:t>
      </w:r>
    </w:p>
    <w:p>
      <w:pPr>
        <w:spacing w:after="0" w:line="193" w:lineRule="exact"/>
        <w:rPr>
          <w:sz w:val="20"/>
          <w:szCs w:val="20"/>
          <w:color w:val="auto"/>
        </w:rPr>
      </w:pPr>
    </w:p>
    <w:p>
      <w:pPr>
        <w:jc w:val="both"/>
        <w:ind w:right="400"/>
        <w:spacing w:after="0" w:line="269" w:lineRule="auto"/>
        <w:rPr>
          <w:sz w:val="20"/>
          <w:szCs w:val="20"/>
          <w:color w:val="auto"/>
        </w:rPr>
      </w:pPr>
      <w:r>
        <w:rPr>
          <w:rFonts w:ascii="Times New Roman" w:cs="Times New Roman" w:eastAsia="Times New Roman" w:hAnsi="Times New Roman"/>
          <w:sz w:val="15"/>
          <w:szCs w:val="15"/>
          <w:color w:val="auto"/>
        </w:rPr>
        <w:t>WILMINGTON, Del., Nov. 4, 2025 (GLOBE NEWSWIRE) – Prelude Therapeutics Incorporated (Nasdaq: PRLD), a precision oncology company, today is providing a number of strategic updates, including its recently executed option agreement with Incyte Corporation centered on its previously undisclosed JAK2V617F mutant selective inhibitor program, prioritizing development of its first-in-class KAT6A selective degrader program and pausing of its SMARCA2 programs.</w:t>
      </w:r>
    </w:p>
    <w:p>
      <w:pPr>
        <w:spacing w:after="0" w:line="147"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5"/>
          <w:szCs w:val="15"/>
          <w:color w:val="auto"/>
        </w:rPr>
        <w:t>Earlier today, Prelude announced an exclusive option agreement with Incyte to advance its mutant selective JAK2V617F JH2 inhibitor program for patients with myeloproliferative neoplasms (MPNs). With this transaction, Incyte secures an exclusive option to acquire the JAK2V617F program in exchange for an upfront payment and an equity investment in Prelude, plus downstream milestones and royalties. Prelude will continue to own and develop all JAK2V617F program assets until point of option exercise, after which Incyte will lead development and commercialization globally.</w:t>
      </w:r>
    </w:p>
    <w:p>
      <w:pPr>
        <w:spacing w:after="0" w:line="150"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5"/>
          <w:szCs w:val="15"/>
          <w:color w:val="auto"/>
        </w:rPr>
        <w:t>Prelude is prioritizing the development of its highly selective KAT6A degrader for ER+ breast cancer. Selectively degrading KAT6A is a novel approach to a clinically validated target with transformative potential for patients. The Company expects to advance the program into clinical development in 2026 and generate initial proof-of-concept clinical data, including a potentially differentiated efficacy and safety profile compared to non-selective KAT6A/B inhibitors currently in clinical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153910" cy="146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9" w:name="page10"/>
    <w:bookmarkEnd w:id="9"/>
    <w:p>
      <w:pPr>
        <w:ind w:right="80"/>
        <w:spacing w:after="0" w:line="269" w:lineRule="auto"/>
        <w:rPr>
          <w:sz w:val="20"/>
          <w:szCs w:val="20"/>
          <w:color w:val="auto"/>
        </w:rPr>
      </w:pPr>
      <w:r>
        <w:rPr>
          <w:rFonts w:ascii="Times New Roman" w:cs="Times New Roman" w:eastAsia="Times New Roman" w:hAnsi="Times New Roman"/>
          <w:sz w:val="15"/>
          <w:szCs w:val="15"/>
          <w:color w:val="auto"/>
        </w:rPr>
        <w:t>Prelude also announced it has decided to pause the clinical development of its SMARCA2 degrader program. The decision to pause was based on a comprehensive review of clinical data generated to date and the Company’s assessment of the capital and resource allocation required to advance the SMARCA2 program, versus the JAK2 and KAT6A programs, to key points of value inflection.</w:t>
      </w:r>
    </w:p>
    <w:p>
      <w:pPr>
        <w:spacing w:after="0" w:line="147"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5"/>
          <w:szCs w:val="15"/>
          <w:color w:val="auto"/>
        </w:rPr>
        <w:t>Based on these announcements, the Company’s cash runway is now expected to extend into 2027 based on the Company’s preliminary estimates. The cash runway could potentially be expected to extend into the third quarter of 2028 if Incyte exercises its option on the JAK2 program subject to customary closing conditions and based on the Company’s preliminary estimates. As of October 31, 2025, the Company had approximately $52 million of cash, cash equivalents and marketable securities and will receive $60 million following the closing of the option and securities purchase from Incyte’s upfront payment and equity investment.</w:t>
      </w:r>
    </w:p>
    <w:p>
      <w:pPr>
        <w:spacing w:after="0" w:line="150"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5"/>
          <w:szCs w:val="15"/>
          <w:color w:val="auto"/>
        </w:rPr>
        <w:t>“This morning, we announced important strategic decisions that we believe provide the most compelling set of opportunities to address important unmet needs for patients and value creation for our investors,” stated Kris Vaddi, Ph.D. Chief Executive Officer of Prelude. “Our research team made significant breakthroughs in discovering highly differentiated molecules targeting clinically validated mechanisms that are positioned to enter the clinic in 2026. These molecules present potential proof of concept and differentiation opportunities early in clinical development with well understood development paths.”</w:t>
      </w:r>
    </w:p>
    <w:p>
      <w:pPr>
        <w:spacing w:after="0" w:line="15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5"/>
          <w:szCs w:val="15"/>
          <w:color w:val="auto"/>
        </w:rPr>
        <w:t>Vaddi continued, “Having actively pursued the clinical development of our SMARCA2 selective degraders, we determined that complex biology and aggressiveness of disease in patients with SMARCA4 deletions will likely require early intervention and combination strategies to make a meaningful impact for patients. We are not resourced to explore the mechanism fully in the timeframe needed to deliver a concrete and viable path forward. In addition, we believe that optimally resourcing the JAK2V617F mutant selective inhibitor and KAT6A degrader programs are of paramount importance and as noted in this morning’s previous announcement, the agreement with Incyte brings in significant capital enabling us to advance both programs.”</w:t>
      </w:r>
    </w:p>
    <w:p>
      <w:pPr>
        <w:spacing w:after="0" w:line="15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5"/>
          <w:szCs w:val="15"/>
          <w:color w:val="auto"/>
        </w:rPr>
        <w:t>Prelude also announced the departure of President and Chief Medical Officer Jane Huang, M.D. to pursue other opportunities. Victor Sandor, M.D.C.M., former Chief Medical Officer of Array BioPharma and current Prelude board member and chair of the Science and Technology Committee, will provide strategic and operational oversight of clinical development as the Company advances KAT6A towards first-in-human studies, and its JAK2 program. Dr. Sandor brings extensive oncology development leadership experience, notably through his successful tenures at Incyte Corporation, Biogen Idec and AstraZeneca. The Company will seek to augment the clinical development leadership in a timeframe that fits with the maturation of the programs.</w:t>
      </w:r>
    </w:p>
    <w:p>
      <w:pPr>
        <w:spacing w:after="0" w:line="152"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5"/>
          <w:szCs w:val="15"/>
          <w:color w:val="auto"/>
        </w:rPr>
        <w:t>Added Vaddi, “Lastly, we would like to thank Dr. Huang for her many contributions to Prelude and wish her continued success in her future endeavors. We are honored and gratified that Dr. Sandor is stepping in to provide strategic leadership and oversight of our clinical development programs, as we prepare for IND filing and first in human studies for the mutant selective JAK2V617F and KAT6A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153910" cy="146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5"/>
          <w:szCs w:val="15"/>
          <w:b w:val="1"/>
          <w:bCs w:val="1"/>
          <w:i w:val="1"/>
          <w:iCs w:val="1"/>
          <w:color w:val="auto"/>
        </w:rPr>
        <w:t>Key Pipeline Programs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Highly selective KAT6A oral degrader program</w:t>
      </w:r>
    </w:p>
    <w:p>
      <w:pPr>
        <w:spacing w:after="0" w:line="9"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5"/>
          <w:szCs w:val="15"/>
          <w:color w:val="auto"/>
        </w:rPr>
        <w:t xml:space="preserve">KAT6 is an emerging and recently validated target in the treatment of ER+ breast cancer. Prelude discovered and is developing first-in-class, highly potent, highly selective and orally bioavailable KAT6A selective degraders. The Company has selected a development candidate and remains on track to file an IND in mid-2026. Prelude believes that selectively degrading KAT6A has the potential for improved efficacy, tolerability and combinability with other agents relative to non-selective inhibitors of KAT6A/B. The Company recently presented preclinical data supporting this hypothesis at the AACR Annual Meeting 2025. The presentation can be found at </w:t>
      </w:r>
      <w:r>
        <w:rPr>
          <w:rFonts w:ascii="Times New Roman" w:cs="Times New Roman" w:eastAsia="Times New Roman" w:hAnsi="Times New Roman"/>
          <w:sz w:val="15"/>
          <w:szCs w:val="15"/>
          <w:u w:val="single" w:color="auto"/>
          <w:color w:val="0000FF"/>
        </w:rPr>
        <w:t>Publications - Prelude Therapeutics</w:t>
      </w:r>
      <w:r>
        <w:rPr>
          <w:rFonts w:ascii="Times New Roman" w:cs="Times New Roman" w:eastAsia="Times New Roman" w:hAnsi="Times New Roman"/>
          <w:sz w:val="15"/>
          <w:szCs w:val="15"/>
          <w:color w:val="auto"/>
        </w:rPr>
        <w: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Mutant selective JAK2V617F JH2 inhibitor program</w:t>
      </w:r>
    </w:p>
    <w:p>
      <w:pPr>
        <w:spacing w:after="0" w:line="2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5"/>
          <w:szCs w:val="15"/>
          <w:color w:val="auto"/>
        </w:rPr>
        <w:t>JAK2V617F is the primary driver mutation responsible for disease progression in the majority of patients living with myeloproliferative neoplasms (MPNs). The mutation impacts approximately 95% of patients with polycythemia vera (PV), 60% of patients with essential thrombocythemia (ET) and 55% of patients with myelofibrosis (MF). Identifying JAK2 JH2 inhibitors that selectively target V617F+ cells has long been a shared goal and challenge for industry. Prelude has discovered novel allosteric inhibitors that bind into the JAK2 JH2 “deep pocket” where the V617F mutation resides. These candidates demonstrate mutant specific inhibition in multiple preclinical models of MPNs. Prelude believes this approach may have the potential to reduce mutant allele burden, slow or even reverse disease progression, and transform treatment outcomes for MPN patients.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Mutated Calreticulin (mCALR) degrader antibody conjugates (DACs)</w:t>
      </w:r>
    </w:p>
    <w:p>
      <w:pPr>
        <w:spacing w:after="0" w:line="2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5"/>
          <w:szCs w:val="15"/>
          <w:color w:val="auto"/>
        </w:rPr>
        <w:t xml:space="preserve">Mutant CALR is a neoantigen presented on the cell surface of malignant myeloid cells but not normal cells and is found in approximately 25-35% of patients with myelofibrosis (MF) and essential thrombocythemia (ET). Recently, a mCALR-targeted monoclonal antibody demonstrated robust clinical activity in high-risk ET patients. Prelude is seeking to further optimize this modality by developing mCALR-targeted DACs using the Company’s proprietary degrader payloads. The Company presented the first preclinical data from this discovery effort at the European Hematology Association 2025 Congress in June. The presentation can be found at </w:t>
      </w:r>
      <w:r>
        <w:rPr>
          <w:rFonts w:ascii="Times New Roman" w:cs="Times New Roman" w:eastAsia="Times New Roman" w:hAnsi="Times New Roman"/>
          <w:sz w:val="15"/>
          <w:szCs w:val="15"/>
          <w:u w:val="single" w:color="auto"/>
          <w:color w:val="0000FF"/>
        </w:rPr>
        <w:t>Publications - Prelude Therapeutics</w:t>
      </w:r>
      <w:r>
        <w:rPr>
          <w:rFonts w:ascii="Times New Roman" w:cs="Times New Roman" w:eastAsia="Times New Roman" w:hAnsi="Times New Roman"/>
          <w:sz w:val="15"/>
          <w:szCs w:val="15"/>
          <w:color w:val="auto"/>
        </w:rPr>
        <w: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Precision ADCs with SMARCA2/4 dual degrader payload</w:t>
      </w:r>
    </w:p>
    <w:p>
      <w:pPr>
        <w:spacing w:after="0" w:line="28" w:lineRule="exact"/>
        <w:rPr>
          <w:sz w:val="20"/>
          <w:szCs w:val="20"/>
          <w:color w:val="auto"/>
        </w:rPr>
      </w:pPr>
    </w:p>
    <w:p>
      <w:pPr>
        <w:spacing w:after="0" w:line="216" w:lineRule="auto"/>
        <w:rPr>
          <w:sz w:val="20"/>
          <w:szCs w:val="20"/>
          <w:color w:val="auto"/>
        </w:rPr>
      </w:pPr>
      <w:r>
        <w:rPr>
          <w:rFonts w:ascii="Times New Roman" w:cs="Times New Roman" w:eastAsia="Times New Roman" w:hAnsi="Times New Roman"/>
          <w:sz w:val="15"/>
          <w:szCs w:val="15"/>
          <w:color w:val="auto"/>
        </w:rPr>
        <w:t>Prelude is developing potent SMARCA2/4 dual degraders that robustly inhibit cancer cell growth and induce cell death across multiple cancer types as payloads for precision ADCs. The Company presented the first preclinical data from its precision ADC platform at the 36</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5"/>
          <w:szCs w:val="15"/>
          <w:color w:val="auto"/>
        </w:rPr>
        <w:t xml:space="preserve"> EORTC-NCI-AACR Symposium in October. These data demonstrated that SMARCA2/4 degrader antibody conjugates have potential for significantly better </w:t>
      </w:r>
      <w:r>
        <w:rPr>
          <w:rFonts w:ascii="Times New Roman" w:cs="Times New Roman" w:eastAsia="Times New Roman" w:hAnsi="Times New Roman"/>
          <w:sz w:val="15"/>
          <w:szCs w:val="15"/>
          <w:i w:val="1"/>
          <w:iCs w:val="1"/>
          <w:color w:val="auto"/>
        </w:rPr>
        <w:t>in vivo</w:t>
      </w:r>
      <w:r>
        <w:rPr>
          <w:rFonts w:ascii="Times New Roman" w:cs="Times New Roman" w:eastAsia="Times New Roman" w:hAnsi="Times New Roman"/>
          <w:sz w:val="15"/>
          <w:szCs w:val="15"/>
          <w:color w:val="auto"/>
        </w:rPr>
        <w:t xml:space="preserve"> efficacy and tolerability when compared to traditional cytotoxic ADCs when tested head-to-head in xenograft models. The presentation can be found at </w:t>
      </w:r>
      <w:r>
        <w:rPr>
          <w:rFonts w:ascii="Times New Roman" w:cs="Times New Roman" w:eastAsia="Times New Roman" w:hAnsi="Times New Roman"/>
          <w:sz w:val="15"/>
          <w:szCs w:val="15"/>
          <w:u w:val="single" w:color="auto"/>
          <w:color w:val="0000FF"/>
        </w:rPr>
        <w:t>Publications - Prelude Therapeutics</w:t>
      </w:r>
      <w:r>
        <w:rPr>
          <w:rFonts w:ascii="Times New Roman" w:cs="Times New Roman" w:eastAsia="Times New Roman" w:hAnsi="Times New Roman"/>
          <w:sz w:val="15"/>
          <w:szCs w:val="15"/>
          <w:color w:val="auto"/>
        </w:rPr>
        <w: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About Prelude Therapeutics</w:t>
      </w:r>
    </w:p>
    <w:p>
      <w:pPr>
        <w:spacing w:after="0" w:line="28"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5"/>
          <w:szCs w:val="15"/>
          <w:color w:val="auto"/>
        </w:rPr>
        <w:t>Prelude Therapeutics is a leading precision oncology company developing innovative medicines in areas of high unmet need for cancer patients. Our pipeline features highly selective KAT6A degraders and JAK2V617F mutant selective inhibitors -- new approaches to clinically validated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53910" cy="146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1" w:name="page12"/>
    <w:bookmarkEnd w:id="11"/>
    <w:p>
      <w:pPr>
        <w:ind w:right="140"/>
        <w:spacing w:after="0" w:line="269" w:lineRule="auto"/>
        <w:rPr>
          <w:sz w:val="20"/>
          <w:szCs w:val="20"/>
          <w:color w:val="auto"/>
        </w:rPr>
      </w:pPr>
      <w:r>
        <w:rPr>
          <w:rFonts w:ascii="Times New Roman" w:cs="Times New Roman" w:eastAsia="Times New Roman" w:hAnsi="Times New Roman"/>
          <w:sz w:val="15"/>
          <w:szCs w:val="15"/>
          <w:color w:val="auto"/>
        </w:rPr>
        <w:t xml:space="preserve">targets with transformative potential for patients. We are leveraging our expertise in targeted protein degradation to discover and develop next generation degrader antibody conjugates (DACs) with novel payloads. We are on a mission to extend the promise of precision medicine to every cancer patient in need. Our corporate presentation can be found at </w:t>
      </w:r>
      <w:r>
        <w:rPr>
          <w:rFonts w:ascii="Times New Roman" w:cs="Times New Roman" w:eastAsia="Times New Roman" w:hAnsi="Times New Roman"/>
          <w:sz w:val="15"/>
          <w:szCs w:val="15"/>
          <w:u w:val="single" w:color="auto"/>
          <w:color w:val="0000FF"/>
        </w:rPr>
        <w:t>Events &amp;</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0000FF"/>
        </w:rPr>
        <w:t>Presentations - Prelude Therapeutics</w:t>
      </w:r>
      <w:r>
        <w:rPr>
          <w:rFonts w:ascii="Times New Roman" w:cs="Times New Roman" w:eastAsia="Times New Roman" w:hAnsi="Times New Roman"/>
          <w:sz w:val="15"/>
          <w:szCs w:val="15"/>
          <w:color w:val="000000"/>
        </w:rPr>
        <w:t>. For more information, visit preludetx.com.</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Cautionary Note Regarding Forward-Looking Statements</w:t>
      </w:r>
    </w:p>
    <w:p>
      <w:pPr>
        <w:spacing w:after="0" w:line="2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5"/>
          <w:szCs w:val="15"/>
          <w:color w:val="auto"/>
        </w:rPr>
        <w:t>This press release contains forward-looking statements within the meaning of the "safe harbor" provisions of the Private Securities Litigation Reform Act of 1995, including, but not limited to, anticipated discovery, preclinical and clinical development activities for Prelude’s product candidates, the potential safety, efficacy, benefits and addressable market for Prelude’s product candidates, the expected timeline for clinical trial results for Prelude’s product candidates, and the sufficiency of Prelude’s cash runway. All statements other than statements of historical fact are statements that could be deemed forward-looking statements. The words “believes,” “anticipates,” “estimates,” “plans,” “expects,” “intends,” “may,” “could,” “should,” “potential,” “likely,” “projects,” “continue,” “will,” “schedule,” and “would” and similar expressions are intended to identify forward-looking statements, although not all forward-looking statements contain these identifying words. These forward-looking statements are predictions based on the Company’s current expectations and projections about future events and various assumptions. Although Prelude believes that the expectations reflected in such forward-looking statements are reasonable, Prelude cannot guarantee future events, results, actions, levels of activity, performance or achievements, and the timing and results of biotechnology development and potential regulatory approval is inherently uncertain. Forward-looking statements are subject to risks and uncertainties that may cause Prelude's actual activities or results to differ significantly from those expressed in any forward-looking statement, including risks and uncertainties related to Prelude's ability to advance its product candidates, the receipt and timing of potential regulatory designations, approvals and commercialization of product candidates, clinical trial sites and our ability to enroll eligible patients, supply chain and manufacturing facilities, Prelude’s ability to maintain and recognize the benefits of certain designations received by product candidates, the timing and results of preclinical and clinical trials, Prelude's ability to fund development activities and achieve development goals, Prelude's ability to protect intellectual property, and other risks and uncertainties described under the heading "Risk Factors" in Prelude’s Annual Report on Form 10-K for the year ended December 31, 2024, its Quarterly Reports on Form 10-Q and other documents that Prelude files from time to time with the Securities and Exchange Commission. These forward-looking statements speak only as of the date of this press release, and Prelude undertakes no obligation to revise or update any forward-looking statements to reflect events or circumstances after the date hereof, except as may be required by law.</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Investor Contact: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Robert A. Doody, Jr.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Senior Vice President,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Prelude Therapeutics Incorporated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484.639.7235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rdoody@preludetx.com</w:t>
      </w:r>
    </w:p>
    <w:p>
      <w:pPr>
        <w:sectPr>
          <w:pgSz w:w="11900" w:h="16838" w:orient="portrait"/>
          <w:cols w:equalWidth="0" w:num="1">
            <w:col w:w="11220"/>
          </w:cols>
          <w:pgMar w:left="320" w:top="125" w:right="359" w:bottom="1440" w:gutter="0" w:footer="0" w:header="0"/>
        </w:sectPr>
      </w:pPr>
    </w:p>
    <w:bookmarkStart w:id="12" w:name="page13"/>
    <w:bookmarkEnd w:id="12"/>
    <w:p>
      <w:pPr>
        <w:ind w:left="9360"/>
        <w:spacing w:after="0"/>
        <w:rPr>
          <w:sz w:val="20"/>
          <w:szCs w:val="20"/>
          <w:color w:val="auto"/>
        </w:rPr>
      </w:pPr>
      <w:r>
        <w:rPr>
          <w:rFonts w:ascii="Times New Roman" w:cs="Times New Roman" w:eastAsia="Times New Roman" w:hAnsi="Times New Roman"/>
          <w:sz w:val="15"/>
          <w:szCs w:val="15"/>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140335</wp:posOffset>
            </wp:positionV>
            <wp:extent cx="7206615" cy="42767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6615" cy="4276725"/>
                    </a:xfrm>
                    <a:prstGeom prst="rect">
                      <a:avLst/>
                    </a:prstGeom>
                    <a:noFill/>
                  </pic:spPr>
                </pic:pic>
              </a:graphicData>
            </a:graphic>
          </wp:anchor>
        </w:drawing>
      </w:r>
    </w:p>
    <w:p>
      <w:pPr>
        <w:sectPr>
          <w:pgSz w:w="11900" w:h="16838" w:orient="portrait"/>
          <w:cols w:equalWidth="0" w:num="1">
            <w:col w:w="10140"/>
          </w:cols>
          <w:pgMar w:left="1440" w:top="121" w:right="319" w:bottom="1440"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88900</wp:posOffset>
            </wp:positionV>
            <wp:extent cx="7206615" cy="42906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661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88900</wp:posOffset>
            </wp:positionV>
            <wp:extent cx="7206615" cy="41757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6615" cy="417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88900</wp:posOffset>
            </wp:positionV>
            <wp:extent cx="7206615" cy="41681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6615" cy="4168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88900</wp:posOffset>
            </wp:positionV>
            <wp:extent cx="7206615" cy="43992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6615" cy="439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88900</wp:posOffset>
            </wp:positionV>
            <wp:extent cx="7206615" cy="41681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6615" cy="4168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88900</wp:posOffset>
            </wp:positionV>
            <wp:extent cx="7206615" cy="41681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6615" cy="4168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88900</wp:posOffset>
            </wp:positionV>
            <wp:extent cx="7206615" cy="41681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6615" cy="4168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88900</wp:posOffset>
            </wp:positionV>
            <wp:extent cx="7206615" cy="41681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6615" cy="4168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88900</wp:posOffset>
            </wp:positionV>
            <wp:extent cx="7206615" cy="41681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6615" cy="4168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88900</wp:posOffset>
            </wp:positionV>
            <wp:extent cx="7206615" cy="41681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6615" cy="4168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88900</wp:posOffset>
            </wp:positionV>
            <wp:extent cx="7206615" cy="41681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6615" cy="4168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88900</wp:posOffset>
            </wp:positionV>
            <wp:extent cx="7206615" cy="41681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6615" cy="4168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88900</wp:posOffset>
            </wp:positionV>
            <wp:extent cx="7206615" cy="41681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6615" cy="4168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88900</wp:posOffset>
            </wp:positionV>
            <wp:extent cx="7206615" cy="41681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6615" cy="4168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88900</wp:posOffset>
            </wp:positionV>
            <wp:extent cx="7206615" cy="41681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6615" cy="4168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88900</wp:posOffset>
            </wp:positionV>
            <wp:extent cx="7206615" cy="42837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6615" cy="42837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88900</wp:posOffset>
            </wp:positionV>
            <wp:extent cx="7206615" cy="41681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6615" cy="4168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88900</wp:posOffset>
            </wp:positionV>
            <wp:extent cx="7206615" cy="41681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6615" cy="4168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88900</wp:posOffset>
            </wp:positionV>
            <wp:extent cx="7206615" cy="41681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6615" cy="4168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88900</wp:posOffset>
            </wp:positionV>
            <wp:extent cx="7206615" cy="41681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6615" cy="4168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88900</wp:posOffset>
            </wp:positionV>
            <wp:extent cx="7206615" cy="41681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6615" cy="4168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88900</wp:posOffset>
            </wp:positionV>
            <wp:extent cx="7206615" cy="41681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6615" cy="4168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88900</wp:posOffset>
            </wp:positionV>
            <wp:extent cx="7206615" cy="40532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60"/>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2025-11-04T07:58:34Z</dcterms:created>
  <dcterms:modified xsi:type="dcterms:W3CDTF">2025-11-04T07:58:34Z</dcterms:modified>
</cp:coreProperties>
</file>