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150495</wp:posOffset>
            </wp:positionV>
            <wp:extent cx="2383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156210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14,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105410</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Prelude Therapeutics Incorporated</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90170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p>
      <w:pPr>
        <w:spacing w:after="0" w:line="350"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001-39527</w:t>
      </w:r>
    </w:p>
    <w:p>
      <w:pPr>
        <w:spacing w:after="0" w:line="31"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(Commission</w:t>
      </w:r>
    </w:p>
    <w:p>
      <w:pPr>
        <w:spacing w:after="0" w:line="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File Number)</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400" w:space="720"/>
            <w:col w:w="2900" w:space="720"/>
            <w:col w:w="2500"/>
          </w:cols>
          <w:pgMar w:left="320" w:top="1440" w:right="339" w:bottom="1440" w:gutter="0" w:footer="0" w:header="0"/>
          <w:type w:val="continuous"/>
        </w:sectPr>
      </w:pPr>
    </w:p>
    <w:p>
      <w:pPr>
        <w:spacing w:after="0" w:line="4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175 Innovation Boulevard</w:t>
      </w:r>
    </w:p>
    <w:p>
      <w:pPr>
        <w:spacing w:after="0" w:line="31"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8"/>
          <w:szCs w:val="18"/>
          <w:b w:val="1"/>
          <w:bCs w:val="1"/>
          <w:color w:val="auto"/>
        </w:rPr>
        <w:t>Wilmington, Delaware</w:t>
      </w:r>
    </w:p>
    <w:p>
      <w:pPr>
        <w:spacing w:after="0" w:line="9" w:lineRule="exact"/>
        <w:rPr>
          <w:sz w:val="24"/>
          <w:szCs w:val="24"/>
          <w:color w:val="auto"/>
        </w:rPr>
      </w:pPr>
    </w:p>
    <w:p>
      <w:pPr>
        <w:jc w:val="center"/>
        <w:ind w:right="182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3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19805</w:t>
      </w:r>
    </w:p>
    <w:p>
      <w:pPr>
        <w:spacing w:after="0" w:line="31"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108" w:lineRule="exact"/>
        <w:rPr>
          <w:sz w:val="24"/>
          <w:szCs w:val="24"/>
          <w:color w:val="auto"/>
        </w:rPr>
      </w:pPr>
    </w:p>
    <w:p>
      <w:pPr>
        <w:sectPr>
          <w:pgSz w:w="11900" w:h="16838" w:orient="portrait"/>
          <w:cols w:equalWidth="0" w:num="2">
            <w:col w:w="7360" w:space="720"/>
            <w:col w:w="3160"/>
          </w:cols>
          <w:pgMar w:left="320" w:top="1440" w:right="339" w:bottom="1440" w:gutter="0" w:footer="0" w:header="0"/>
          <w:type w:val="continuous"/>
        </w:sect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117" w:lineRule="exact"/>
        <w:rPr>
          <w:sz w:val="24"/>
          <w:szCs w:val="24"/>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980" w:firstLine="8"/>
        <w:spacing w:after="0" w:line="40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3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20" w:type="dxa"/>
            <w:vAlign w:val="bottom"/>
          </w:tcPr>
          <w:p>
            <w:pPr>
              <w:spacing w:after="0"/>
              <w:rPr>
                <w:sz w:val="13"/>
                <w:szCs w:val="13"/>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220" w:type="dxa"/>
            <w:vAlign w:val="bottom"/>
          </w:tcPr>
          <w:p>
            <w:pPr>
              <w:spacing w:after="0"/>
              <w:rPr>
                <w:sz w:val="13"/>
                <w:szCs w:val="13"/>
                <w:color w:val="auto"/>
              </w:rPr>
            </w:pPr>
          </w:p>
        </w:tc>
        <w:tc>
          <w:tcPr>
            <w:tcW w:w="4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4580" w:type="dxa"/>
            <w:vAlign w:val="bottom"/>
            <w:tcBorders>
              <w:bottom w:val="single" w:sz="8" w:color="auto"/>
            </w:tcBorders>
            <w:vMerge w:val="continue"/>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tcPr>
          <w:p>
            <w:pPr>
              <w:spacing w:after="0"/>
              <w:rPr>
                <w:sz w:val="15"/>
                <w:szCs w:val="15"/>
                <w:color w:val="auto"/>
              </w:rPr>
            </w:pPr>
          </w:p>
        </w:tc>
        <w:tc>
          <w:tcPr>
            <w:tcW w:w="44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8"/>
        </w:trPr>
        <w:tc>
          <w:tcPr>
            <w:tcW w:w="4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20" w:type="dxa"/>
            <w:vAlign w:val="bottom"/>
          </w:tcPr>
          <w:p>
            <w:pPr>
              <w:spacing w:after="0"/>
              <w:rPr>
                <w:sz w:val="19"/>
                <w:szCs w:val="19"/>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PRLD</w:t>
            </w:r>
          </w:p>
        </w:tc>
        <w:tc>
          <w:tcPr>
            <w:tcW w:w="220" w:type="dxa"/>
            <w:vAlign w:val="bottom"/>
          </w:tcPr>
          <w:p>
            <w:pPr>
              <w:spacing w:after="0"/>
              <w:rPr>
                <w:sz w:val="19"/>
                <w:szCs w:val="19"/>
                <w:color w:val="auto"/>
              </w:rPr>
            </w:pPr>
          </w:p>
        </w:tc>
        <w:tc>
          <w:tcPr>
            <w:tcW w:w="4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0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69"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5" w:lineRule="exact"/>
        <w:rPr>
          <w:sz w:val="20"/>
          <w:szCs w:val="20"/>
          <w:color w:val="auto"/>
        </w:rPr>
      </w:pPr>
    </w:p>
    <w:p>
      <w:pPr>
        <w:ind w:firstLine="479"/>
        <w:spacing w:after="0" w:line="286" w:lineRule="auto"/>
        <w:rPr>
          <w:sz w:val="20"/>
          <w:szCs w:val="20"/>
          <w:color w:val="auto"/>
        </w:rPr>
      </w:pPr>
      <w:r>
        <w:rPr>
          <w:rFonts w:ascii="Times New Roman" w:cs="Times New Roman" w:eastAsia="Times New Roman" w:hAnsi="Times New Roman"/>
          <w:sz w:val="18"/>
          <w:szCs w:val="18"/>
          <w:color w:val="auto"/>
        </w:rPr>
        <w:t>On June 14, 2024, Prelude Therapeutics Incorporated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held its 2024 Annual Meeting of Stockholders (the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and the following proposals were adopted:</w:t>
      </w:r>
    </w:p>
    <w:p>
      <w:pPr>
        <w:spacing w:after="0" w:line="51" w:lineRule="exact"/>
        <w:rPr>
          <w:sz w:val="20"/>
          <w:szCs w:val="20"/>
          <w:color w:val="auto"/>
        </w:rPr>
      </w:pPr>
    </w:p>
    <w:p>
      <w:pPr>
        <w:ind w:left="1020" w:hanging="503"/>
        <w:spacing w:after="0" w:line="26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two Class I Directors, Paul A. Friedman, M.D., and David P. Bonita, M.D., each to serve a three-year term, which will expire at the 2027 Annual Meeting of Stockholders and until such time as their respective successors have been duly elected and qualified or until such director’s earlier resignation or removal. The vote tally was as follows:</w:t>
      </w:r>
    </w:p>
    <w:p>
      <w:pPr>
        <w:spacing w:after="0" w:line="183" w:lineRule="exact"/>
        <w:rPr>
          <w:sz w:val="20"/>
          <w:szCs w:val="20"/>
          <w:color w:val="auto"/>
        </w:rPr>
      </w:pPr>
    </w:p>
    <w:tbl>
      <w:tblPr>
        <w:tblLayout w:type="fixed"/>
        <w:tblInd w:w="680" w:type="dxa"/>
        <w:tblCellMar>
          <w:top w:w="0" w:type="dxa"/>
          <w:left w:w="0" w:type="dxa"/>
          <w:bottom w:w="0" w:type="dxa"/>
          <w:right w:w="0" w:type="dxa"/>
        </w:tblCellMar>
      </w:tblPr>
      <w:tr>
        <w:trPr>
          <w:trHeight w:val="187"/>
        </w:trPr>
        <w:tc>
          <w:tcPr>
            <w:tcW w:w="2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Nominees</w:t>
            </w:r>
          </w:p>
        </w:tc>
        <w:tc>
          <w:tcPr>
            <w:tcW w:w="100" w:type="dxa"/>
            <w:vAlign w:val="bottom"/>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80" w:type="dxa"/>
            <w:vAlign w:val="bottom"/>
          </w:tcPr>
          <w:p>
            <w:pPr>
              <w:spacing w:after="0"/>
              <w:rPr>
                <w:sz w:val="16"/>
                <w:szCs w:val="16"/>
                <w:color w:val="auto"/>
              </w:rPr>
            </w:pPr>
          </w:p>
        </w:tc>
        <w:tc>
          <w:tcPr>
            <w:tcW w:w="2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Withheld</w:t>
            </w:r>
          </w:p>
        </w:tc>
        <w:tc>
          <w:tcPr>
            <w:tcW w:w="100" w:type="dxa"/>
            <w:vAlign w:val="bottom"/>
          </w:tcPr>
          <w:p>
            <w:pPr>
              <w:spacing w:after="0"/>
              <w:rPr>
                <w:sz w:val="16"/>
                <w:szCs w:val="16"/>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37"/>
        </w:trPr>
        <w:tc>
          <w:tcPr>
            <w:tcW w:w="2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Paul A. Friedman, M.D.</w:t>
            </w:r>
          </w:p>
        </w:tc>
        <w:tc>
          <w:tcPr>
            <w:tcW w:w="20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rPr>
              <w:t>31,165,370</w:t>
            </w:r>
          </w:p>
        </w:tc>
        <w:tc>
          <w:tcPr>
            <w:tcW w:w="2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1,762,716</w:t>
            </w:r>
          </w:p>
        </w:tc>
        <w:tc>
          <w:tcPr>
            <w:tcW w:w="2680" w:type="dxa"/>
            <w:vAlign w:val="bottom"/>
            <w:gridSpan w:val="2"/>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2,138,095</w:t>
            </w:r>
          </w:p>
        </w:tc>
      </w:tr>
      <w:tr>
        <w:trPr>
          <w:trHeight w:val="23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P. Bonita, M.D.</w:t>
            </w:r>
          </w:p>
        </w:tc>
        <w:tc>
          <w:tcPr>
            <w:tcW w:w="20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rPr>
              <w:t>31,007,172</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1,920,914</w:t>
            </w:r>
          </w:p>
        </w:tc>
        <w:tc>
          <w:tcPr>
            <w:tcW w:w="2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2,138,095</w:t>
            </w:r>
          </w:p>
        </w:tc>
      </w:tr>
    </w:tbl>
    <w:p>
      <w:pPr>
        <w:spacing w:after="0" w:line="206" w:lineRule="exact"/>
        <w:rPr>
          <w:sz w:val="20"/>
          <w:szCs w:val="20"/>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appointment of Ernst &amp; Young LLP as the independent registered public accounting firm of the Company for its fiscal year ending December 31, 2024. The vote tally was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2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140" w:type="dxa"/>
            <w:vAlign w:val="bottom"/>
          </w:tcPr>
          <w:p>
            <w:pPr>
              <w:spacing w:after="0"/>
              <w:rPr>
                <w:sz w:val="16"/>
                <w:szCs w:val="16"/>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140" w:type="dxa"/>
            <w:vAlign w:val="bottom"/>
          </w:tcPr>
          <w:p>
            <w:pPr>
              <w:spacing w:after="0"/>
              <w:rPr>
                <w:sz w:val="16"/>
                <w:szCs w:val="16"/>
                <w:color w:val="auto"/>
              </w:rPr>
            </w:pPr>
          </w:p>
        </w:tc>
        <w:tc>
          <w:tcPr>
            <w:tcW w:w="2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Abstaining</w:t>
            </w:r>
          </w:p>
        </w:tc>
        <w:tc>
          <w:tcPr>
            <w:tcW w:w="120" w:type="dxa"/>
            <w:vAlign w:val="bottom"/>
          </w:tcPr>
          <w:p>
            <w:pPr>
              <w:spacing w:after="0"/>
              <w:rPr>
                <w:sz w:val="16"/>
                <w:szCs w:val="16"/>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1240" w:type="dxa"/>
            <w:vAlign w:val="bottom"/>
          </w:tcPr>
          <w:p>
            <w:pPr>
              <w:spacing w:after="0"/>
              <w:rPr>
                <w:sz w:val="16"/>
                <w:szCs w:val="16"/>
                <w:color w:val="auto"/>
              </w:rPr>
            </w:pPr>
          </w:p>
        </w:tc>
      </w:tr>
      <w:tr>
        <w:trPr>
          <w:trHeight w:val="237"/>
        </w:trPr>
        <w:tc>
          <w:tcPr>
            <w:tcW w:w="1240" w:type="dxa"/>
            <w:vAlign w:val="bottom"/>
          </w:tcPr>
          <w:p>
            <w:pPr>
              <w:spacing w:after="0"/>
              <w:rPr>
                <w:sz w:val="20"/>
                <w:szCs w:val="20"/>
                <w:color w:val="auto"/>
              </w:rPr>
            </w:pPr>
          </w:p>
        </w:tc>
        <w:tc>
          <w:tcPr>
            <w:tcW w:w="1600" w:type="dxa"/>
            <w:vAlign w:val="bottom"/>
            <w:shd w:val="clear" w:color="auto" w:fill="CFF0FC"/>
          </w:tcPr>
          <w:p>
            <w:pPr>
              <w:jc w:val="right"/>
              <w:ind w:right="299"/>
              <w:spacing w:after="0"/>
              <w:rPr>
                <w:sz w:val="20"/>
                <w:szCs w:val="20"/>
                <w:color w:val="auto"/>
              </w:rPr>
            </w:pPr>
            <w:r>
              <w:rPr>
                <w:rFonts w:ascii="Times New Roman" w:cs="Times New Roman" w:eastAsia="Times New Roman" w:hAnsi="Times New Roman"/>
                <w:sz w:val="18"/>
                <w:szCs w:val="18"/>
                <w:color w:val="auto"/>
              </w:rPr>
              <w:t>34,994,229</w:t>
            </w:r>
          </w:p>
        </w:tc>
        <w:tc>
          <w:tcPr>
            <w:tcW w:w="248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57,512</w:t>
            </w:r>
          </w:p>
        </w:tc>
        <w:tc>
          <w:tcPr>
            <w:tcW w:w="220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14,440</w:t>
            </w:r>
          </w:p>
        </w:tc>
        <w:tc>
          <w:tcPr>
            <w:tcW w:w="248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0</w:t>
            </w:r>
          </w:p>
        </w:tc>
        <w:tc>
          <w:tcPr>
            <w:tcW w:w="1240" w:type="dxa"/>
            <w:vAlign w:val="bottom"/>
          </w:tcPr>
          <w:p>
            <w:pPr>
              <w:spacing w:after="0"/>
              <w:rPr>
                <w:sz w:val="20"/>
                <w:szCs w:val="20"/>
                <w:color w:val="auto"/>
              </w:rPr>
            </w:pPr>
          </w:p>
        </w:tc>
      </w:tr>
      <w:tr>
        <w:trPr>
          <w:trHeight w:val="2275"/>
        </w:trPr>
        <w:tc>
          <w:tcPr>
            <w:tcW w:w="1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3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tc>
      </w:tr>
      <w:tr>
        <w:trPr>
          <w:trHeight w:val="864"/>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18, 2024</w:t>
            </w:r>
          </w:p>
        </w:tc>
        <w:tc>
          <w:tcPr>
            <w:tcW w:w="768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 Bryant Lim</w:t>
            </w:r>
          </w:p>
        </w:tc>
      </w:tr>
      <w:tr>
        <w:trPr>
          <w:trHeight w:val="191"/>
        </w:trPr>
        <w:tc>
          <w:tcPr>
            <w:tcW w:w="35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14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56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Corporate Secretary, and Interim Chief Financial</w:t>
            </w:r>
          </w:p>
        </w:tc>
      </w:tr>
      <w:tr>
        <w:trPr>
          <w:trHeight w:val="234"/>
        </w:trPr>
        <w:tc>
          <w:tcPr>
            <w:tcW w:w="35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Officer</w:t>
            </w:r>
          </w:p>
        </w:tc>
      </w:tr>
      <w:tr>
        <w:trPr>
          <w:trHeight w:val="2059"/>
        </w:trPr>
        <w:tc>
          <w:tcPr>
            <w:tcW w:w="356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5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2024-06-18T15:12:42Z</dcterms:created>
  <dcterms:modified xsi:type="dcterms:W3CDTF">2024-06-18T15:12:42Z</dcterms:modified>
</cp:coreProperties>
</file>