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2" w:lineRule="exact"/>
        <w:rPr>
          <w:sz w:val="24"/>
          <w:szCs w:val="24"/>
          <w:color w:val="auto"/>
        </w:rPr>
      </w:pPr>
    </w:p>
    <w:p>
      <w:pPr>
        <w:ind w:left="3880" w:right="1620" w:hanging="3872"/>
        <w:spacing w:after="0" w:line="226" w:lineRule="auto"/>
        <w:tabs>
          <w:tab w:leader="none" w:pos="462"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30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3"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001-39527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PRELUDE THERAPEUTICS INCORPORATED</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8"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81-1384762</w:t>
            </w:r>
          </w:p>
        </w:tc>
      </w:tr>
      <w:tr>
        <w:trPr>
          <w:trHeight w:val="135"/>
        </w:trPr>
        <w:tc>
          <w:tcPr>
            <w:tcW w:w="4120" w:type="dxa"/>
            <w:vAlign w:val="bottom"/>
          </w:tcPr>
          <w:p>
            <w:pPr>
              <w:jc w:val="center"/>
              <w:ind w:right="198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020" w:type="dxa"/>
            <w:vAlign w:val="bottom"/>
          </w:tcPr>
          <w:p>
            <w:pPr>
              <w:jc w:val="center"/>
              <w:ind w:left="1968"/>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8"/>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91"/>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9"/>
              </w:rPr>
              <w:t>200 Powder Mill Road</w:t>
            </w:r>
          </w:p>
        </w:tc>
        <w:tc>
          <w:tcPr>
            <w:tcW w:w="3020" w:type="dxa"/>
            <w:vAlign w:val="bottom"/>
          </w:tcPr>
          <w:p>
            <w:pPr>
              <w:spacing w:after="0"/>
              <w:rPr>
                <w:sz w:val="24"/>
                <w:szCs w:val="24"/>
                <w:color w:val="auto"/>
              </w:rPr>
            </w:pPr>
          </w:p>
        </w:tc>
      </w:tr>
      <w:tr>
        <w:trPr>
          <w:trHeight w:val="218"/>
        </w:trPr>
        <w:tc>
          <w:tcPr>
            <w:tcW w:w="4120" w:type="dxa"/>
            <w:vAlign w:val="bottom"/>
          </w:tcPr>
          <w:p>
            <w:pPr>
              <w:jc w:val="center"/>
              <w:ind w:right="1984"/>
              <w:spacing w:after="0"/>
              <w:rPr>
                <w:sz w:val="20"/>
                <w:szCs w:val="20"/>
                <w:color w:val="auto"/>
              </w:rPr>
            </w:pPr>
            <w:r>
              <w:rPr>
                <w:rFonts w:ascii="Times New Roman" w:cs="Times New Roman" w:eastAsia="Times New Roman" w:hAnsi="Times New Roman"/>
                <w:sz w:val="18"/>
                <w:szCs w:val="18"/>
                <w:b w:val="1"/>
                <w:bCs w:val="1"/>
                <w:color w:val="auto"/>
                <w:w w:val="99"/>
              </w:rPr>
              <w:t>Wilmington, Delaware</w:t>
            </w:r>
          </w:p>
        </w:tc>
        <w:tc>
          <w:tcPr>
            <w:tcW w:w="3020" w:type="dxa"/>
            <w:vAlign w:val="bottom"/>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19803</w:t>
            </w:r>
          </w:p>
        </w:tc>
      </w:tr>
      <w:tr>
        <w:trPr>
          <w:trHeight w:val="16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467-1280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20" w:type="dxa"/>
            <w:vAlign w:val="bottom"/>
            <w:gridSpan w:val="2"/>
            <w:vMerge w:val="continue"/>
          </w:tcPr>
          <w:p>
            <w:pPr>
              <w:spacing w:after="0"/>
              <w:rPr>
                <w:sz w:val="15"/>
                <w:szCs w:val="15"/>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PRLD</w:t>
            </w:r>
          </w:p>
        </w:tc>
        <w:tc>
          <w:tcPr>
            <w:tcW w:w="100" w:type="dxa"/>
            <w:vAlign w:val="bottom"/>
          </w:tcPr>
          <w:p>
            <w:pPr>
              <w:spacing w:after="0"/>
              <w:rPr>
                <w:sz w:val="17"/>
                <w:szCs w:val="17"/>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both"/>
        <w:ind w:firstLine="478"/>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20" w:firstLine="47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right="300" w:firstLine="47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4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5" w:lineRule="exact"/>
        <w:rPr>
          <w:sz w:val="24"/>
          <w:szCs w:val="24"/>
          <w:color w:val="auto"/>
        </w:rPr>
      </w:pPr>
    </w:p>
    <w:p>
      <w:pPr>
        <w:jc w:val="both"/>
        <w:ind w:right="100" w:firstLine="478"/>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480"/>
        <w:spacing w:after="0" w:line="184" w:lineRule="exact"/>
        <w:tabs>
          <w:tab w:leader="none" w:pos="8020" w:val="left"/>
          <w:tab w:leader="none" w:pos="87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53" w:lineRule="exact"/>
        <w:rPr>
          <w:sz w:val="24"/>
          <w:szCs w:val="24"/>
          <w:color w:val="auto"/>
        </w:rPr>
      </w:pPr>
    </w:p>
    <w:p>
      <w:pPr>
        <w:ind w:right="180" w:firstLine="47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As of August 2, 2022, the registrant had 47,833,307 shares of voting and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7300" w:type="dxa"/>
            <w:vAlign w:val="bottom"/>
            <w:gridSpan w:val="9"/>
            <w:vMerge w:val="restart"/>
          </w:tcPr>
          <w:p>
            <w:pPr>
              <w:spacing w:after="0"/>
              <w:rPr>
                <w:sz w:val="15"/>
                <w:szCs w:val="15"/>
                <w:color w:val="auto"/>
              </w:rPr>
            </w:pPr>
          </w:p>
        </w:tc>
        <w:tc>
          <w:tcPr>
            <w:tcW w:w="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8"/>
        </w:trPr>
        <w:tc>
          <w:tcPr>
            <w:tcW w:w="102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8"/>
            <w:vMerge w:val="continue"/>
          </w:tcPr>
          <w:p>
            <w:pPr>
              <w:spacing w:after="0"/>
              <w:rPr>
                <w:sz w:val="15"/>
                <w:szCs w:val="15"/>
                <w:color w:val="auto"/>
              </w:rPr>
            </w:pPr>
          </w:p>
        </w:tc>
        <w:tc>
          <w:tcPr>
            <w:tcW w:w="7300" w:type="dxa"/>
            <w:vAlign w:val="bottom"/>
            <w:gridSpan w:val="9"/>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Balance Sheets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Statements of Operations and Comprehensive Loss (Unaudited)</w:t>
            </w:r>
          </w:p>
        </w:tc>
        <w:tc>
          <w:tcPr>
            <w:tcW w:w="496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Statements of Changes in Stockholders’ Equity (Deficit)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Statements of Cash Flows (Unaudited)</w:t>
            </w:r>
          </w:p>
        </w:tc>
        <w:tc>
          <w:tcPr>
            <w:tcW w:w="458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Notes to Unaudited Interim 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20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20" w:type="dxa"/>
            <w:vAlign w:val="bottom"/>
            <w:gridSpan w:val="2"/>
            <w:vMerge w:val="continue"/>
          </w:tcPr>
          <w:p>
            <w:pPr>
              <w:spacing w:after="0"/>
              <w:rPr>
                <w:sz w:val="21"/>
                <w:szCs w:val="21"/>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220" w:type="dxa"/>
            <w:vAlign w:val="bottom"/>
            <w:gridSpan w:val="13"/>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22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7240" w:type="dxa"/>
            <w:vAlign w:val="bottom"/>
            <w:gridSpan w:val="8"/>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18"/>
                <w:szCs w:val="18"/>
                <w:color w:val="auto"/>
              </w:rPr>
            </w:pPr>
          </w:p>
        </w:tc>
        <w:tc>
          <w:tcPr>
            <w:tcW w:w="7800" w:type="dxa"/>
            <w:vAlign w:val="bottom"/>
            <w:gridSpan w:val="11"/>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Exhibits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400" w:type="dxa"/>
            <w:vAlign w:val="bottom"/>
            <w:tcBorders>
              <w:bottom w:val="single" w:sz="8" w:color="CFF0FC"/>
            </w:tcBorders>
            <w:vMerge w:val="continue"/>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50,706</w:t>
            </w:r>
          </w:p>
        </w:tc>
        <w:tc>
          <w:tcPr>
            <w:tcW w:w="2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259,055</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305,098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280" w:type="dxa"/>
            <w:vAlign w:val="bottom"/>
          </w:tcPr>
          <w:p>
            <w:pPr>
              <w:spacing w:after="0"/>
              <w:rPr>
                <w:sz w:val="19"/>
                <w:szCs w:val="19"/>
                <w:color w:val="auto"/>
              </w:rPr>
            </w:pP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(Note 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Voting common stock, $0.0001 par value: 487,149,741 shares authorized; 36,369,248 and</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36,200,299 shares issued and outstanding at June 30, 2022 and December 31, 2021, respectively</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Non-voting common stock, $0.0001 par value; 12,850,259 shares authorized; 11,402,037 and</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11,402,037 shares issued and outstanding at June 30, 2022 and December 31, 2021, respectively</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519,092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(2,294)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29"/>
        </w:trPr>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(275,959)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(219,120)</w:t>
            </w:r>
          </w:p>
        </w:tc>
        <w:tc>
          <w:tcPr>
            <w:tcW w:w="0" w:type="dxa"/>
            <w:vAlign w:val="bottom"/>
          </w:tcPr>
          <w:p>
            <w:pPr>
              <w:spacing w:after="0"/>
              <w:rPr>
                <w:sz w:val="1"/>
                <w:szCs w:val="1"/>
                <w:color w:val="auto"/>
              </w:rPr>
            </w:pPr>
          </w:p>
        </w:tc>
      </w:tr>
      <w:tr>
        <w:trPr>
          <w:trHeight w:val="223"/>
        </w:trPr>
        <w:tc>
          <w:tcPr>
            <w:tcW w:w="740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240,844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285,897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259,055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40" w:type="dxa"/>
            <w:vAlign w:val="bottom"/>
          </w:tcPr>
          <w:p>
            <w:pPr>
              <w:spacing w:after="0"/>
              <w:rPr>
                <w:sz w:val="15"/>
                <w:szCs w:val="15"/>
                <w:color w:val="auto"/>
              </w:rPr>
            </w:pPr>
          </w:p>
        </w:tc>
        <w:tc>
          <w:tcPr>
            <w:tcW w:w="26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380" w:type="dxa"/>
            <w:vAlign w:val="bottom"/>
            <w:tcBorders>
              <w:bottom w:val="single" w:sz="8" w:color="CFF0FC"/>
            </w:tcBorders>
            <w:vMerge w:val="continue"/>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21,310</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22,409</w:t>
            </w:r>
          </w:p>
        </w:tc>
        <w:tc>
          <w:tcPr>
            <w:tcW w:w="160" w:type="dxa"/>
            <w:vAlign w:val="bottom"/>
          </w:tcPr>
          <w:p>
            <w:pPr>
              <w:spacing w:after="0"/>
              <w:rPr>
                <w:sz w:val="19"/>
                <w:szCs w:val="19"/>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44,131</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15,618</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29,461</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59,749</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49,889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(59,749)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(27,374)</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(26,865)</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(56,839)</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(48,165)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 share information:</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(0.58)</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(0.58)</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53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and diluted</w:t>
            </w: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47,276,684</w:t>
            </w:r>
          </w:p>
        </w:tc>
        <w:tc>
          <w:tcPr>
            <w:tcW w:w="26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46,057,112</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47,172,136</w:t>
            </w:r>
          </w:p>
        </w:tc>
        <w:tc>
          <w:tcPr>
            <w:tcW w:w="26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45,592,117</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(27,374)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(26,865)</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(56,839)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(48,165)</w:t>
            </w: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(1,583)</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(58,422)</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2160" w:type="dxa"/>
            <w:vAlign w:val="bottom"/>
            <w:gridSpan w:val="6"/>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Voting common stock</w:t>
            </w:r>
          </w:p>
        </w:tc>
        <w:tc>
          <w:tcPr>
            <w:tcW w:w="2160" w:type="dxa"/>
            <w:vAlign w:val="bottom"/>
            <w:gridSpan w:val="5"/>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Non-voting common</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2160" w:type="dxa"/>
            <w:vAlign w:val="bottom"/>
            <w:gridSpan w:val="6"/>
            <w:vMerge w:val="continue"/>
          </w:tcPr>
          <w:p>
            <w:pPr>
              <w:spacing w:after="0"/>
              <w:rPr>
                <w:sz w:val="15"/>
                <w:szCs w:val="15"/>
                <w:color w:val="auto"/>
              </w:rPr>
            </w:pPr>
          </w:p>
        </w:tc>
        <w:tc>
          <w:tcPr>
            <w:tcW w:w="1160" w:type="dxa"/>
            <w:vAlign w:val="bottom"/>
            <w:gridSpan w:val="2"/>
          </w:tcPr>
          <w:p>
            <w:pPr>
              <w:jc w:val="center"/>
              <w:ind w:left="71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700" w:type="dxa"/>
            <w:vAlign w:val="bottom"/>
            <w:vMerge w:val="continue"/>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3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0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34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7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36,200,299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11,402,037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505,723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(219,120)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$ 285,897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93,032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 (loss) on</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(1,602)</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(29,465)</w:t>
            </w: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(29,465)</w:t>
            </w:r>
          </w:p>
        </w:tc>
        <w:tc>
          <w:tcPr>
            <w:tcW w:w="0" w:type="dxa"/>
            <w:vAlign w:val="bottom"/>
          </w:tcPr>
          <w:p>
            <w:pPr>
              <w:spacing w:after="0"/>
              <w:rPr>
                <w:sz w:val="1"/>
                <w:szCs w:val="1"/>
                <w:color w:val="auto"/>
              </w:rPr>
            </w:pPr>
          </w:p>
        </w:tc>
      </w:tr>
      <w:tr>
        <w:trPr>
          <w:trHeight w:val="223"/>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36,293,331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11,402,037</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512,705</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(248,585)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$ 261,812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ESPP</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 (loss) on</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expense, net of forfeitures of</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(23,416)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(27,374)</w:t>
            </w: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(27,374)</w:t>
            </w:r>
          </w:p>
        </w:tc>
        <w:tc>
          <w:tcPr>
            <w:tcW w:w="0" w:type="dxa"/>
            <w:vAlign w:val="bottom"/>
          </w:tcPr>
          <w:p>
            <w:pPr>
              <w:spacing w:after="0"/>
              <w:rPr>
                <w:sz w:val="1"/>
                <w:szCs w:val="1"/>
                <w:color w:val="auto"/>
              </w:rPr>
            </w:pP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36,369,248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11,402,037</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519,092</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(275,959)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$ 240,844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(DEFICIT)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246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Voting common stock</w:t>
            </w:r>
          </w:p>
        </w:tc>
        <w:tc>
          <w:tcPr>
            <w:tcW w:w="242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Non-voting common stock</w:t>
            </w:r>
          </w:p>
        </w:tc>
        <w:tc>
          <w:tcPr>
            <w:tcW w:w="140" w:type="dxa"/>
            <w:vAlign w:val="bottom"/>
          </w:tcPr>
          <w:p>
            <w:pPr>
              <w:spacing w:after="0"/>
              <w:rPr>
                <w:sz w:val="11"/>
                <w:szCs w:val="11"/>
                <w:color w:val="auto"/>
              </w:rPr>
            </w:pPr>
          </w:p>
        </w:tc>
        <w:tc>
          <w:tcPr>
            <w:tcW w:w="84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2460" w:type="dxa"/>
            <w:vAlign w:val="bottom"/>
            <w:gridSpan w:val="5"/>
            <w:vMerge w:val="continue"/>
          </w:tcPr>
          <w:p>
            <w:pPr>
              <w:spacing w:after="0"/>
              <w:rPr>
                <w:sz w:val="15"/>
                <w:szCs w:val="15"/>
                <w:color w:val="auto"/>
              </w:rPr>
            </w:pPr>
          </w:p>
        </w:tc>
        <w:tc>
          <w:tcPr>
            <w:tcW w:w="242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1260" w:type="dxa"/>
            <w:vAlign w:val="bottom"/>
            <w:tcBorders>
              <w:top w:val="single" w:sz="8" w:color="auto"/>
            </w:tcBorders>
            <w:gridSpan w:val="2"/>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1000" w:type="dxa"/>
            <w:vAlign w:val="bottom"/>
            <w:tcBorders>
              <w:top w:val="single" w:sz="8" w:color="auto"/>
            </w:tcBorders>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94"/>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3"/>
                <w:szCs w:val="13"/>
                <w:color w:val="auto"/>
              </w:rPr>
            </w:pPr>
          </w:p>
        </w:tc>
        <w:tc>
          <w:tcPr>
            <w:tcW w:w="82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32,595,301</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11,110,371</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319,605</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(107,426)</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212,183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210,274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of offering costs of $739</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2,583,334</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291,666</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161,411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161,412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(21,300)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(21,300)</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35,388,909</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11,402,037</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485,288</w:t>
            </w:r>
          </w:p>
        </w:tc>
        <w:tc>
          <w:tcPr>
            <w:tcW w:w="100" w:type="dxa"/>
            <w:vAlign w:val="bottom"/>
          </w:tcPr>
          <w:p>
            <w:pPr>
              <w:spacing w:after="0"/>
              <w:rPr>
                <w:sz w:val="19"/>
                <w:szCs w:val="19"/>
                <w:color w:val="auto"/>
              </w:rPr>
            </w:pPr>
          </w:p>
        </w:tc>
        <w:tc>
          <w:tcPr>
            <w:tcW w:w="3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(128,726)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247,786</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(26,865)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(26,865)</w:t>
            </w:r>
          </w:p>
        </w:tc>
        <w:tc>
          <w:tcPr>
            <w:tcW w:w="0" w:type="dxa"/>
            <w:vAlign w:val="bottom"/>
          </w:tcPr>
          <w:p>
            <w:pPr>
              <w:spacing w:after="0"/>
              <w:rPr>
                <w:sz w:val="1"/>
                <w:szCs w:val="1"/>
                <w:color w:val="auto"/>
              </w:rPr>
            </w:pPr>
          </w:p>
        </w:tc>
      </w:tr>
      <w:tr>
        <w:trPr>
          <w:trHeight w:val="205"/>
        </w:trPr>
        <w:tc>
          <w:tcPr>
            <w:tcW w:w="29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0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35,636,695</w:t>
            </w:r>
          </w:p>
        </w:tc>
        <w:tc>
          <w:tcPr>
            <w:tcW w:w="2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7"/>
                <w:szCs w:val="17"/>
                <w:color w:val="auto"/>
              </w:rPr>
            </w:pPr>
          </w:p>
        </w:tc>
        <w:tc>
          <w:tcPr>
            <w:tcW w:w="10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11,402,037</w:t>
            </w:r>
          </w:p>
        </w:tc>
        <w:tc>
          <w:tcPr>
            <w:tcW w:w="200" w:type="dxa"/>
            <w:vAlign w:val="bottom"/>
          </w:tcPr>
          <w:p>
            <w:pPr>
              <w:spacing w:after="0"/>
              <w:rPr>
                <w:sz w:val="17"/>
                <w:szCs w:val="17"/>
                <w:color w:val="auto"/>
              </w:rPr>
            </w:pPr>
          </w:p>
        </w:tc>
        <w:tc>
          <w:tcPr>
            <w:tcW w:w="1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489,947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(155,591)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334,361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p>
        </w:tc>
        <w:tc>
          <w:tcPr>
            <w:tcW w:w="5860" w:type="dxa"/>
            <w:vAlign w:val="bottom"/>
            <w:gridSpan w:val="12"/>
          </w:tcPr>
          <w:p>
            <w:pPr>
              <w:jc w:val="right"/>
              <w:ind w:right="694"/>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5"/>
                <w:szCs w:val="15"/>
                <w:color w:val="auto"/>
              </w:rPr>
            </w:pPr>
          </w:p>
        </w:tc>
        <w:tc>
          <w:tcPr>
            <w:tcW w:w="318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7700" w:type="dxa"/>
            <w:vAlign w:val="bottom"/>
            <w:tcBorders>
              <w:bottom w:val="single" w:sz="8" w:color="CFF0FC"/>
            </w:tcBorders>
            <w:vMerge w:val="continue"/>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(56,839)</w:t>
            </w:r>
          </w:p>
        </w:tc>
        <w:tc>
          <w:tcPr>
            <w:tcW w:w="360" w:type="dxa"/>
            <w:vAlign w:val="bottom"/>
            <w:gridSpan w:val="2"/>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(48,165)</w:t>
            </w: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premium and discount on marketable securities, net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30"/>
        </w:trPr>
        <w:tc>
          <w:tcPr>
            <w:tcW w:w="7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23"/>
        </w:trPr>
        <w:tc>
          <w:tcPr>
            <w:tcW w:w="7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(40,363)</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(27,140)</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87,579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(1,710)</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58,729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provided by financing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the sale of common stock, net of offering costs</w:t>
            </w:r>
          </w:p>
        </w:tc>
        <w:tc>
          <w:tcPr>
            <w:tcW w:w="36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the issuance of common stock under ESPP</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Proceeds from the issuance of common stock in connection with the exercise of stock options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54,750</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343,119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7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300" w:type="dxa"/>
            <w:vAlign w:val="bottom"/>
          </w:tcPr>
          <w:p>
            <w:pPr>
              <w:spacing w:after="0"/>
              <w:rPr>
                <w:sz w:val="23"/>
                <w:szCs w:val="23"/>
                <w:color w:val="auto"/>
              </w:rPr>
            </w:pPr>
          </w:p>
        </w:tc>
        <w:tc>
          <w:tcPr>
            <w:tcW w:w="360" w:type="dxa"/>
            <w:vAlign w:val="bottom"/>
            <w:gridSpan w:val="2"/>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and equipment in accounts payable</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INTERIM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w:t>
      </w:r>
    </w:p>
    <w:p>
      <w:pPr>
        <w:spacing w:after="0" w:line="121" w:lineRule="exact"/>
        <w:rPr>
          <w:sz w:val="20"/>
          <w:szCs w:val="20"/>
          <w:color w:val="auto"/>
        </w:rPr>
      </w:pPr>
    </w:p>
    <w:p>
      <w:pPr>
        <w:ind w:right="60" w:firstLine="478"/>
        <w:spacing w:after="0" w:line="261" w:lineRule="auto"/>
        <w:rPr>
          <w:sz w:val="20"/>
          <w:szCs w:val="20"/>
          <w:color w:val="auto"/>
        </w:rPr>
      </w:pPr>
      <w:r>
        <w:rPr>
          <w:rFonts w:ascii="Times New Roman" w:cs="Times New Roman" w:eastAsia="Times New Roman" w:hAnsi="Times New Roman"/>
          <w:sz w:val="18"/>
          <w:szCs w:val="18"/>
          <w:color w:val="auto"/>
        </w:rPr>
        <w:t>Prelude Therapeutics Incorporated (the “Company”) was incorporated in Delaware on February 5, 2016 and is a clinical-stage fully integrated oncology company built on a foundation of drug discovery excellence to deliver novel precision cancer medicines to underserved patients. Since beginning operations, the Company has devoted substantially all its efforts to research and development, conducting preclinical and clinical studies, recruiting management and technical staff, administration, and raising capital.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Risks and liquidity</w:t>
      </w:r>
    </w:p>
    <w:p>
      <w:pPr>
        <w:spacing w:after="0" w:line="121" w:lineRule="exact"/>
        <w:rPr>
          <w:sz w:val="20"/>
          <w:szCs w:val="20"/>
          <w:color w:val="auto"/>
        </w:rPr>
      </w:pPr>
    </w:p>
    <w:p>
      <w:pPr>
        <w:ind w:right="60" w:firstLine="479"/>
        <w:spacing w:after="0" w:line="253" w:lineRule="auto"/>
        <w:rPr>
          <w:sz w:val="20"/>
          <w:szCs w:val="20"/>
          <w:color w:val="auto"/>
        </w:rPr>
      </w:pPr>
      <w:r>
        <w:rPr>
          <w:rFonts w:ascii="Times New Roman" w:cs="Times New Roman" w:eastAsia="Times New Roman" w:hAnsi="Times New Roman"/>
          <w:sz w:val="18"/>
          <w:szCs w:val="18"/>
          <w:color w:val="auto"/>
        </w:rPr>
        <w:t>The Company is subject to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consultants and contractors.</w:t>
      </w:r>
    </w:p>
    <w:p>
      <w:pPr>
        <w:spacing w:after="0" w:line="194" w:lineRule="exact"/>
        <w:rPr>
          <w:sz w:val="20"/>
          <w:szCs w:val="20"/>
          <w:color w:val="auto"/>
        </w:rPr>
      </w:pPr>
    </w:p>
    <w:p>
      <w:pPr>
        <w:jc w:val="both"/>
        <w:ind w:right="60" w:firstLine="479"/>
        <w:spacing w:after="0" w:line="266" w:lineRule="auto"/>
        <w:rPr>
          <w:sz w:val="20"/>
          <w:szCs w:val="20"/>
          <w:color w:val="auto"/>
        </w:rPr>
      </w:pPr>
      <w:r>
        <w:rPr>
          <w:rFonts w:ascii="Times New Roman" w:cs="Times New Roman" w:eastAsia="Times New Roman" w:hAnsi="Times New Roman"/>
          <w:sz w:val="18"/>
          <w:szCs w:val="18"/>
          <w:color w:val="auto"/>
        </w:rPr>
        <w:t>Since its inception, the Company has incurred operating losses and has an accumulated deficit of $276.0 million at June 30, 2022. The Company has no revenue to date and devotes its efforts to research and development. The Company anticipates incurring additional losses until such time, if ever, that it can generate significant sales of its product candidates currently in development.</w:t>
      </w:r>
    </w:p>
    <w:p>
      <w:pPr>
        <w:spacing w:after="0" w:line="176" w:lineRule="exact"/>
        <w:rPr>
          <w:sz w:val="20"/>
          <w:szCs w:val="20"/>
          <w:color w:val="auto"/>
        </w:rPr>
      </w:pPr>
    </w:p>
    <w:p>
      <w:pPr>
        <w:ind w:right="120" w:firstLine="478"/>
        <w:spacing w:after="0" w:line="282" w:lineRule="auto"/>
        <w:rPr>
          <w:sz w:val="20"/>
          <w:szCs w:val="20"/>
          <w:color w:val="auto"/>
        </w:rPr>
      </w:pPr>
      <w:r>
        <w:rPr>
          <w:rFonts w:ascii="Times New Roman" w:cs="Times New Roman" w:eastAsia="Times New Roman" w:hAnsi="Times New Roman"/>
          <w:sz w:val="18"/>
          <w:szCs w:val="18"/>
          <w:color w:val="auto"/>
        </w:rPr>
        <w:t>The Company believes that its cash, cash equivalents, and marketable securities as of June 30, 2022 will be sufficient to fund its operating expenses and capital expenditure requirements into the second half of 2024.</w:t>
      </w:r>
    </w:p>
    <w:p>
      <w:pPr>
        <w:spacing w:after="0" w:line="162" w:lineRule="exact"/>
        <w:rPr>
          <w:sz w:val="20"/>
          <w:szCs w:val="20"/>
          <w:color w:val="auto"/>
        </w:rPr>
      </w:pPr>
    </w:p>
    <w:p>
      <w:pPr>
        <w:ind w:right="120" w:firstLine="479"/>
        <w:spacing w:after="0" w:line="256" w:lineRule="auto"/>
        <w:rPr>
          <w:sz w:val="20"/>
          <w:szCs w:val="20"/>
          <w:color w:val="auto"/>
        </w:rPr>
      </w:pPr>
      <w:r>
        <w:rPr>
          <w:rFonts w:ascii="Times New Roman" w:cs="Times New Roman" w:eastAsia="Times New Roman" w:hAnsi="Times New Roman"/>
          <w:sz w:val="18"/>
          <w:szCs w:val="18"/>
          <w:color w:val="auto"/>
        </w:rPr>
        <w:t>To fund its operating expenses and capital expenditure requirements after that date,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295"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On March 10, 2020, the World Health Organization characterized the novel COVID-19 virus as a global pandemic. There continues to be significant uncertainty as to the effects of this disease and emerging variants which may, among other things, materially impact the Company’s planned clinical trials. This pandemic or outbreak could result in difficulty securing clinical trial site locations, CROs, and/or trial monitors and other critical vendors and consultants supporting the trial. In addition, outbreaks or the perception of an outbreak near a clinical trial site location could impact the Company’s ability to enroll patients. These situations, or others associated with the ongoing COVID-19 pandemic, could cause delays in the Company’s clinical trial plans and could increase expected costs, all of which could have a material adverse effect on the Company’s business and its financial condition. At the current time, the Company is unable to quantify the potential effects of this pandemic on its future financial statements.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21" w:lineRule="exact"/>
        <w:rPr>
          <w:sz w:val="20"/>
          <w:szCs w:val="20"/>
          <w:color w:val="auto"/>
        </w:rPr>
      </w:pPr>
    </w:p>
    <w:p>
      <w:pPr>
        <w:jc w:val="both"/>
        <w:ind w:right="80" w:firstLine="478"/>
        <w:spacing w:after="0" w:line="266" w:lineRule="auto"/>
        <w:rPr>
          <w:sz w:val="20"/>
          <w:szCs w:val="20"/>
          <w:color w:val="auto"/>
        </w:rPr>
      </w:pPr>
      <w:r>
        <w:rPr>
          <w:rFonts w:ascii="Times New Roman" w:cs="Times New Roman" w:eastAsia="Times New Roman" w:hAnsi="Times New Roman"/>
          <w:sz w:val="18"/>
          <w:szCs w:val="18"/>
          <w:color w:val="auto"/>
        </w:rPr>
        <w:t>The summary of significant accounting policies included in the Company’s financial statements for the year ended December 31, 2021 can be found in “Note 3. Summary of significant accounting policies” of the Company’s Form 10-K filed with the Securities and Exchange Commission (the “SEC”) on March 17, 2022. Those policies have not materially changed, except as set forth below.</w:t>
      </w:r>
    </w:p>
    <w:p>
      <w:pPr>
        <w:spacing w:after="0" w:line="2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firstLine="478"/>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in accordance with generally accepted accounting principles (“GAAP”) for interim financial information, the instructions to Form 10-Q and Article 10 of Regulation S-X. They do not include all of the information and notes required by GAAP for complete financial statements. In the opinion of management, all adjustments (consisting of normal recurring accruals) considered necessary for a fair presentation have been included. Operating results for the three and six months ended June 30, 2022 are not necessarily indicative of the results that may be expected for the year ending December 31, 2022. The accompanying unaudited interim financial statements should be read in conjunction with the annual audited financial statements and related notes as of and for the year ended December 31, 2021 found in the Form 10-K filed with the SEC on March 17, 2022. Any reference in these notes to applicable guidance is meant to refer to GAAP as found in the Accounting Standards Codification (“ASC”) and Accounting Standards Updates (“ASU”) of the Financial Accounting Standards Board (“FASB”).</w:t>
      </w:r>
    </w:p>
    <w:p>
      <w:pPr>
        <w:spacing w:after="0" w:line="2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right="260" w:firstLine="478"/>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interim financial statements in conformity with GAAP requires management to make estimates and assumptions that affect the reported amounts of assets and liabilities and disclosure of contingent assets and contingent liabilities at the date of the unaudited interim financial statements and the reported amounts of expenses during the reporting period. Actual results could differ from those estimates.</w:t>
      </w:r>
    </w:p>
    <w:p>
      <w:pPr>
        <w:spacing w:after="0" w:line="176" w:lineRule="exact"/>
        <w:rPr>
          <w:sz w:val="20"/>
          <w:szCs w:val="20"/>
          <w:color w:val="auto"/>
        </w:rPr>
      </w:pPr>
    </w:p>
    <w:p>
      <w:pPr>
        <w:ind w:right="220" w:firstLine="478"/>
        <w:spacing w:after="0" w:line="282" w:lineRule="auto"/>
        <w:rPr>
          <w:sz w:val="20"/>
          <w:szCs w:val="20"/>
          <w:color w:val="auto"/>
        </w:rPr>
      </w:pPr>
      <w:r>
        <w:rPr>
          <w:rFonts w:ascii="Times New Roman" w:cs="Times New Roman" w:eastAsia="Times New Roman" w:hAnsi="Times New Roman"/>
          <w:sz w:val="18"/>
          <w:szCs w:val="18"/>
          <w:color w:val="auto"/>
        </w:rPr>
        <w:t>Estimates and assumptions are periodically reviewed and the effects of the revisions are reflected in the accompanying unaudited interim financial statements in the period they are determined to be necessary. The most significant estimate relates to accrued clinical trial expenses.</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Based upon the historical and anticipated future losses, management has determined that the deferred tax assets generated by net operating losses and research and development credits do not meet the more likely than not threshold for realizability. Accordingly, a full valuation allowance has been recorded against the Company’s net deferred tax assets as of June 30, 2022 and December 31, 2021.</w:t>
      </w:r>
    </w:p>
    <w:p>
      <w:pPr>
        <w:spacing w:after="0" w:line="2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220" w:firstLine="479"/>
        <w:spacing w:after="0" w:line="282" w:lineRule="auto"/>
        <w:rPr>
          <w:sz w:val="20"/>
          <w:szCs w:val="20"/>
          <w:color w:val="auto"/>
        </w:rPr>
      </w:pPr>
      <w:r>
        <w:rPr>
          <w:rFonts w:ascii="Times New Roman" w:cs="Times New Roman" w:eastAsia="Times New Roman" w:hAnsi="Times New Roman"/>
          <w:sz w:val="18"/>
          <w:szCs w:val="18"/>
          <w:color w:val="auto"/>
        </w:rPr>
        <w:t>The Company’s cash equivalents include short-term highly liquid investments with an original maturity of 90 days or less when purchased and are carried at fair value in the accompanying balance sheets.</w:t>
      </w:r>
    </w:p>
    <w:p>
      <w:pPr>
        <w:spacing w:after="0" w:line="54" w:lineRule="exact"/>
        <w:rPr>
          <w:sz w:val="20"/>
          <w:szCs w:val="20"/>
          <w:color w:val="auto"/>
        </w:rPr>
      </w:pPr>
    </w:p>
    <w:p>
      <w:pPr>
        <w:ind w:right="380" w:firstLine="479"/>
        <w:spacing w:after="0" w:line="282" w:lineRule="auto"/>
        <w:rPr>
          <w:sz w:val="20"/>
          <w:szCs w:val="20"/>
          <w:color w:val="auto"/>
        </w:rPr>
      </w:pPr>
      <w:r>
        <w:rPr>
          <w:rFonts w:ascii="Times New Roman" w:cs="Times New Roman" w:eastAsia="Times New Roman" w:hAnsi="Times New Roman"/>
          <w:sz w:val="18"/>
          <w:szCs w:val="18"/>
          <w:color w:val="auto"/>
        </w:rPr>
        <w:t>Restricted cash comprises a letter of credit for the benefit of the landlord in connection with the Company’s Chestnut Run Lease. See Note 8 for further details.</w:t>
      </w:r>
    </w:p>
    <w:p>
      <w:pPr>
        <w:spacing w:after="0" w:line="54" w:lineRule="exact"/>
        <w:rPr>
          <w:sz w:val="20"/>
          <w:szCs w:val="20"/>
          <w:color w:val="auto"/>
        </w:rPr>
      </w:pPr>
    </w:p>
    <w:p>
      <w:pPr>
        <w:ind w:right="480" w:firstLine="479"/>
        <w:spacing w:after="0" w:line="261"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balance sheet that total to the amounts shown in the statement of cash flows:</w:t>
      </w:r>
    </w:p>
    <w:tbl>
      <w:tblPr>
        <w:tblLayout w:type="fixed"/>
        <w:tblInd w:w="0" w:type="dxa"/>
        <w:tblCellMar>
          <w:top w:w="0" w:type="dxa"/>
          <w:left w:w="0" w:type="dxa"/>
          <w:bottom w:w="0" w:type="dxa"/>
          <w:right w:w="0" w:type="dxa"/>
        </w:tblCellMar>
      </w:tblPr>
      <w:tr>
        <w:trPr>
          <w:trHeight w:val="137"/>
        </w:trPr>
        <w:tc>
          <w:tcPr>
            <w:tcW w:w="7700" w:type="dxa"/>
            <w:vAlign w:val="bottom"/>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r>
      <w:tr>
        <w:trPr>
          <w:trHeight w:val="22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50,706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31,828</w:t>
            </w: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20" w:type="dxa"/>
            <w:vAlign w:val="bottom"/>
            <w:tcBorders>
              <w:bottom w:val="single" w:sz="8" w:color="CFF0FC"/>
            </w:tcBorders>
          </w:tcPr>
          <w:p>
            <w:pPr>
              <w:spacing w:after="0"/>
              <w:rPr>
                <w:sz w:val="19"/>
                <w:szCs w:val="19"/>
                <w:color w:val="auto"/>
              </w:rPr>
            </w:pPr>
          </w:p>
        </w:tc>
      </w:tr>
      <w:tr>
        <w:trPr>
          <w:trHeight w:val="223"/>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statement of cash flows</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54,750</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160" w:firstLine="464"/>
        <w:spacing w:after="0" w:line="266" w:lineRule="auto"/>
        <w:rPr>
          <w:sz w:val="20"/>
          <w:szCs w:val="20"/>
          <w:color w:val="auto"/>
        </w:rPr>
      </w:pPr>
      <w:r>
        <w:rPr>
          <w:rFonts w:ascii="Times New Roman" w:cs="Times New Roman" w:eastAsia="Times New Roman" w:hAnsi="Times New Roman"/>
          <w:sz w:val="18"/>
          <w:szCs w:val="18"/>
          <w:color w:val="auto"/>
        </w:rPr>
        <w:t>The Company’s marketable securities consist of investments in corporate debt securities and commercial paper that are classified as available-for-sale. The securities are carried at fair value with the unrealized gains and losses, net of tax, included in accumulated other comprehensive income (loss), a component of stockholders’ equity (deficit). Realized gains and losses as well as credit losses, if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ind w:right="200"/>
        <w:spacing w:after="0" w:line="282" w:lineRule="auto"/>
        <w:rPr>
          <w:sz w:val="20"/>
          <w:szCs w:val="20"/>
          <w:color w:val="auto"/>
        </w:rPr>
      </w:pPr>
      <w:r>
        <w:rPr>
          <w:rFonts w:ascii="Times New Roman" w:cs="Times New Roman" w:eastAsia="Times New Roman" w:hAnsi="Times New Roman"/>
          <w:sz w:val="18"/>
          <w:szCs w:val="18"/>
          <w:color w:val="auto"/>
        </w:rPr>
        <w:t>any, on marketable securities are included in the Company’s statements of operations. The Company classifies marketable securities that are available for use in current operations as current assets on the balance sheets.</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120" w:firstLine="479"/>
        <w:spacing w:after="0" w:line="271" w:lineRule="auto"/>
        <w:rPr>
          <w:sz w:val="20"/>
          <w:szCs w:val="20"/>
          <w:color w:val="auto"/>
        </w:rPr>
      </w:pPr>
      <w:r>
        <w:rPr>
          <w:rFonts w:ascii="Times New Roman" w:cs="Times New Roman" w:eastAsia="Times New Roman" w:hAnsi="Times New Roman"/>
          <w:sz w:val="17"/>
          <w:szCs w:val="17"/>
          <w:color w:val="auto"/>
        </w:rPr>
        <w:t>Basic net loss per share of common stock is computed by dividing net loss by the weighted-average number of shares of common stock outstanding during each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of common stock includes the effect, if any, from the potential exercise of securities, such as stock options, and the effect from unvested restricted stock awards and restricted stock units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unvested restricted stock awards entitle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unvested restricted stock awards have no obligation to fund losses.</w:t>
      </w:r>
    </w:p>
    <w:p>
      <w:pPr>
        <w:spacing w:after="0" w:line="173" w:lineRule="exact"/>
        <w:rPr>
          <w:sz w:val="20"/>
          <w:szCs w:val="20"/>
          <w:color w:val="auto"/>
        </w:rPr>
      </w:pPr>
    </w:p>
    <w:p>
      <w:pPr>
        <w:ind w:right="680" w:firstLine="47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222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7700" w:type="dxa"/>
            <w:vAlign w:val="bottom"/>
            <w:tcBorders>
              <w:bottom w:val="single" w:sz="8" w:color="CFF0FC"/>
            </w:tcBorders>
          </w:tcPr>
          <w:p>
            <w:pPr>
              <w:spacing w:after="0"/>
              <w:rPr>
                <w:sz w:val="13"/>
                <w:szCs w:val="13"/>
                <w:color w:val="auto"/>
              </w:rPr>
            </w:pPr>
          </w:p>
        </w:tc>
        <w:tc>
          <w:tcPr>
            <w:tcW w:w="1560" w:type="dxa"/>
            <w:vAlign w:val="bottom"/>
            <w:tcBorders>
              <w:bottom w:val="single" w:sz="8" w:color="auto"/>
            </w:tcBorders>
          </w:tcPr>
          <w:p>
            <w:pPr>
              <w:jc w:val="right"/>
              <w:ind w:right="55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356,432</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841,965</w:t>
            </w:r>
          </w:p>
        </w:tc>
        <w:tc>
          <w:tcPr>
            <w:tcW w:w="120" w:type="dxa"/>
            <w:vAlign w:val="bottom"/>
            <w:shd w:val="clear" w:color="auto" w:fill="CFF0FC"/>
          </w:tcPr>
          <w:p>
            <w:pPr>
              <w:spacing w:after="0"/>
              <w:rPr>
                <w:sz w:val="19"/>
                <w:szCs w:val="19"/>
                <w:color w:val="auto"/>
              </w:rPr>
            </w:pP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9"/>
                <w:szCs w:val="19"/>
                <w:color w:val="auto"/>
              </w:rPr>
            </w:pPr>
          </w:p>
        </w:tc>
      </w:tr>
      <w:tr>
        <w:trPr>
          <w:trHeight w:val="22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8,915,289</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6,769,438</w:t>
            </w:r>
          </w:p>
        </w:tc>
        <w:tc>
          <w:tcPr>
            <w:tcW w:w="120" w:type="dxa"/>
            <w:vAlign w:val="bottom"/>
            <w:shd w:val="clear" w:color="auto" w:fill="CFF0FC"/>
          </w:tcPr>
          <w:p>
            <w:pPr>
              <w:spacing w:after="0"/>
              <w:rPr>
                <w:sz w:val="19"/>
                <w:szCs w:val="19"/>
                <w:color w:val="auto"/>
              </w:rPr>
            </w:pPr>
          </w:p>
        </w:tc>
      </w:tr>
      <w:tr>
        <w:trPr>
          <w:trHeight w:val="223"/>
        </w:trPr>
        <w:tc>
          <w:tcPr>
            <w:tcW w:w="77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9,441,721</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7,636,403</w:t>
            </w: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Amounts in the above table reflect the common stock equivalents.</w:t>
      </w:r>
    </w:p>
    <w:p>
      <w:pPr>
        <w:spacing w:after="0" w:line="3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119" w:lineRule="exact"/>
        <w:rPr>
          <w:sz w:val="20"/>
          <w:szCs w:val="20"/>
          <w:color w:val="auto"/>
        </w:rPr>
      </w:pPr>
    </w:p>
    <w:p>
      <w:pPr>
        <w:ind w:right="180" w:firstLine="479"/>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unaudited interim financial statements may not be comparable to companies that comply with the new or revised accounting pronouncements as of public company effective dates.</w:t>
      </w:r>
    </w:p>
    <w:p>
      <w:pPr>
        <w:spacing w:after="0" w:line="2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ind w:right="60" w:firstLine="478"/>
        <w:spacing w:after="0" w:line="257" w:lineRule="auto"/>
        <w:rPr>
          <w:sz w:val="20"/>
          <w:szCs w:val="20"/>
          <w:color w:val="auto"/>
        </w:rPr>
      </w:pPr>
      <w:r>
        <w:rPr>
          <w:rFonts w:ascii="Times New Roman" w:cs="Times New Roman" w:eastAsia="Times New Roman" w:hAnsi="Times New Roman"/>
          <w:sz w:val="18"/>
          <w:szCs w:val="18"/>
          <w:color w:val="auto"/>
        </w:rPr>
        <w:t>In June 2016, the FASB issued ASU No. 2016-13, “</w:t>
      </w:r>
      <w:r>
        <w:rPr>
          <w:rFonts w:ascii="Times New Roman" w:cs="Times New Roman" w:eastAsia="Times New Roman" w:hAnsi="Times New Roman"/>
          <w:sz w:val="18"/>
          <w:szCs w:val="18"/>
          <w:i w:val="1"/>
          <w:iCs w:val="1"/>
          <w:color w:val="auto"/>
        </w:rPr>
        <w:t>Financial Instruments-Credit Losses: Measurement of Credit Losses on Financial Instruments</w:t>
      </w:r>
      <w:r>
        <w:rPr>
          <w:rFonts w:ascii="Times New Roman" w:cs="Times New Roman" w:eastAsia="Times New Roman" w:hAnsi="Times New Roman"/>
          <w:sz w:val="18"/>
          <w:szCs w:val="18"/>
          <w:color w:val="auto"/>
        </w:rPr>
        <w:t>” which has subsequently been amended by ASU No. 2019-04, ASU No. 2019-05, ASU No. 2019-10, ASU No. 2019-11, and ASU No. 2020-03 (“ASU 2016-03”). This guidance replaces the incurred loss impairment methodology under current U.S. GAAP with a methodology that reflects expected credit losses and requires consideration of a broader range of reasonable and supportable information to inform credit loss estimates. The Company early adopted this standard as of January 1, 2022 using a modified retrospective approach. It did not have a material impact on the Company’s financial statements and related disclosures.</w:t>
      </w:r>
    </w:p>
    <w:p>
      <w:pPr>
        <w:spacing w:after="0" w:line="182" w:lineRule="exact"/>
        <w:rPr>
          <w:sz w:val="20"/>
          <w:szCs w:val="20"/>
          <w:color w:val="auto"/>
        </w:rPr>
      </w:pPr>
    </w:p>
    <w:p>
      <w:pPr>
        <w:ind w:right="40" w:firstLine="47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2021, the FASB issued ASU No. 2021-10, </w:t>
      </w:r>
      <w:r>
        <w:rPr>
          <w:rFonts w:ascii="Times New Roman" w:cs="Times New Roman" w:eastAsia="Times New Roman" w:hAnsi="Times New Roman"/>
          <w:sz w:val="18"/>
          <w:szCs w:val="18"/>
          <w:i w:val="1"/>
          <w:iCs w:val="1"/>
          <w:color w:val="auto"/>
        </w:rPr>
        <w:t>“Government Assistance: Disclosures by Business Entities about Government Assistance”</w:t>
      </w:r>
      <w:r>
        <w:rPr>
          <w:rFonts w:ascii="Times New Roman" w:cs="Times New Roman" w:eastAsia="Times New Roman" w:hAnsi="Times New Roman"/>
          <w:sz w:val="18"/>
          <w:szCs w:val="18"/>
          <w:color w:val="auto"/>
        </w:rPr>
        <w:t>. The amendments in this Update improve financial reporting by requiring disclosures that increase the transparency of transactions with a government. The amendments require the following annual disclosures about transactions with a government that are accounted for by applying a grant or contribution accounting model by analogy (i) the type of transaction (ii) the accounting for the transaction, and (iii) the effect of the transaction on the entity’s financial statements. The Company adopted this standard as of January 1, 2022 using a prospective approach and it did not have a material impact on the Company’s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summary of the Company’s marketable securities.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Gross unrealized loss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3"/>
        </w:trPr>
        <w:tc>
          <w:tcPr>
            <w:tcW w:w="2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8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2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184,045</w:t>
            </w:r>
          </w:p>
        </w:tc>
        <w:tc>
          <w:tcPr>
            <w:tcW w:w="12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(2,289)</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181,776</w:t>
            </w:r>
          </w:p>
        </w:tc>
        <w:tc>
          <w:tcPr>
            <w:tcW w:w="120" w:type="dxa"/>
            <w:vAlign w:val="bottom"/>
          </w:tcPr>
          <w:p>
            <w:pPr>
              <w:spacing w:after="0"/>
              <w:rPr>
                <w:sz w:val="19"/>
                <w:szCs w:val="19"/>
                <w:color w:val="auto"/>
              </w:rPr>
            </w:pPr>
          </w:p>
        </w:tc>
      </w:tr>
      <w:tr>
        <w:trPr>
          <w:trHeight w:val="230"/>
        </w:trPr>
        <w:tc>
          <w:tcPr>
            <w:tcW w:w="2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13,823</w:t>
            </w:r>
          </w:p>
        </w:tc>
        <w:tc>
          <w:tcPr>
            <w:tcW w:w="120" w:type="dxa"/>
            <w:vAlign w:val="bottom"/>
            <w:shd w:val="clear" w:color="auto" w:fill="CFF0FC"/>
          </w:tcPr>
          <w:p>
            <w:pPr>
              <w:spacing w:after="0"/>
              <w:rPr>
                <w:sz w:val="19"/>
                <w:szCs w:val="19"/>
                <w:color w:val="auto"/>
              </w:rPr>
            </w:pPr>
          </w:p>
        </w:tc>
      </w:tr>
      <w:tr>
        <w:trPr>
          <w:trHeight w:val="263"/>
        </w:trPr>
        <w:tc>
          <w:tcPr>
            <w:tcW w:w="2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197,893</w:t>
            </w:r>
          </w:p>
        </w:tc>
        <w:tc>
          <w:tcPr>
            <w:tcW w:w="12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20" w:type="dxa"/>
            <w:vAlign w:val="bottom"/>
            <w:tcBorders>
              <w:bottom w:val="single" w:sz="8" w:color="CFF0FC"/>
            </w:tcBorders>
          </w:tcPr>
          <w:p>
            <w:pPr>
              <w:spacing w:after="0"/>
              <w:rPr>
                <w:sz w:val="22"/>
                <w:szCs w:val="22"/>
                <w:color w:val="auto"/>
              </w:rPr>
            </w:pPr>
          </w:p>
        </w:tc>
        <w:tc>
          <w:tcPr>
            <w:tcW w:w="46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195,599</w:t>
            </w:r>
          </w:p>
        </w:tc>
        <w:tc>
          <w:tcPr>
            <w:tcW w:w="120" w:type="dxa"/>
            <w:vAlign w:val="bottom"/>
            <w:tcBorders>
              <w:bottom w:val="single" w:sz="8" w:color="CFF0FC"/>
            </w:tcBorders>
          </w:tcPr>
          <w:p>
            <w:pPr>
              <w:spacing w:after="0"/>
              <w:rPr>
                <w:sz w:val="22"/>
                <w:szCs w:val="22"/>
                <w:color w:val="auto"/>
              </w:rPr>
            </w:pPr>
          </w:p>
        </w:tc>
      </w:tr>
      <w:tr>
        <w:trPr>
          <w:trHeight w:val="210"/>
        </w:trPr>
        <w:tc>
          <w:tcPr>
            <w:tcW w:w="29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2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193,798</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(696)</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193,103</w:t>
            </w:r>
          </w:p>
        </w:tc>
        <w:tc>
          <w:tcPr>
            <w:tcW w:w="120" w:type="dxa"/>
            <w:vAlign w:val="bottom"/>
            <w:shd w:val="clear" w:color="auto" w:fill="CFF0FC"/>
          </w:tcPr>
          <w:p>
            <w:pPr>
              <w:spacing w:after="0"/>
              <w:rPr>
                <w:sz w:val="19"/>
                <w:szCs w:val="19"/>
                <w:color w:val="auto"/>
              </w:rPr>
            </w:pPr>
          </w:p>
        </w:tc>
      </w:tr>
      <w:tr>
        <w:trPr>
          <w:trHeight w:val="229"/>
        </w:trPr>
        <w:tc>
          <w:tcPr>
            <w:tcW w:w="2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66,302</w:t>
            </w:r>
          </w:p>
        </w:tc>
        <w:tc>
          <w:tcPr>
            <w:tcW w:w="120" w:type="dxa"/>
            <w:vAlign w:val="bottom"/>
          </w:tcPr>
          <w:p>
            <w:pPr>
              <w:spacing w:after="0"/>
              <w:rPr>
                <w:sz w:val="19"/>
                <w:szCs w:val="19"/>
                <w:color w:val="auto"/>
              </w:rPr>
            </w:pPr>
          </w:p>
        </w:tc>
      </w:tr>
      <w:tr>
        <w:trPr>
          <w:trHeight w:val="223"/>
        </w:trPr>
        <w:tc>
          <w:tcPr>
            <w:tcW w:w="29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ind w:right="40" w:firstLine="468"/>
        <w:spacing w:after="0" w:line="261" w:lineRule="auto"/>
        <w:rPr>
          <w:sz w:val="20"/>
          <w:szCs w:val="20"/>
          <w:color w:val="auto"/>
        </w:rPr>
      </w:pPr>
      <w:r>
        <w:rPr>
          <w:rFonts w:ascii="Times New Roman" w:cs="Times New Roman" w:eastAsia="Times New Roman" w:hAnsi="Times New Roman"/>
          <w:sz w:val="18"/>
          <w:szCs w:val="18"/>
          <w:color w:val="auto"/>
        </w:rPr>
        <w:t>The Company’s marketable securities generally have contractual maturity dates of 16 months or less. The Company believes that any unrealized losses associated with the decline in value of its securities is temporary, is primarily related to market factors and believes that it is more likely than not that it will be able to hold its debt securities to maturity. Therefore, the Company anticipates a full recovery of the amortized cost basis of its debt securities at maturity and an allowance for credit losses was not recognized.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121" w:lineRule="exact"/>
        <w:rPr>
          <w:sz w:val="20"/>
          <w:szCs w:val="20"/>
          <w:color w:val="auto"/>
        </w:rPr>
      </w:pPr>
    </w:p>
    <w:p>
      <w:pPr>
        <w:ind w:right="60" w:firstLine="479"/>
        <w:spacing w:after="0" w:line="256" w:lineRule="auto"/>
        <w:rPr>
          <w:sz w:val="20"/>
          <w:szCs w:val="20"/>
          <w:color w:val="auto"/>
        </w:rPr>
      </w:pPr>
      <w:r>
        <w:rPr>
          <w:rFonts w:ascii="Times New Roman" w:cs="Times New Roman" w:eastAsia="Times New Roman" w:hAnsi="Times New Roman"/>
          <w:sz w:val="18"/>
          <w:szCs w:val="18"/>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820, for financial assets and liabilities measured on a recurring basis. The guidance requires fair value measurements be classified and disclosed in one of the following three categories:</w:t>
      </w:r>
    </w:p>
    <w:p>
      <w:pPr>
        <w:spacing w:after="0" w:line="77" w:lineRule="exact"/>
        <w:rPr>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17" w:lineRule="exact"/>
        <w:rPr>
          <w:rFonts w:ascii="Times New Roman" w:cs="Times New Roman" w:eastAsia="Times New Roman" w:hAnsi="Times New Roman"/>
          <w:sz w:val="18"/>
          <w:szCs w:val="18"/>
          <w:color w:val="auto"/>
        </w:rPr>
      </w:pPr>
    </w:p>
    <w:p>
      <w:pPr>
        <w:ind w:left="960" w:right="20" w:hanging="480"/>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asset or liabilities.</w:t>
      </w:r>
    </w:p>
    <w:p>
      <w:pPr>
        <w:spacing w:after="0" w:line="50" w:lineRule="exact"/>
        <w:rPr>
          <w:rFonts w:ascii="Times New Roman" w:cs="Times New Roman" w:eastAsia="Times New Roman" w:hAnsi="Times New Roman"/>
          <w:sz w:val="18"/>
          <w:szCs w:val="18"/>
          <w:color w:val="auto"/>
        </w:rPr>
      </w:pPr>
    </w:p>
    <w:p>
      <w:pPr>
        <w:ind w:left="960" w:right="900" w:hanging="480"/>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(i.e., supported by little or no market activity).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p>
      <w:pPr>
        <w:ind w:left="480"/>
        <w:spacing w:after="0"/>
        <w:rPr>
          <w:sz w:val="20"/>
          <w:szCs w:val="20"/>
          <w:color w:val="auto"/>
        </w:rPr>
      </w:pPr>
      <w:r>
        <w:rPr>
          <w:rFonts w:ascii="Times New Roman" w:cs="Times New Roman" w:eastAsia="Times New Roman" w:hAnsi="Times New Roman"/>
          <w:sz w:val="18"/>
          <w:szCs w:val="18"/>
          <w:color w:val="auto"/>
        </w:rPr>
        <w:t>The following fair value hierarchy table presents information about the Company’s assets and liabilities measured at fair value on a recurring basis: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40" w:type="dxa"/>
            <w:vAlign w:val="bottom"/>
            <w:gridSpan w:val="1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31"/>
        </w:trPr>
        <w:tc>
          <w:tcPr>
            <w:tcW w:w="6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62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4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47,958</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Marketable securities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181,776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195,599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30,520</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Marketable securities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193,103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259,405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62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7"/>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200" w:type="dxa"/>
            <w:vAlign w:val="bottom"/>
            <w:tcBorders>
              <w:bottom w:val="single" w:sz="8" w:color="CFF0FC"/>
            </w:tcBorders>
            <w:vMerge w:val="continue"/>
          </w:tcPr>
          <w:p>
            <w:pPr>
              <w:spacing w:after="0"/>
              <w:rPr>
                <w:sz w:val="15"/>
                <w:szCs w:val="15"/>
                <w:color w:val="auto"/>
              </w:rPr>
            </w:pPr>
          </w:p>
        </w:tc>
        <w:tc>
          <w:tcPr>
            <w:tcW w:w="44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9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Common Stock Offering</w:t>
      </w:r>
    </w:p>
    <w:p>
      <w:pPr>
        <w:spacing w:after="0" w:line="121" w:lineRule="exact"/>
        <w:rPr>
          <w:sz w:val="20"/>
          <w:szCs w:val="20"/>
          <w:color w:val="auto"/>
        </w:rPr>
      </w:pPr>
    </w:p>
    <w:p>
      <w:pPr>
        <w:jc w:val="both"/>
        <w:ind w:right="140" w:firstLine="478"/>
        <w:spacing w:after="0" w:line="282" w:lineRule="auto"/>
        <w:rPr>
          <w:sz w:val="20"/>
          <w:szCs w:val="20"/>
          <w:color w:val="auto"/>
        </w:rPr>
      </w:pPr>
      <w:r>
        <w:rPr>
          <w:rFonts w:ascii="Times New Roman" w:cs="Times New Roman" w:eastAsia="Times New Roman" w:hAnsi="Times New Roman"/>
          <w:sz w:val="18"/>
          <w:szCs w:val="18"/>
          <w:color w:val="auto"/>
        </w:rPr>
        <w:t>In January 2021, the Company sold 2,875,000 shares of its common stock at a public offering price of $60.00 per share. The Company received net proceeds of $161.4 million after deducting underwriting discounts, commissions, and other offering expenses paid by the Company.</w:t>
      </w:r>
    </w:p>
    <w:p>
      <w:pPr>
        <w:spacing w:after="0" w:line="54" w:lineRule="exact"/>
        <w:rPr>
          <w:sz w:val="20"/>
          <w:szCs w:val="20"/>
          <w:color w:val="auto"/>
        </w:rPr>
      </w:pPr>
    </w:p>
    <w:p>
      <w:pPr>
        <w:ind w:right="20" w:firstLine="478"/>
        <w:spacing w:after="0" w:line="253" w:lineRule="auto"/>
        <w:rPr>
          <w:sz w:val="20"/>
          <w:szCs w:val="20"/>
          <w:color w:val="auto"/>
        </w:rPr>
      </w:pPr>
      <w:r>
        <w:rPr>
          <w:rFonts w:ascii="Times New Roman" w:cs="Times New Roman" w:eastAsia="Times New Roman" w:hAnsi="Times New Roman"/>
          <w:sz w:val="18"/>
          <w:szCs w:val="18"/>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 19.99%) or decreased to any other percentage designated by such holder of non-voting common stock upon 61 days’ notice to the Company.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b w:val="1"/>
          <w:bCs w:val="1"/>
          <w:color w:val="auto"/>
        </w:rPr>
        <w:t xml:space="preserve"> Commitments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Company leases office and laboratory space in Wilmington, Delaware under a noncancelable lease (the “Lease”). During the first quarter of 2022, the Lease was amended to allow the Company the option to renew the Lease for two 6-month periods and the Company exercised its option to renew the lease for an additional 6 months until June 30, 2023. The second option to extend the Lease for an additional 6 months was not recognized as part of the Company’s measurement of the right-of-use asset and operating lease liability as of June 30, 2022. The discount rate used to account for the Company’s operating lease under ASC 842 is the Company’s estimated incremental borrowing rate of 6.0%.</w:t>
      </w:r>
    </w:p>
    <w:p>
      <w:pPr>
        <w:spacing w:after="0" w:line="183"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Rent expense for the three months ended June 30, 2022 and 2021 was $0.6 million and $0.3 million, respectively. Rent expense for the six months ended June 30, 2022 and 2021 was $1.1 million and $0.7 million,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annual lease payments under the Lease at June 30, 2022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(remaining)</w:t>
            </w:r>
          </w:p>
        </w:tc>
        <w:tc>
          <w:tcPr>
            <w:tcW w:w="404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shd w:val="clear" w:color="auto" w:fill="CFF0FC"/>
          </w:tcPr>
          <w:p>
            <w:pPr>
              <w:spacing w:after="0"/>
              <w:rPr>
                <w:sz w:val="19"/>
                <w:szCs w:val="19"/>
                <w:color w:val="auto"/>
              </w:rPr>
            </w:pPr>
          </w:p>
        </w:tc>
      </w:tr>
      <w:tr>
        <w:trPr>
          <w:trHeight w:val="229"/>
        </w:trPr>
        <w:tc>
          <w:tcPr>
            <w:tcW w:w="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2023</w:t>
            </w:r>
          </w:p>
        </w:tc>
        <w:tc>
          <w:tcPr>
            <w:tcW w:w="5080" w:type="dxa"/>
            <w:vAlign w:val="bottom"/>
            <w:tcBorders>
              <w:bottom w:val="single" w:sz="8" w:color="CFF0FC"/>
            </w:tcBorders>
          </w:tcPr>
          <w:p>
            <w:pPr>
              <w:spacing w:after="0"/>
              <w:rPr>
                <w:sz w:val="19"/>
                <w:szCs w:val="19"/>
                <w:color w:val="auto"/>
              </w:rPr>
            </w:pPr>
          </w:p>
        </w:tc>
        <w:tc>
          <w:tcPr>
            <w:tcW w:w="32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tcBorders>
              <w:bottom w:val="single" w:sz="8" w:color="CFF0FC"/>
            </w:tcBorders>
          </w:tcPr>
          <w:p>
            <w:pPr>
              <w:spacing w:after="0"/>
              <w:rPr>
                <w:sz w:val="19"/>
                <w:szCs w:val="19"/>
                <w:color w:val="auto"/>
              </w:rPr>
            </w:pPr>
          </w:p>
        </w:tc>
      </w:tr>
      <w:tr>
        <w:trPr>
          <w:trHeight w:val="223"/>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2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20" w:type="dxa"/>
            <w:vAlign w:val="bottom"/>
            <w:shd w:val="clear" w:color="auto" w:fill="CFF0FC"/>
          </w:tcPr>
          <w:p>
            <w:pPr>
              <w:spacing w:after="0"/>
              <w:rPr>
                <w:sz w:val="19"/>
                <w:szCs w:val="19"/>
                <w:color w:val="auto"/>
              </w:rPr>
            </w:pPr>
          </w:p>
        </w:tc>
      </w:tr>
      <w:tr>
        <w:trPr>
          <w:trHeight w:val="223"/>
        </w:trPr>
        <w:tc>
          <w:tcPr>
            <w:tcW w:w="59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2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and noncurrent lease liability</w:t>
            </w:r>
          </w:p>
        </w:tc>
        <w:tc>
          <w:tcPr>
            <w:tcW w:w="32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ind w:right="120" w:firstLine="479"/>
        <w:spacing w:after="0" w:line="254" w:lineRule="auto"/>
        <w:rPr>
          <w:sz w:val="20"/>
          <w:szCs w:val="20"/>
          <w:color w:val="auto"/>
        </w:rPr>
      </w:pPr>
      <w:r>
        <w:rPr>
          <w:rFonts w:ascii="Times New Roman" w:cs="Times New Roman" w:eastAsia="Times New Roman" w:hAnsi="Times New Roman"/>
          <w:sz w:val="18"/>
          <w:szCs w:val="18"/>
          <w:color w:val="auto"/>
        </w:rPr>
        <w:t>In August 2022, we entered into an amendment (the “Lease Amendment”) to the lease agreement for office and lab space at Chestnut Run Plaza in Wilmington, Delaware (the “Chestnut Run Lease”). The Chestnut Run Lease has a commencement date of the earlier of (i) the Landlord Work Substantial Completion Date (as such term is defined in the Chestnut Run Lease), or (ii) the date the Company takes possession of the premises for the conduct of the Company’s business (the “Commencement Date”). The Chestnut Run Lease premises includes approximately 81,000 rentable square feet, located at Chestnut Run Plaza in Wilmington, Delaware (the Premises). Upon the Commencement Date, the Company will recognize a right-of-use asset and operating lease liability in accordance with ASC 842. The Chestnut Run Lease has an initial term of 162 months with 3 five-year extension options and certain expansion rights. The Lease Amendment increases the monthly base rent payments due over the initial term of the Chestnut Run Lease to approximately $42.6 million. The estimated rent payments related to the Chestnut Run Lease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3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(remaining 6 months)</w:t>
            </w:r>
          </w:p>
        </w:tc>
        <w:tc>
          <w:tcPr>
            <w:tcW w:w="438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7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4720" w:type="dxa"/>
            <w:vAlign w:val="bottom"/>
            <w:shd w:val="clear" w:color="auto" w:fill="CFF0FC"/>
          </w:tcPr>
          <w:p>
            <w:pPr>
              <w:spacing w:after="0"/>
              <w:rPr>
                <w:sz w:val="19"/>
                <w:szCs w:val="19"/>
                <w:color w:val="auto"/>
              </w:rPr>
            </w:pPr>
          </w:p>
        </w:tc>
        <w:tc>
          <w:tcPr>
            <w:tcW w:w="4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2,370</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7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2,943</w:t>
            </w:r>
          </w:p>
        </w:tc>
      </w:tr>
      <w:tr>
        <w:trPr>
          <w:trHeight w:val="230"/>
        </w:trPr>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720" w:type="dxa"/>
            <w:vAlign w:val="bottom"/>
            <w:shd w:val="clear" w:color="auto" w:fill="CFF0FC"/>
          </w:tcPr>
          <w:p>
            <w:pPr>
              <w:spacing w:after="0"/>
              <w:rPr>
                <w:sz w:val="19"/>
                <w:szCs w:val="19"/>
                <w:color w:val="auto"/>
              </w:rPr>
            </w:pPr>
          </w:p>
        </w:tc>
        <w:tc>
          <w:tcPr>
            <w:tcW w:w="4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3,016</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7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3,092</w:t>
            </w:r>
          </w:p>
        </w:tc>
      </w:tr>
      <w:tr>
        <w:trPr>
          <w:trHeight w:val="230"/>
        </w:trPr>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4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31,216</w:t>
            </w:r>
          </w:p>
        </w:tc>
      </w:tr>
    </w:tbl>
    <w:p>
      <w:pPr>
        <w:spacing w:after="0" w:line="200" w:lineRule="exact"/>
        <w:rPr>
          <w:sz w:val="20"/>
          <w:szCs w:val="20"/>
          <w:color w:val="auto"/>
        </w:rPr>
      </w:pPr>
    </w:p>
    <w:p>
      <w:pPr>
        <w:spacing w:after="0" w:line="214" w:lineRule="exact"/>
        <w:rPr>
          <w:sz w:val="20"/>
          <w:szCs w:val="20"/>
          <w:color w:val="auto"/>
        </w:rPr>
      </w:pPr>
    </w:p>
    <w:p>
      <w:pPr>
        <w:jc w:val="both"/>
        <w:ind w:right="300" w:firstLine="479"/>
        <w:spacing w:after="0" w:line="266" w:lineRule="auto"/>
        <w:rPr>
          <w:sz w:val="20"/>
          <w:szCs w:val="20"/>
          <w:color w:val="auto"/>
        </w:rPr>
      </w:pPr>
      <w:r>
        <w:rPr>
          <w:rFonts w:ascii="Times New Roman" w:cs="Times New Roman" w:eastAsia="Times New Roman" w:hAnsi="Times New Roman"/>
          <w:sz w:val="18"/>
          <w:szCs w:val="18"/>
          <w:color w:val="auto"/>
        </w:rPr>
        <w:t>The Company paid a security deposit for the Chestnut Run Lease in the form of a letter of credit of $4.0 million, which is included in the balance sheet as restricted cash as of June 30, 2022. The security deposit may be reduced to $0.5 million over time in accordance with the terms of the Chestnut Run Lease.</w:t>
      </w:r>
    </w:p>
    <w:p>
      <w:pPr>
        <w:spacing w:after="0" w:line="68"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In connection with the Company’s expansion of operations in the State of Delaware, the Company was approved for a grant from the State of Delaware in 2021 that will provide up to $5.5 million in reimbursements over three years for the development of lab space in addition to increasing jobs in Delaware to meet specific targeted levels through 2023. During the first quarter of 2022, the Company received cash of $2.4 million from the grant for the development of lab space. The Company has deferred the recognition of these grant funds as they relate to capitalized costs and has classified them as long-term liabilities on the balance sheet. The Company will recognize the grant funds in other income as grant income over the useful life of the related assets. If, after two years from the disbursement date, the incurred costs for lab space are less than the $2.4 million received, the Company is required to pay back the difference between total funds received and allowable costs incurred. Additionally, if the Company leaves the State of Delaware within five years of the disbursement, the Company is required to return an amount equal to the amount of grant funds disbursed on a pro-rated basis. During the first quarter of 2022, the Company also received cash of $0.3 million for satisfying the first performance benchmark measurement. The Company recognized this in other income, net on the statement of operations and comprehensive loss.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 w:name="page14"/>
    <w:bookmarkEnd w:id="13"/>
    <w:p>
      <w:pPr>
        <w:ind w:right="200"/>
        <w:spacing w:after="0" w:line="282" w:lineRule="auto"/>
        <w:rPr>
          <w:sz w:val="20"/>
          <w:szCs w:val="20"/>
          <w:color w:val="auto"/>
        </w:rPr>
      </w:pPr>
      <w:r>
        <w:rPr>
          <w:rFonts w:ascii="Times New Roman" w:cs="Times New Roman" w:eastAsia="Times New Roman" w:hAnsi="Times New Roman"/>
          <w:sz w:val="18"/>
          <w:szCs w:val="18"/>
          <w:color w:val="auto"/>
        </w:rPr>
        <w:t>To the extent the Company’s employee headcount is fewer than the performance benchmark, the Company is required to repay the amount of grant funds received for the number of employees below the benchmark.</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21" w:lineRule="exact"/>
        <w:rPr>
          <w:sz w:val="20"/>
          <w:szCs w:val="20"/>
          <w:color w:val="auto"/>
        </w:rPr>
      </w:pPr>
    </w:p>
    <w:p>
      <w:pPr>
        <w:ind w:right="480" w:firstLine="479"/>
        <w:spacing w:after="0" w:line="282" w:lineRule="auto"/>
        <w:rPr>
          <w:sz w:val="20"/>
          <w:szCs w:val="20"/>
          <w:color w:val="auto"/>
        </w:rPr>
      </w:pPr>
      <w:r>
        <w:rPr>
          <w:rFonts w:ascii="Times New Roman" w:cs="Times New Roman" w:eastAsia="Times New Roman" w:hAnsi="Times New Roman"/>
          <w:sz w:val="18"/>
          <w:szCs w:val="18"/>
          <w:color w:val="auto"/>
        </w:rPr>
        <w:t>The Company entered into employment agreements with key personnel providing for compensation and severance in certain circumstances, as defined in the respective employment agreements.</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401(k) Defined Contribution Plan</w:t>
      </w:r>
    </w:p>
    <w:p>
      <w:pPr>
        <w:spacing w:after="0" w:line="92" w:lineRule="exact"/>
        <w:rPr>
          <w:sz w:val="20"/>
          <w:szCs w:val="20"/>
          <w:color w:val="auto"/>
        </w:rPr>
      </w:pPr>
    </w:p>
    <w:p>
      <w:pPr>
        <w:ind w:right="120" w:firstLine="479"/>
        <w:spacing w:after="0" w:line="228" w:lineRule="exact"/>
        <w:rPr>
          <w:sz w:val="20"/>
          <w:szCs w:val="20"/>
          <w:color w:val="auto"/>
        </w:rPr>
      </w:pPr>
      <w:r>
        <w:rPr>
          <w:rFonts w:ascii="Times New Roman" w:cs="Times New Roman" w:eastAsia="Times New Roman" w:hAnsi="Times New Roman"/>
          <w:sz w:val="17"/>
          <w:szCs w:val="17"/>
          <w:color w:val="auto"/>
        </w:rPr>
        <w:t>The Company sponsors a 401(k) defined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contribution plan covering all employees. Participants are permitted to contribute up to 100% of their eligible annual pretax compensation up to an established federal limit on aggregate participant contributions. The Company provides a safe harbor match with a maximum amount of 3% of the participant’s compensation. For both the three months ended June 30, 2022 and 2021, the Company made matching contributions of $0.1 million. For both the six months ended June 30, 2022 and 2021, the Company made matching contributions of $0.3 million.</w:t>
      </w:r>
    </w:p>
    <w:p>
      <w:pPr>
        <w:spacing w:after="0" w:line="3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Agreement</w:t>
      </w:r>
    </w:p>
    <w:p>
      <w:pPr>
        <w:spacing w:after="0" w:line="121"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In September 2021, the Company entered into a research collaboration agreement estimated to last for approximately one year (the “Darwin Health Agreement”) with Darwin Health, Inc. (“DarwinHealth”). Under the terms of the Darwin Health Agreement, DarwinHealth will utilize their drug discovery technologies and certified methodologies in precision oncology to advance and accelerate clinical development for certain of the Company’s programs across a broad range of tumor subtypes. The Company will pay DarwinHealth a total of $3.0 million in three equal installments over the one-year term (the “Research Term”) to fund the research and, if the Company adopts any of DarwinHealth’s development ideas, the Company will be responsible for the development, manufacturing, and commercialization of any such products. In addition to research funding, DarwinHealth is eligible to receive future research, development and regulatory milestones of up to $3.0 million for each product candidate and is also eligible to receive tiered royalties in the low single digits on net sales of each product developed using DarwinHealth’s development technologies or methods. However, within eighteen-months following the Research Term, the Company, in its sole discretion, may notify DarwinHealth that it will not utilize its development ideas and will be entitled to receive a refund of $0.5 million.</w:t>
      </w:r>
    </w:p>
    <w:p>
      <w:pPr>
        <w:spacing w:after="0" w:line="2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 Research and Development Arrangements</w:t>
      </w:r>
    </w:p>
    <w:p>
      <w:pPr>
        <w:spacing w:after="0" w:line="121" w:lineRule="exact"/>
        <w:rPr>
          <w:sz w:val="20"/>
          <w:szCs w:val="20"/>
          <w:color w:val="auto"/>
        </w:rPr>
      </w:pPr>
    </w:p>
    <w:p>
      <w:pPr>
        <w:ind w:right="520" w:firstLine="479"/>
        <w:spacing w:after="0" w:line="282" w:lineRule="auto"/>
        <w:rPr>
          <w:sz w:val="20"/>
          <w:szCs w:val="20"/>
          <w:color w:val="auto"/>
        </w:rPr>
      </w:pPr>
      <w:r>
        <w:rPr>
          <w:rFonts w:ascii="Times New Roman" w:cs="Times New Roman" w:eastAsia="Times New Roman" w:hAnsi="Times New Roman"/>
          <w:sz w:val="18"/>
          <w:szCs w:val="18"/>
          <w:color w:val="auto"/>
        </w:rPr>
        <w:t>The Company enters into agreements with contract research organizations (“CROs”) to assist in the performance of research and development activities. Expenditures to CROs will represent a significant cost in clinical development for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21" w:lineRule="exact"/>
        <w:rPr>
          <w:sz w:val="20"/>
          <w:szCs w:val="20"/>
          <w:color w:val="auto"/>
        </w:rPr>
      </w:pPr>
    </w:p>
    <w:p>
      <w:pPr>
        <w:ind w:right="100" w:firstLine="479"/>
        <w:spacing w:after="0" w:line="254" w:lineRule="auto"/>
        <w:rPr>
          <w:sz w:val="20"/>
          <w:szCs w:val="20"/>
          <w:color w:val="auto"/>
        </w:rPr>
      </w:pPr>
      <w:r>
        <w:rPr>
          <w:rFonts w:ascii="Times New Roman" w:cs="Times New Roman" w:eastAsia="Times New Roman" w:hAnsi="Times New Roman"/>
          <w:sz w:val="18"/>
          <w:szCs w:val="18"/>
          <w:color w:val="auto"/>
        </w:rPr>
        <w:t>The Company has two equity incentive plans: the 2016 Equity Incentive Plan, as amended, and the 2020 Equity Incentive Plan. New awards can only be granted under the 2020 Equity Incentive Plan (the “Plan”) and as of June 30, 2022, 5,708,289 shares were available for future grants. The number of shares of the Company’s common stock that may be issued pursuant to rights granted under the Plan shall automatically increase on January 1st of each year, commencing on January 1, 2021, and continuing for ten years, in an amount equal to five percent of the total number of shares of the Company’s common stock outstanding on December 31st of the preceding calendar year, subject to the discretion of the board of directors or compensation committee to determine a lesser number of shares shall be added for such year. The Plan provides for the granting of common stock, incentive stock options, nonqualified stock options, restricted stock awards, restricted stock units and/or stock appreciation rights to employees, directors, and other persons, as determined by the Company’s board of directors. The Company’s stock options vest based on the terms in each award agreement, generally over four-year periods with 25% of options vesting after 1 year and then monthly thereafter, and have a term of ten years.</w:t>
      </w:r>
    </w:p>
    <w:p>
      <w:pPr>
        <w:spacing w:after="0" w:line="188" w:lineRule="exact"/>
        <w:rPr>
          <w:sz w:val="20"/>
          <w:szCs w:val="20"/>
          <w:color w:val="auto"/>
        </w:rPr>
      </w:pPr>
    </w:p>
    <w:p>
      <w:pPr>
        <w:ind w:right="100" w:firstLine="478"/>
        <w:spacing w:after="0" w:line="266"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740" w:type="dxa"/>
            <w:vAlign w:val="bottom"/>
            <w:tcBorders>
              <w:bottom w:val="single" w:sz="8" w:color="CFF0FC"/>
            </w:tcBorders>
            <w:vMerge w:val="continue"/>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shd w:val="clear" w:color="auto" w:fill="CFF0FC"/>
          </w:tcPr>
          <w:p>
            <w:pPr>
              <w:spacing w:after="0"/>
              <w:rPr>
                <w:sz w:val="19"/>
                <w:szCs w:val="19"/>
                <w:color w:val="auto"/>
              </w:rPr>
            </w:pPr>
          </w:p>
        </w:tc>
        <w:tc>
          <w:tcPr>
            <w:tcW w:w="20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4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periods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4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7,179,482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28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2,705,609</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(124,285)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(845,517)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8,915,289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June 30, 2022</w:t>
            </w: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80" w:type="dxa"/>
            <w:vAlign w:val="bottom"/>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2,738,389</w:t>
            </w:r>
          </w:p>
        </w:tc>
        <w:tc>
          <w:tcPr>
            <w:tcW w:w="16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June 30, 2022, the aggregate intrinsic value of outstanding options and exercisable options was $7.7 million and $4.9 million, respectively.</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June 30, 2022 under the Plan:</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right"/>
              <w:ind w:right="240"/>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0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4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5100" w:type="dxa"/>
            <w:vAlign w:val="bottom"/>
            <w:vMerge w:val="continue"/>
          </w:tcPr>
          <w:p>
            <w:pPr>
              <w:spacing w:after="0"/>
              <w:rPr>
                <w:sz w:val="15"/>
                <w:szCs w:val="15"/>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5"/>
                <w:szCs w:val="15"/>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$0.31 - $3.05</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2,109,347</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1,414,546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$3.06 - $10.34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1,068,193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$10.35 - $11.72</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1,447,250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$11.73 - $13.04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2,253,228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1,031,129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$13.05 - $88.98</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2,037,271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288,214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8,915,289</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2,738,389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00" w:firstLine="478"/>
        <w:spacing w:after="0" w:line="25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$6.00 and $38.31 per share for the six months ended June 30, 2022 and 2021, respectively. The aggregate intrinsic value of options exercised was $0.7 million for the six months ended June 30, 2022. The Company recorded stock-based compensation expense of $5.7 million and $4.2 million for the three months ended June 30, 2022 and 2021, respectively, related to stock options. The Company recorded stock-based compensation expense of $12.2 million and $7.7 million for the six months ended June 30, 2022 and 2021, respectively, related to stock options. As of June 30, 2022, the total unrecognized compensation expense related to unvested stock option awards was $61.8 million, which the Company expects to recognize over a weighted-average period of 2.79 years.</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fair value of each option was estimated on the date of grant using the weighted average assumptions in the table below:</w:t>
      </w:r>
    </w:p>
    <w:p>
      <w:pPr>
        <w:spacing w:after="0" w:line="259"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55"/>
        </w:trPr>
        <w:tc>
          <w:tcPr>
            <w:tcW w:w="760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r>
      <w:tr>
        <w:trPr>
          <w:trHeight w:val="223"/>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84.82%</w:t>
            </w: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115.05%</w:t>
            </w:r>
          </w:p>
        </w:tc>
      </w:tr>
      <w:tr>
        <w:trPr>
          <w:trHeight w:val="230"/>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0.93%</w:t>
            </w:r>
          </w:p>
        </w:tc>
      </w:tr>
      <w:tr>
        <w:trPr>
          <w:trHeight w:val="229"/>
        </w:trPr>
        <w:tc>
          <w:tcPr>
            <w:tcW w:w="8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3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80" w:type="dxa"/>
            <w:vAlign w:val="bottom"/>
            <w:shd w:val="clear" w:color="auto" w:fill="CFF0FC"/>
          </w:tcPr>
          <w:p>
            <w:pPr>
              <w:spacing w:after="0"/>
              <w:rPr>
                <w:sz w:val="19"/>
                <w:szCs w:val="19"/>
                <w:color w:val="auto"/>
              </w:rPr>
            </w:pPr>
          </w:p>
        </w:tc>
      </w:tr>
      <w:tr>
        <w:trPr>
          <w:trHeight w:val="23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bl>
    <w:p>
      <w:pPr>
        <w:spacing w:after="0" w:line="3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 and Units</w:t>
      </w:r>
    </w:p>
    <w:p>
      <w:pPr>
        <w:spacing w:after="0" w:line="121" w:lineRule="exact"/>
        <w:rPr>
          <w:sz w:val="20"/>
          <w:szCs w:val="20"/>
          <w:color w:val="auto"/>
        </w:rPr>
      </w:pPr>
    </w:p>
    <w:p>
      <w:pPr>
        <w:ind w:right="80" w:firstLine="478"/>
        <w:spacing w:after="0" w:line="266" w:lineRule="auto"/>
        <w:rPr>
          <w:sz w:val="20"/>
          <w:szCs w:val="20"/>
          <w:color w:val="auto"/>
        </w:rPr>
      </w:pPr>
      <w:r>
        <w:rPr>
          <w:rFonts w:ascii="Times New Roman" w:cs="Times New Roman" w:eastAsia="Times New Roman" w:hAnsi="Times New Roman"/>
          <w:sz w:val="18"/>
          <w:szCs w:val="18"/>
          <w:color w:val="auto"/>
        </w:rPr>
        <w:t>The Company issues restricted stock awards (“RSA”) to employees that generally vest over a four-year period with 25% of awards vesting after one year and then monthly thereafter. Any unvested shares will be forfeited upon termination of services. The fair value of an RSA is equal to the fair market value price of the Company’s common stock on the date of grant. RSA expense is recorded on a straight-line basis over the vesting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RSA stock-based payment awards: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84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184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at January 1, 2022</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611,608</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(231,760)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(23,416)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Unvested balance at June 30, 2022</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356,432</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expense of $0.2 million for both the three months ended June 30, 2022 and 2021 related to RSAs. The Company recorded stock-based compensation expense of $0.4 million for both the six months ended June 30, 2022 and 2021, related to RSAs. As of June 30, 2022, the total unrecognized expense related to all RSAs was $0.9 million, which the Company expects to recognize over a weighted-average period of 1.45 years.</w:t>
      </w:r>
    </w:p>
    <w:p>
      <w:pPr>
        <w:spacing w:after="0" w:line="207" w:lineRule="exact"/>
        <w:rPr>
          <w:sz w:val="20"/>
          <w:szCs w:val="20"/>
          <w:color w:val="auto"/>
        </w:rPr>
      </w:pPr>
    </w:p>
    <w:p>
      <w:pPr>
        <w:ind w:right="140" w:firstLine="479"/>
        <w:spacing w:after="0" w:line="282" w:lineRule="auto"/>
        <w:rPr>
          <w:sz w:val="20"/>
          <w:szCs w:val="20"/>
          <w:color w:val="auto"/>
        </w:rPr>
      </w:pPr>
      <w:r>
        <w:rPr>
          <w:rFonts w:ascii="Times New Roman" w:cs="Times New Roman" w:eastAsia="Times New Roman" w:hAnsi="Times New Roman"/>
          <w:sz w:val="18"/>
          <w:szCs w:val="18"/>
          <w:color w:val="auto"/>
        </w:rPr>
        <w:t>The Company granted restricted stock units (“RSU”) to employees that generally vest over a four-year period with 25% of awards vesting after one year and then quarterly thereafter. Any unvested units will be forfeited upon termination of services.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RSU stock-based payment awards: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56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15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7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at January 1, 2022</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44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at June 30, 2022</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4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firstLine="47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of $58 thousand and $82 thousand for the three and six months ended June 30, 2022, respectively, related to RSUs. At June 30, 2022 the total unrecognized expense related to the RSUs was $1.0 million, which the Company expects to recognize over 3.61 years.</w:t>
      </w:r>
    </w:p>
    <w:p>
      <w:pPr>
        <w:spacing w:after="0" w:line="3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80" w:firstLine="479"/>
        <w:spacing w:after="0" w:line="277" w:lineRule="auto"/>
        <w:rPr>
          <w:sz w:val="20"/>
          <w:szCs w:val="20"/>
          <w:color w:val="auto"/>
        </w:rPr>
      </w:pPr>
      <w:r>
        <w:rPr>
          <w:rFonts w:ascii="Times New Roman" w:cs="Times New Roman" w:eastAsia="Times New Roman" w:hAnsi="Times New Roman"/>
          <w:sz w:val="17"/>
          <w:szCs w:val="17"/>
          <w:color w:val="auto"/>
        </w:rPr>
        <w:t>The Company has an Employee Stock Purchase Plan (the “ESPP”), which, as of June 30, 2022, had 1,339,285 shares of common stock reserved for future issuance. The number of shares of the Company’s common stock that may be issued pursuant to rights granted under the ESPP shall automatically increase on January 1st of each year and continuing for ten years beginning in 2021, in an amount equal to one percent of the total number of shares of all classes of the Company’s common stock outstanding on December 31st of the preceding calendar year, subject to the discretion of the board of directors or compensation committee to determine a lesser number of shares shall be added for such year. On January 1, 2022, 476,023 shares were added to the ESPP.</w:t>
      </w:r>
    </w:p>
    <w:p>
      <w:pPr>
        <w:spacing w:after="0" w:line="164" w:lineRule="exact"/>
        <w:rPr>
          <w:sz w:val="20"/>
          <w:szCs w:val="20"/>
          <w:color w:val="auto"/>
        </w:rPr>
      </w:pPr>
    </w:p>
    <w:p>
      <w:pPr>
        <w:ind w:right="100" w:firstLine="479"/>
        <w:spacing w:after="0" w:line="235" w:lineRule="auto"/>
        <w:rPr>
          <w:sz w:val="20"/>
          <w:szCs w:val="20"/>
          <w:color w:val="auto"/>
        </w:rPr>
      </w:pPr>
      <w:r>
        <w:rPr>
          <w:rFonts w:ascii="Calibri" w:cs="Calibri" w:eastAsia="Calibri" w:hAnsi="Calibri"/>
          <w:sz w:val="18"/>
          <w:szCs w:val="18"/>
          <w:color w:val="auto"/>
        </w:rPr>
        <w:t>Under the ESPP, eligible employees can purchase the Company’s common stock through accumulated payroll deductons at such tmes as are established by the compensaton commitee. Eligible employees may purchase the Company’s common stock at 85% of the lower of the fair market value of the Company’s common stock on the frst day of the ofering period or on the last day of the ofering period. Eligible employees may contribute up to 15% of their eligible compensaton. Under the ESPP, a partcipant may not accrue rights to purchase more than $25,000 worth of the Company’s common stock for each calendar year in which such right is outstanding.</w:t>
      </w:r>
    </w:p>
    <w:p>
      <w:pPr>
        <w:spacing w:after="0" w:line="220" w:lineRule="exact"/>
        <w:rPr>
          <w:sz w:val="20"/>
          <w:szCs w:val="20"/>
          <w:color w:val="auto"/>
        </w:rPr>
      </w:pPr>
    </w:p>
    <w:p>
      <w:pPr>
        <w:ind w:right="80" w:firstLine="479"/>
        <w:spacing w:after="0" w:line="235" w:lineRule="auto"/>
        <w:rPr>
          <w:sz w:val="20"/>
          <w:szCs w:val="20"/>
          <w:color w:val="auto"/>
        </w:rPr>
      </w:pPr>
      <w:r>
        <w:rPr>
          <w:rFonts w:ascii="Calibri" w:cs="Calibri" w:eastAsia="Calibri" w:hAnsi="Calibri"/>
          <w:sz w:val="18"/>
          <w:szCs w:val="18"/>
          <w:color w:val="auto"/>
        </w:rPr>
        <w:t>The ESPP is considered compensatory under the FASB stock compensaton rules. Accordingly, share-based compensaton expense is determined based on the opton’s grant-date fair value as estmated by applying the Black Scholes opton-pricing model and is recognized over the withholding period. The Company recognized share-based compensaton expense of $0.1 million and $0.2 million for the three and six months ended June 30, 2022, respectvely, related to the ESPP. There was no share-based compensaton expense recognized in 2021 related to the ESPP.</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478"/>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In addition to historical financial information, this discussion contains forward-looking statements based upon current expectations that involve risks and uncertainties, such as statements of our plans, objectives, expectations, intentions and belief. Our actual results could differ materially from those anticipated in these forward-looking statements as a result of various factors, including those set forth in the section titled “Risk Factors” under Part II, Item 1A below. These forward-looking statements may include, but are not limited to, statements regarding our future results of operations and financial position, the impact of the ongoing COVID-19 pandemic, business strategy, market size, potential growth opportunities, preclinical and clinical development activities, efficacy and safety profile of our product candidates, use of net proceeds from our offerings, our ability to maintain and recognize the benefits of certain designations received by product candidates, the timing and results of preclinical studies and clinical trials, commercial collaborations with third parties and the receipt and timing of potential regulatory designations, approvals and commercialization of product candidates.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187" w:lineRule="exact"/>
        <w:rPr>
          <w:sz w:val="20"/>
          <w:szCs w:val="20"/>
          <w:color w:val="auto"/>
        </w:rPr>
      </w:pPr>
    </w:p>
    <w:p>
      <w:pPr>
        <w:ind w:right="360"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We are a clinical-stage fully integrated oncology company built on a foundation of drug discovery excellence to deliver novel precision cancer medicines to underserved patients. By leveraging our core competencies in cancer biology and medicinal chemistry, combined with our target class- and technology platform-agnostic approach, we have built an efficient, fully-integrated drug discovery engine to identify compelling biological targets and create new chemical entities, or NCEs, that we rapidly advance into clinical trials. We believe our approach could result in better targeted cancer therapies. Our discovery excellence has been validated by our rapid progress in creating a wholly-owned, internally developed pipeline. Since our inception in 2016, we have received clearance from the U.S. Food and Drug Administration, or the FDA, for seven investigational new drug applications, or INDs, and successfully advanced these programs into clinical trials. In addition, we have other unique programs in various stages of preclinical development and we plan to file an additional IND in 2022.</w:t>
      </w:r>
    </w:p>
    <w:p>
      <w:pPr>
        <w:spacing w:after="0" w:line="192" w:lineRule="exact"/>
        <w:rPr>
          <w:sz w:val="20"/>
          <w:szCs w:val="20"/>
          <w:color w:val="auto"/>
        </w:rPr>
      </w:pPr>
    </w:p>
    <w:p>
      <w:pPr>
        <w:ind w:right="260" w:firstLine="510"/>
        <w:spacing w:after="0" w:line="261" w:lineRule="auto"/>
        <w:rPr>
          <w:sz w:val="20"/>
          <w:szCs w:val="20"/>
          <w:color w:val="auto"/>
        </w:rPr>
      </w:pPr>
      <w:r>
        <w:rPr>
          <w:rFonts w:ascii="Times New Roman" w:cs="Times New Roman" w:eastAsia="Times New Roman" w:hAnsi="Times New Roman"/>
          <w:sz w:val="18"/>
          <w:szCs w:val="18"/>
          <w:color w:val="auto"/>
        </w:rPr>
        <w:t>By focusing on developing agents using broad mechanisms that have multiple links to oncogenic driver pathways in select patients, we have developed a diverse pipeline consisting of six distinct programs spanning methyltransferases, kinases, protein-protein interactions and targeted protein degraders. Our pipeline is geared towards serving patients with high unmet medical need where there are limited or no treatment options. We believe we can best address these diseases by developing therapies that target primary and secondary resistance mechanisms.</w:t>
      </w:r>
    </w:p>
    <w:p>
      <w:pPr>
        <w:spacing w:after="0" w:line="180"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auto"/>
        </w:rPr>
        <w:t>We have two clinical candidates that are designed to be oral, potent and selective inhibitors of protein arginine methyltransferase 5, or PRMT5. The potency and selectivity of our product candidates is supported by preclinical data demonstrating nanomolar inhibition of PRMT5 and no inhibition of related enzymes at 1,000 times higher concentration of our product candidates. Our PRMT5 candidates are currently being studied in Phase 1 clinical trials in solid tumors and myeloid malignancies.</w:t>
      </w:r>
    </w:p>
    <w:p>
      <w:pPr>
        <w:spacing w:after="0" w:line="180" w:lineRule="exact"/>
        <w:rPr>
          <w:sz w:val="20"/>
          <w:szCs w:val="20"/>
          <w:color w:val="auto"/>
        </w:rPr>
      </w:pPr>
    </w:p>
    <w:p>
      <w:pPr>
        <w:ind w:right="120" w:firstLine="479"/>
        <w:spacing w:after="0" w:line="266" w:lineRule="auto"/>
        <w:rPr>
          <w:sz w:val="20"/>
          <w:szCs w:val="20"/>
          <w:color w:val="auto"/>
        </w:rPr>
      </w:pPr>
      <w:r>
        <w:rPr>
          <w:rFonts w:ascii="Times New Roman" w:cs="Times New Roman" w:eastAsia="Times New Roman" w:hAnsi="Times New Roman"/>
          <w:sz w:val="18"/>
          <w:szCs w:val="18"/>
          <w:color w:val="auto"/>
        </w:rPr>
        <w:t>Based on data from the ongoing Phase 1 dose expansion studies of our PRMT5 candidates, we are concentrating our further development efforts on our PRT811 candidate in biomarker-selected patients in specific cancer types. PRT811 was selected based on its superior safety profile, higher level of target engagement, and unique brain penetrant properties.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Specifically, for the PRMT5 program, we intend to:</w:t>
      </w:r>
    </w:p>
    <w:p>
      <w:pPr>
        <w:spacing w:after="0" w:line="27" w:lineRule="exact"/>
        <w:rPr>
          <w:sz w:val="20"/>
          <w:szCs w:val="20"/>
          <w:color w:val="auto"/>
        </w:rPr>
      </w:pPr>
    </w:p>
    <w:p>
      <w:pPr>
        <w:ind w:left="840" w:hanging="360"/>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clinical development in select patient populations where clinical activity has been observed.</w:t>
      </w:r>
    </w:p>
    <w:p>
      <w:pPr>
        <w:spacing w:after="0" w:line="9" w:lineRule="exact"/>
        <w:rPr>
          <w:rFonts w:ascii="Times New Roman" w:cs="Times New Roman" w:eastAsia="Times New Roman" w:hAnsi="Times New Roman"/>
          <w:sz w:val="18"/>
          <w:szCs w:val="18"/>
          <w:color w:val="auto"/>
        </w:rPr>
      </w:pPr>
    </w:p>
    <w:p>
      <w:pPr>
        <w:ind w:left="840" w:hanging="360"/>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data analysis of the ongoing expansion cohorts by the second half of 2022 to determine further development.</w:t>
      </w:r>
    </w:p>
    <w:p>
      <w:pPr>
        <w:spacing w:after="0" w:line="9" w:lineRule="exact"/>
        <w:rPr>
          <w:rFonts w:ascii="Times New Roman" w:cs="Times New Roman" w:eastAsia="Times New Roman" w:hAnsi="Times New Roman"/>
          <w:sz w:val="18"/>
          <w:szCs w:val="18"/>
          <w:color w:val="auto"/>
        </w:rPr>
      </w:pPr>
    </w:p>
    <w:p>
      <w:pPr>
        <w:ind w:left="840" w:hanging="360"/>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next steps for the ongoing dose expansion cohorts in the second half of 2022.</w:t>
      </w:r>
    </w:p>
    <w:p>
      <w:pPr>
        <w:spacing w:after="0" w:line="9" w:lineRule="exact"/>
        <w:rPr>
          <w:rFonts w:ascii="Times New Roman" w:cs="Times New Roman" w:eastAsia="Times New Roman" w:hAnsi="Times New Roman"/>
          <w:sz w:val="18"/>
          <w:szCs w:val="18"/>
          <w:color w:val="auto"/>
        </w:rPr>
      </w:pPr>
    </w:p>
    <w:p>
      <w:pPr>
        <w:ind w:left="840" w:hanging="360"/>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appropriate development options for PRT811 based on emerging data from ongoing expansion cohorts.</w:t>
      </w:r>
    </w:p>
    <w:p>
      <w:pPr>
        <w:spacing w:after="0" w:line="207" w:lineRule="exact"/>
        <w:rPr>
          <w:sz w:val="20"/>
          <w:szCs w:val="20"/>
          <w:color w:val="auto"/>
        </w:rPr>
      </w:pPr>
    </w:p>
    <w:p>
      <w:pPr>
        <w:ind w:right="600" w:firstLine="479"/>
        <w:spacing w:after="0" w:line="282" w:lineRule="auto"/>
        <w:rPr>
          <w:sz w:val="20"/>
          <w:szCs w:val="20"/>
          <w:color w:val="auto"/>
        </w:rPr>
      </w:pPr>
      <w:r>
        <w:rPr>
          <w:rFonts w:ascii="Times New Roman" w:cs="Times New Roman" w:eastAsia="Times New Roman" w:hAnsi="Times New Roman"/>
          <w:sz w:val="18"/>
          <w:szCs w:val="18"/>
          <w:color w:val="auto"/>
        </w:rPr>
        <w:t>PRT1419, our next clinical candidate, is designed to be a potent and selective inhibitor of the anti-apoptotic protein, MCL1. The potency and selectivity of PRT1419 is supported by preclinical data demonstrating nanomolar inhibition of MCL1 and no inhibition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7" w:name="page18"/>
    <w:bookmarkEnd w:id="17"/>
    <w:p>
      <w:pPr>
        <w:ind w:right="180"/>
        <w:spacing w:after="0" w:line="281" w:lineRule="auto"/>
        <w:rPr>
          <w:sz w:val="20"/>
          <w:szCs w:val="20"/>
          <w:color w:val="auto"/>
        </w:rPr>
      </w:pPr>
      <w:r>
        <w:rPr>
          <w:rFonts w:ascii="Times New Roman" w:cs="Times New Roman" w:eastAsia="Times New Roman" w:hAnsi="Times New Roman"/>
          <w:sz w:val="17"/>
          <w:szCs w:val="17"/>
          <w:color w:val="auto"/>
        </w:rPr>
        <w:t>related enzymes at 200 times higher concentration of our product candidate. We have begun enrolling patients with hematologic malignancies, including patients with myelodysplastic syndrome, or MDS, acute myeloid leukemia, or AML, non-Hodgkin’s lymphoma, or NHL, and multiple myeloma, or MM, into the Phase 1 clinical trial for the oral formulation of PRT1419. The dose escalation portion of the Phase 1 trial of both oral formulation and the IV formulation, which leverages the optimized physicochemical properties of PRT1419, are underway in patients with solid tumors and hematologic tumors.</w:t>
      </w:r>
    </w:p>
    <w:p>
      <w:pPr>
        <w:spacing w:after="0" w:line="164"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Based on the data to date, we have prioritized development of the IV formulation of PRT1419 which demonstrated a desirable pharmacokinetic, pharmacodynamic and safety profile with potential for differentiation from competitor compounds. We intend to evaluate combinations with PRT1419 by mid-year, with the goal of establishing safety, clinical activity and a recommended Phase 2 dose in the second half of 2022.</w:t>
      </w:r>
    </w:p>
    <w:p>
      <w:pPr>
        <w:spacing w:after="0" w:line="176" w:lineRule="exact"/>
        <w:rPr>
          <w:sz w:val="20"/>
          <w:szCs w:val="20"/>
          <w:color w:val="auto"/>
        </w:rPr>
      </w:pPr>
    </w:p>
    <w:p>
      <w:pPr>
        <w:ind w:right="180" w:firstLine="479"/>
        <w:spacing w:after="0" w:line="254" w:lineRule="auto"/>
        <w:rPr>
          <w:sz w:val="20"/>
          <w:szCs w:val="20"/>
          <w:color w:val="auto"/>
        </w:rPr>
      </w:pPr>
      <w:r>
        <w:rPr>
          <w:rFonts w:ascii="Times New Roman" w:cs="Times New Roman" w:eastAsia="Times New Roman" w:hAnsi="Times New Roman"/>
          <w:sz w:val="18"/>
          <w:szCs w:val="18"/>
          <w:color w:val="auto"/>
        </w:rPr>
        <w:t>PRT2527 is designed to be a potent and selective Cyclin-dependent kinase 9, or CDK9, inhibitor. In preclinical studies, PRT2527 was shown to reduce MCL1 and MYC protein levels and was highly active in preclinical models at well-tolerated doses. PRT2527 has demonstrated high potency and kinase selectivity which may offer improved efficacy and safety compared to less selective CDK9 inhibitors. Preclinical data demonstrated that treatment with PRT2527 depleted oncogenic drivers with short half-lives, such as MYC and MCL1, and effectively induced apoptosis. PRT2527 treatment demonstrated robust efficacy in both hematological malignancies and solid tumor models with MYC dysregulation. A phase one trial is underway evaluating escalating IV doses of PRT2527 as a monotherapy in patients with selected solid tumors, including sarcoma, prostate cancer, lung cancer, and other cancers with genomic alterations that lead to MYC dependence. We anticipate completing enrollment in the Phase 1 dose escalation study of PRT2527 with the goal of identifying a recommended Phase 2 dose in the second half of 2022.</w:t>
      </w:r>
    </w:p>
    <w:p>
      <w:pPr>
        <w:spacing w:after="0" w:line="192"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We recently received clearance for an IND application for PRT3645, a brain penetrant molecule that potently and selectively targets CDK4/6. We remain on track to initiate a clinical trial for PRT3645 by year end. Our most advanced pre-clinical program targets Brahma homologue, or BRM, otherwise known as SMARCA2. We have identified SMARCA2 protein degraders that appear to be potent based on preclinical data demonstrating degradation of SMARCA2 at sub-nanomolar concentrations. Optimization of the lead compound, PRT-SCA2, is progressing, and we intend to complete IND-enabling studies and submit an IND application by year-end 2022.</w:t>
      </w:r>
    </w:p>
    <w:p>
      <w:pPr>
        <w:spacing w:after="0" w:line="183" w:lineRule="exact"/>
        <w:rPr>
          <w:sz w:val="20"/>
          <w:szCs w:val="20"/>
          <w:color w:val="auto"/>
        </w:rPr>
      </w:pPr>
    </w:p>
    <w:p>
      <w:pPr>
        <w:ind w:right="60" w:firstLine="478"/>
        <w:spacing w:after="0" w:line="252" w:lineRule="auto"/>
        <w:rPr>
          <w:sz w:val="20"/>
          <w:szCs w:val="20"/>
          <w:color w:val="auto"/>
        </w:rPr>
      </w:pPr>
      <w:r>
        <w:rPr>
          <w:rFonts w:ascii="Times New Roman" w:cs="Times New Roman" w:eastAsia="Times New Roman" w:hAnsi="Times New Roman"/>
          <w:sz w:val="18"/>
          <w:szCs w:val="18"/>
          <w:color w:val="auto"/>
        </w:rPr>
        <w:t>We were incorporated in February 2016 under the laws of the State of Delaware. 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 We have funded our operations primarily through the sale of convertible preferred stock and common stock. Our net loss was $56.8 million and $48.2 million for the six months ended June 30, 2022 and 2021, respectively. As of June 30, 2022, we had an accumulated deficit of $276.0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Furthermore, we expect to incur additional costs associated with operating as a public company, including significant legal, accounting, investor relations and other expenses that we did not incur as a private company. Our net losses may fluctuate significantly from quarter-to-quarter and year-to-year, depending on the timing of our clinical trials and our expenditures on other research and development activities.</w:t>
      </w:r>
    </w:p>
    <w:p>
      <w:pPr>
        <w:spacing w:after="0" w:line="197" w:lineRule="exact"/>
        <w:rPr>
          <w:sz w:val="20"/>
          <w:szCs w:val="20"/>
          <w:color w:val="auto"/>
        </w:rPr>
      </w:pPr>
    </w:p>
    <w:p>
      <w:pPr>
        <w:ind w:right="40" w:firstLine="478"/>
        <w:spacing w:after="0" w:line="255" w:lineRule="auto"/>
        <w:rPr>
          <w:sz w:val="20"/>
          <w:szCs w:val="20"/>
          <w:color w:val="auto"/>
        </w:rPr>
      </w:pPr>
      <w:r>
        <w:rPr>
          <w:rFonts w:ascii="Times New Roman" w:cs="Times New Roman" w:eastAsia="Times New Roman" w:hAnsi="Times New Roman"/>
          <w:sz w:val="18"/>
          <w:szCs w:val="18"/>
          <w:color w:val="auto"/>
        </w:rPr>
        <w:t>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189" w:lineRule="exact"/>
        <w:rPr>
          <w:sz w:val="20"/>
          <w:szCs w:val="20"/>
          <w:color w:val="auto"/>
        </w:rPr>
      </w:pPr>
    </w:p>
    <w:p>
      <w:pPr>
        <w:ind w:right="180" w:firstLine="478"/>
        <w:spacing w:after="0" w:line="282" w:lineRule="auto"/>
        <w:rPr>
          <w:sz w:val="20"/>
          <w:szCs w:val="20"/>
          <w:color w:val="auto"/>
        </w:rPr>
      </w:pPr>
      <w:r>
        <w:rPr>
          <w:rFonts w:ascii="Times New Roman" w:cs="Times New Roman" w:eastAsia="Times New Roman" w:hAnsi="Times New Roman"/>
          <w:sz w:val="18"/>
          <w:szCs w:val="18"/>
          <w:color w:val="auto"/>
        </w:rPr>
        <w:t>As of June 30, 2022, we had $246.3 million in cash, cash equivalents, and marketable securities. We expect our existing cash, cash equivalents and marketable securities will enable us to fund our operating expense and capital expenditures into the second half of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COVID-19 Impact</w:t>
      </w:r>
    </w:p>
    <w:p>
      <w:pPr>
        <w:spacing w:after="0" w:line="148" w:lineRule="exact"/>
        <w:rPr>
          <w:sz w:val="20"/>
          <w:szCs w:val="20"/>
          <w:color w:val="auto"/>
        </w:rPr>
      </w:pPr>
    </w:p>
    <w:p>
      <w:pPr>
        <w:ind w:right="120" w:firstLine="478"/>
        <w:spacing w:after="0" w:line="258" w:lineRule="auto"/>
        <w:rPr>
          <w:sz w:val="20"/>
          <w:szCs w:val="20"/>
          <w:color w:val="auto"/>
        </w:rPr>
      </w:pPr>
      <w:r>
        <w:rPr>
          <w:rFonts w:ascii="Times New Roman" w:cs="Times New Roman" w:eastAsia="Times New Roman" w:hAnsi="Times New Roman"/>
          <w:sz w:val="18"/>
          <w:szCs w:val="18"/>
          <w:color w:val="auto"/>
        </w:rPr>
        <w:t>We are continuing to proactively monitor and assess the ongoing COVID-19 pandemic. Since early March 2020 we have been monitoring the potential impact on our business that may result from this rapidly evolving crisis and to avoid any unnecessary potential delays to our programs. At this time, our lead programs and research activities remain on track. The safety and well-being of employees, patients and partners is our highest priority. See the Risk Factor “</w:t>
      </w:r>
      <w:r>
        <w:rPr>
          <w:rFonts w:ascii="Times New Roman" w:cs="Times New Roman" w:eastAsia="Times New Roman" w:hAnsi="Times New Roman"/>
          <w:sz w:val="18"/>
          <w:szCs w:val="18"/>
          <w:i w:val="1"/>
          <w:iCs w:val="1"/>
          <w:color w:val="auto"/>
        </w:rPr>
        <w:t>The ongoing COVID-19 pandemic could adversely impact our business, including our clinical trials and clinical trial operations</w:t>
      </w:r>
      <w:r>
        <w:rPr>
          <w:rFonts w:ascii="Times New Roman" w:cs="Times New Roman" w:eastAsia="Times New Roman" w:hAnsi="Times New Roman"/>
          <w:sz w:val="18"/>
          <w:szCs w:val="18"/>
          <w:color w:val="auto"/>
        </w:rPr>
        <w:t>” in Part II, Item 1A. “Risk Factors” below.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0" w:firstLine="478"/>
        <w:spacing w:after="0" w:line="261" w:lineRule="auto"/>
        <w:rPr>
          <w:sz w:val="20"/>
          <w:szCs w:val="20"/>
          <w:color w:val="auto"/>
        </w:rPr>
      </w:pPr>
      <w:r>
        <w:rPr>
          <w:rFonts w:ascii="Times New Roman" w:cs="Times New Roman" w:eastAsia="Times New Roman" w:hAnsi="Times New Roman"/>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expense research and development costs as incurred, including:</w:t>
      </w:r>
    </w:p>
    <w:p>
      <w:pPr>
        <w:spacing w:after="0" w:line="99" w:lineRule="exact"/>
        <w:rPr>
          <w:sz w:val="20"/>
          <w:szCs w:val="20"/>
          <w:color w:val="auto"/>
        </w:rPr>
      </w:pPr>
    </w:p>
    <w:p>
      <w:pPr>
        <w:ind w:left="960" w:right="20" w:hanging="480"/>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discovery-stage laboratory work, preclinical studies and clinical trials required to obtain regulatory approval;</w:t>
      </w:r>
    </w:p>
    <w:p>
      <w:pPr>
        <w:spacing w:after="0" w:line="53" w:lineRule="exact"/>
        <w:rPr>
          <w:rFonts w:ascii="Times New Roman" w:cs="Times New Roman" w:eastAsia="Times New Roman" w:hAnsi="Times New Roman"/>
          <w:sz w:val="18"/>
          <w:szCs w:val="18"/>
          <w:color w:val="auto"/>
        </w:rPr>
      </w:pPr>
    </w:p>
    <w:p>
      <w:pPr>
        <w:ind w:left="960" w:right="880" w:hanging="480"/>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salaries, benefits and stock-based compensation expense for our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960" w:right="400" w:hanging="480"/>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including pursuant to agreements with clinical research organizations, or CROs, that conduct our clinical trials, as well as investigative sites, consultants and CROs that conduct our preclinical and nonclinical studies;</w:t>
      </w:r>
    </w:p>
    <w:p>
      <w:pPr>
        <w:spacing w:after="0" w:line="53" w:lineRule="exact"/>
        <w:rPr>
          <w:rFonts w:ascii="Times New Roman" w:cs="Times New Roman" w:eastAsia="Times New Roman" w:hAnsi="Times New Roman"/>
          <w:sz w:val="18"/>
          <w:szCs w:val="18"/>
          <w:color w:val="auto"/>
        </w:rPr>
      </w:pPr>
    </w:p>
    <w:p>
      <w:pPr>
        <w:ind w:left="960" w:right="40" w:hanging="480"/>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who assist with research and development activities;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 and</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facility costs, including rent, utilities, depreciation and maintenance.</w:t>
      </w:r>
    </w:p>
    <w:p>
      <w:pPr>
        <w:spacing w:after="0" w:line="225" w:lineRule="exact"/>
        <w:rPr>
          <w:sz w:val="20"/>
          <w:szCs w:val="20"/>
          <w:color w:val="auto"/>
        </w:rPr>
      </w:pPr>
    </w:p>
    <w:p>
      <w:pPr>
        <w:ind w:firstLine="478"/>
        <w:spacing w:after="0" w:line="261" w:lineRule="auto"/>
        <w:rPr>
          <w:sz w:val="20"/>
          <w:szCs w:val="20"/>
          <w:color w:val="auto"/>
        </w:rPr>
      </w:pPr>
      <w:r>
        <w:rPr>
          <w:rFonts w:ascii="Times New Roman" w:cs="Times New Roman" w:eastAsia="Times New Roman" w:hAnsi="Times New Roman"/>
          <w:sz w:val="18"/>
          <w:szCs w:val="18"/>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80" w:lineRule="exact"/>
        <w:rPr>
          <w:sz w:val="20"/>
          <w:szCs w:val="20"/>
          <w:color w:val="auto"/>
        </w:rPr>
      </w:pPr>
    </w:p>
    <w:p>
      <w:pPr>
        <w:ind w:right="100" w:firstLine="478"/>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our clinical trials, including later-stage clinical trials, for current and future product candidates and prepare regulatory filings for our product candidates.</w:t>
      </w:r>
    </w:p>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40" w:firstLine="478"/>
        <w:spacing w:after="0" w:line="281"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9" w:name="page20"/>
    <w:bookmarkEnd w:id="19"/>
    <w:p>
      <w:pPr>
        <w:ind w:right="200" w:firstLine="478"/>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 will increase in the future to support our continued research and development activities and potential commercialization efforts. These increases will likely include increased costs related to the hiring of additional personnel and fees to outside consultants, legal support and accountants, among other expenses. If any of our current or future product candidates obtains U.S. regulatory approval, we expect that we would incur significantly increased expenses associated with building a sales and marketing team.</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20" w:firstLine="478"/>
        <w:spacing w:after="0" w:line="266" w:lineRule="auto"/>
        <w:rPr>
          <w:sz w:val="20"/>
          <w:szCs w:val="20"/>
          <w:color w:val="auto"/>
        </w:rPr>
      </w:pPr>
      <w:r>
        <w:rPr>
          <w:rFonts w:ascii="Times New Roman" w:cs="Times New Roman" w:eastAsia="Times New Roman" w:hAnsi="Times New Roman"/>
          <w:sz w:val="18"/>
          <w:szCs w:val="18"/>
          <w:color w:val="auto"/>
        </w:rPr>
        <w:t>Other income, net consists primarily of interest earned on our cash equivalents and marketable securities and grant income received from the State of Delaware. We anticipate re-applying for the grant from the State of Delaware from time to time as long as we maintain qualifying headcount levels in the State of Delaware.</w:t>
      </w:r>
    </w:p>
    <w:p>
      <w:pPr>
        <w:spacing w:after="0" w:line="2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80" w:firstLine="478"/>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operating losses, or NOLs, we have incurred or for our research and development tax credits, as we believe, based upon the weight of available evidence, that it is more likely than not that all of our NOLs and tax credits will not be realized.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June 30, 2022 and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60" w:type="dxa"/>
            <w:vAlign w:val="bottom"/>
            <w:tcBorders>
              <w:bottom w:val="single" w:sz="8" w:color="CFF0FC"/>
            </w:tcBorders>
            <w:vMerge w:val="continue"/>
          </w:tcPr>
          <w:p>
            <w:pPr>
              <w:spacing w:after="0"/>
              <w:rPr>
                <w:sz w:val="13"/>
                <w:szCs w:val="13"/>
                <w:color w:val="auto"/>
              </w:rPr>
            </w:pPr>
          </w:p>
        </w:tc>
        <w:tc>
          <w:tcPr>
            <w:tcW w:w="21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CFF0FC"/>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21,310</w:t>
            </w:r>
          </w:p>
        </w:tc>
        <w:tc>
          <w:tcPr>
            <w:tcW w:w="280" w:type="dxa"/>
            <w:vAlign w:val="bottom"/>
          </w:tcPr>
          <w:p>
            <w:pPr>
              <w:spacing w:after="0"/>
              <w:rPr>
                <w:sz w:val="19"/>
                <w:szCs w:val="19"/>
                <w:color w:val="auto"/>
              </w:rPr>
            </w:pP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22,409</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29,461</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27,922</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(29,461)</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(27,374)</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(26,865)</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60" w:firstLine="47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$1.1 million to $21.3 million for the three months ended June 30, 2022 from $22.4 million for the three months ended June 30, 2021. Included in research and development expenses for the quarter ended June 30, 2022, was $2.5 million of non-cash expense related to stock-based compensation expense, including employee stock options, compared to $2.2 million for the three months ended June 30, 2021. The decrease in research and development expense was primarily due to the wind down of PRT543 clinical development in the PRMT5 programs as we are concentrating further development efforts on our PRT811 candidate in biomarker-selected patients in specific cancer types.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Research and development expenses by program are summarized in the table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280" w:type="dxa"/>
            <w:vAlign w:val="bottom"/>
            <w:tcBorders>
              <w:bottom w:val="single" w:sz="8" w:color="CFF0FC"/>
            </w:tcBorders>
            <w:vMerge w:val="continue"/>
          </w:tcPr>
          <w:p>
            <w:pPr>
              <w:spacing w:after="0"/>
              <w:rPr>
                <w:sz w:val="13"/>
                <w:szCs w:val="13"/>
                <w:color w:val="auto"/>
              </w:rPr>
            </w:pPr>
          </w:p>
        </w:tc>
        <w:tc>
          <w:tcPr>
            <w:tcW w:w="34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PRT543</w:t>
            </w:r>
          </w:p>
        </w:tc>
        <w:tc>
          <w:tcPr>
            <w:tcW w:w="34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PRT811</w:t>
            </w:r>
          </w:p>
        </w:tc>
        <w:tc>
          <w:tcPr>
            <w:tcW w:w="3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PRT1419 (Oral and IV)</w:t>
            </w:r>
          </w:p>
        </w:tc>
        <w:tc>
          <w:tcPr>
            <w:tcW w:w="3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PRT2527</w:t>
            </w:r>
          </w:p>
        </w:tc>
        <w:tc>
          <w:tcPr>
            <w:tcW w:w="3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Discovery programs</w:t>
            </w:r>
          </w:p>
        </w:tc>
        <w:tc>
          <w:tcPr>
            <w:tcW w:w="3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Internal costs, including personnel related</w:t>
            </w:r>
          </w:p>
        </w:tc>
        <w:tc>
          <w:tcPr>
            <w:tcW w:w="34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3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spacing w:after="0"/>
              <w:rPr>
                <w:sz w:val="19"/>
                <w:szCs w:val="19"/>
                <w:color w:val="auto"/>
              </w:rPr>
            </w:pPr>
          </w:p>
        </w:tc>
        <w:tc>
          <w:tcPr>
            <w:tcW w:w="34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21,310</w:t>
            </w:r>
          </w:p>
        </w:tc>
        <w:tc>
          <w:tcPr>
            <w:tcW w:w="3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44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8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80" w:firstLine="47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$2.6 million to $8.2 million for the three months ended June 30, 2022 from $5.5 million for the three months ended June 30, 2021. Included in the general and administrative expenses for the quarter ended June 30, 2022, was $3.6 million of non-cash expense related to stock-based compensation expense, including employee stock options, as compared to $2.0 million for the same period in 2021. The increase in general and administrative expense was primarily due to an increase in non-cash stock-based compensation expense, an increase in personnel related expenses due to a higher employee headcount, and an increase in professional fees as we expanded our operations to support our research and development efforts.</w:t>
      </w:r>
    </w:p>
    <w:p>
      <w:pPr>
        <w:spacing w:after="0" w:line="2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160" w:firstLine="478"/>
        <w:spacing w:after="0" w:line="266" w:lineRule="auto"/>
        <w:rPr>
          <w:sz w:val="20"/>
          <w:szCs w:val="20"/>
          <w:color w:val="auto"/>
        </w:rPr>
      </w:pPr>
      <w:r>
        <w:rPr>
          <w:rFonts w:ascii="Times New Roman" w:cs="Times New Roman" w:eastAsia="Times New Roman" w:hAnsi="Times New Roman"/>
          <w:sz w:val="18"/>
          <w:szCs w:val="18"/>
          <w:color w:val="auto"/>
        </w:rPr>
        <w:t>Other income, net increased by $1.0 million to $2.1 million for the three months ended June 30, 2022 from $1.1 million for the three months ended June 30, 2021, primarily due to the receipt and recognition of research and development tax credits from the State of Delaware during 2022, as well as interest earned on the investment of our cash proceeds.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six months ended June 30, 2022 and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60" w:type="dxa"/>
            <w:vAlign w:val="bottom"/>
            <w:tcBorders>
              <w:bottom w:val="single" w:sz="8" w:color="CFF0FC"/>
            </w:tcBorders>
            <w:vMerge w:val="continue"/>
          </w:tcPr>
          <w:p>
            <w:pPr>
              <w:spacing w:after="0"/>
              <w:rPr>
                <w:sz w:val="13"/>
                <w:szCs w:val="13"/>
                <w:color w:val="auto"/>
              </w:rPr>
            </w:pPr>
          </w:p>
        </w:tc>
        <w:tc>
          <w:tcPr>
            <w:tcW w:w="21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CFF0FC"/>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44,131</w:t>
            </w:r>
          </w:p>
        </w:tc>
        <w:tc>
          <w:tcPr>
            <w:tcW w:w="280" w:type="dxa"/>
            <w:vAlign w:val="bottom"/>
          </w:tcPr>
          <w:p>
            <w:pPr>
              <w:spacing w:after="0"/>
              <w:rPr>
                <w:sz w:val="19"/>
                <w:szCs w:val="19"/>
                <w:color w:val="auto"/>
              </w:rPr>
            </w:pP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38,879</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15,618</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11,010</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59,749</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49,889</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(59,749)</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(49,889)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(56,839)</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(48,165)</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0" w:firstLine="47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$5.3 million to $44.1 million for the six months ended June 30, 2022 from $38.9 million for the six months ended June 30, 2021. Included in research and development expenses for the six months ended June 30, 2022, was $5.7 million of non-cash expense related to stock-based compensation expense, including employee stock options, compared to $4.0 million for the six months ended June 30, 2021. The increase in research and development expense was primarily due to an increase in discovery-stage program expenses and from the growth and advancement of our clinical pipeline.</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Research and development expenses by program are summarized in the table below:</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70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PRT543</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PRT811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PRT1419 (Oral and IV)</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PRT2527</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Discovery programs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Internal costs, including personnel related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21,058</w:t>
            </w:r>
          </w:p>
        </w:tc>
        <w:tc>
          <w:tcPr>
            <w:tcW w:w="3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44,131</w:t>
            </w:r>
          </w:p>
        </w:tc>
        <w:tc>
          <w:tcPr>
            <w:tcW w:w="3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40" w:firstLine="47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$4.6 million to $15.6 million for the six months ended June 30, 2022 from $11.0 million for the six months ended June 30, 2021. Included in the general and administrative expenses for the six months ended June 30, 2022, was $7.2 million of non-cash expense related to stock-based compensation expense, including employee stock options, as compared to $4.1 million for the same period in 2021. The increase in general and administrative expense was primarily due to an increase in non-cash stock-based compensation expense, an increase in personnel related expenses due to a higher employee headcount, and an increase in professional fees as we expanded our operations to support our research and development efforts.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 w:name="page22"/>
    <w:bookmarkEnd w:id="21"/>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right="380" w:firstLine="478"/>
        <w:spacing w:after="0" w:line="266" w:lineRule="auto"/>
        <w:rPr>
          <w:sz w:val="20"/>
          <w:szCs w:val="20"/>
          <w:color w:val="auto"/>
        </w:rPr>
      </w:pPr>
      <w:r>
        <w:rPr>
          <w:rFonts w:ascii="Times New Roman" w:cs="Times New Roman" w:eastAsia="Times New Roman" w:hAnsi="Times New Roman"/>
          <w:sz w:val="18"/>
          <w:szCs w:val="18"/>
          <w:color w:val="auto"/>
        </w:rPr>
        <w:t>Other income, net increased by $1.2 million to $2.9 million for the six months ended June 30, 2022 from $1.7 million for the six months ended June 30, 2021, primarily due to the receipt and recognition of research and development tax credits from the State of Delaware during 2022, as well as interest earned on the investment of our cash proceeds.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0" w:firstLine="478"/>
        <w:spacing w:after="0" w:line="256" w:lineRule="auto"/>
        <w:rPr>
          <w:sz w:val="20"/>
          <w:szCs w:val="20"/>
          <w:color w:val="auto"/>
        </w:rPr>
      </w:pPr>
      <w:r>
        <w:rPr>
          <w:rFonts w:ascii="Times New Roman" w:cs="Times New Roman" w:eastAsia="Times New Roman" w:hAnsi="Times New Roman"/>
          <w:sz w:val="18"/>
          <w:szCs w:val="18"/>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Since our inception, we have funded our operations through the sale of convertible preferred stock and common stock. As of June 30, 2022, we had $246.3 million in cash, cash equivalents and marketable securities and had an accumulated deficit of $276.0 million. We expect our existing cash, cash equivalents and marketable securities to enable us to fund our operating expenses and capital expenditure requirements into the second half of 2024. We have based these estimates on assumptions that may prove to be imprecise, and we could utilize our available capital resources sooner than we expect.</w:t>
      </w:r>
    </w:p>
    <w:p>
      <w:pPr>
        <w:spacing w:after="0" w:line="2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40" w:firstLine="478"/>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76" w:lineRule="exact"/>
        <w:rPr>
          <w:sz w:val="20"/>
          <w:szCs w:val="20"/>
          <w:color w:val="auto"/>
        </w:rPr>
      </w:pPr>
    </w:p>
    <w:p>
      <w:pPr>
        <w:ind w:right="20" w:firstLine="478"/>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68" w:lineRule="exact"/>
        <w:rPr>
          <w:sz w:val="20"/>
          <w:szCs w:val="20"/>
          <w:color w:val="auto"/>
        </w:rPr>
      </w:pPr>
    </w:p>
    <w:p>
      <w:pPr>
        <w:ind w:left="960" w:hanging="480"/>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and results of discovery, preclinical development, laboratory testing and clinical trials for our product candidates;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 candidates for clinical trials and in preparation for marketing approval and commercialization;</w:t>
      </w:r>
    </w:p>
    <w:p>
      <w:pPr>
        <w:spacing w:after="0" w:line="117" w:lineRule="exact"/>
        <w:rPr>
          <w:rFonts w:ascii="Times New Roman" w:cs="Times New Roman" w:eastAsia="Times New Roman" w:hAnsi="Times New Roman"/>
          <w:sz w:val="18"/>
          <w:szCs w:val="18"/>
          <w:color w:val="auto"/>
        </w:rPr>
      </w:pPr>
    </w:p>
    <w:p>
      <w:pPr>
        <w:ind w:left="960" w:right="360" w:hanging="480"/>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enter into collaborations or other arrangements with additional third parties in order to further develop our product candidates;</w:t>
      </w:r>
    </w:p>
    <w:p>
      <w:pPr>
        <w:spacing w:after="0" w:line="53" w:lineRule="exact"/>
        <w:rPr>
          <w:rFonts w:ascii="Times New Roman" w:cs="Times New Roman" w:eastAsia="Times New Roman" w:hAnsi="Times New Roman"/>
          <w:sz w:val="18"/>
          <w:szCs w:val="18"/>
          <w:color w:val="auto"/>
        </w:rPr>
      </w:pPr>
    </w:p>
    <w:p>
      <w:pPr>
        <w:ind w:left="960" w:right="340" w:hanging="480"/>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the discovery, acquisition or in-license of additional product candidates or technologies;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needed to attract and retain skilled personnel;</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being a public company;</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required to scale up our clinical, regulatory and manufacturing capabilities;</w:t>
      </w:r>
    </w:p>
    <w:p>
      <w:pPr>
        <w:spacing w:after="0" w:line="117" w:lineRule="exact"/>
        <w:rPr>
          <w:rFonts w:ascii="Times New Roman" w:cs="Times New Roman" w:eastAsia="Times New Roman" w:hAnsi="Times New Roman"/>
          <w:sz w:val="18"/>
          <w:szCs w:val="18"/>
          <w:color w:val="auto"/>
        </w:rPr>
      </w:pPr>
    </w:p>
    <w:p>
      <w:pPr>
        <w:ind w:left="960" w:right="40" w:hanging="480"/>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 candidates, should any of our product candidates receive marketing approval.</w:t>
      </w:r>
    </w:p>
    <w:p>
      <w:pPr>
        <w:spacing w:after="0" w:line="225" w:lineRule="exact"/>
        <w:rPr>
          <w:sz w:val="20"/>
          <w:szCs w:val="20"/>
          <w:color w:val="auto"/>
        </w:rPr>
      </w:pPr>
    </w:p>
    <w:p>
      <w:pPr>
        <w:ind w:right="120" w:firstLine="479"/>
        <w:spacing w:after="0" w:line="261" w:lineRule="auto"/>
        <w:rPr>
          <w:sz w:val="20"/>
          <w:szCs w:val="20"/>
          <w:color w:val="auto"/>
        </w:rPr>
      </w:pPr>
      <w:r>
        <w:rPr>
          <w:rFonts w:ascii="Times New Roman" w:cs="Times New Roman" w:eastAsia="Times New Roman" w:hAnsi="Times New Roman"/>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180"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9" w:right="359" w:bottom="1440" w:gutter="0" w:footer="0" w:header="0"/>
        </w:sectPr>
      </w:pPr>
    </w:p>
    <w:bookmarkStart w:id="22" w:name="page23"/>
    <w:bookmarkEnd w:id="22"/>
    <w:p>
      <w:pPr>
        <w:ind w:right="60"/>
        <w:spacing w:after="0" w:line="256" w:lineRule="auto"/>
        <w:rPr>
          <w:sz w:val="20"/>
          <w:szCs w:val="20"/>
          <w:color w:val="auto"/>
        </w:rPr>
      </w:pPr>
      <w:r>
        <w:rPr>
          <w:rFonts w:ascii="Times New Roman" w:cs="Times New Roman" w:eastAsia="Times New Roman" w:hAnsi="Times New Roman"/>
          <w:sz w:val="18"/>
          <w:szCs w:val="18"/>
          <w:color w:val="auto"/>
        </w:rPr>
        <w:t>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2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0" w:type="dxa"/>
            <w:vAlign w:val="bottom"/>
            <w:gridSpan w:val="4"/>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70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(40,363)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40" w:firstLine="478"/>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2022, we used $40.4 million of cash in operating activities. Cash used in operating activities reflected our net loss of $56.8 million offset by noncash charges of $16.5 million, which consisted of $12.9 million in stock-based compensation, $1.8 million in amortization of premiums and discounts on marketable securities, $0.8 million noncash lease expense, and $0.6 million in depreciation. The primary use of cash was to fund our operations related to the development of our product candidates.</w:t>
      </w:r>
    </w:p>
    <w:p>
      <w:pPr>
        <w:spacing w:after="0" w:line="180" w:lineRule="exact"/>
        <w:rPr>
          <w:sz w:val="20"/>
          <w:szCs w:val="20"/>
          <w:color w:val="auto"/>
        </w:rPr>
      </w:pPr>
    </w:p>
    <w:p>
      <w:pPr>
        <w:ind w:right="120" w:firstLine="478"/>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2021, we used $36.1 million of cash in operating activities. Cash used in operating activities reflected our net loss of $48.2 million, offset by a $3.1 million net decrease in our operating assets and liabilities and noncash charges of $9.1 million, which consisted of $0.4 million in depreciation, $0.6 million noncash lease expense and $8.1 million in stock-based compensation. The primary use of cash was to fund our operations related to the development of our product candidates.</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0" w:firstLine="47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net cash provided by investing activities of $58.7 million consisted primarily of $87.6 million in proceeds from maturities of marketable securities partially offset by $27.1 million used for purchases of marketable securities. During the six months ended June 30, 2021 we used $1.4 million of cash for the purchase of property and equipment.</w:t>
      </w:r>
    </w:p>
    <w:p>
      <w:pPr>
        <w:spacing w:after="0" w:line="2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right="320" w:firstLine="47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financing activities provided $0.5 million from the exercise of stock options and purchases of stock under the Employee Stock Purchase Plan. During the six months ended June 30, 2021, financing activities provided $162.2 million, which reflected the receipt of net cash of $161.4 million from the sale of common stock as well as the receipt of $0.8 million from the exercise of stock options.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ind w:right="120" w:firstLine="478"/>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2022, there were no material changes to our critical accounting policies and estimates from those described under the heading “Management’s Discussion and Analysis of Financial Condition and Results of Operations-Critical Accounting Policies and Estimates” in our Annual Report on Form 10-K filed with the Securities and Exchange Commission on March 17,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firstLine="478"/>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w:t>
      </w:r>
    </w:p>
    <w:p>
      <w:pPr>
        <w:spacing w:after="0" w:line="176" w:lineRule="exact"/>
        <w:rPr>
          <w:sz w:val="20"/>
          <w:szCs w:val="20"/>
          <w:color w:val="auto"/>
        </w:rPr>
      </w:pPr>
    </w:p>
    <w:p>
      <w:pPr>
        <w:ind w:right="80" w:firstLine="478"/>
        <w:spacing w:after="0" w:line="261" w:lineRule="auto"/>
        <w:rPr>
          <w:sz w:val="20"/>
          <w:szCs w:val="20"/>
          <w:color w:val="auto"/>
        </w:rPr>
      </w:pPr>
      <w:r>
        <w:rPr>
          <w:rFonts w:ascii="Times New Roman" w:cs="Times New Roman" w:eastAsia="Times New Roman" w:hAnsi="Times New Roman"/>
          <w:sz w:val="18"/>
          <w:szCs w:val="18"/>
          <w:color w:val="auto"/>
        </w:rPr>
        <w:t>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0" w:lineRule="exact"/>
        <w:rPr>
          <w:sz w:val="20"/>
          <w:szCs w:val="20"/>
          <w:color w:val="auto"/>
        </w:rPr>
      </w:pPr>
    </w:p>
    <w:p>
      <w:pPr>
        <w:ind w:right="80" w:firstLine="478"/>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our first fiscal year (a) in which we have total annual gross revenues of at least $1.07 billion, or (b) in which we are deemed to be a large accelerated filer, which means the market value of our common stock that is held by non-affiliates exceeds $700.0 million as of the prior June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(2) the date on which we have issued more than $1.0 billion in non-convertible debt securities during the prior three-year period and (3) December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60" w:firstLine="478"/>
        <w:spacing w:after="0" w:line="282" w:lineRule="auto"/>
        <w:rPr>
          <w:sz w:val="20"/>
          <w:szCs w:val="20"/>
          <w:color w:val="auto"/>
        </w:rPr>
      </w:pPr>
      <w:r>
        <w:rPr>
          <w:rFonts w:ascii="Times New Roman" w:cs="Times New Roman" w:eastAsia="Times New Roman" w:hAnsi="Times New Roman"/>
          <w:sz w:val="18"/>
          <w:szCs w:val="18"/>
          <w:color w:val="auto"/>
        </w:rPr>
        <w:t>See Note 3 to our interim financial statements included elsewhere in this Quarterly Report on Form 10-Q for a description of recent accounting pronouncements applicable to our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firstLine="478"/>
        <w:spacing w:after="0" w:line="255"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or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89" w:lineRule="exact"/>
        <w:rPr>
          <w:sz w:val="20"/>
          <w:szCs w:val="20"/>
          <w:color w:val="auto"/>
        </w:rPr>
      </w:pPr>
    </w:p>
    <w:p>
      <w:pPr>
        <w:ind w:right="40" w:firstLine="478"/>
        <w:spacing w:after="0" w:line="255" w:lineRule="auto"/>
        <w:rPr>
          <w:sz w:val="20"/>
          <w:szCs w:val="20"/>
          <w:color w:val="auto"/>
        </w:rPr>
      </w:pPr>
      <w:r>
        <w:rPr>
          <w:rFonts w:ascii="Times New Roman" w:cs="Times New Roman" w:eastAsia="Times New Roman" w:hAnsi="Times New Roman"/>
          <w:sz w:val="18"/>
          <w:szCs w:val="18"/>
          <w:color w:val="auto"/>
        </w:rPr>
        <w:t>Subject to certain conditions, as an emerging growth company, we may rely on certain other exemptions and reduced reporting requirements, including without limitation, exemption to the requirements for providing an auditor’s attestation report on our system of internal controls over financial reporting pursuant to Section 404(b) of the Sarbanes-Oxley Act. We will remain an emerging growth company until the earlier to occur of (a) the last day of the fiscal year (i) following the fifth anniversary of the completion of our IPO, (ii) in which we have total annual gross revenues of at least $1.07 billion or (iii) in which we are deemed to be a “large accelerated filer” under the rules of the SEC, which means the market value of our common stock that is held by non-affiliates exceeds $700.0 million as of the prior June 30th, or (b) the date on which we have issued more than $1.0 billion in non-convertible debt during the prior three-year period.</w:t>
      </w:r>
    </w:p>
    <w:p>
      <w:pPr>
        <w:spacing w:after="0" w:line="189" w:lineRule="exact"/>
        <w:rPr>
          <w:sz w:val="20"/>
          <w:szCs w:val="20"/>
          <w:color w:val="auto"/>
        </w:rPr>
      </w:pPr>
    </w:p>
    <w:p>
      <w:pPr>
        <w:ind w:right="240" w:firstLine="478"/>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60" w:firstLine="47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w:t>
      </w:r>
    </w:p>
    <w:p>
      <w:pPr>
        <w:spacing w:after="0" w:line="121" w:lineRule="exact"/>
        <w:rPr>
          <w:sz w:val="20"/>
          <w:szCs w:val="20"/>
          <w:color w:val="auto"/>
        </w:rPr>
      </w:pPr>
    </w:p>
    <w:p>
      <w:pPr>
        <w:ind w:firstLine="478"/>
        <w:spacing w:after="0" w:line="253" w:lineRule="auto"/>
        <w:rPr>
          <w:sz w:val="20"/>
          <w:szCs w:val="20"/>
          <w:color w:val="auto"/>
        </w:rPr>
      </w:pPr>
      <w:r>
        <w:rPr>
          <w:rFonts w:ascii="Times New Roman" w:cs="Times New Roman" w:eastAsia="Times New Roman" w:hAnsi="Times New Roman"/>
          <w:sz w:val="18"/>
          <w:szCs w:val="18"/>
          <w:color w:val="auto"/>
        </w:rPr>
        <w:t>As of June 30, 2022, management, with the participation of our Principal Executive Officer and Principal Financial and Accounting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June 30, 2022, the design and operation of our disclosure controls and procedures were effective at a reasonable assurance level.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60" w:firstLine="478"/>
        <w:spacing w:after="0" w:line="282" w:lineRule="auto"/>
        <w:rPr>
          <w:sz w:val="20"/>
          <w:szCs w:val="20"/>
          <w:color w:val="auto"/>
        </w:rPr>
      </w:pPr>
      <w:r>
        <w:rPr>
          <w:rFonts w:ascii="Times New Roman" w:cs="Times New Roman" w:eastAsia="Times New Roman" w:hAnsi="Times New Roman"/>
          <w:sz w:val="18"/>
          <w:szCs w:val="18"/>
          <w:color w:val="auto"/>
        </w:rPr>
        <w:t>Management determined that, as of June 30, 2022,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80" w:firstLine="541"/>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7"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5" w:lineRule="exact"/>
        <w:rPr>
          <w:sz w:val="20"/>
          <w:szCs w:val="20"/>
          <w:color w:val="auto"/>
        </w:rPr>
      </w:pPr>
    </w:p>
    <w:p>
      <w:pPr>
        <w:ind w:right="140" w:firstLine="479"/>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Quarterly Report on Form 10-Q,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several risks and uncertainties, including those immediately following this summary. Some of these risks are:</w:t>
      </w:r>
    </w:p>
    <w:p>
      <w:pPr>
        <w:spacing w:after="0" w:line="117" w:lineRule="exact"/>
        <w:rPr>
          <w:sz w:val="20"/>
          <w:szCs w:val="20"/>
          <w:color w:val="auto"/>
        </w:rPr>
      </w:pPr>
    </w:p>
    <w:p>
      <w:pPr>
        <w:ind w:left="840" w:right="220" w:hanging="414"/>
        <w:spacing w:after="0" w:line="261" w:lineRule="auto"/>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to evaluate the success of our business to date and to assess our future viability. We have incurred significant operating losses since our inception and have not generated any revenue. We expect to incur continued losses for the foreseeable future and may never achieve or maintain profitability. Our ability to use our net operating loss carryforwards and certain other tax attributes may be limited.</w:t>
      </w:r>
    </w:p>
    <w:p>
      <w:pPr>
        <w:spacing w:after="0" w:line="179" w:lineRule="exact"/>
        <w:rPr>
          <w:rFonts w:ascii="Times New Roman" w:cs="Times New Roman" w:eastAsia="Times New Roman" w:hAnsi="Times New Roman"/>
          <w:sz w:val="18"/>
          <w:szCs w:val="18"/>
          <w:color w:val="auto"/>
        </w:rPr>
      </w:pPr>
    </w:p>
    <w:p>
      <w:pPr>
        <w:ind w:left="840" w:right="280" w:hanging="414"/>
        <w:spacing w:after="0" w:line="266" w:lineRule="auto"/>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to pursue our business objectives. If we are unable to raise capital when needed or on terms acceptable to us, we could be forced to delay, reduce or eliminate our research or drug development programs, any future commercialization efforts or other operations.</w:t>
      </w:r>
    </w:p>
    <w:p>
      <w:pPr>
        <w:spacing w:after="0" w:line="175" w:lineRule="exact"/>
        <w:rPr>
          <w:rFonts w:ascii="Times New Roman" w:cs="Times New Roman" w:eastAsia="Times New Roman" w:hAnsi="Times New Roman"/>
          <w:sz w:val="18"/>
          <w:szCs w:val="18"/>
          <w:color w:val="auto"/>
        </w:rPr>
      </w:pPr>
    </w:p>
    <w:p>
      <w:pPr>
        <w:ind w:left="840" w:right="360" w:hanging="414"/>
        <w:spacing w:after="0" w:line="266" w:lineRule="auto"/>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success of our product candidates, PRT543, PRT811, PRT1419, PRT2527, and PRT3645 which are in early 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175" w:lineRule="exact"/>
        <w:rPr>
          <w:rFonts w:ascii="Times New Roman" w:cs="Times New Roman" w:eastAsia="Times New Roman" w:hAnsi="Times New Roman"/>
          <w:sz w:val="18"/>
          <w:szCs w:val="18"/>
          <w:color w:val="auto"/>
        </w:rPr>
      </w:pPr>
    </w:p>
    <w:p>
      <w:pPr>
        <w:ind w:left="840" w:right="1280" w:hanging="414"/>
        <w:spacing w:after="0" w:line="282" w:lineRule="auto"/>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costs or experience delays in completing, or ultimately be unable to complete the development and/or commercialization of PRT543, PRT811, PRT1419, PRT2527, PRT3645 or our other product candidates.</w:t>
      </w:r>
    </w:p>
    <w:p>
      <w:pPr>
        <w:spacing w:after="0" w:line="161"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the effects of inflation.</w:t>
      </w:r>
    </w:p>
    <w:p>
      <w:pPr>
        <w:spacing w:after="0" w:line="279" w:lineRule="exact"/>
        <w:rPr>
          <w:rFonts w:ascii="Times New Roman" w:cs="Times New Roman" w:eastAsia="Times New Roman" w:hAnsi="Times New Roman"/>
          <w:sz w:val="18"/>
          <w:szCs w:val="18"/>
          <w:color w:val="auto"/>
        </w:rPr>
      </w:pPr>
    </w:p>
    <w:p>
      <w:pPr>
        <w:ind w:left="840" w:right="40" w:hanging="414"/>
        <w:spacing w:after="0" w:line="282" w:lineRule="auto"/>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enrolling patients in our ongoing or planned clinical trials, our receipt of necessary regulatory approval could be delayed or prevented.</w:t>
      </w:r>
    </w:p>
    <w:p>
      <w:pPr>
        <w:spacing w:after="0" w:line="161"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could adversely impact our business, including our clinical trials and clinical trial operations.</w:t>
      </w:r>
    </w:p>
    <w:p>
      <w:pPr>
        <w:spacing w:after="0" w:line="279" w:lineRule="exact"/>
        <w:rPr>
          <w:rFonts w:ascii="Times New Roman" w:cs="Times New Roman" w:eastAsia="Times New Roman" w:hAnsi="Times New Roman"/>
          <w:sz w:val="18"/>
          <w:szCs w:val="18"/>
          <w:color w:val="auto"/>
        </w:rPr>
      </w:pPr>
    </w:p>
    <w:p>
      <w:pPr>
        <w:ind w:left="840" w:hanging="414"/>
        <w:spacing w:after="0" w:line="266" w:lineRule="auto"/>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side effects or other safety risks associated with PRT543, PRT811, PRT1419, PRT2527, PRT3645 or our other product candidates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175" w:lineRule="exact"/>
        <w:rPr>
          <w:rFonts w:ascii="Times New Roman" w:cs="Times New Roman" w:eastAsia="Times New Roman" w:hAnsi="Times New Roman"/>
          <w:sz w:val="18"/>
          <w:szCs w:val="18"/>
          <w:color w:val="auto"/>
        </w:rPr>
      </w:pPr>
    </w:p>
    <w:p>
      <w:pPr>
        <w:ind w:left="840" w:right="500" w:hanging="414"/>
        <w:spacing w:after="0" w:line="282" w:lineRule="auto"/>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6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policy changes, including U.S. health care reform legislation, may have a material adverse effect on our business.</w:t>
      </w:r>
    </w:p>
    <w:p>
      <w:pPr>
        <w:spacing w:after="0" w:line="279" w:lineRule="exact"/>
        <w:rPr>
          <w:rFonts w:ascii="Times New Roman" w:cs="Times New Roman" w:eastAsia="Times New Roman" w:hAnsi="Times New Roman"/>
          <w:sz w:val="18"/>
          <w:szCs w:val="18"/>
          <w:color w:val="auto"/>
        </w:rPr>
      </w:pPr>
    </w:p>
    <w:p>
      <w:pPr>
        <w:ind w:left="820" w:right="60" w:hanging="407"/>
        <w:spacing w:after="0" w:line="261"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179" w:lineRule="exact"/>
        <w:rPr>
          <w:rFonts w:ascii="Times New Roman" w:cs="Times New Roman" w:eastAsia="Times New Roman" w:hAnsi="Times New Roman"/>
          <w:sz w:val="18"/>
          <w:szCs w:val="18"/>
          <w:color w:val="auto"/>
        </w:rPr>
      </w:pPr>
    </w:p>
    <w:p>
      <w:pPr>
        <w:ind w:left="820" w:right="60" w:hanging="407"/>
        <w:spacing w:after="0" w:line="261"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pharmaceutical products is complex and subject to product loss for a variety of reasons. We rely on third-party suppliers, including single source suppliers, to manufacture preclinical and clinical supplies of our product candidates and we intend to rely on third parties to produce commercial supplies of any approved product candidate. This reliance on third parties increases the risk that we will not have sufficient quantities of our product candidates or products or such</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ind w:left="407"/>
        <w:spacing w:after="0"/>
        <w:rPr>
          <w:sz w:val="20"/>
          <w:szCs w:val="20"/>
          <w:color w:val="auto"/>
        </w:rPr>
      </w:pPr>
      <w:r>
        <w:rPr>
          <w:rFonts w:ascii="Times New Roman" w:cs="Times New Roman" w:eastAsia="Times New Roman" w:hAnsi="Times New Roman"/>
          <w:sz w:val="18"/>
          <w:szCs w:val="18"/>
          <w:color w:val="auto"/>
        </w:rPr>
        <w:t>quantities at an acceptable cost or quality, which could delay, prevent or impair our development or commercialization efforts.</w:t>
      </w:r>
    </w:p>
    <w:p>
      <w:pPr>
        <w:spacing w:after="0" w:line="279" w:lineRule="exact"/>
        <w:rPr>
          <w:sz w:val="20"/>
          <w:szCs w:val="20"/>
          <w:color w:val="auto"/>
        </w:rPr>
      </w:pPr>
    </w:p>
    <w:p>
      <w:pPr>
        <w:ind w:left="407" w:hanging="407"/>
        <w:spacing w:after="0" w:line="282" w:lineRule="auto"/>
        <w:tabs>
          <w:tab w:leader="none" w:pos="4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161" w:lineRule="exact"/>
        <w:rPr>
          <w:rFonts w:ascii="Times New Roman" w:cs="Times New Roman" w:eastAsia="Times New Roman" w:hAnsi="Times New Roman"/>
          <w:sz w:val="18"/>
          <w:szCs w:val="18"/>
          <w:color w:val="auto"/>
        </w:rPr>
      </w:pPr>
    </w:p>
    <w:p>
      <w:pPr>
        <w:ind w:left="407" w:right="180" w:hanging="407"/>
        <w:spacing w:after="0" w:line="266" w:lineRule="auto"/>
        <w:tabs>
          <w:tab w:leader="none" w:pos="4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potential and ability to achieve profitability will be adversely affected.</w:t>
      </w:r>
    </w:p>
    <w:p>
      <w:pPr>
        <w:spacing w:after="0" w:line="175" w:lineRule="exact"/>
        <w:rPr>
          <w:rFonts w:ascii="Times New Roman" w:cs="Times New Roman" w:eastAsia="Times New Roman" w:hAnsi="Times New Roman"/>
          <w:sz w:val="18"/>
          <w:szCs w:val="18"/>
          <w:color w:val="auto"/>
        </w:rPr>
      </w:pPr>
    </w:p>
    <w:p>
      <w:pPr>
        <w:ind w:left="407" w:right="200" w:hanging="407"/>
        <w:spacing w:after="0" w:line="282" w:lineRule="auto"/>
        <w:tabs>
          <w:tab w:leader="none" w:pos="4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161" w:lineRule="exact"/>
        <w:rPr>
          <w:rFonts w:ascii="Times New Roman" w:cs="Times New Roman" w:eastAsia="Times New Roman" w:hAnsi="Times New Roman"/>
          <w:sz w:val="18"/>
          <w:szCs w:val="18"/>
          <w:color w:val="auto"/>
        </w:rPr>
      </w:pPr>
    </w:p>
    <w:p>
      <w:pPr>
        <w:ind w:left="407" w:right="300" w:hanging="407"/>
        <w:spacing w:after="0" w:line="282" w:lineRule="auto"/>
        <w:tabs>
          <w:tab w:leader="none" w:pos="4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against us could cause us to incur substantial liabilities and to limit commercialization of any products that we may develop.</w:t>
      </w:r>
    </w:p>
    <w:p>
      <w:pPr>
        <w:spacing w:after="0" w:line="161" w:lineRule="exact"/>
        <w:rPr>
          <w:rFonts w:ascii="Times New Roman" w:cs="Times New Roman" w:eastAsia="Times New Roman" w:hAnsi="Times New Roman"/>
          <w:sz w:val="18"/>
          <w:szCs w:val="18"/>
          <w:color w:val="auto"/>
        </w:rPr>
      </w:pPr>
    </w:p>
    <w:p>
      <w:pPr>
        <w:ind w:left="407" w:right="60" w:hanging="407"/>
        <w:spacing w:after="0" w:line="282" w:lineRule="auto"/>
        <w:tabs>
          <w:tab w:leader="none" w:pos="4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employees and to attract, retain and motivate qualified personnel and manage our human capital.</w:t>
      </w:r>
    </w:p>
    <w:p>
      <w:pPr>
        <w:spacing w:after="0" w:line="161" w:lineRule="exact"/>
        <w:rPr>
          <w:rFonts w:ascii="Times New Roman" w:cs="Times New Roman" w:eastAsia="Times New Roman" w:hAnsi="Times New Roman"/>
          <w:sz w:val="18"/>
          <w:szCs w:val="18"/>
          <w:color w:val="auto"/>
        </w:rPr>
      </w:pPr>
    </w:p>
    <w:p>
      <w:pPr>
        <w:ind w:left="407" w:right="160" w:hanging="407"/>
        <w:spacing w:after="0" w:line="282" w:lineRule="auto"/>
        <w:tabs>
          <w:tab w:leader="none" w:pos="4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61" w:lineRule="exact"/>
        <w:rPr>
          <w:rFonts w:ascii="Times New Roman" w:cs="Times New Roman" w:eastAsia="Times New Roman" w:hAnsi="Times New Roman"/>
          <w:sz w:val="18"/>
          <w:szCs w:val="18"/>
          <w:color w:val="auto"/>
        </w:rPr>
      </w:pPr>
    </w:p>
    <w:p>
      <w:pPr>
        <w:ind w:left="407" w:right="40" w:hanging="407"/>
        <w:spacing w:after="0" w:line="282" w:lineRule="auto"/>
        <w:tabs>
          <w:tab w:leader="none" w:pos="4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61" w:lineRule="exact"/>
        <w:rPr>
          <w:rFonts w:ascii="Times New Roman" w:cs="Times New Roman" w:eastAsia="Times New Roman" w:hAnsi="Times New Roman"/>
          <w:sz w:val="18"/>
          <w:szCs w:val="18"/>
          <w:color w:val="auto"/>
        </w:rPr>
      </w:pPr>
    </w:p>
    <w:p>
      <w:pPr>
        <w:ind w:left="407" w:right="640" w:hanging="407"/>
        <w:spacing w:after="0" w:line="282" w:lineRule="auto"/>
        <w:tabs>
          <w:tab w:leader="none" w:pos="4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engage in strategic transactions that could impact our liquidity, increase our expenses and present significant distractions to our management.</w:t>
      </w:r>
    </w:p>
    <w:p>
      <w:pPr>
        <w:spacing w:after="0" w:line="161" w:lineRule="exact"/>
        <w:rPr>
          <w:rFonts w:ascii="Times New Roman" w:cs="Times New Roman" w:eastAsia="Times New Roman" w:hAnsi="Times New Roman"/>
          <w:sz w:val="18"/>
          <w:szCs w:val="18"/>
          <w:color w:val="auto"/>
        </w:rPr>
      </w:pPr>
    </w:p>
    <w:p>
      <w:pPr>
        <w:ind w:left="407" w:right="400" w:hanging="407"/>
        <w:spacing w:after="0" w:line="266" w:lineRule="auto"/>
        <w:tabs>
          <w:tab w:leader="none" w:pos="4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175" w:lineRule="exact"/>
        <w:rPr>
          <w:rFonts w:ascii="Times New Roman" w:cs="Times New Roman" w:eastAsia="Times New Roman" w:hAnsi="Times New Roman"/>
          <w:sz w:val="18"/>
          <w:szCs w:val="18"/>
          <w:color w:val="auto"/>
        </w:rPr>
      </w:pPr>
    </w:p>
    <w:p>
      <w:pPr>
        <w:ind w:left="407" w:right="200" w:hanging="407"/>
        <w:spacing w:after="0" w:line="282" w:lineRule="auto"/>
        <w:tabs>
          <w:tab w:leader="none" w:pos="4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or administrative disputes to protect or enforce our patents or other intellectual property, which could be expensive, time consuming and unsuccessful.</w:t>
      </w:r>
    </w:p>
    <w:p>
      <w:pPr>
        <w:spacing w:after="0" w:line="161"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effectively protect or enforce our intellectual property and proprietary rights throughout the world.</w:t>
      </w:r>
    </w:p>
    <w:p>
      <w:pPr>
        <w:spacing w:after="0" w:line="279" w:lineRule="exact"/>
        <w:rPr>
          <w:rFonts w:ascii="Times New Roman" w:cs="Times New Roman" w:eastAsia="Times New Roman" w:hAnsi="Times New Roman"/>
          <w:sz w:val="18"/>
          <w:szCs w:val="18"/>
          <w:color w:val="auto"/>
        </w:rPr>
      </w:pPr>
    </w:p>
    <w:p>
      <w:pPr>
        <w:ind w:left="407" w:right="40" w:hanging="407"/>
        <w:spacing w:after="0" w:line="282" w:lineRule="auto"/>
        <w:tabs>
          <w:tab w:leader="none" w:pos="4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sued for infringing, misappropriating or otherwise violating intellectual property or proprietary rights of third parties, such litigation or disputes could be costly and time consuming and could prevent or delay us from developing or commercializing our product candidates.</w:t>
      </w:r>
    </w:p>
    <w:p>
      <w:pPr>
        <w:spacing w:after="0" w:line="161"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improvements to our product candidates may be held by third parties.</w:t>
      </w:r>
    </w:p>
    <w:p>
      <w:pPr>
        <w:spacing w:after="0" w:line="279" w:lineRule="exact"/>
        <w:rPr>
          <w:rFonts w:ascii="Times New Roman" w:cs="Times New Roman" w:eastAsia="Times New Roman" w:hAnsi="Times New Roman"/>
          <w:sz w:val="18"/>
          <w:szCs w:val="18"/>
          <w:color w:val="auto"/>
        </w:rPr>
      </w:pPr>
    </w:p>
    <w:p>
      <w:pPr>
        <w:ind w:left="407" w:right="400" w:hanging="407"/>
        <w:spacing w:after="0" w:line="282" w:lineRule="auto"/>
        <w:tabs>
          <w:tab w:leader="none" w:pos="4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and liquid trading market for our common stock may never be sustained. As a result, you may not be able to resell your shares of common stock at or above the purchase price.</w:t>
      </w:r>
    </w:p>
    <w:p>
      <w:pPr>
        <w:spacing w:after="0" w:line="161" w:lineRule="exact"/>
        <w:rPr>
          <w:rFonts w:ascii="Times New Roman" w:cs="Times New Roman" w:eastAsia="Times New Roman" w:hAnsi="Times New Roman"/>
          <w:sz w:val="18"/>
          <w:szCs w:val="18"/>
          <w:color w:val="auto"/>
        </w:rPr>
      </w:pPr>
    </w:p>
    <w:p>
      <w:pPr>
        <w:ind w:left="407" w:right="380" w:hanging="407"/>
        <w:spacing w:after="0" w:line="282" w:lineRule="auto"/>
        <w:tabs>
          <w:tab w:leader="none" w:pos="4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likely to be highly volatile, which could result in substantial losses for purchasers of our common stock.</w:t>
      </w:r>
    </w:p>
    <w:p>
      <w:pPr>
        <w:spacing w:after="0" w:line="161" w:lineRule="exact"/>
        <w:rPr>
          <w:rFonts w:ascii="Times New Roman" w:cs="Times New Roman" w:eastAsia="Times New Roman" w:hAnsi="Times New Roman"/>
          <w:sz w:val="18"/>
          <w:szCs w:val="18"/>
          <w:color w:val="auto"/>
        </w:rPr>
      </w:pPr>
    </w:p>
    <w:p>
      <w:pPr>
        <w:ind w:left="407" w:right="420" w:hanging="407"/>
        <w:spacing w:after="0" w:line="282" w:lineRule="auto"/>
        <w:tabs>
          <w:tab w:leader="none" w:pos="4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are able to exert significant control over matters subject to stockholder approval.</w:t>
      </w:r>
    </w:p>
    <w:p>
      <w:pPr>
        <w:spacing w:after="0" w:line="161" w:lineRule="exact"/>
        <w:rPr>
          <w:rFonts w:ascii="Times New Roman" w:cs="Times New Roman" w:eastAsia="Times New Roman" w:hAnsi="Times New Roman"/>
          <w:sz w:val="18"/>
          <w:szCs w:val="18"/>
          <w:color w:val="auto"/>
        </w:rPr>
      </w:pPr>
    </w:p>
    <w:p>
      <w:pPr>
        <w:ind w:left="407" w:right="440" w:hanging="407"/>
        <w:spacing w:after="0" w:line="312" w:lineRule="auto"/>
        <w:tabs>
          <w:tab w:leader="none" w:pos="40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39" w:lineRule="exact"/>
        <w:rPr>
          <w:rFonts w:ascii="Times New Roman" w:cs="Times New Roman" w:eastAsia="Times New Roman" w:hAnsi="Times New Roman"/>
          <w:sz w:val="17"/>
          <w:szCs w:val="17"/>
          <w:color w:val="auto"/>
        </w:rPr>
      </w:pPr>
    </w:p>
    <w:p>
      <w:pPr>
        <w:ind w:left="407" w:right="780" w:hanging="407"/>
        <w:spacing w:after="0" w:line="282" w:lineRule="auto"/>
        <w:tabs>
          <w:tab w:leader="none" w:pos="4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incur increased costs as a result of operating as a public company, and our management will be required to devote substantial time to new compliance initiatives and corporate governance practices.</w:t>
      </w:r>
    </w:p>
    <w:p>
      <w:pPr>
        <w:spacing w:after="0" w:line="200" w:lineRule="exact"/>
        <w:rPr>
          <w:sz w:val="20"/>
          <w:szCs w:val="20"/>
          <w:color w:val="auto"/>
        </w:rPr>
      </w:pPr>
    </w:p>
    <w:p>
      <w:pPr>
        <w:spacing w:after="0" w:line="286" w:lineRule="exact"/>
        <w:rPr>
          <w:sz w:val="20"/>
          <w:szCs w:val="20"/>
          <w:color w:val="auto"/>
        </w:rPr>
      </w:pPr>
    </w:p>
    <w:p>
      <w:pPr>
        <w:jc w:val="center"/>
        <w:ind w:right="393"/>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7"/>
          </w:cols>
          <w:pgMar w:left="733" w:top="44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44" w:lineRule="exact"/>
        <w:rPr>
          <w:sz w:val="20"/>
          <w:szCs w:val="20"/>
          <w:color w:val="auto"/>
        </w:rPr>
      </w:pPr>
    </w:p>
    <w:p>
      <w:pPr>
        <w:ind w:left="4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the success of our business to date and to assess our future viability. We have incurred significant operating losses since our inception and have not generated any revenue. We expect to incur continued losses for the foreseeable future and may never achieve or maintain profitability.</w:t>
      </w:r>
    </w:p>
    <w:p>
      <w:pPr>
        <w:spacing w:after="0" w:line="94" w:lineRule="exact"/>
        <w:rPr>
          <w:sz w:val="20"/>
          <w:szCs w:val="20"/>
          <w:color w:val="auto"/>
        </w:rPr>
      </w:pPr>
    </w:p>
    <w:p>
      <w:pPr>
        <w:ind w:right="20" w:firstLine="416"/>
        <w:spacing w:after="0" w:line="255" w:lineRule="auto"/>
        <w:rPr>
          <w:sz w:val="20"/>
          <w:szCs w:val="20"/>
          <w:color w:val="auto"/>
        </w:rPr>
      </w:pPr>
      <w:r>
        <w:rPr>
          <w:rFonts w:ascii="Times New Roman" w:cs="Times New Roman" w:eastAsia="Times New Roman" w:hAnsi="Times New Roman"/>
          <w:sz w:val="18"/>
          <w:szCs w:val="18"/>
          <w:color w:val="auto"/>
        </w:rPr>
        <w:t>Investment in drug development is a highly speculative undertaking and involves a substantial degree of risk. We commenced operations in 2016 and are a clinical-stage biopharmaceutical company with a limited operating history. We have not yet commercialized any product and we do not expect to generate revenue from sales of any products for several years, if at all. Consequently, there have been limited operations upon which we or you can evaluate our business. Predictions about our future success or viability may not be as accurate as they could be if we had a longer operating history or a history of successfully developing and commercializing cancer therapies. For the six months ended June 30, 2022 and 2021, we reported a net loss of $56.8 million and $48.2 million, respectively. As of June 30, 2022, we had an accumulated deficit of $276.0 million. We expect to continue to incur significant research and development and other expenses related to our ongoing operations.</w:t>
      </w:r>
    </w:p>
    <w:p>
      <w:pPr>
        <w:spacing w:after="0" w:line="243" w:lineRule="exact"/>
        <w:rPr>
          <w:sz w:val="20"/>
          <w:szCs w:val="20"/>
          <w:color w:val="auto"/>
        </w:rPr>
      </w:pPr>
    </w:p>
    <w:p>
      <w:pPr>
        <w:ind w:right="180" w:firstLine="416"/>
        <w:spacing w:after="0" w:line="261" w:lineRule="auto"/>
        <w:rPr>
          <w:sz w:val="20"/>
          <w:szCs w:val="20"/>
          <w:color w:val="auto"/>
        </w:rPr>
      </w:pPr>
      <w:r>
        <w:rPr>
          <w:rFonts w:ascii="Times New Roman" w:cs="Times New Roman" w:eastAsia="Times New Roman" w:hAnsi="Times New Roman"/>
          <w:sz w:val="18"/>
          <w:szCs w:val="18"/>
          <w:color w:val="auto"/>
        </w:rPr>
        <w:t>Since our inception, we have focused substantially all of our efforts and financial resources on the research, preclinical and clinical development of our product candidates, PRT543, PRT811, PRT1419, PRT2527, and PRT3645 and our research efforts on other potential product candidates targeting PRMT5, MCL1, CDK9, and BRM, otherwise known as SMARCA2. As of June 30, 2022, our cash, cash equivalents, and marketable securities were $246.3 million.</w:t>
      </w:r>
    </w:p>
    <w:p>
      <w:pPr>
        <w:spacing w:after="0" w:line="193"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We expect to incur increasing levels of operating losses for the foreseeable future, particularly as we advance PRT543, PRT811, PRT1419, PRT2527, and PRT3645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lead product candidates, including the ongoing Phase 1 clinical trials and the expansion cohorts of PRT543 and PRT811, the ongoing Phase 1 clinical trials for both the oral formulation and IV formulation of PRT1419, the ongoing Phase 1 clinical trial for PRT2527, the Phase 1 clinical trial for PRT3645, and development and subsequent INDs of other future product candidates we may choose to pursue, including a SMARCA2 protein degrader. In addition, if we obtain marketing approval for any of our product candidates, we will incur significant sales, marketing and outsourced manufacturing expenses in connection with the commercialization. We will also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224"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any revenue and we do not know when, or if, we will generate any revenue. We do not expect to generate significant revenue unless and until we obtain marketing approval for, and begin to sell, PRT543, PRT811, PRT1419, PRT2527, PRT3645 or another product candidate. Our ability to generate revenue depends on a number of factors, including, but not limited to, our ability to:</w:t>
      </w:r>
    </w:p>
    <w:p>
      <w:pPr>
        <w:spacing w:after="0" w:line="85" w:lineRule="exact"/>
        <w:rPr>
          <w:sz w:val="20"/>
          <w:szCs w:val="20"/>
          <w:color w:val="auto"/>
        </w:rPr>
      </w:pPr>
    </w:p>
    <w:p>
      <w:pPr>
        <w:ind w:left="820" w:hanging="407"/>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successful Phase 1 portions of PRT543, PRT811, PRT1419, PRT2527, and PRT3645 clinical trials;</w:t>
      </w:r>
    </w:p>
    <w:p>
      <w:pPr>
        <w:spacing w:after="0" w:line="130" w:lineRule="exact"/>
        <w:rPr>
          <w:rFonts w:ascii="Times New Roman" w:cs="Times New Roman" w:eastAsia="Times New Roman" w:hAnsi="Times New Roman"/>
          <w:sz w:val="18"/>
          <w:szCs w:val="18"/>
          <w:color w:val="auto"/>
        </w:rPr>
      </w:pPr>
    </w:p>
    <w:p>
      <w:pPr>
        <w:ind w:left="840" w:right="240" w:hanging="414"/>
        <w:spacing w:after="0" w:line="266" w:lineRule="auto"/>
        <w:tabs>
          <w:tab w:leader="none" w:pos="8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pharmacokinetic and other studies required to obtain U.S. and foreign marketing approval for PRT543 as a treatment for patients with hematological malignancies and advanced solid tumors, PRT811 as a treatment for patients with glioblastoma and advanced solid tumors and PRT1419 as a treatment for patients with certain solid tumors and hematological malignancies;</w:t>
      </w:r>
    </w:p>
    <w:p>
      <w:pPr>
        <w:spacing w:after="0" w:line="8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successful later-stage clinical trials that meet their clinical endpoints;</w:t>
      </w:r>
    </w:p>
    <w:p>
      <w:pPr>
        <w:spacing w:after="0" w:line="144" w:lineRule="exact"/>
        <w:rPr>
          <w:rFonts w:ascii="Times New Roman" w:cs="Times New Roman" w:eastAsia="Times New Roman" w:hAnsi="Times New Roman"/>
          <w:sz w:val="18"/>
          <w:szCs w:val="18"/>
          <w:color w:val="auto"/>
        </w:rPr>
      </w:pPr>
    </w:p>
    <w:p>
      <w:pPr>
        <w:ind w:left="820" w:right="140" w:hanging="407"/>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favorable results from our clinical trials and apply for and obtain marketing approval for PRT543, PRT811, PRT1419, PRT2527, and PRT3645;</w:t>
      </w:r>
    </w:p>
    <w:p>
      <w:pPr>
        <w:spacing w:after="0" w:line="8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licenses, collaborations, or strategic partnerships that may increase the value of our programs;</w:t>
      </w:r>
    </w:p>
    <w:p>
      <w:pPr>
        <w:spacing w:after="0" w:line="144" w:lineRule="exact"/>
        <w:rPr>
          <w:rFonts w:ascii="Times New Roman" w:cs="Times New Roman" w:eastAsia="Times New Roman" w:hAnsi="Times New Roman"/>
          <w:sz w:val="18"/>
          <w:szCs w:val="18"/>
          <w:color w:val="auto"/>
        </w:rPr>
      </w:pPr>
    </w:p>
    <w:p>
      <w:pPr>
        <w:ind w:left="820" w:right="420" w:hanging="407"/>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manufacture or contract with others to manufacture PRT543, PRT811, PRT1419, PRT2527, PRT3645 and our other product candidates;</w:t>
      </w:r>
    </w:p>
    <w:p>
      <w:pPr>
        <w:spacing w:after="0" w:line="67" w:lineRule="exact"/>
        <w:rPr>
          <w:rFonts w:ascii="Times New Roman" w:cs="Times New Roman" w:eastAsia="Times New Roman" w:hAnsi="Times New Roman"/>
          <w:sz w:val="18"/>
          <w:szCs w:val="18"/>
          <w:color w:val="auto"/>
        </w:rPr>
      </w:pPr>
    </w:p>
    <w:p>
      <w:pPr>
        <w:ind w:left="820" w:right="240" w:hanging="407"/>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PRT543, PRT811, PRT1419, PRT2527, and PRT3645 if approved, respectively, by building a sales force or entering into collaborations with third parties;</w:t>
      </w:r>
    </w:p>
    <w:p>
      <w:pPr>
        <w:spacing w:after="0" w:line="67" w:lineRule="exact"/>
        <w:rPr>
          <w:rFonts w:ascii="Times New Roman" w:cs="Times New Roman" w:eastAsia="Times New Roman" w:hAnsi="Times New Roman"/>
          <w:sz w:val="18"/>
          <w:szCs w:val="18"/>
          <w:color w:val="auto"/>
        </w:rPr>
      </w:pPr>
    </w:p>
    <w:p>
      <w:pPr>
        <w:ind w:left="820" w:right="180" w:hanging="407"/>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INDs for a kinase inhibitor and SMARCA2 protein degrader that are made effective by the U.S. Food and Drug Administration, or the FDA;</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28" w:name="page29"/>
    <w:bookmarkEnd w:id="28"/>
    <w:p>
      <w:pPr>
        <w:ind w:left="820" w:hanging="407"/>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defend our intellectual property portfolio; and</w:t>
      </w:r>
    </w:p>
    <w:p>
      <w:pPr>
        <w:spacing w:after="0" w:line="144" w:lineRule="exact"/>
        <w:rPr>
          <w:rFonts w:ascii="Times New Roman" w:cs="Times New Roman" w:eastAsia="Times New Roman" w:hAnsi="Times New Roman"/>
          <w:sz w:val="18"/>
          <w:szCs w:val="18"/>
          <w:color w:val="auto"/>
        </w:rPr>
      </w:pPr>
    </w:p>
    <w:p>
      <w:pPr>
        <w:ind w:left="820" w:right="180" w:hanging="407"/>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PRT543, PRT811, PRT1419, PRT2527, PRT3645 and our other successful product candidates with the medical community and with third-party payors.</w:t>
      </w:r>
    </w:p>
    <w:p>
      <w:pPr>
        <w:spacing w:after="0" w:line="189" w:lineRule="exact"/>
        <w:rPr>
          <w:sz w:val="20"/>
          <w:szCs w:val="20"/>
          <w:color w:val="auto"/>
        </w:rPr>
      </w:pPr>
    </w:p>
    <w:p>
      <w:pPr>
        <w:ind w:right="180" w:firstLine="416"/>
        <w:spacing w:after="0" w:line="256" w:lineRule="auto"/>
        <w:rPr>
          <w:sz w:val="20"/>
          <w:szCs w:val="20"/>
          <w:color w:val="auto"/>
        </w:rPr>
      </w:pPr>
      <w:r>
        <w:rPr>
          <w:rFonts w:ascii="Times New Roman" w:cs="Times New Roman" w:eastAsia="Times New Roman" w:hAnsi="Times New Roman"/>
          <w:sz w:val="18"/>
          <w:szCs w:val="18"/>
          <w:color w:val="auto"/>
        </w:rPr>
        <w:t>To become and remain profitable, we must succeed in designing, developing, and eventually commercializing products that generate significant revenue. This will require us to be successful in a range of challenging activities, including completing preclinical testing and clinical trials for our product candidates, designing additional product candidates, establishing arrangements with third parties for the manufacture of clinical supplies of our product candidates, obtaining marketing approval for our product candidates and manufacturing, marketing and selling any products for which we may obtain marketing approval. We are only in the preliminary stages of most of these activities. We may never succeed in these activities and, even if we do, may never generate revenues that are significant enough to achieve profitability.</w:t>
      </w:r>
    </w:p>
    <w:p>
      <w:pPr>
        <w:spacing w:after="0" w:line="187"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color w:val="auto"/>
        </w:rPr>
        <w:t>In cases where we are successful in obtaining regulatory approval to market one or more of our product candidates,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83"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will incur or when, or if, we will be able to achieve profitability. If we decide to or are required by the FDA or regulatory authorities in other jurisdictions to perform studies or clinical trials in addition to those currently expected, or if there are any delays in establishing appropriate manufacturing arrangements for, in initiating or completing our current and planned clinical trials for, or in the development of, any of our product candidates, our expenses could increase materially and profitability could be further delayed.</w:t>
      </w:r>
    </w:p>
    <w:p>
      <w:pPr>
        <w:spacing w:after="0" w:line="183" w:lineRule="exact"/>
        <w:rPr>
          <w:sz w:val="20"/>
          <w:szCs w:val="20"/>
          <w:color w:val="auto"/>
        </w:rPr>
      </w:pPr>
    </w:p>
    <w:p>
      <w:pPr>
        <w:ind w:right="180" w:firstLine="416"/>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84" w:lineRule="exact"/>
        <w:rPr>
          <w:sz w:val="20"/>
          <w:szCs w:val="20"/>
          <w:color w:val="auto"/>
        </w:rPr>
      </w:pPr>
    </w:p>
    <w:p>
      <w:pPr>
        <w:ind w:left="420"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to pursue our business objectives. If we are unable to raise capital when needed or on terms acceptable to us, we could be forced to delay, reduce or eliminate our research or drug development programs, any future commercialization efforts or other operations.</w:t>
      </w:r>
    </w:p>
    <w:p>
      <w:pPr>
        <w:spacing w:after="0" w:line="67"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our product candidates, PRT543, PRT811, PRT1419, PRT2527, PRT3645 and other pipeline product candidates through clinical development, and seek to design additional product candidates from our discovery programs. We expect increased expenses as we continue our research and development, expand operations and build our new facility, initiate additional clinical trials, and seek marketing approval for our lead programs and our other product candidates. In addition, if we obtain marketing approval for any of our product candidates, we expect to incur significant commercialization expenses related to product manufacturing, marketing, sales and distribution. Furthermore, we expect to continue to incur additional costs associated with operating as a public company. Accordingly, we will need to obtain substantial additional funding in connection with our continuing operations. 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research and development programs, our commercialization plans or other operations.</w:t>
      </w:r>
    </w:p>
    <w:p>
      <w:pPr>
        <w:spacing w:after="0" w:line="194"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will enable us to fund our operating expenses, and capital expenditure requirements into the second half of 2024.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w:t>
      </w:r>
    </w:p>
    <w:p>
      <w:pPr>
        <w:spacing w:after="0" w:line="89"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progress, timing and results of preclinical studies and clinical trials for our current or any future product candidates;</w:t>
      </w:r>
    </w:p>
    <w:p>
      <w:pPr>
        <w:spacing w:after="0" w:line="117" w:lineRule="exact"/>
        <w:rPr>
          <w:sz w:val="20"/>
          <w:szCs w:val="20"/>
          <w:color w:val="auto"/>
        </w:rPr>
      </w:pPr>
    </w:p>
    <w:p>
      <w:pPr>
        <w:ind w:left="5540" w:right="2960" w:hanging="5127"/>
        <w:spacing w:after="0" w:line="657" w:lineRule="auto"/>
        <w:tabs>
          <w:tab w:leader="none" w:pos="8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pipeline product candidates or technologies;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9" w:name="page30"/>
    <w:bookmarkEnd w:id="29"/>
    <w:p>
      <w:pPr>
        <w:ind w:left="820" w:right="400" w:hanging="407"/>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may pursue, and other indications for our current product candidates that we may pursue;</w:t>
      </w:r>
    </w:p>
    <w:p>
      <w:pPr>
        <w:spacing w:after="0" w:line="53" w:lineRule="exact"/>
        <w:rPr>
          <w:rFonts w:ascii="Times New Roman" w:cs="Times New Roman" w:eastAsia="Times New Roman" w:hAnsi="Times New Roman"/>
          <w:sz w:val="18"/>
          <w:szCs w:val="18"/>
          <w:color w:val="auto"/>
        </w:rPr>
      </w:pPr>
    </w:p>
    <w:p>
      <w:pPr>
        <w:ind w:left="820" w:right="660" w:hanging="407"/>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obtaining regulatory approvals of our current or future product candidates and any companion diagnostics we may pursue;</w:t>
      </w:r>
    </w:p>
    <w:p>
      <w:pPr>
        <w:spacing w:after="0" w:line="53" w:lineRule="exact"/>
        <w:rPr>
          <w:rFonts w:ascii="Times New Roman" w:cs="Times New Roman" w:eastAsia="Times New Roman" w:hAnsi="Times New Roman"/>
          <w:sz w:val="18"/>
          <w:szCs w:val="18"/>
          <w:color w:val="auto"/>
        </w:rPr>
      </w:pPr>
    </w:p>
    <w:p>
      <w:pPr>
        <w:ind w:left="820" w:right="320" w:hanging="407"/>
        <w:spacing w:after="0" w:line="281"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1" w:lineRule="exact"/>
        <w:rPr>
          <w:rFonts w:ascii="Times New Roman" w:cs="Times New Roman" w:eastAsia="Times New Roman" w:hAnsi="Times New Roman"/>
          <w:sz w:val="18"/>
          <w:szCs w:val="18"/>
          <w:color w:val="auto"/>
        </w:rPr>
      </w:pPr>
    </w:p>
    <w:p>
      <w:pPr>
        <w:ind w:left="820" w:right="60" w:hanging="407"/>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potential commercialization of our current or future product candidates;</w:t>
      </w:r>
    </w:p>
    <w:p>
      <w:pPr>
        <w:spacing w:after="0" w:line="53" w:lineRule="exact"/>
        <w:rPr>
          <w:rFonts w:ascii="Times New Roman" w:cs="Times New Roman" w:eastAsia="Times New Roman" w:hAnsi="Times New Roman"/>
          <w:sz w:val="18"/>
          <w:szCs w:val="18"/>
          <w:color w:val="auto"/>
        </w:rPr>
      </w:pPr>
    </w:p>
    <w:p>
      <w:pPr>
        <w:ind w:left="820" w:right="580" w:hanging="407"/>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commercializing any approved product candidates, including establishing sales, marketing and distribution capabilities;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completing any post-marketing studies or trials required by the FDA or other regulatory authorities;</w:t>
      </w:r>
    </w:p>
    <w:p>
      <w:pPr>
        <w:spacing w:after="0" w:line="117" w:lineRule="exact"/>
        <w:rPr>
          <w:rFonts w:ascii="Times New Roman" w:cs="Times New Roman" w:eastAsia="Times New Roman" w:hAnsi="Times New Roman"/>
          <w:sz w:val="18"/>
          <w:szCs w:val="18"/>
          <w:color w:val="auto"/>
        </w:rPr>
      </w:pPr>
    </w:p>
    <w:p>
      <w:pPr>
        <w:ind w:left="820" w:right="300" w:hanging="407"/>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PRT543, PRT811, PRT1419, PRT2527, or PRT3645 if any are approved, or our other pipeline product candidates that receive marketing approval;</w:t>
      </w:r>
    </w:p>
    <w:p>
      <w:pPr>
        <w:spacing w:after="0" w:line="53" w:lineRule="exact"/>
        <w:rPr>
          <w:rFonts w:ascii="Times New Roman" w:cs="Times New Roman" w:eastAsia="Times New Roman" w:hAnsi="Times New Roman"/>
          <w:sz w:val="18"/>
          <w:szCs w:val="18"/>
          <w:color w:val="auto"/>
        </w:rPr>
      </w:pPr>
    </w:p>
    <w:p>
      <w:pPr>
        <w:ind w:left="820" w:right="480" w:hanging="407"/>
        <w:spacing w:after="0" w:line="312" w:lineRule="auto"/>
        <w:tabs>
          <w:tab w:leader="none" w:pos="8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w:t>
      </w:r>
    </w:p>
    <w:p>
      <w:pPr>
        <w:spacing w:after="0" w:line="31" w:lineRule="exact"/>
        <w:rPr>
          <w:rFonts w:ascii="Times New Roman" w:cs="Times New Roman" w:eastAsia="Times New Roman" w:hAnsi="Times New Roman"/>
          <w:sz w:val="17"/>
          <w:szCs w:val="17"/>
          <w:color w:val="auto"/>
        </w:rPr>
      </w:pPr>
    </w:p>
    <w:p>
      <w:pPr>
        <w:ind w:left="820" w:right="80" w:hanging="407"/>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potential product liability claims, including the costs associated with obtaining insurance against such claims and with defending against such claims; and</w:t>
      </w:r>
    </w:p>
    <w:p>
      <w:pPr>
        <w:spacing w:after="0" w:line="53" w:lineRule="exact"/>
        <w:rPr>
          <w:rFonts w:ascii="Times New Roman" w:cs="Times New Roman" w:eastAsia="Times New Roman" w:hAnsi="Times New Roman"/>
          <w:sz w:val="18"/>
          <w:szCs w:val="18"/>
          <w:color w:val="auto"/>
        </w:rPr>
      </w:pPr>
    </w:p>
    <w:p>
      <w:pPr>
        <w:ind w:left="820" w:hanging="407"/>
        <w:spacing w:after="0" w:line="266"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pursue strategic collaborations, including collaborations to commercialize PRT543, PRT811, PRT1419, PRT2527, PRT3645 or any of our other pipeline product candidates, our ability to establish and maintain collaborations on favorable terms, if at all, as well as the timing and amount of any milestone or royalty payments we are required to make or are eligible to receive under such collaborations, if any.</w:t>
      </w:r>
    </w:p>
    <w:p>
      <w:pPr>
        <w:spacing w:after="0" w:line="176" w:lineRule="exact"/>
        <w:rPr>
          <w:sz w:val="20"/>
          <w:szCs w:val="20"/>
          <w:color w:val="auto"/>
        </w:rPr>
      </w:pPr>
    </w:p>
    <w:p>
      <w:pPr>
        <w:ind w:right="100" w:firstLine="416"/>
        <w:spacing w:after="0" w:line="256" w:lineRule="auto"/>
        <w:rPr>
          <w:sz w:val="20"/>
          <w:szCs w:val="20"/>
          <w:color w:val="auto"/>
        </w:rPr>
      </w:pPr>
      <w:r>
        <w:rPr>
          <w:rFonts w:ascii="Times New Roman" w:cs="Times New Roman" w:eastAsia="Times New Roman" w:hAnsi="Times New Roman"/>
          <w:sz w:val="18"/>
          <w:szCs w:val="18"/>
          <w:color w:val="auto"/>
        </w:rPr>
        <w:t>We will require additional capital to complete our planned clinical development programs for our current product candidates to obtain regulatory approval.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product candidates, if approved.</w:t>
      </w:r>
    </w:p>
    <w:p>
      <w:pPr>
        <w:spacing w:after="0" w:line="291" w:lineRule="exact"/>
        <w:rPr>
          <w:sz w:val="20"/>
          <w:szCs w:val="20"/>
          <w:color w:val="auto"/>
        </w:rPr>
      </w:pPr>
    </w:p>
    <w:p>
      <w:pPr>
        <w:ind w:left="4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ind w:right="60" w:firstLine="416"/>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89" w:lineRule="exact"/>
        <w:rPr>
          <w:sz w:val="20"/>
          <w:szCs w:val="20"/>
          <w:color w:val="auto"/>
        </w:rPr>
      </w:pPr>
    </w:p>
    <w:p>
      <w:pPr>
        <w:ind w:right="60" w:firstLine="416"/>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third parties to develop and market product candidates that we would otherwise prefer to develop and market ourselves.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effects of inflation.</w:t>
      </w:r>
    </w:p>
    <w:p>
      <w:pPr>
        <w:spacing w:after="0" w:line="229" w:lineRule="exact"/>
        <w:rPr>
          <w:sz w:val="20"/>
          <w:szCs w:val="20"/>
          <w:color w:val="auto"/>
        </w:rPr>
      </w:pPr>
    </w:p>
    <w:p>
      <w:pPr>
        <w:ind w:right="100" w:firstLine="374"/>
        <w:spacing w:after="0" w:line="255" w:lineRule="auto"/>
        <w:rPr>
          <w:sz w:val="20"/>
          <w:szCs w:val="20"/>
          <w:color w:val="auto"/>
        </w:rPr>
      </w:pPr>
      <w:r>
        <w:rPr>
          <w:rFonts w:ascii="Times New Roman" w:cs="Times New Roman" w:eastAsia="Times New Roman" w:hAnsi="Times New Roman"/>
          <w:sz w:val="18"/>
          <w:szCs w:val="18"/>
          <w:color w:val="auto"/>
        </w:rPr>
        <w:t>Inflation has the potential to adversely affect our liquidity, business, financial condition and results of operations by increasing our overall cost structure. The existence of inflation in the economy has resulted in, and may continue to result in, higher interest rates and capital costs, supply shortages, increased costs of labor, components, manufacturing and shipping, as well as weakening exchange rates and other similar effects. As a result of inflation, we have experienced and may continue to experience cost increases. Although we may take measures to mitigate the effects of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Design and Development of our Product Candidates</w:t>
      </w:r>
    </w:p>
    <w:p>
      <w:pPr>
        <w:spacing w:after="0" w:line="117" w:lineRule="exact"/>
        <w:rPr>
          <w:sz w:val="20"/>
          <w:szCs w:val="20"/>
          <w:color w:val="auto"/>
        </w:rPr>
      </w:pPr>
    </w:p>
    <w:p>
      <w:pPr>
        <w:ind w:left="42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success of our product candidates, PRT543, PRT811, PRT1419, PRT2527, and PRT3645 which are in early 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53"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color w:val="auto"/>
        </w:rPr>
        <w:t>Our future success is highly dependent on our ability to obtain regulatory approval for, and then successfully commercialize, our product candidates, PRT543, PRT811, PRT1419, PRT2527, and PRT3645. We are early in our development efforts and our lead product candidates, PRT543, PRT811, PRT1419 and PRT2527, are each currently in a Phase 1 clinical trial. Our other product candidates are in earlier stages of development. We currently have no products that are approved for sale in any jurisdiction. There can be no assurance that PRT543, PRT811, PRT1419, PRT2527, PRT3645 or our other product candidates in development will achieve success in their clinical trials or obtain regulatory approval.</w:t>
      </w:r>
    </w:p>
    <w:p>
      <w:pPr>
        <w:spacing w:after="0" w:line="156" w:lineRule="exact"/>
        <w:rPr>
          <w:sz w:val="20"/>
          <w:szCs w:val="20"/>
          <w:color w:val="auto"/>
        </w:rPr>
      </w:pPr>
    </w:p>
    <w:p>
      <w:pPr>
        <w:ind w:firstLine="416"/>
        <w:spacing w:after="0" w:line="266" w:lineRule="auto"/>
        <w:rPr>
          <w:sz w:val="20"/>
          <w:szCs w:val="20"/>
          <w:color w:val="auto"/>
        </w:rPr>
      </w:pPr>
      <w:r>
        <w:rPr>
          <w:rFonts w:ascii="Times New Roman" w:cs="Times New Roman" w:eastAsia="Times New Roman" w:hAnsi="Times New Roman"/>
          <w:sz w:val="18"/>
          <w:szCs w:val="18"/>
          <w:color w:val="auto"/>
        </w:rPr>
        <w:t>Our ability to generate product revenues, which we do not expect will occur for many years, if ever, will depend heavily on the successful development and eventual commercialization of PRT543, PRT811, PRT1419, PRT2527, PRT3645 or other product candidates in development. The success of our product candidates, including PRT543, PRT811, PRT1419, PRT2527, and PRT3645 will depend on several factors, including the following:</w:t>
      </w:r>
    </w:p>
    <w:p>
      <w:pPr>
        <w:spacing w:after="0" w:line="54" w:lineRule="exact"/>
        <w:rPr>
          <w:sz w:val="20"/>
          <w:szCs w:val="20"/>
          <w:color w:val="auto"/>
        </w:rPr>
      </w:pPr>
    </w:p>
    <w:p>
      <w:pPr>
        <w:ind w:left="820" w:hanging="407"/>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clinical trials;</w:t>
      </w:r>
    </w:p>
    <w:p>
      <w:pPr>
        <w:spacing w:after="0" w:line="117" w:lineRule="exact"/>
        <w:rPr>
          <w:rFonts w:ascii="Times New Roman" w:cs="Times New Roman" w:eastAsia="Times New Roman" w:hAnsi="Times New Roman"/>
          <w:sz w:val="18"/>
          <w:szCs w:val="18"/>
          <w:color w:val="auto"/>
        </w:rPr>
      </w:pPr>
    </w:p>
    <w:p>
      <w:pPr>
        <w:ind w:left="820" w:right="120" w:hanging="407"/>
        <w:spacing w:after="0" w:line="28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INDs by the FDA or other similar clinical trial applications from foreign regulatory authorities for our future clinical trials for our pipeline product candidates;</w:t>
      </w:r>
    </w:p>
    <w:p>
      <w:pPr>
        <w:spacing w:after="0" w:line="4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enrollment of patients in, and completion of, clinical trials with favorable results;</w:t>
      </w:r>
    </w:p>
    <w:p>
      <w:pPr>
        <w:spacing w:after="0" w:line="117" w:lineRule="exact"/>
        <w:rPr>
          <w:rFonts w:ascii="Times New Roman" w:cs="Times New Roman" w:eastAsia="Times New Roman" w:hAnsi="Times New Roman"/>
          <w:sz w:val="18"/>
          <w:szCs w:val="18"/>
          <w:color w:val="auto"/>
        </w:rPr>
      </w:pPr>
    </w:p>
    <w:p>
      <w:pPr>
        <w:ind w:left="820" w:right="340" w:hanging="407"/>
        <w:spacing w:after="0" w:line="28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safety, efficacy and acceptable risk-benefit profiles of our product candidates to the satisfaction of the FDA and foreign regulatory agencies;</w:t>
      </w:r>
    </w:p>
    <w:p>
      <w:pPr>
        <w:spacing w:after="0" w:line="27"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our ability, or that of our collaborators, to develop and obtain clearance or approval of companion diagnostics, on a timely basis, or at all;</w:t>
      </w:r>
    </w:p>
    <w:p>
      <w:pPr>
        <w:spacing w:after="0" w:line="104" w:lineRule="exact"/>
        <w:rPr>
          <w:sz w:val="20"/>
          <w:szCs w:val="20"/>
          <w:color w:val="auto"/>
        </w:rPr>
      </w:pPr>
    </w:p>
    <w:p>
      <w:pPr>
        <w:ind w:left="820" w:right="520" w:hanging="407"/>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related terms of marketing approvals from applicable regulatory authorities, including the completion of any required post-marketing studies or trials;</w:t>
      </w:r>
    </w:p>
    <w:p>
      <w:pPr>
        <w:spacing w:after="0" w:line="4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necessary to complete clinical development of and commercialize our product candidates;</w:t>
      </w:r>
    </w:p>
    <w:p>
      <w:pPr>
        <w:spacing w:after="0" w:line="9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regulatory exclusivity for our product candidates;</w:t>
      </w:r>
    </w:p>
    <w:p>
      <w:pPr>
        <w:spacing w:after="0" w:line="103" w:lineRule="exact"/>
        <w:rPr>
          <w:rFonts w:ascii="Times New Roman" w:cs="Times New Roman" w:eastAsia="Times New Roman" w:hAnsi="Times New Roman"/>
          <w:sz w:val="18"/>
          <w:szCs w:val="18"/>
          <w:color w:val="auto"/>
        </w:rPr>
      </w:pPr>
    </w:p>
    <w:p>
      <w:pPr>
        <w:ind w:left="820" w:right="140" w:hanging="407"/>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product candidates;</w:t>
      </w:r>
    </w:p>
    <w:p>
      <w:pPr>
        <w:spacing w:after="0" w:line="4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marketing and reimbursement strategies;</w:t>
      </w:r>
    </w:p>
    <w:p>
      <w:pPr>
        <w:spacing w:after="0" w:line="117" w:lineRule="exact"/>
        <w:rPr>
          <w:rFonts w:ascii="Times New Roman" w:cs="Times New Roman" w:eastAsia="Times New Roman" w:hAnsi="Times New Roman"/>
          <w:sz w:val="18"/>
          <w:szCs w:val="18"/>
          <w:color w:val="auto"/>
        </w:rPr>
      </w:pPr>
    </w:p>
    <w:p>
      <w:pPr>
        <w:ind w:left="820" w:right="40" w:hanging="407"/>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26"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0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payor coverage and adequate reimbursement;</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rights in our intellectual property portfolio;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1" w:name="page32"/>
    <w:bookmarkEnd w:id="31"/>
    <w:p>
      <w:pPr>
        <w:ind w:right="220" w:firstLine="416"/>
        <w:spacing w:after="0" w:line="258" w:lineRule="auto"/>
        <w:rPr>
          <w:sz w:val="20"/>
          <w:szCs w:val="20"/>
          <w:color w:val="auto"/>
        </w:rPr>
      </w:pPr>
      <w:r>
        <w:rPr>
          <w:rFonts w:ascii="Times New Roman" w:cs="Times New Roman" w:eastAsia="Times New Roman" w:hAnsi="Times New Roman"/>
          <w:sz w:val="18"/>
          <w:szCs w:val="18"/>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ongoing and future clinical trials of PRT543, PRT811, PRT1419, PRT2527, or PRT3645 vary adversely from our expectations.</w:t>
      </w:r>
    </w:p>
    <w:p>
      <w:pPr>
        <w:spacing w:after="0" w:line="2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Drug development involves a lengthy and expensive process, and clinical testing is uncertain as to the outcome.</w:t>
      </w:r>
    </w:p>
    <w:p>
      <w:pPr>
        <w:spacing w:after="0" w:line="121"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We currently have three product candidates in Phase 1 clinical development and additional product candidates in preclinical development, and the risk of failure for each is high. We are unable to predict when or if our product candidates will prove effective or safe in humans or will obtain marketing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the outcome.</w:t>
      </w:r>
    </w:p>
    <w:p>
      <w:pPr>
        <w:spacing w:after="0" w:line="210" w:lineRule="exact"/>
        <w:rPr>
          <w:sz w:val="20"/>
          <w:szCs w:val="20"/>
          <w:color w:val="auto"/>
        </w:rPr>
      </w:pPr>
    </w:p>
    <w:p>
      <w:pPr>
        <w:ind w:right="80" w:firstLine="419"/>
        <w:spacing w:after="0" w:line="253" w:lineRule="auto"/>
        <w:rPr>
          <w:sz w:val="20"/>
          <w:szCs w:val="20"/>
          <w:color w:val="auto"/>
        </w:rPr>
      </w:pPr>
      <w:r>
        <w:rPr>
          <w:rFonts w:ascii="Times New Roman" w:cs="Times New Roman" w:eastAsia="Times New Roman" w:hAnsi="Times New Roman"/>
          <w:sz w:val="18"/>
          <w:szCs w:val="18"/>
          <w:color w:val="auto"/>
        </w:rPr>
        <w:t>A failure of one or more clinical trials can occur at any stage of testing. The outcome of preclinical testing and early clinical trials may not be predictive of the success of later clinical trials or of clinical trials of the same product candidates in other indications, and interim or preliminary results of a clinical trial do not necessarily predict final results. Later-stage clinical trials could differ in significant ways from early-stage clinical trials, including changes to inclusion and exclusion criteria, efficacy endpoints, dosing regimen and statistical design. In particular, the small number of patients in our current Phase 1 clinical trials may make the results of these trials less predictive of the outcome of later clinical trials. In addition, although we have observed encouraging clinical activity in the dose escalation portion of the Phase 1 portion of our ongoing PRT543 and PRT811 clinical trials, the primary objectives were to determine the safety, tolerability and maximum tolerated dose of PRT543 and PRT811, respectively, and to determine a recommended Phase 2 dose for the expansion portion of our Phase 1 clinical trials, and not to demonstrate efficacy. The assessments of clinical activity from this portion of the clinical trials, some of which were not pre-specified, may not be predictive of the results in dose expansion cohorts, specific tumor types or further clinical trials of PRT543 and PRT811. In addition, while we may believe certain results in patients, such as stable disease, suggest encouraging clinical activity, stable disease is not considered a response for regulatory purposes. Stable disease, or SD, is defined as failure to meet the definition of objective clinical response or progressive disease. Furthermore, safety events may be observed in later trials that alter the anticipated risk-benefit profiles of PRT543 and PRT811.</w:t>
      </w:r>
    </w:p>
    <w:p>
      <w:pPr>
        <w:spacing w:after="0" w:line="291" w:lineRule="exact"/>
        <w:rPr>
          <w:sz w:val="20"/>
          <w:szCs w:val="20"/>
          <w:color w:val="auto"/>
        </w:rPr>
      </w:pPr>
    </w:p>
    <w:p>
      <w:pPr>
        <w:ind w:left="4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completing, or ultimately be unable to complete the development and/or commercialization of PRT543, PRT811, PRT1419, PRT2527, PRT3645 or our other product candidates.</w:t>
      </w:r>
    </w:p>
    <w:p>
      <w:pPr>
        <w:spacing w:after="0" w:line="51" w:lineRule="exact"/>
        <w:rPr>
          <w:sz w:val="20"/>
          <w:szCs w:val="20"/>
          <w:color w:val="auto"/>
        </w:rPr>
      </w:pPr>
    </w:p>
    <w:p>
      <w:pPr>
        <w:ind w:right="160" w:firstLine="416"/>
        <w:spacing w:after="0" w:line="266" w:lineRule="auto"/>
        <w:rPr>
          <w:sz w:val="20"/>
          <w:szCs w:val="20"/>
          <w:color w:val="auto"/>
        </w:rPr>
      </w:pPr>
      <w:r>
        <w:rPr>
          <w:rFonts w:ascii="Times New Roman" w:cs="Times New Roman" w:eastAsia="Times New Roman" w:hAnsi="Times New Roman"/>
          <w:sz w:val="18"/>
          <w:szCs w:val="18"/>
          <w:color w:val="auto"/>
        </w:rPr>
        <w:t>Before we can initiate clinical trials of a product candidate in any indication, we must submit the results of preclinical studies to the FDA or to comparable foreign authorities, respectively, along with other information, including information about the product candidate’s chemistry, manufacturing and controls and our proposed clinical trial protocol, as part of an IND or comparable foreign regulatory filings.</w:t>
      </w:r>
    </w:p>
    <w:p>
      <w:pPr>
        <w:spacing w:after="0" w:line="176" w:lineRule="exact"/>
        <w:rPr>
          <w:sz w:val="20"/>
          <w:szCs w:val="20"/>
          <w:color w:val="auto"/>
        </w:rPr>
      </w:pPr>
    </w:p>
    <w:p>
      <w:pPr>
        <w:ind w:right="240" w:firstLine="416"/>
        <w:spacing w:after="0" w:line="282" w:lineRule="auto"/>
        <w:rPr>
          <w:sz w:val="20"/>
          <w:szCs w:val="20"/>
          <w:color w:val="auto"/>
        </w:rPr>
      </w:pPr>
      <w:r>
        <w:rPr>
          <w:rFonts w:ascii="Times New Roman" w:cs="Times New Roman" w:eastAsia="Times New Roman" w:hAnsi="Times New Roman"/>
          <w:sz w:val="18"/>
          <w:szCs w:val="18"/>
          <w:color w:val="auto"/>
        </w:rPr>
        <w:t>The FDA may require us to conduct additional preclinical studies for any product candidate before it allows us to initiate subsequent clinical trials under any IND, which may lead to additional delays and increase the costs of our preclinical development programs.</w:t>
      </w:r>
    </w:p>
    <w:p>
      <w:pPr>
        <w:spacing w:after="0" w:line="162" w:lineRule="exact"/>
        <w:rPr>
          <w:sz w:val="20"/>
          <w:szCs w:val="20"/>
          <w:color w:val="auto"/>
        </w:rPr>
      </w:pPr>
    </w:p>
    <w:p>
      <w:pPr>
        <w:jc w:val="both"/>
        <w:ind w:right="80" w:firstLine="416"/>
        <w:spacing w:after="0" w:line="266" w:lineRule="auto"/>
        <w:rPr>
          <w:sz w:val="20"/>
          <w:szCs w:val="20"/>
          <w:color w:val="auto"/>
        </w:rPr>
      </w:pPr>
      <w:r>
        <w:rPr>
          <w:rFonts w:ascii="Times New Roman" w:cs="Times New Roman" w:eastAsia="Times New Roman" w:hAnsi="Times New Roman"/>
          <w:sz w:val="18"/>
          <w:szCs w:val="18"/>
          <w:color w:val="auto"/>
        </w:rPr>
        <w:t>Any delays in the commencement or completion of our ongoing, planned or future clinical trials could significantly affect our product development costs. We may experience numerous unforeseen events during, or as a result of, clinical trials that could delay or prevent our ability to obtain marketing approval or commercialize our product candidates, including:</w:t>
      </w:r>
    </w:p>
    <w:p>
      <w:pPr>
        <w:spacing w:after="0" w:line="68" w:lineRule="exact"/>
        <w:rPr>
          <w:sz w:val="20"/>
          <w:szCs w:val="20"/>
          <w:color w:val="auto"/>
        </w:rPr>
      </w:pPr>
    </w:p>
    <w:p>
      <w:pPr>
        <w:ind w:left="820" w:right="540" w:hanging="407"/>
        <w:spacing w:after="0" w:line="282"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or IRBs, or ethics committees, or ECs,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820" w:right="180" w:hanging="407"/>
        <w:spacing w:after="0" w:line="282"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as to the design or implementation of our clinical trials or with our recommended Phase 2 doses for any of our pipeline programs;</w:t>
      </w:r>
    </w:p>
    <w:p>
      <w:pPr>
        <w:spacing w:after="0" w:line="53" w:lineRule="exact"/>
        <w:rPr>
          <w:rFonts w:ascii="Times New Roman" w:cs="Times New Roman" w:eastAsia="Times New Roman" w:hAnsi="Times New Roman"/>
          <w:sz w:val="18"/>
          <w:szCs w:val="18"/>
          <w:color w:val="auto"/>
        </w:rPr>
      </w:pPr>
    </w:p>
    <w:p>
      <w:pPr>
        <w:ind w:left="820" w:right="640" w:hanging="407"/>
        <w:spacing w:after="0" w:line="282"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clinical research organizations, or CROs, and prospective trial sites;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2" w:name="page33"/>
    <w:bookmarkEnd w:id="32"/>
    <w:p>
      <w:pPr>
        <w:ind w:left="820" w:right="20" w:hanging="407"/>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for our product candidates may produce negative or inconclusive results, and we may decide, or regulators may require us, to conduct additional clinical trials, delay or halt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17" w:lineRule="exact"/>
        <w:rPr>
          <w:rFonts w:ascii="Times New Roman" w:cs="Times New Roman" w:eastAsia="Times New Roman" w:hAnsi="Times New Roman"/>
          <w:sz w:val="18"/>
          <w:szCs w:val="18"/>
          <w:color w:val="auto"/>
        </w:rPr>
      </w:pPr>
    </w:p>
    <w:p>
      <w:pPr>
        <w:ind w:left="820" w:right="80" w:hanging="407"/>
        <w:spacing w:after="0" w:line="261"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spacing w:after="0" w:line="71" w:lineRule="exact"/>
        <w:rPr>
          <w:rFonts w:ascii="Times New Roman" w:cs="Times New Roman" w:eastAsia="Times New Roman" w:hAnsi="Times New Roman"/>
          <w:sz w:val="18"/>
          <w:szCs w:val="18"/>
          <w:color w:val="auto"/>
        </w:rPr>
      </w:pPr>
    </w:p>
    <w:p>
      <w:pPr>
        <w:ind w:left="820" w:right="140" w:hanging="407"/>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clinical trial participants from investigational and approved therapies may make it more difficult to enroll patients in our clinical trials;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maintaining contact with patients after treatment, resulting in incomplete data;</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third-party collaborators may fail to obtain regulatory approval of companion diagnostic tests, if required, on a timely basis, or at all;</w:t>
      </w:r>
    </w:p>
    <w:p>
      <w:pPr>
        <w:spacing w:after="0" w:line="117" w:lineRule="exact"/>
        <w:rPr>
          <w:rFonts w:ascii="Times New Roman" w:cs="Times New Roman" w:eastAsia="Times New Roman" w:hAnsi="Times New Roman"/>
          <w:sz w:val="18"/>
          <w:szCs w:val="18"/>
          <w:color w:val="auto"/>
        </w:rPr>
      </w:pPr>
    </w:p>
    <w:p>
      <w:pPr>
        <w:ind w:left="820" w:right="680" w:hanging="407"/>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meet their contractual obligations to us in a timely manner, or at all, or may fail to comply with regulatory requirements;</w:t>
      </w:r>
    </w:p>
    <w:p>
      <w:pPr>
        <w:spacing w:after="0" w:line="53" w:lineRule="exact"/>
        <w:rPr>
          <w:rFonts w:ascii="Times New Roman" w:cs="Times New Roman" w:eastAsia="Times New Roman" w:hAnsi="Times New Roman"/>
          <w:sz w:val="18"/>
          <w:szCs w:val="18"/>
          <w:color w:val="auto"/>
        </w:rPr>
      </w:pPr>
    </w:p>
    <w:p>
      <w:pPr>
        <w:ind w:left="820" w:right="120" w:hanging="407"/>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for our product candidates for various reasons, including a finding by us or by a Data Monitoring Committee for a trial that the participants are being exposed to unacceptable health risks;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or unexpected side effects or other unexpected characteristics, causing us or our investigators,</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regulators or IRBs/ECs to suspend or terminate the trials;</w:t>
      </w:r>
    </w:p>
    <w:p>
      <w:pPr>
        <w:spacing w:after="0" w:line="99" w:lineRule="exact"/>
        <w:rPr>
          <w:sz w:val="20"/>
          <w:szCs w:val="20"/>
          <w:color w:val="auto"/>
        </w:rPr>
      </w:pPr>
    </w:p>
    <w:p>
      <w:pPr>
        <w:ind w:left="820" w:hanging="407"/>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for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w:t>
      </w:r>
    </w:p>
    <w:p>
      <w:pPr>
        <w:spacing w:after="0" w:line="117" w:lineRule="exact"/>
        <w:rPr>
          <w:rFonts w:ascii="Times New Roman" w:cs="Times New Roman" w:eastAsia="Times New Roman" w:hAnsi="Times New Roman"/>
          <w:sz w:val="18"/>
          <w:szCs w:val="18"/>
          <w:color w:val="auto"/>
        </w:rPr>
      </w:pPr>
    </w:p>
    <w:p>
      <w:pPr>
        <w:ind w:left="820" w:right="640" w:hanging="407"/>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for our product candidates may be insufficient or inadequate and result in delays or suspension of our clinical trials; and</w:t>
      </w:r>
    </w:p>
    <w:p>
      <w:pPr>
        <w:spacing w:after="0" w:line="53" w:lineRule="exact"/>
        <w:rPr>
          <w:rFonts w:ascii="Times New Roman" w:cs="Times New Roman" w:eastAsia="Times New Roman" w:hAnsi="Times New Roman"/>
          <w:sz w:val="18"/>
          <w:szCs w:val="18"/>
          <w:color w:val="auto"/>
        </w:rPr>
      </w:pPr>
    </w:p>
    <w:p>
      <w:pPr>
        <w:ind w:left="820" w:right="80" w:hanging="407"/>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which may slow potential enrollment, reduce the number of eligible patients for clinical trials, or reduce the number of patients that remain in our trials.</w:t>
      </w:r>
    </w:p>
    <w:p>
      <w:pPr>
        <w:spacing w:after="0" w:line="162"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Delays, including delays caused by the above factors, can be costly and could negatively affect our ability to complete a clinical trial or obtain timely marketing approvals. We do not know whether any of our planned preclinical studies or clinical trials will begin on a timely basis or at all, will need to be restructured or will be completed on schedule, or at all. For example, the FDA may place a partial or full clinical hold on any of our clinical trials for a variety of reasons, including safety concerns and noncompliance with regulatory requirements. If we are not able to complete successful clinical trials, we will not be able to obtain regulatory approval and will not be able to commercialize our product candidates.</w:t>
      </w:r>
    </w:p>
    <w:p>
      <w:pPr>
        <w:spacing w:after="0" w:line="143" w:lineRule="exact"/>
        <w:rPr>
          <w:sz w:val="20"/>
          <w:szCs w:val="20"/>
          <w:color w:val="auto"/>
        </w:rPr>
      </w:pPr>
    </w:p>
    <w:p>
      <w:pPr>
        <w:ind w:right="80" w:firstLine="416"/>
        <w:spacing w:after="0" w:line="266" w:lineRule="auto"/>
        <w:rPr>
          <w:sz w:val="20"/>
          <w:szCs w:val="20"/>
          <w:color w:val="auto"/>
        </w:rPr>
      </w:pPr>
      <w:r>
        <w:rPr>
          <w:rFonts w:ascii="Times New Roman" w:cs="Times New Roman" w:eastAsia="Times New Roman" w:hAnsi="Times New Roman"/>
          <w:sz w:val="18"/>
          <w:szCs w:val="18"/>
          <w:color w:val="auto"/>
        </w:rPr>
        <w:t>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26" w:lineRule="exact"/>
        <w:rPr>
          <w:sz w:val="20"/>
          <w:szCs w:val="20"/>
          <w:color w:val="auto"/>
        </w:rPr>
      </w:pPr>
    </w:p>
    <w:p>
      <w:pPr>
        <w:ind w:left="4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enrolling patients in our ongoing or planned clinical trials, our receipt of necessary regulatory approval could be delayed or prevented.</w:t>
      </w:r>
    </w:p>
    <w:p>
      <w:pPr>
        <w:spacing w:after="0" w:line="37"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addition,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This is acutely relevant for our development of PRT543 for the treatment of patients with myeloid malignancies and other solid tumors, including adenoid cystic carcinoma, or ACC, indications for which investigational drugs by our competitors are competing for clinical trial participants. Patient enrollment is also affected by other factors, including:</w:t>
      </w:r>
    </w:p>
    <w:p>
      <w:pPr>
        <w:spacing w:after="0" w:line="67" w:lineRule="exact"/>
        <w:rPr>
          <w:sz w:val="20"/>
          <w:szCs w:val="20"/>
          <w:color w:val="auto"/>
        </w:rPr>
      </w:pPr>
    </w:p>
    <w:p>
      <w:pPr>
        <w:ind w:left="840" w:hanging="427"/>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90"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of appropriate competencies and experience;</w:t>
      </w: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3" w:name="page34"/>
    <w:bookmarkEnd w:id="33"/>
    <w:p>
      <w:pPr>
        <w:ind w:left="840" w:hanging="427"/>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and prevalence of our target indications;</w:t>
      </w:r>
    </w:p>
    <w:p>
      <w:pPr>
        <w:spacing w:after="0" w:line="103" w:lineRule="exact"/>
        <w:rPr>
          <w:rFonts w:ascii="Times New Roman" w:cs="Times New Roman" w:eastAsia="Times New Roman" w:hAnsi="Times New Roman"/>
          <w:sz w:val="18"/>
          <w:szCs w:val="18"/>
          <w:color w:val="auto"/>
        </w:rPr>
      </w:pPr>
    </w:p>
    <w:p>
      <w:pPr>
        <w:ind w:left="840" w:right="120" w:hanging="427"/>
        <w:spacing w:after="0" w:line="282"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26"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studies or trials with similar eligibility criteria;</w:t>
      </w:r>
    </w:p>
    <w:p>
      <w:pPr>
        <w:spacing w:after="0" w:line="104"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invasive procedures required to enroll patients and to obtain evidence of the product candidate’s performance during the clinical trial;</w:t>
      </w:r>
    </w:p>
    <w:p>
      <w:pPr>
        <w:spacing w:after="0" w:line="104" w:lineRule="exact"/>
        <w:rPr>
          <w:sz w:val="20"/>
          <w:szCs w:val="20"/>
          <w:color w:val="auto"/>
        </w:rPr>
      </w:pPr>
    </w:p>
    <w:p>
      <w:pPr>
        <w:ind w:left="840" w:hanging="427"/>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for the disease under investigation;</w:t>
      </w:r>
    </w:p>
    <w:p>
      <w:pPr>
        <w:spacing w:after="0" w:line="90"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defined in the protocol for the trial in question;</w:t>
      </w:r>
    </w:p>
    <w:p>
      <w:pPr>
        <w:spacing w:after="0" w:line="10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required for analysis of the trial’s primary endpoints;</w:t>
      </w:r>
    </w:p>
    <w:p>
      <w:pPr>
        <w:spacing w:after="0" w:line="10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90"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subject to a partial or full clinical hold on any of our clinical trials;</w:t>
      </w:r>
    </w:p>
    <w:p>
      <w:pPr>
        <w:spacing w:after="0" w:line="10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physicians to encourage patient participation in clinical trials;</w:t>
      </w:r>
    </w:p>
    <w:p>
      <w:pPr>
        <w:spacing w:after="0" w:line="10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90"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10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85" w:lineRule="exact"/>
        <w:rPr>
          <w:sz w:val="20"/>
          <w:szCs w:val="20"/>
          <w:color w:val="auto"/>
        </w:rPr>
      </w:pPr>
    </w:p>
    <w:p>
      <w:pPr>
        <w:ind w:firstLine="416"/>
        <w:spacing w:after="0" w:line="266" w:lineRule="auto"/>
        <w:rPr>
          <w:sz w:val="20"/>
          <w:szCs w:val="20"/>
          <w:color w:val="auto"/>
        </w:rPr>
      </w:pPr>
      <w:r>
        <w:rPr>
          <w:rFonts w:ascii="Times New Roman" w:cs="Times New Roman" w:eastAsia="Times New Roman" w:hAnsi="Times New Roman"/>
          <w:sz w:val="18"/>
          <w:szCs w:val="18"/>
          <w:color w:val="auto"/>
        </w:rPr>
        <w:t>Our inability to enroll and maintain a sufficient number of patients for our clinical trials would result in significant delays or may require us to abandon one or more clinical trials altogether. Enrollment delays in our clinical trials, including due to the ongoing COVID-19 pandemic, may result in increased development costs, which would cause the value of our company to decline and limit our ability to obtain additional financing.</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ongoing COVID-19 pandemic could adversely impact our business, including our clinical trials and clinical trial operations.</w:t>
      </w:r>
    </w:p>
    <w:p>
      <w:pPr>
        <w:spacing w:after="0" w:line="121" w:lineRule="exact"/>
        <w:rPr>
          <w:sz w:val="20"/>
          <w:szCs w:val="20"/>
          <w:color w:val="auto"/>
        </w:rPr>
      </w:pPr>
    </w:p>
    <w:p>
      <w:pPr>
        <w:ind w:right="160" w:firstLine="416"/>
        <w:spacing w:after="0" w:line="282" w:lineRule="auto"/>
        <w:rPr>
          <w:sz w:val="20"/>
          <w:szCs w:val="20"/>
          <w:color w:val="auto"/>
        </w:rPr>
      </w:pPr>
      <w:r>
        <w:rPr>
          <w:rFonts w:ascii="Times New Roman" w:cs="Times New Roman" w:eastAsia="Times New Roman" w:hAnsi="Times New Roman"/>
          <w:sz w:val="18"/>
          <w:szCs w:val="18"/>
          <w:color w:val="auto"/>
        </w:rPr>
        <w:t>The ongoing COVID-19 pandemic in the United States and in other countries in which we have planned or have active clinical trial sites and where our third-party manufacturers operate, could cause significant disruptions that could severely impact our business and clinical trials, including:</w:t>
      </w:r>
    </w:p>
    <w:p>
      <w:pPr>
        <w:spacing w:after="0" w:line="54" w:lineRule="exact"/>
        <w:rPr>
          <w:sz w:val="20"/>
          <w:szCs w:val="20"/>
          <w:color w:val="auto"/>
        </w:rPr>
      </w:pPr>
    </w:p>
    <w:p>
      <w:pPr>
        <w:ind w:left="840" w:hanging="427"/>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screening, enrolling and maintaining patients in our clinical trials;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17" w:lineRule="exact"/>
        <w:rPr>
          <w:rFonts w:ascii="Times New Roman" w:cs="Times New Roman" w:eastAsia="Times New Roman" w:hAnsi="Times New Roman"/>
          <w:sz w:val="18"/>
          <w:szCs w:val="18"/>
          <w:color w:val="auto"/>
        </w:rPr>
      </w:pPr>
    </w:p>
    <w:p>
      <w:pPr>
        <w:ind w:left="840" w:right="260" w:hanging="427"/>
        <w:spacing w:after="0" w:line="282" w:lineRule="auto"/>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subjects to travel to the clinical trial sites;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difficulties, or incompleteness in data collection and analysis and other related activities;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implementation of protocol required clinical trial activities and quality of source data verification at clinical trial sites;</w:t>
      </w:r>
    </w:p>
    <w:p>
      <w:pPr>
        <w:spacing w:after="0" w:line="117" w:lineRule="exact"/>
        <w:rPr>
          <w:rFonts w:ascii="Times New Roman" w:cs="Times New Roman" w:eastAsia="Times New Roman" w:hAnsi="Times New Roman"/>
          <w:sz w:val="18"/>
          <w:szCs w:val="18"/>
          <w:color w:val="auto"/>
        </w:rPr>
      </w:pPr>
    </w:p>
    <w:p>
      <w:pPr>
        <w:ind w:left="840" w:right="320" w:hanging="427"/>
        <w:spacing w:after="0" w:line="282" w:lineRule="auto"/>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w:t>
      </w:r>
    </w:p>
    <w:p>
      <w:pPr>
        <w:spacing w:after="0" w:line="53" w:lineRule="exact"/>
        <w:rPr>
          <w:rFonts w:ascii="Times New Roman" w:cs="Times New Roman" w:eastAsia="Times New Roman" w:hAnsi="Times New Roman"/>
          <w:sz w:val="18"/>
          <w:szCs w:val="18"/>
          <w:color w:val="auto"/>
        </w:rPr>
      </w:pPr>
    </w:p>
    <w:p>
      <w:pPr>
        <w:ind w:left="840" w:right="400" w:hanging="427"/>
        <w:spacing w:after="0" w:line="266" w:lineRule="auto"/>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clinical trials and our other research and development activities, including because of sickness of employees or their families or mitigation measures such as lock-downs and social distancing;</w:t>
      </w:r>
    </w:p>
    <w:p>
      <w:pPr>
        <w:spacing w:after="0" w:line="67" w:lineRule="exact"/>
        <w:rPr>
          <w:rFonts w:ascii="Times New Roman" w:cs="Times New Roman" w:eastAsia="Times New Roman" w:hAnsi="Times New Roman"/>
          <w:sz w:val="18"/>
          <w:szCs w:val="18"/>
          <w:color w:val="auto"/>
        </w:rPr>
      </w:pPr>
    </w:p>
    <w:p>
      <w:pPr>
        <w:ind w:left="840" w:right="420" w:hanging="427"/>
        <w:spacing w:after="0" w:line="282" w:lineRule="auto"/>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production shortages resulting from any events affecting raw material supply or manufacturing capabilities domestically and abroad;</w:t>
      </w:r>
    </w:p>
    <w:p>
      <w:pPr>
        <w:spacing w:after="0" w:line="5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planned clinical trials;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4" w:name="page35"/>
    <w:bookmarkEnd w:id="34"/>
    <w:p>
      <w:pPr>
        <w:ind w:left="840" w:right="200" w:hanging="427"/>
        <w:spacing w:after="0" w:line="282" w:lineRule="auto"/>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global and domestic shipping that may affect the transport of clinical trial materials, such as investigational drug products used in our clinical trials;</w:t>
      </w:r>
    </w:p>
    <w:p>
      <w:pPr>
        <w:spacing w:after="0" w:line="5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ongoing COVID-19 pandemic which may require us to change the ways in which</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our clinical trials are conducted, which may result in unexpected costs, delays, or to discontinue the clinical trials altogether;</w:t>
      </w:r>
    </w:p>
    <w:p>
      <w:pPr>
        <w:spacing w:after="0" w:line="99" w:lineRule="exact"/>
        <w:rPr>
          <w:sz w:val="20"/>
          <w:szCs w:val="20"/>
          <w:color w:val="auto"/>
        </w:rPr>
      </w:pPr>
    </w:p>
    <w:p>
      <w:pPr>
        <w:ind w:left="840" w:right="260" w:hanging="427"/>
        <w:spacing w:after="0" w:line="282" w:lineRule="auto"/>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53" w:lineRule="exact"/>
        <w:rPr>
          <w:rFonts w:ascii="Times New Roman" w:cs="Times New Roman" w:eastAsia="Times New Roman" w:hAnsi="Times New Roman"/>
          <w:sz w:val="18"/>
          <w:szCs w:val="18"/>
          <w:color w:val="auto"/>
        </w:rPr>
      </w:pPr>
    </w:p>
    <w:p>
      <w:pPr>
        <w:ind w:left="840" w:right="740" w:hanging="427"/>
        <w:spacing w:after="0" w:line="282" w:lineRule="auto"/>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regulatory authorities such as FDA or European Medicines Agency, or EMA, to accept data from clinical trials in affected geographies; and</w:t>
      </w:r>
    </w:p>
    <w:p>
      <w:pPr>
        <w:spacing w:after="0" w:line="53" w:lineRule="exact"/>
        <w:rPr>
          <w:rFonts w:ascii="Times New Roman" w:cs="Times New Roman" w:eastAsia="Times New Roman" w:hAnsi="Times New Roman"/>
          <w:sz w:val="18"/>
          <w:szCs w:val="18"/>
          <w:color w:val="auto"/>
        </w:rPr>
      </w:pPr>
    </w:p>
    <w:p>
      <w:pPr>
        <w:ind w:left="840" w:hanging="427"/>
        <w:spacing w:after="0" w:line="282" w:lineRule="auto"/>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on global economic conditions which could have an adverse effect on our business and financial condition, including impairing our ability to raise capital when needed.</w:t>
      </w:r>
    </w:p>
    <w:p>
      <w:pPr>
        <w:spacing w:after="0" w:line="162" w:lineRule="exact"/>
        <w:rPr>
          <w:sz w:val="20"/>
          <w:szCs w:val="20"/>
          <w:color w:val="auto"/>
        </w:rPr>
      </w:pPr>
    </w:p>
    <w:p>
      <w:pPr>
        <w:ind w:right="20" w:firstLine="416"/>
        <w:spacing w:after="0" w:line="252" w:lineRule="auto"/>
        <w:rPr>
          <w:sz w:val="20"/>
          <w:szCs w:val="20"/>
          <w:color w:val="auto"/>
        </w:rPr>
      </w:pPr>
      <w:r>
        <w:rPr>
          <w:rFonts w:ascii="Times New Roman" w:cs="Times New Roman" w:eastAsia="Times New Roman" w:hAnsi="Times New Roman"/>
          <w:sz w:val="18"/>
          <w:szCs w:val="18"/>
          <w:color w:val="auto"/>
        </w:rPr>
        <w:t>Such disruptions could impede, delay, limit or prevent completion of our ongoing clinical trials and preclinical studies or commencement of new clinical trials and ultimately lead to the delay or denial of regulatory approval of our product candidates, which would seriously harm our operations and financial condition and increase our costs and expenses. We are in close contact with our CROs, CMOs and clinical sites as we seek to mitigate the impact of the ongoing COVID-19 pandemic on our studies and current timelines. Measures we have taken in response to the ongoing COVID-19 pandemic include, where feasible, conducting remote clinical trial site activations and data monitoring, and limiting on-site patient visits by adjusting patient assessments and protocol. However, despite these efforts, we have experienced limited delays in trial site initiations, patient participation and patient enrollment in some of our clinical trials and we may continue to experience some delays in our clinical trials and preclinical studies and delays in data collection and analysis. These delays so far have had a limited impact, but this may change as the ongoing COVID-19 pandemic and the response to such ongoing COVID-19 pandemic continues to evolve, and could have an adverse impact on our timelines and our business. The ongoing COVID-19 pandemic could also affect the business of the FDA, EMA or other health authorities, which could result in delays in meetings related to planned or completed clinical trials and ultimately of reviews and approvals of our product candidates. The ongoing global COVID-19 pandemic continues to rapidly evolve. The extent to which the ongoing COVID-19 pandemic may impact our business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340" w:lineRule="exact"/>
        <w:rPr>
          <w:sz w:val="20"/>
          <w:szCs w:val="20"/>
          <w:color w:val="auto"/>
        </w:rPr>
      </w:pPr>
    </w:p>
    <w:p>
      <w:pPr>
        <w:jc w:val="both"/>
        <w:ind w:left="4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side effects or other safety risks associated with PRT543, PRT811, PRT1419, PRT2527, PRT3645 or our other product candidates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80"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As is the case with pharmaceuticals generally, we have observed side effects and adverse events associated with our clinical product candidate, PRT543. These side effects included diarrhea, nausea and fatigue, but none of these side effects were considered related to PRT543. At the highest dose level of our clinical product candidate, PRT543, there were occurrences of grade 4 thrombocytopenia that were deemed related to PRT543, but the toxicity was reversible after a one to two week drug holiday and the affected patients remained on the study and were restarted at a lower dose. We have also observed side effects and adverse effects associated with PRT811. These side effects included nausea, constipation, vomiting and hyponatremia, but none of these side effects were considered related to PRT811.</w:t>
      </w:r>
    </w:p>
    <w:p>
      <w:pPr>
        <w:spacing w:after="0" w:line="214"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Results of our ongoing and planned clinical trials could reveal a high and unacceptable severity and prevalence of side effects or unexpected characteristics. Undesirable side effects caused by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w:t>
      </w:r>
    </w:p>
    <w:p>
      <w:pPr>
        <w:spacing w:after="0" w:line="210"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Additionally, due to the high mortality rates of the cancers for which we are initially pursuing development and the pretreated nature of many patients in our ongoing clinical trials of PRT543, PRT811, PRT1419, PRT2527, and PRT3645 a material percentage of patients in these clinical trials may die during a trial, which could impact development of PRT543, PRT811, PRT1419, PRT2527, and PRT3645 respectively. If we elect or are required to delay, suspend or terminate any clinical trial, the commercial prospects of our product candidates will be harmed and our ability to generate product revenues from this product candidate will be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delayed or eliminated. Serious adverse events, or SAEs, observed in clinical trials could hinder or prevent market acceptance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occurrences may harm our business, prospects, financial condition and results of operations significantly.</w:t>
      </w:r>
    </w:p>
    <w:p>
      <w:pPr>
        <w:spacing w:after="0" w:line="234" w:lineRule="exact"/>
        <w:rPr>
          <w:sz w:val="20"/>
          <w:szCs w:val="20"/>
          <w:color w:val="auto"/>
        </w:rPr>
      </w:pPr>
    </w:p>
    <w:p>
      <w:pPr>
        <w:ind w:right="40" w:firstLine="416"/>
        <w:spacing w:after="0" w:line="255" w:lineRule="auto"/>
        <w:rPr>
          <w:sz w:val="20"/>
          <w:szCs w:val="20"/>
          <w:color w:val="auto"/>
        </w:rPr>
      </w:pPr>
      <w:r>
        <w:rPr>
          <w:rFonts w:ascii="Times New Roman" w:cs="Times New Roman" w:eastAsia="Times New Roman" w:hAnsi="Times New Roman"/>
          <w:sz w:val="18"/>
          <w:szCs w:val="18"/>
          <w:color w:val="auto"/>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 stage testing have later been found to cause side effects that prevented further development. In addition, regulatory authorities may draw different conclusions, require additional testing to confirm these determinations, require more restrictive labeling, or deny regulatory approval of the product candidate.</w:t>
      </w:r>
    </w:p>
    <w:p>
      <w:pPr>
        <w:spacing w:after="0" w:line="189"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w:t>
      </w:r>
    </w:p>
    <w:p>
      <w:pPr>
        <w:spacing w:after="0" w:line="183" w:lineRule="exact"/>
        <w:rPr>
          <w:sz w:val="20"/>
          <w:szCs w:val="20"/>
          <w:color w:val="auto"/>
        </w:rPr>
      </w:pPr>
    </w:p>
    <w:p>
      <w:pPr>
        <w:ind w:right="120" w:firstLine="416"/>
        <w:spacing w:after="0" w:line="282" w:lineRule="auto"/>
        <w:rPr>
          <w:sz w:val="20"/>
          <w:szCs w:val="20"/>
          <w:color w:val="auto"/>
        </w:rPr>
      </w:pPr>
      <w:r>
        <w:rPr>
          <w:rFonts w:ascii="Times New Roman" w:cs="Times New Roman" w:eastAsia="Times New Roman" w:hAnsi="Times New Roman"/>
          <w:sz w:val="18"/>
          <w:szCs w:val="18"/>
          <w:color w:val="auto"/>
        </w:rPr>
        <w:t>In addition, if any of our product candidates receive marketing approval, and we or others later identify undesirable side effects caused by treatment with such drug, a number of potentially significant negative consequences could result, including:</w:t>
      </w:r>
    </w:p>
    <w:p>
      <w:pPr>
        <w:spacing w:after="0" w:line="54" w:lineRule="exact"/>
        <w:rPr>
          <w:sz w:val="20"/>
          <w:szCs w:val="20"/>
          <w:color w:val="auto"/>
        </w:rPr>
      </w:pPr>
    </w:p>
    <w:p>
      <w:pPr>
        <w:ind w:left="840" w:hanging="427"/>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of the drug;</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the drug is administered to patients;</w:t>
      </w:r>
    </w:p>
    <w:p>
      <w:pPr>
        <w:spacing w:after="0" w:line="117" w:lineRule="exact"/>
        <w:rPr>
          <w:rFonts w:ascii="Times New Roman" w:cs="Times New Roman" w:eastAsia="Times New Roman" w:hAnsi="Times New Roman"/>
          <w:sz w:val="18"/>
          <w:szCs w:val="18"/>
          <w:color w:val="auto"/>
        </w:rPr>
      </w:pPr>
    </w:p>
    <w:p>
      <w:pPr>
        <w:ind w:left="840" w:right="180" w:hanging="427"/>
        <w:spacing w:after="0" w:line="282"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840" w:right="80" w:hanging="427"/>
        <w:spacing w:after="0" w:line="282"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or REMS, or create a medication guide outlining the risks of such side effects for distribution to patients;</w:t>
      </w:r>
    </w:p>
    <w:p>
      <w:pPr>
        <w:spacing w:after="0" w:line="53" w:lineRule="exact"/>
        <w:rPr>
          <w:rFonts w:ascii="Times New Roman" w:cs="Times New Roman" w:eastAsia="Times New Roman" w:hAnsi="Times New Roman"/>
          <w:sz w:val="18"/>
          <w:szCs w:val="18"/>
          <w:color w:val="auto"/>
        </w:rPr>
      </w:pPr>
    </w:p>
    <w:p>
      <w:pPr>
        <w:ind w:left="840" w:right="560" w:hanging="427"/>
        <w:spacing w:after="0" w:line="282"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or promotion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could become less competitive; and</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920" w:firstLine="416"/>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if approved, and could significantly harm our business, financial condition, results of operations and prospects.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6" w:name="page37"/>
    <w:bookmarkEnd w:id="36"/>
    <w:p>
      <w:pPr>
        <w:ind w:left="4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such as the preliminary data analysis for the Phase 1 dose expansion portions of our PRT543 and PRT811 trials. These updates are based on a preliminary analysis of then-available data, and the results and related findings and conclusions are subject to change following a more comprehensive review of the data related to the particular study or trial. Additionally, interim data from clinical trials that we may complete are subject to the risk that one or more of the clinical outcomes may materially change as patient enrollment continues and more patient data become available. Therefore, positive interim results in any ongoing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Adverse changes between preliminary or interim data and final data could significantly harm our business and prospects. Further, additional disclosure of interim data by us or by our competitors in the future could result in volatility in the price of our common stock. See the description of risks under the heading “Risks Related to our Common Stock” for more disclosure related to the risk of volatility in our stock price.</w:t>
      </w:r>
    </w:p>
    <w:p>
      <w:pPr>
        <w:spacing w:after="0" w:line="184" w:lineRule="exact"/>
        <w:rPr>
          <w:sz w:val="20"/>
          <w:szCs w:val="20"/>
          <w:color w:val="auto"/>
        </w:rPr>
      </w:pPr>
    </w:p>
    <w:p>
      <w:pPr>
        <w:ind w:right="40" w:firstLine="416"/>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PRT543, PRT811, PRT1419, PRT2527, or PRT3645 or any other product candidates may be harmed, which could harm our business, financial condition, results of operations and prospects.</w:t>
      </w:r>
    </w:p>
    <w:p>
      <w:pPr>
        <w:spacing w:after="0" w:line="198" w:lineRule="exact"/>
        <w:rPr>
          <w:sz w:val="20"/>
          <w:szCs w:val="20"/>
          <w:color w:val="auto"/>
        </w:rPr>
      </w:pPr>
    </w:p>
    <w:p>
      <w:pPr>
        <w:ind w:left="4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4"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design additional potential product candidates.</w:t>
      </w:r>
    </w:p>
    <w:p>
      <w:pPr>
        <w:spacing w:after="0" w:line="108"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A key element of our strategy is to identify molecular targets and intervention points leading to treatment failure, and then apply our expertise of cancer biology and medicinal chemistry, as well as our in-depth understanding of the current landscape of oncology treatments, to design solutions that can be precisely tailored in a target class agnostic fashion. The therapeutic design and development activities that we are conducting may not be successful in developing product candidates that are safe and effective in treating cancer or other diseases. Our research programs may initially show promise in identifying potential product candidates, yet fail to yield product candidates for clinical development for a number of reasons, including:</w:t>
      </w:r>
    </w:p>
    <w:p>
      <w:pPr>
        <w:spacing w:after="0" w:line="35" w:lineRule="exact"/>
        <w:rPr>
          <w:sz w:val="20"/>
          <w:szCs w:val="20"/>
          <w:color w:val="auto"/>
        </w:rPr>
      </w:pPr>
    </w:p>
    <w:p>
      <w:pPr>
        <w:ind w:left="820" w:hanging="407"/>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selection methodology used may not be successful in identifying potential product candidates;</w:t>
      </w:r>
    </w:p>
    <w:p>
      <w:pPr>
        <w:spacing w:after="0" w:line="76"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are unlikely to be drugs that will obtain marketing approval or achieve market acceptance; or</w:t>
      </w:r>
    </w:p>
    <w:p>
      <w:pPr>
        <w:spacing w:after="0" w:line="58" w:lineRule="exact"/>
        <w:rPr>
          <w:sz w:val="20"/>
          <w:szCs w:val="20"/>
          <w:color w:val="auto"/>
        </w:rPr>
      </w:pPr>
    </w:p>
    <w:p>
      <w:pPr>
        <w:ind w:left="5540" w:right="4400" w:hanging="5127"/>
        <w:spacing w:after="0" w:line="532" w:lineRule="auto"/>
        <w:tabs>
          <w:tab w:leader="none" w:pos="8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not be effective in treating their targeted diseases.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7" w:name="page38"/>
    <w:bookmarkEnd w:id="37"/>
    <w:p>
      <w:pPr>
        <w:ind w:right="60" w:firstLine="416"/>
        <w:spacing w:after="0" w:line="261" w:lineRule="auto"/>
        <w:rPr>
          <w:sz w:val="20"/>
          <w:szCs w:val="20"/>
          <w:color w:val="auto"/>
        </w:rPr>
      </w:pPr>
      <w:r>
        <w:rPr>
          <w:rFonts w:ascii="Times New Roman" w:cs="Times New Roman" w:eastAsia="Times New Roman" w:hAnsi="Times New Roman"/>
          <w:sz w:val="18"/>
          <w:szCs w:val="18"/>
          <w:color w:val="auto"/>
        </w:rPr>
        <w:t>Research programs to identify and design new product candidates require substantial technical, financial and human resources. We may choose to focus our efforts and resources on a potential product candidate that ultimately proves to be unsuccessful. If we are unable to identify and design suitable product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left="4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commercialization of pharmaceutical products are subject to extensive regulation, and we may not obtain regulatory approvals for PRT543, PRT811, PRT1419, PRT2527, PRT3645 or any other product candidates, on a timely basis or at all.</w:t>
      </w:r>
    </w:p>
    <w:p>
      <w:pPr>
        <w:spacing w:after="0" w:line="51"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PRT543, PRT811, PRT1419, PRT2527, and PRT3645 currently our only product candidates in planned or ongoing clinical trials, as well as any other product candidate that we may develop in the future, are subject to extensive regulation. Marketing approval of drugs in the United States requires the submission of an NDA to the FDA, and we are not permitted to market any product candidate in the United States until we obtain approval from the FDA of the NDA for that product. An NDA must be supported by extensive clinical and preclinical data, as well as extensive information regarding pharmacology, chemistry, manufacturing and controls. Our product candidates must be approved by comparable regulatory authorities in other jurisdictions prior to commercialization.</w:t>
      </w:r>
    </w:p>
    <w:p>
      <w:pPr>
        <w:spacing w:after="0" w:line="192"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FDA approval of an NDA is not guaranteed, and the review and approval process is an expensive and uncertain process that may take several years.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or other jurisdictions.</w:t>
      </w:r>
    </w:p>
    <w:p>
      <w:pPr>
        <w:spacing w:after="0" w:line="180"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For example, if successful, we believe that the expansion portions of the Phase 1 clinical trials of PRT543 or PRT811 may be sufficient to support FDA approval of an NDA for PRT543 or PRT811, respectively, but the FDA may disagree with the sufficiency of our data and require additional clinical trials. Additionally, depending upon the results of the expansion portions of the Phase 1 clinical trials of PRT543 or PRT811, we may choose to seek Subpart H accelerated approval for PRT543 or PRT811, respectively, which would require completion of a confirmatory trial to validate the clinical benefit of the drug. Despite the time and expense associated with preclinical studies and clinical trials, failure can occur at any stage. The results of preclinical and early clinical trials of PRT543, PRT811, PRT1419, PRT2527, PRT3645 or any other product candidate may not be predictive of the results of our later-stage clinical trials.</w:t>
      </w:r>
    </w:p>
    <w:p>
      <w:pPr>
        <w:spacing w:after="0" w:line="188"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auto"/>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FDA could delay, limit or deny approval of a product candidate for many reasons, including because the FDA:</w:t>
      </w:r>
    </w:p>
    <w:p>
      <w:pPr>
        <w:spacing w:after="0" w:line="117" w:lineRule="exact"/>
        <w:rPr>
          <w:sz w:val="20"/>
          <w:szCs w:val="20"/>
          <w:color w:val="auto"/>
        </w:rPr>
      </w:pPr>
    </w:p>
    <w:p>
      <w:pPr>
        <w:ind w:left="840" w:hanging="427"/>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deem our product candidate to be safe and effective;</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that the product candidate does not have an acceptable benefit-risk profile;</w:t>
      </w:r>
    </w:p>
    <w:p>
      <w:pPr>
        <w:spacing w:after="0" w:line="117" w:lineRule="exact"/>
        <w:rPr>
          <w:rFonts w:ascii="Times New Roman" w:cs="Times New Roman" w:eastAsia="Times New Roman" w:hAnsi="Times New Roman"/>
          <w:sz w:val="18"/>
          <w:szCs w:val="18"/>
          <w:color w:val="auto"/>
        </w:rPr>
      </w:pPr>
    </w:p>
    <w:p>
      <w:pPr>
        <w:ind w:left="840" w:right="560" w:hanging="427"/>
        <w:spacing w:after="0" w:line="282" w:lineRule="auto"/>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in the case of an NDA seeking accelerated approval that the NDA does not provide evidence that the product candidate represents a meaningful advantage over available therapies;</w:t>
      </w:r>
    </w:p>
    <w:p>
      <w:pPr>
        <w:spacing w:after="0" w:line="5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that the objective response rate, or ORR, and duration of response are not clinically meaningful;</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not agree that the data collected from preclinical studies and clinical trials are acceptable or sufficient to support the submission of</w:t>
            </w:r>
          </w:p>
        </w:tc>
      </w:tr>
      <w:tr>
        <w:trPr>
          <w:trHeight w:val="234"/>
        </w:trPr>
        <w:tc>
          <w:tcPr>
            <w:tcW w:w="660" w:type="dxa"/>
            <w:vAlign w:val="bottom"/>
          </w:tcPr>
          <w:p>
            <w:pPr>
              <w:spacing w:after="0"/>
              <w:rPr>
                <w:sz w:val="20"/>
                <w:szCs w:val="20"/>
                <w:color w:val="auto"/>
              </w:rPr>
            </w:pPr>
          </w:p>
        </w:tc>
        <w:tc>
          <w:tcPr>
            <w:tcW w:w="10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 NDA or other submission or to obtain regulatory approval, and may impose requirements for additional preclinical studies or clinical trials;</w:t>
            </w:r>
          </w:p>
        </w:tc>
      </w:tr>
      <w:tr>
        <w:trPr>
          <w:trHeight w:val="432"/>
        </w:trPr>
        <w:tc>
          <w:tcPr>
            <w:tcW w:w="660" w:type="dxa"/>
            <w:vAlign w:val="bottom"/>
          </w:tcPr>
          <w:p>
            <w:pPr>
              <w:spacing w:after="0"/>
              <w:rPr>
                <w:sz w:val="24"/>
                <w:szCs w:val="24"/>
                <w:color w:val="auto"/>
              </w:rPr>
            </w:pPr>
          </w:p>
        </w:tc>
        <w:tc>
          <w:tcPr>
            <w:tcW w:w="1058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36</w:t>
            </w:r>
          </w:p>
        </w:tc>
      </w:tr>
      <w:tr>
        <w:trPr>
          <w:trHeight w:val="115"/>
        </w:trPr>
        <w:tc>
          <w:tcPr>
            <w:tcW w:w="660" w:type="dxa"/>
            <w:vAlign w:val="bottom"/>
            <w:tcBorders>
              <w:bottom w:val="single" w:sz="8" w:color="9A9A9A"/>
            </w:tcBorders>
          </w:tcPr>
          <w:p>
            <w:pPr>
              <w:spacing w:after="0"/>
              <w:rPr>
                <w:sz w:val="10"/>
                <w:szCs w:val="10"/>
                <w:color w:val="auto"/>
              </w:rPr>
            </w:pPr>
          </w:p>
        </w:tc>
        <w:tc>
          <w:tcPr>
            <w:tcW w:w="10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ind w:left="840" w:hanging="427"/>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that adverse events experienced by participants in our clinical trials represent an unacceptable level of risk;</w:t>
      </w:r>
    </w:p>
    <w:p>
      <w:pPr>
        <w:spacing w:after="0" w:line="117" w:lineRule="exact"/>
        <w:rPr>
          <w:rFonts w:ascii="Times New Roman" w:cs="Times New Roman" w:eastAsia="Times New Roman" w:hAnsi="Times New Roman"/>
          <w:sz w:val="18"/>
          <w:szCs w:val="18"/>
          <w:color w:val="auto"/>
        </w:rPr>
      </w:pPr>
    </w:p>
    <w:p>
      <w:pPr>
        <w:ind w:left="840" w:right="160" w:hanging="427"/>
        <w:spacing w:after="0" w:line="282" w:lineRule="auto"/>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that population studied in the clinical trial may not be sufficiently broad or representative to assure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840" w:right="480" w:hanging="427"/>
        <w:spacing w:after="0" w:line="282" w:lineRule="auto"/>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accept clinical data from trials, which are conducted at clinical facilities or in countries where the standard of care is potentially different from that of the United States;</w:t>
      </w:r>
    </w:p>
    <w:p>
      <w:pPr>
        <w:spacing w:after="0" w:line="5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disagree regarding the formulation, labeling and/or the specifications;</w:t>
      </w:r>
    </w:p>
    <w:p>
      <w:pPr>
        <w:spacing w:after="0" w:line="117" w:lineRule="exact"/>
        <w:rPr>
          <w:rFonts w:ascii="Times New Roman" w:cs="Times New Roman" w:eastAsia="Times New Roman" w:hAnsi="Times New Roman"/>
          <w:sz w:val="18"/>
          <w:szCs w:val="18"/>
          <w:color w:val="auto"/>
        </w:rPr>
      </w:pPr>
    </w:p>
    <w:p>
      <w:pPr>
        <w:ind w:left="840" w:right="180" w:hanging="427"/>
        <w:spacing w:after="0" w:line="282" w:lineRule="auto"/>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approve the manufacturing processes associated with our product candidate or may determine that a manufacturing facility does not have an acceptable compliance status;</w:t>
      </w:r>
    </w:p>
    <w:p>
      <w:pPr>
        <w:spacing w:after="0" w:line="5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change approval policies or adopt new regulations; or</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file a submission due to, among other reasons, the content or formatting of the submission.</w:t>
      </w:r>
    </w:p>
    <w:p>
      <w:pPr>
        <w:spacing w:after="0" w:line="225" w:lineRule="exact"/>
        <w:rPr>
          <w:sz w:val="20"/>
          <w:szCs w:val="20"/>
          <w:color w:val="auto"/>
        </w:rPr>
      </w:pPr>
    </w:p>
    <w:p>
      <w:pPr>
        <w:ind w:right="600" w:firstLine="416"/>
        <w:spacing w:after="0" w:line="282" w:lineRule="auto"/>
        <w:rPr>
          <w:sz w:val="20"/>
          <w:szCs w:val="20"/>
          <w:color w:val="auto"/>
        </w:rPr>
      </w:pPr>
      <w:r>
        <w:rPr>
          <w:rFonts w:ascii="Times New Roman" w:cs="Times New Roman" w:eastAsia="Times New Roman" w:hAnsi="Times New Roman"/>
          <w:sz w:val="18"/>
          <w:szCs w:val="18"/>
          <w:color w:val="auto"/>
        </w:rPr>
        <w:t>We have not obtained FDA approval for any product. This lack of experience may impede our ability to obtain FDA approval in a timely manner, if at all, for our clinical product candidates.</w:t>
      </w:r>
    </w:p>
    <w:p>
      <w:pPr>
        <w:spacing w:after="0" w:line="162" w:lineRule="exact"/>
        <w:rPr>
          <w:sz w:val="20"/>
          <w:szCs w:val="20"/>
          <w:color w:val="auto"/>
        </w:rPr>
      </w:pPr>
    </w:p>
    <w:p>
      <w:pPr>
        <w:ind w:right="60" w:firstLine="416"/>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PRT543, PRT811, PRT1419, PRT2527, or PRT3645 our commercial prospects will be harmed and our ability to generate revenues will be materially impaired which would adversely affect our business, prospects, financial condition and results of operations.</w:t>
      </w:r>
    </w:p>
    <w:p>
      <w:pPr>
        <w:spacing w:after="0" w:line="280" w:lineRule="exact"/>
        <w:rPr>
          <w:sz w:val="20"/>
          <w:szCs w:val="20"/>
          <w:color w:val="auto"/>
        </w:rPr>
      </w:pPr>
    </w:p>
    <w:p>
      <w:pPr>
        <w:ind w:left="4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accelerated approval pathway for our product candidates may not lead to a faster development or regulatory review or approval process and does not increase the likelihood that our product candidates will receive marketing approval.</w:t>
      </w:r>
    </w:p>
    <w:p>
      <w:pPr>
        <w:spacing w:after="0" w:line="51" w:lineRule="exact"/>
        <w:rPr>
          <w:sz w:val="20"/>
          <w:szCs w:val="20"/>
          <w:color w:val="auto"/>
        </w:rPr>
      </w:pPr>
    </w:p>
    <w:p>
      <w:pPr>
        <w:ind w:right="160" w:firstLine="416"/>
        <w:spacing w:after="0" w:line="256" w:lineRule="auto"/>
        <w:rPr>
          <w:sz w:val="20"/>
          <w:szCs w:val="20"/>
          <w:color w:val="auto"/>
        </w:rPr>
      </w:pPr>
      <w:r>
        <w:rPr>
          <w:rFonts w:ascii="Times New Roman" w:cs="Times New Roman" w:eastAsia="Times New Roman" w:hAnsi="Times New Roman"/>
          <w:sz w:val="18"/>
          <w:szCs w:val="18"/>
          <w:color w:val="auto"/>
        </w:rPr>
        <w:t>Under the FDA’s accelerated approval program, the FDA may approve a drug for a serious or life- 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product candidates on the basis of ORR with an acceptable duration of response, a surrogate endpoint that we believe is reasonably likely to predict clinical benefit.</w:t>
      </w:r>
    </w:p>
    <w:p>
      <w:pPr>
        <w:spacing w:after="0" w:line="187"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auto"/>
        </w:rPr>
        <w:t>For drugs granted accelerated approval, post-marketing confirmatory trials are required to describe the anticipated effect on irreversible morbidity or mortality or other clinical benefit. These confirmatory trials must be completed with due diligence and, in some cases, the FDA may require that the trial be designed, initiated, and/or fully enrolled prior to approval.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Moreover, the FDA may withdraw approval of our product candidate approved under the accelerated approval pathway if, for example:</w:t>
      </w:r>
    </w:p>
    <w:p>
      <w:pPr>
        <w:spacing w:after="0" w:line="66" w:lineRule="exact"/>
        <w:rPr>
          <w:sz w:val="20"/>
          <w:szCs w:val="20"/>
          <w:color w:val="auto"/>
        </w:rPr>
      </w:pPr>
    </w:p>
    <w:p>
      <w:pPr>
        <w:ind w:left="820" w:hanging="407"/>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 or trials required to verify the predicted clinical benefit of our product candidate fail to verify such benefit or do not demonstrate</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sufficient clinical benefit to justify the risks associated with the drug;</w:t>
      </w:r>
    </w:p>
    <w:p>
      <w:pPr>
        <w:spacing w:after="0" w:line="72" w:lineRule="exact"/>
        <w:rPr>
          <w:sz w:val="20"/>
          <w:szCs w:val="20"/>
          <w:color w:val="auto"/>
        </w:rPr>
      </w:pPr>
    </w:p>
    <w:p>
      <w:pPr>
        <w:ind w:left="820" w:hanging="407"/>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evidence demonstrates that our product candidate is not shown to be safe or effective under the conditions of use;</w:t>
      </w:r>
    </w:p>
    <w:p>
      <w:pPr>
        <w:spacing w:after="0" w:line="10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conduct any required post-approval trial of our product candidate with due diligence; or</w:t>
      </w:r>
    </w:p>
    <w:p>
      <w:pPr>
        <w:spacing w:after="0" w:line="10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disseminate false or misleading promotional materials relating to the relevant product candidate.</w:t>
      </w:r>
    </w:p>
    <w:p>
      <w:pPr>
        <w:spacing w:after="0" w:line="275" w:lineRule="exact"/>
        <w:rPr>
          <w:sz w:val="20"/>
          <w:szCs w:val="20"/>
          <w:color w:val="auto"/>
        </w:rPr>
      </w:pPr>
    </w:p>
    <w:p>
      <w:pPr>
        <w:ind w:lef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marketing approval in foreign jurisdictions would prevent our product candidates from being marketed in those jurisdictions, and any approval we are granted for our product candidates in the United States would not assure approval of product candidates in foreign jurisdictions.</w:t>
      </w:r>
    </w:p>
    <w:p>
      <w:pPr>
        <w:spacing w:after="0" w:line="40" w:lineRule="exact"/>
        <w:rPr>
          <w:sz w:val="20"/>
          <w:szCs w:val="20"/>
          <w:color w:val="auto"/>
        </w:rPr>
      </w:pPr>
    </w:p>
    <w:p>
      <w:pPr>
        <w:ind w:right="140" w:firstLine="419"/>
        <w:spacing w:after="0" w:line="256" w:lineRule="auto"/>
        <w:rPr>
          <w:sz w:val="20"/>
          <w:szCs w:val="20"/>
          <w:color w:val="auto"/>
        </w:rPr>
      </w:pPr>
      <w:r>
        <w:rPr>
          <w:rFonts w:ascii="Times New Roman" w:cs="Times New Roman" w:eastAsia="Times New Roman" w:hAnsi="Times New Roman"/>
          <w:sz w:val="18"/>
          <w:szCs w:val="18"/>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9" w:name="page40"/>
    <w:bookmarkEnd w:id="39"/>
    <w:p>
      <w:pPr>
        <w:spacing w:after="0" w:line="263" w:lineRule="auto"/>
        <w:rPr>
          <w:sz w:val="20"/>
          <w:szCs w:val="20"/>
          <w:color w:val="auto"/>
        </w:rPr>
      </w:pPr>
      <w:r>
        <w:rPr>
          <w:rFonts w:ascii="Times New Roman" w:cs="Times New Roman" w:eastAsia="Times New Roman" w:hAnsi="Times New Roman"/>
          <w:sz w:val="18"/>
          <w:szCs w:val="18"/>
          <w:color w:val="auto"/>
        </w:rPr>
        <w:t>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200" w:lineRule="exact"/>
        <w:rPr>
          <w:sz w:val="20"/>
          <w:szCs w:val="20"/>
          <w:color w:val="auto"/>
        </w:rPr>
      </w:pPr>
    </w:p>
    <w:p>
      <w:pPr>
        <w:spacing w:after="0" w:line="3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w:t>
      </w:r>
    </w:p>
    <w:p>
      <w:pPr>
        <w:spacing w:after="0" w:line="108" w:lineRule="exact"/>
        <w:rPr>
          <w:sz w:val="20"/>
          <w:szCs w:val="20"/>
          <w:color w:val="auto"/>
        </w:rPr>
      </w:pPr>
    </w:p>
    <w:p>
      <w:pPr>
        <w:ind w:right="280" w:firstLine="416"/>
        <w:spacing w:after="0" w:line="258"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w:t>
      </w:r>
    </w:p>
    <w:p>
      <w:pPr>
        <w:spacing w:after="0" w:line="183"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auto"/>
        </w:rPr>
        <w:t>Orphan drug designation entitles a party to financial incentives, such as opportunities for grant funding towards clinical trial costs, tax advantages and user-fee waivers. Additionally, 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except in certain circumstances, such as a showing of clinical superiority (i.e., another product is safer, more effective or makes a major contribution to patient care) over the product with orphan exclusivity or where the manufacturer is unable to assure sufficient product quantity. Competitors, however, may receive approval of different products for the same indication for which the orphan product has exclusivity, or obtain approval for the same product but for a different indication than that for which the orphan product has exclusivity.</w:t>
      </w:r>
    </w:p>
    <w:p>
      <w:pPr>
        <w:spacing w:after="0" w:line="189" w:lineRule="exact"/>
        <w:rPr>
          <w:sz w:val="20"/>
          <w:szCs w:val="20"/>
          <w:color w:val="auto"/>
        </w:rPr>
      </w:pPr>
    </w:p>
    <w:p>
      <w:pPr>
        <w:ind w:right="100" w:firstLine="419"/>
        <w:spacing w:after="0" w:line="253" w:lineRule="auto"/>
        <w:rPr>
          <w:sz w:val="20"/>
          <w:szCs w:val="20"/>
          <w:color w:val="auto"/>
        </w:rPr>
      </w:pPr>
      <w:r>
        <w:rPr>
          <w:rFonts w:ascii="Times New Roman" w:cs="Times New Roman" w:eastAsia="Times New Roman" w:hAnsi="Times New Roman"/>
          <w:sz w:val="18"/>
          <w:szCs w:val="18"/>
          <w:color w:val="auto"/>
        </w:rPr>
        <w:t>We may apply for an orphan drug designation in the United States or other geographies for our product candidates in the future. However, obtaining an orphan drug designation can be difficult, and we may not be successful in doing so. Even if we obtain orphan drug designation for our product candidates in specific indications, we may not be the first to obtain regulatory approval of these product candidates for the orphan- 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orphan designation was materially defective or if the manufacturer is unable to assure sufficient quantities of the product to meet the needs of patients with the rare disease or condition. Orphan drug designation does not ensure that we will receive marketing exclusivity in a particular market, and we cannot assure you that any future application for orphan drug designation in any other geography or with respect to any other product candidate will be granted. Orphan drug designation neither shortens the development time or regulatory review time of a drug, nor gives the drug any advantage in the regulatory review or approval process.</w:t>
      </w:r>
    </w:p>
    <w:p>
      <w:pPr>
        <w:spacing w:after="0" w:line="298" w:lineRule="exact"/>
        <w:rPr>
          <w:sz w:val="20"/>
          <w:szCs w:val="20"/>
          <w:color w:val="auto"/>
        </w:rPr>
      </w:pPr>
    </w:p>
    <w:p>
      <w:pPr>
        <w:ind w:left="4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any of our current or future product candidates may not lead to a faster development or regulatory review or approval process, and it would not increase the likelihood that the product candidate will receive marketing approval.</w:t>
      </w:r>
    </w:p>
    <w:p>
      <w:pPr>
        <w:spacing w:after="0" w:line="51" w:lineRule="exact"/>
        <w:rPr>
          <w:sz w:val="20"/>
          <w:szCs w:val="20"/>
          <w:color w:val="auto"/>
        </w:rPr>
      </w:pPr>
    </w:p>
    <w:p>
      <w:pPr>
        <w:ind w:right="20" w:firstLine="416"/>
        <w:spacing w:after="0" w:line="255" w:lineRule="auto"/>
        <w:rPr>
          <w:sz w:val="20"/>
          <w:szCs w:val="20"/>
          <w:color w:val="auto"/>
        </w:rPr>
      </w:pPr>
      <w:r>
        <w:rPr>
          <w:rFonts w:ascii="Times New Roman" w:cs="Times New Roman" w:eastAsia="Times New Roman" w:hAnsi="Times New Roman"/>
          <w:sz w:val="18"/>
          <w:szCs w:val="18"/>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w:t>
      </w:r>
    </w:p>
    <w:p>
      <w:pPr>
        <w:spacing w:after="0" w:line="189"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that the time period for FDA review or approval will not be shortened.</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0" w:name="page41"/>
    <w:bookmarkEnd w:id="40"/>
    <w:p>
      <w:pPr>
        <w:ind w:left="4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validate, obtain regulatory approval of and commercialize companion diagnostic tests for any product candidates that require such tests, or experience significant delays in doing so, we may not realize the full commercial potential of these product candidates.</w:t>
      </w:r>
    </w:p>
    <w:p>
      <w:pPr>
        <w:spacing w:after="0" w:line="65" w:lineRule="exact"/>
        <w:rPr>
          <w:sz w:val="20"/>
          <w:szCs w:val="20"/>
          <w:color w:val="auto"/>
        </w:rPr>
      </w:pPr>
    </w:p>
    <w:p>
      <w:pPr>
        <w:ind w:right="160" w:firstLine="416"/>
        <w:spacing w:after="0" w:line="261" w:lineRule="auto"/>
        <w:rPr>
          <w:sz w:val="20"/>
          <w:szCs w:val="20"/>
          <w:color w:val="auto"/>
        </w:rPr>
      </w:pPr>
      <w:r>
        <w:rPr>
          <w:rFonts w:ascii="Times New Roman" w:cs="Times New Roman" w:eastAsia="Times New Roman" w:hAnsi="Times New Roman"/>
          <w:sz w:val="18"/>
          <w:szCs w:val="18"/>
          <w:color w:val="auto"/>
        </w:rPr>
        <w:t xml:space="preserve">A companion diagnostic is a medical device, often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device, which provides information that is essential for the safe and effective use of a corresponding therapeutic drug product. A companion diagnostic can be used to identify patients who are most likely to benefit from the therapeutic product. In the future, we may evaluate opportunities to develop, either by ourselves or with collaborators, companion diagnostic tests for our product candidates for certain indications.</w:t>
      </w:r>
    </w:p>
    <w:p>
      <w:pPr>
        <w:spacing w:after="0" w:line="209"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8"/>
          <w:szCs w:val="18"/>
          <w:color w:val="auto"/>
        </w:rPr>
        <w:t>A companion diagnostic is generally developed in conjunction with the clinical program for an associated therapeutic product. To date, the FDA has required premarket approval of the vast majority of companion diagnostics for cancer therapies. Generally, when a companion diagnostic is essential to the safe and effective use of a drug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210" w:lineRule="exact"/>
        <w:rPr>
          <w:sz w:val="20"/>
          <w:szCs w:val="20"/>
          <w:color w:val="auto"/>
        </w:rPr>
      </w:pPr>
    </w:p>
    <w:p>
      <w:pPr>
        <w:ind w:right="220" w:firstLine="416"/>
        <w:spacing w:after="0" w:line="261" w:lineRule="auto"/>
        <w:rPr>
          <w:sz w:val="20"/>
          <w:szCs w:val="20"/>
          <w:color w:val="auto"/>
        </w:rPr>
      </w:pPr>
      <w:r>
        <w:rPr>
          <w:rFonts w:ascii="Times New Roman" w:cs="Times New Roman" w:eastAsia="Times New Roman" w:hAnsi="Times New Roman"/>
          <w:sz w:val="18"/>
          <w:szCs w:val="18"/>
          <w:color w:val="auto"/>
        </w:rPr>
        <w:t>Development of a companion diagnostic could include additional meetings with regulatory authorities, such as a pre-submission meeting and the requirement to submit an investigational device exemption application. In the case of a companion diagnostic that is designated as “significant risk device,” approval of an investigational device exemption by the FDA and IRB is required before such diagnostic is used in conjunction with the clinical trials for a corresponding product candidate.</w:t>
      </w:r>
    </w:p>
    <w:p>
      <w:pPr>
        <w:spacing w:after="0" w:line="207"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To be successful in developing, validating, obtaining approval of and commercializing a companion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such tests, the application for and receipt of any required regulatory approvals, and the commercial supply of these companion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regulatory approvals and the continued ability of such third parties to make the companion diagnostic commercially available to us on reasonable terms in the relevant geographies. Any failure to do so could materially harm our business, results of operations and financial condition.</w:t>
      </w:r>
    </w:p>
    <w:p>
      <w:pPr>
        <w:spacing w:after="0" w:line="3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If we decide to pursue a Fast Track Designation by the FDA, it may not lead to a faster development or regulatory review or approval process.</w:t>
      </w:r>
    </w:p>
    <w:p>
      <w:pPr>
        <w:spacing w:after="0" w:line="121"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auto"/>
        </w:rPr>
        <w:t>We may seek Fast Track Designation for one or more of our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91" w:lineRule="exact"/>
        <w:rPr>
          <w:sz w:val="20"/>
          <w:szCs w:val="20"/>
          <w:color w:val="auto"/>
        </w:rPr>
      </w:pPr>
    </w:p>
    <w:p>
      <w:pPr>
        <w:ind w:left="4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67"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Any product candidates for which we receive accelerated approval from the FDA are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such approval may be withdrawn at a later date.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41" w:name="page42"/>
    <w:bookmarkEnd w:id="41"/>
    <w:p>
      <w:pPr>
        <w:ind w:right="140" w:firstLine="416"/>
        <w:spacing w:after="0" w:line="266"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an approved product and its manufacturer and marketer are subject to ongoing review and extensive regulation, which may include the requirement to implement a REMS or to conduct costly post-marketing studies or clinical trials and surveillance to monitor the safety or efficacy of the product.</w:t>
      </w:r>
    </w:p>
    <w:p>
      <w:pPr>
        <w:spacing w:after="0" w:line="162" w:lineRule="exact"/>
        <w:rPr>
          <w:sz w:val="20"/>
          <w:szCs w:val="20"/>
          <w:color w:val="auto"/>
        </w:rPr>
      </w:pPr>
    </w:p>
    <w:p>
      <w:pPr>
        <w:ind w:right="180" w:firstLine="416"/>
        <w:spacing w:after="0" w:line="261" w:lineRule="auto"/>
        <w:rPr>
          <w:sz w:val="20"/>
          <w:szCs w:val="20"/>
          <w:color w:val="auto"/>
        </w:rPr>
      </w:pPr>
      <w:r>
        <w:rPr>
          <w:rFonts w:ascii="Times New Roman" w:cs="Times New Roman" w:eastAsia="Times New Roman" w:hAnsi="Times New Roman"/>
          <w:sz w:val="18"/>
          <w:szCs w:val="18"/>
          <w:color w:val="auto"/>
        </w:rPr>
        <w:t>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53" w:lineRule="exact"/>
        <w:rPr>
          <w:sz w:val="20"/>
          <w:szCs w:val="20"/>
          <w:color w:val="auto"/>
        </w:rPr>
      </w:pPr>
    </w:p>
    <w:p>
      <w:pPr>
        <w:ind w:right="220" w:firstLine="416"/>
        <w:spacing w:after="0" w:line="261"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contract manufacturing organizations, or CMOs, could be subject to periodic unannounced inspections by the FDA to monitor and ensure compliance with cGMPs.</w:t>
      </w:r>
    </w:p>
    <w:p>
      <w:pPr>
        <w:spacing w:after="0" w:line="166"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Accordingly, assuming we obtain marketing approval for one or more of our product candidates,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247" w:lineRule="exact"/>
        <w:rPr>
          <w:sz w:val="20"/>
          <w:szCs w:val="20"/>
          <w:color w:val="auto"/>
        </w:rPr>
      </w:pPr>
    </w:p>
    <w:p>
      <w:pPr>
        <w:ind w:left="4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spacing w:after="0" w:line="53" w:lineRule="exact"/>
        <w:rPr>
          <w:sz w:val="20"/>
          <w:szCs w:val="20"/>
          <w:color w:val="auto"/>
        </w:rPr>
      </w:pPr>
    </w:p>
    <w:p>
      <w:pPr>
        <w:ind w:right="180" w:firstLine="416"/>
        <w:spacing w:after="0" w:line="256"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187"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or FDCA,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70" w:lineRule="exact"/>
        <w:rPr>
          <w:sz w:val="20"/>
          <w:szCs w:val="20"/>
          <w:color w:val="auto"/>
        </w:rPr>
      </w:pPr>
    </w:p>
    <w:p>
      <w:pPr>
        <w:ind w:left="1300" w:hanging="876"/>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w:t>
      </w:r>
    </w:p>
    <w:p>
      <w:pPr>
        <w:spacing w:after="0" w:line="63"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90"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03"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03"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90"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03"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03"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90"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03"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42" w:name="page43"/>
    <w:bookmarkEnd w:id="42"/>
    <w:p>
      <w:pPr>
        <w:ind w:left="1300" w:hanging="87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03"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90"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30"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30"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30" w:lineRule="exact"/>
        <w:rPr>
          <w:rFonts w:ascii="Times New Roman" w:cs="Times New Roman" w:eastAsia="Times New Roman" w:hAnsi="Times New Roman"/>
          <w:sz w:val="18"/>
          <w:szCs w:val="18"/>
          <w:color w:val="auto"/>
        </w:rPr>
      </w:pPr>
    </w:p>
    <w:p>
      <w:pPr>
        <w:ind w:left="1300" w:hanging="87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720" w:firstLine="416"/>
        <w:spacing w:after="0" w:line="282"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279" w:lineRule="exact"/>
        <w:rPr>
          <w:sz w:val="20"/>
          <w:szCs w:val="20"/>
          <w:color w:val="auto"/>
        </w:rPr>
      </w:pPr>
    </w:p>
    <w:p>
      <w:pPr>
        <w:ind w:left="4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53"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p>
    <w:p>
      <w:pPr>
        <w:spacing w:after="0" w:line="62" w:lineRule="exact"/>
        <w:rPr>
          <w:sz w:val="20"/>
          <w:szCs w:val="20"/>
          <w:color w:val="auto"/>
        </w:rPr>
      </w:pPr>
    </w:p>
    <w:p>
      <w:pPr>
        <w:ind w:left="820" w:right="80" w:hanging="407"/>
        <w:spacing w:after="0" w:line="261"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58" w:lineRule="exact"/>
        <w:rPr>
          <w:rFonts w:ascii="Times New Roman" w:cs="Times New Roman" w:eastAsia="Times New Roman" w:hAnsi="Times New Roman"/>
          <w:sz w:val="18"/>
          <w:szCs w:val="18"/>
          <w:color w:val="auto"/>
        </w:rPr>
      </w:pPr>
    </w:p>
    <w:p>
      <w:pPr>
        <w:ind w:left="820" w:right="20" w:hanging="407"/>
        <w:spacing w:after="0" w:line="258"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61" w:lineRule="exact"/>
        <w:rPr>
          <w:rFonts w:ascii="Times New Roman" w:cs="Times New Roman" w:eastAsia="Times New Roman" w:hAnsi="Times New Roman"/>
          <w:sz w:val="18"/>
          <w:szCs w:val="18"/>
          <w:color w:val="auto"/>
        </w:rPr>
      </w:pPr>
    </w:p>
    <w:p>
      <w:pPr>
        <w:ind w:left="820" w:hanging="407"/>
        <w:spacing w:after="0" w:line="261"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prohibits, among other things, knowingly and willfully executing, or attempting to execute, a scheme to defraud any healthcare benefit program, regardless of the payor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71" w:lineRule="exact"/>
        <w:rPr>
          <w:rFonts w:ascii="Times New Roman" w:cs="Times New Roman" w:eastAsia="Times New Roman" w:hAnsi="Times New Roman"/>
          <w:sz w:val="18"/>
          <w:szCs w:val="18"/>
          <w:color w:val="auto"/>
        </w:rPr>
      </w:pPr>
    </w:p>
    <w:p>
      <w:pPr>
        <w:ind w:left="820" w:right="480" w:hanging="407"/>
        <w:spacing w:after="0" w:line="261"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71" w:lineRule="exact"/>
        <w:rPr>
          <w:rFonts w:ascii="Times New Roman" w:cs="Times New Roman" w:eastAsia="Times New Roman" w:hAnsi="Times New Roman"/>
          <w:sz w:val="18"/>
          <w:szCs w:val="18"/>
          <w:color w:val="auto"/>
        </w:rPr>
      </w:pPr>
    </w:p>
    <w:p>
      <w:pPr>
        <w:ind w:left="820" w:right="100" w:hanging="407"/>
        <w:spacing w:after="0" w:line="254"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Patient Protection and Affordable Care Act, as amended by the Health Care and Education Reconciliation Act of 2010, collectively referred to as the ACA, requires certain manufacturers of drugs, devices, biologics and medical supplies to annually report to the Centers for Medicare &amp; Medicaid Services, or CMS, information related to payments and other transfers of value provided to, and ownership and investment interests held by, physicians, defined to include doctors, dentists, optometrists, podiatrists and chiropractors,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anesthesiologist assistants, certified nurse anesthetists and certified nurse-midwives; and</w:t>
      </w:r>
    </w:p>
    <w:p>
      <w:pPr>
        <w:spacing w:after="0" w:line="83" w:lineRule="exact"/>
        <w:rPr>
          <w:rFonts w:ascii="Times New Roman" w:cs="Times New Roman" w:eastAsia="Times New Roman" w:hAnsi="Times New Roman"/>
          <w:sz w:val="18"/>
          <w:szCs w:val="18"/>
          <w:color w:val="auto"/>
        </w:rPr>
      </w:pPr>
    </w:p>
    <w:p>
      <w:pPr>
        <w:ind w:left="820" w:right="140" w:hanging="407"/>
        <w:spacing w:after="0" w:line="266"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3" w:name="page44"/>
    <w:bookmarkEnd w:id="43"/>
    <w:p>
      <w:pPr>
        <w:ind w:left="820" w:right="40"/>
        <w:spacing w:after="0" w:line="256" w:lineRule="auto"/>
        <w:rPr>
          <w:sz w:val="20"/>
          <w:szCs w:val="20"/>
          <w:color w:val="auto"/>
        </w:rPr>
      </w:pPr>
      <w:r>
        <w:rPr>
          <w:rFonts w:ascii="Times New Roman" w:cs="Times New Roman" w:eastAsia="Times New Roman" w:hAnsi="Times New Roman"/>
          <w:sz w:val="18"/>
          <w:szCs w:val="18"/>
          <w:color w:val="auto"/>
        </w:rPr>
        <w:t>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State and local laws require the registration of pharmaceutical sales representatives. State and non-U.S. laws that also govern the privacy and security of health information in some circumstances, many of which differ from each other in significant ways and often are not preempted by HIPAA, thus complicating compliance efforts.</w:t>
      </w:r>
    </w:p>
    <w:p>
      <w:pPr>
        <w:spacing w:after="0" w:line="187"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Health care policy changes, including U.S. health care reform legislation, may have a material adverse effect on our business.</w:t>
      </w:r>
    </w:p>
    <w:p>
      <w:pPr>
        <w:spacing w:after="0" w:line="121"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In response to perceived increases in health care costs in recent years, there have been and continue to be proposals by the federal government, state governments, regulators, and third-party payors to control these costs and, more generally, to reform the U.S. health care system. Certain of these proposals could limit the prices we are able to charge for our products or the amounts of reimbursement available for our products and could limit the acceptance and availability of our products. Further, while the United States has begun shifting to pay-for-performance rather than fee-for-service models and has been embracing many shared-risk arrangements, CMS and OIG specifically excluded medical device manufacturers from utilizing the new, more flexible Stark Law exceptions and Anti-Kickback Statute safe harbors under the Final Rules, part of the U.S. Department of Health and Human Services’ Regulatory Sprint to Coordinated Care, which were published on December 2, 2020 in the Federal Register and were largely effective January 19, 2021. The exclusion of manufacturers from utilizing these exceptions and safe harbors will not allow us to avail ourselves of immunity from liability under the laws, potentially inviting greater scrutiny over our shared risk arrangements.</w:t>
      </w:r>
    </w:p>
    <w:p>
      <w:pPr>
        <w:spacing w:after="0" w:line="80"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8"/>
          <w:szCs w:val="18"/>
          <w:color w:val="auto"/>
        </w:rPr>
        <w:t>Additionally, on November 16, 2020 the OIG published a Special Fraud Alert addressing manufacturer Speaker Programs signaling both a more narrow government view of AKS compliance with respect to such programs as well as the potential for increased enforcement in this space by government oversight agencies such as the OIG and DOJ. In response to this Special Fraud Alert, PhRMA issued its Statement on Revisions to the PhRMA Code on Interactions with Health Care Professionals on August 6, 2021 asserting, among other things, that pharmaceutical companies should not pay for or provide alcohol in connection with speaker programs. The updated PhRMA Code updates also clarified that repeat attendance at a speaker program on the same or substantially the same topic where a meal is provided to the attendee is generally not appropriate. The updated PhRMA Code was made effective as of January 1, 2022. AdvaMed has not made corollary revisions to its Code of Ethics to date. We continue to assess industry response to the Special Fraud Alert and have and may continue to make modifications to certain aspects of our speaker programs, which may have a detrimental impact on our ability to educate healthcare providers about our products and to promote use of our products, which may lead to decreased product sales and negatively impact our business, financial condition and results of operations.</w:t>
      </w:r>
    </w:p>
    <w:p>
      <w:pPr>
        <w:spacing w:after="0" w:line="86" w:lineRule="exact"/>
        <w:rPr>
          <w:sz w:val="20"/>
          <w:szCs w:val="20"/>
          <w:color w:val="auto"/>
        </w:rPr>
      </w:pPr>
    </w:p>
    <w:p>
      <w:pPr>
        <w:ind w:right="140" w:firstLine="479"/>
        <w:spacing w:after="0" w:line="256" w:lineRule="auto"/>
        <w:rPr>
          <w:sz w:val="20"/>
          <w:szCs w:val="20"/>
          <w:color w:val="auto"/>
        </w:rPr>
      </w:pPr>
      <w:r>
        <w:rPr>
          <w:rFonts w:ascii="Times New Roman" w:cs="Times New Roman" w:eastAsia="Times New Roman" w:hAnsi="Times New Roman"/>
          <w:sz w:val="18"/>
          <w:szCs w:val="18"/>
          <w:color w:val="auto"/>
        </w:rPr>
        <w:t>Comprehensive healthcare legislation, signed into law in the United States in March 2010, titled the Patient Protection and Affordable Care Act, as amended by the Health Care and Education Affordability Reconciliation Act of 2010, collectively, the ACA, imposes certain stringent compliance, recordkeeping, and reporting requirements on companies in various sectors of the life sciences industry, and enhanced penalties for non-compliance. Despite the ACA going into effect over a decade ago, there have been numerous legal and Congressional challenges to the law’s provisions and the effect of certain provisions have made compliance costly. More recently, in June 2021, a case challenging the constitutionality of the ACA’s individual mandate (</w:t>
      </w:r>
      <w:r>
        <w:rPr>
          <w:rFonts w:ascii="Times New Roman" w:cs="Times New Roman" w:eastAsia="Times New Roman" w:hAnsi="Times New Roman"/>
          <w:sz w:val="18"/>
          <w:szCs w:val="18"/>
          <w:i w:val="1"/>
          <w:iCs w:val="1"/>
          <w:color w:val="auto"/>
        </w:rPr>
        <w:t>California v. Texas</w:t>
      </w:r>
      <w:r>
        <w:rPr>
          <w:rFonts w:ascii="Times New Roman" w:cs="Times New Roman" w:eastAsia="Times New Roman" w:hAnsi="Times New Roman"/>
          <w:sz w:val="18"/>
          <w:szCs w:val="18"/>
          <w:color w:val="auto"/>
        </w:rPr>
        <w:t>) was overturned at the Supreme Court.</w:t>
      </w:r>
    </w:p>
    <w:p>
      <w:pPr>
        <w:spacing w:after="0" w:line="79" w:lineRule="exact"/>
        <w:rPr>
          <w:sz w:val="20"/>
          <w:szCs w:val="20"/>
          <w:color w:val="auto"/>
        </w:rPr>
      </w:pPr>
    </w:p>
    <w:p>
      <w:pPr>
        <w:ind w:right="240" w:firstLine="479"/>
        <w:spacing w:after="0" w:line="261" w:lineRule="auto"/>
        <w:rPr>
          <w:sz w:val="20"/>
          <w:szCs w:val="20"/>
          <w:color w:val="auto"/>
        </w:rPr>
      </w:pPr>
      <w:r>
        <w:rPr>
          <w:rFonts w:ascii="Times New Roman" w:cs="Times New Roman" w:eastAsia="Times New Roman" w:hAnsi="Times New Roman"/>
          <w:sz w:val="18"/>
          <w:szCs w:val="18"/>
          <w:color w:val="auto"/>
        </w:rPr>
        <w:t>We cannot predict what additional new legislation, agency priorities, and rulemakings may be on the horizon as the United States continues to reassess how it pays for healthcare. As a result, we cannot quantify or predict what impact any changes might have on our business and results of operations. However, any changes that lower reimbursement for our products could materially and adversely affect our business, financial condition and results of operations.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4" w:name="page45"/>
    <w:bookmarkEnd w:id="44"/>
    <w:p>
      <w:pPr>
        <w:ind w:firstLine="479"/>
        <w:spacing w:after="0" w:line="254" w:lineRule="auto"/>
        <w:rPr>
          <w:sz w:val="20"/>
          <w:szCs w:val="20"/>
          <w:color w:val="auto"/>
        </w:rPr>
      </w:pPr>
      <w:r>
        <w:rPr>
          <w:rFonts w:ascii="Times New Roman" w:cs="Times New Roman" w:eastAsia="Times New Roman" w:hAnsi="Times New Roman"/>
          <w:sz w:val="18"/>
          <w:szCs w:val="18"/>
          <w:color w:val="auto"/>
        </w:rPr>
        <w:t>Other legal, regulatory and commercial policy influences are subjecting our industry to significant changes, and we cannot predict whether new regulations or policies will emerge from U.S. federal or state governments, foreign governments, or third-party payors. Government and commercial payors may, in the future, consider healthcare policies and proposals intended to curb rising healthcare costs, including those that could significantly affect reimbursement for healthcare products such as our systems. These policies have included, and may in the future include: basing reimbursement policies and rates on clinical outcomes, the comparative effectiveness, and costs, of different treatment technologies and modalities; imposing price controls and taxes on medical device providers; and other measures. Future significant changes in the healthcare systems in the United States or elsewhere could also have a negative impact on the demand for our current and future products. These include changes that may reduce reimbursement rates for our products and changes that may be proposed or implemented by the current or future laws or regulations.</w:t>
      </w:r>
    </w:p>
    <w:p>
      <w:pPr>
        <w:spacing w:after="0" w:line="2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135" w:lineRule="exact"/>
        <w:rPr>
          <w:sz w:val="20"/>
          <w:szCs w:val="20"/>
          <w:color w:val="auto"/>
        </w:rPr>
      </w:pPr>
    </w:p>
    <w:p>
      <w:pPr>
        <w:ind w:right="20" w:firstLine="419"/>
        <w:spacing w:after="0" w:line="253"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or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In addition, the recent withdrawal of the United Kingdom from its membership in the EU, often referred to as “Brexit”, could lead to legal and regulatory uncertainty in the United Kingdom and may lead to the United Kingdom and EU adopting divergent laws and regulations, including those related to the pricing of prescription pharmaceuticals, as the United Kingdom determines which EU laws to replicate or replace. If the United Kingdom were to significantly alter its regulations affecting the pricing of prescription pharmaceuticals, we could face significant new costs. As a result, Brexit could impair our ability to transact business in the EU and the United Kingdom.</w:t>
      </w:r>
    </w:p>
    <w:p>
      <w:pPr>
        <w:spacing w:after="0" w:line="237" w:lineRule="exact"/>
        <w:rPr>
          <w:sz w:val="20"/>
          <w:szCs w:val="20"/>
          <w:color w:val="auto"/>
        </w:rPr>
      </w:pPr>
    </w:p>
    <w:p>
      <w:pPr>
        <w:ind w:left="4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53" w:lineRule="exact"/>
        <w:rPr>
          <w:sz w:val="20"/>
          <w:szCs w:val="20"/>
          <w:color w:val="auto"/>
        </w:rPr>
      </w:pPr>
    </w:p>
    <w:p>
      <w:pPr>
        <w:ind w:right="20" w:firstLine="416"/>
        <w:spacing w:after="0" w:line="255"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48"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39" w:lineRule="exact"/>
        <w:rPr>
          <w:sz w:val="20"/>
          <w:szCs w:val="20"/>
          <w:color w:val="auto"/>
        </w:rPr>
      </w:pPr>
    </w:p>
    <w:p>
      <w:pPr>
        <w:ind w:right="160" w:firstLine="416"/>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156" w:lineRule="exact"/>
        <w:rPr>
          <w:sz w:val="20"/>
          <w:szCs w:val="20"/>
          <w:color w:val="auto"/>
        </w:rPr>
      </w:pPr>
    </w:p>
    <w:p>
      <w:pPr>
        <w:ind w:right="60" w:firstLine="416"/>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Securities and Exchange Commission, or the SEC, also may suspend or bar issuers from trading securities on U.S. exchanges for violations of the FCPA’s accounting provisions.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ind w:left="4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37" w:lineRule="exact"/>
        <w:rPr>
          <w:sz w:val="20"/>
          <w:szCs w:val="20"/>
          <w:color w:val="auto"/>
        </w:rPr>
      </w:pPr>
    </w:p>
    <w:p>
      <w:pPr>
        <w:ind w:right="140" w:firstLine="416"/>
        <w:spacing w:after="0" w:line="256" w:lineRule="auto"/>
        <w:rPr>
          <w:sz w:val="20"/>
          <w:szCs w:val="20"/>
          <w:color w:val="auto"/>
        </w:rPr>
      </w:pPr>
      <w:r>
        <w:rPr>
          <w:rFonts w:ascii="Times New Roman" w:cs="Times New Roman" w:eastAsia="Times New Roman" w:hAnsi="Times New Roman"/>
          <w:sz w:val="18"/>
          <w:szCs w:val="18"/>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w:t>
      </w:r>
    </w:p>
    <w:p>
      <w:pPr>
        <w:spacing w:after="0" w:line="147" w:lineRule="exact"/>
        <w:rPr>
          <w:sz w:val="20"/>
          <w:szCs w:val="20"/>
          <w:color w:val="auto"/>
        </w:rPr>
      </w:pPr>
    </w:p>
    <w:p>
      <w:pPr>
        <w:ind w:right="320" w:firstLine="416"/>
        <w:spacing w:after="0" w:line="261" w:lineRule="auto"/>
        <w:rPr>
          <w:sz w:val="20"/>
          <w:szCs w:val="20"/>
          <w:color w:val="auto"/>
        </w:rPr>
      </w:pPr>
      <w:r>
        <w:rPr>
          <w:rFonts w:ascii="Times New Roman" w:cs="Times New Roman" w:eastAsia="Times New Roman" w:hAnsi="Times New Roman"/>
          <w:sz w:val="18"/>
          <w:szCs w:val="18"/>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80" w:lineRule="exact"/>
        <w:rPr>
          <w:sz w:val="20"/>
          <w:szCs w:val="20"/>
          <w:color w:val="auto"/>
        </w:rPr>
      </w:pPr>
    </w:p>
    <w:p>
      <w:pPr>
        <w:ind w:right="160" w:firstLine="416"/>
        <w:spacing w:after="0" w:line="266" w:lineRule="auto"/>
        <w:rPr>
          <w:sz w:val="20"/>
          <w:szCs w:val="20"/>
          <w:color w:val="auto"/>
        </w:rPr>
      </w:pPr>
      <w:r>
        <w:rPr>
          <w:rFonts w:ascii="Times New Roman" w:cs="Times New Roman" w:eastAsia="Times New Roman" w:hAnsi="Times New Roman"/>
          <w:sz w:val="18"/>
          <w:szCs w:val="18"/>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176" w:lineRule="exact"/>
        <w:rPr>
          <w:sz w:val="20"/>
          <w:szCs w:val="20"/>
          <w:color w:val="auto"/>
        </w:rPr>
      </w:pPr>
    </w:p>
    <w:p>
      <w:pPr>
        <w:jc w:val="both"/>
        <w:ind w:right="220" w:firstLine="416"/>
        <w:spacing w:after="0" w:line="266" w:lineRule="auto"/>
        <w:rPr>
          <w:sz w:val="20"/>
          <w:szCs w:val="20"/>
          <w:color w:val="auto"/>
        </w:rPr>
      </w:pPr>
      <w:r>
        <w:rPr>
          <w:rFonts w:ascii="Times New Roman" w:cs="Times New Roman" w:eastAsia="Times New Roman" w:hAnsi="Times New Roman"/>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6" w:lineRule="exact"/>
        <w:rPr>
          <w:sz w:val="20"/>
          <w:szCs w:val="20"/>
          <w:color w:val="auto"/>
        </w:rPr>
      </w:pPr>
    </w:p>
    <w:p>
      <w:pPr>
        <w:jc w:val="both"/>
        <w:ind w:right="300" w:firstLine="416"/>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280" w:lineRule="exact"/>
        <w:rPr>
          <w:sz w:val="20"/>
          <w:szCs w:val="20"/>
          <w:color w:val="auto"/>
        </w:rPr>
      </w:pPr>
    </w:p>
    <w:p>
      <w:pPr>
        <w:ind w:left="4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certain foreign anti-corruption, anti-money laundering, export control, sanctions and other trade laws and regulations. We can face serious consequences for violations.</w:t>
      </w:r>
    </w:p>
    <w:p>
      <w:pPr>
        <w:spacing w:after="0" w:line="51"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88" w:lineRule="exact"/>
        <w:rPr>
          <w:sz w:val="20"/>
          <w:szCs w:val="20"/>
          <w:color w:val="auto"/>
        </w:rPr>
      </w:pPr>
    </w:p>
    <w:p>
      <w:pPr>
        <w:ind w:right="100" w:firstLine="416"/>
        <w:spacing w:after="0" w:line="282"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left="4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6" w:name="page47"/>
    <w:bookmarkEnd w:id="46"/>
    <w:p>
      <w:pPr>
        <w:ind w:firstLine="416"/>
        <w:spacing w:after="0" w:line="252" w:lineRule="auto"/>
        <w:rPr>
          <w:sz w:val="20"/>
          <w:szCs w:val="20"/>
          <w:color w:val="auto"/>
        </w:rPr>
      </w:pPr>
      <w:r>
        <w:rPr>
          <w:rFonts w:ascii="Times New Roman" w:cs="Times New Roman" w:eastAsia="Times New Roman" w:hAnsi="Times New Roman"/>
          <w:sz w:val="18"/>
          <w:szCs w:val="18"/>
          <w:color w:val="auto"/>
        </w:rPr>
        <w:t>We do not have the ability to independently conduct all aspects of our preclinical testing or clinical trials ourselves. As a result, we are dependent on third parties to conduct our ongoing and planned clinical trials of PRT543, PRT811, PRT1419, PRT2527, and PRT3645 and any preclinical studies and clinical trials of any other product candidates. The timing of the initiation and completion of these trials will therefore be partially controlled by such third parties and may result in delays to our development programs. Specifically, we expect CROs, clinical investigators and consultants to play a significant role in the conduct of these trials and the subsequent collection and analysis of data. However, these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CROs and other third parties does not relieve us of our regulatory responsibilities. We and our CROs are required to comply with good clinical practices, or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cGMP regulations. Our failure or the failure of third parties on whom we rely on to comply with these regulations may require us to stop and/or repeat clinical trials, which would delay the marketing approval process.</w:t>
      </w:r>
    </w:p>
    <w:p>
      <w:pPr>
        <w:spacing w:after="0" w:line="200" w:lineRule="exact"/>
        <w:rPr>
          <w:sz w:val="20"/>
          <w:szCs w:val="20"/>
          <w:color w:val="auto"/>
        </w:rPr>
      </w:pPr>
    </w:p>
    <w:p>
      <w:pPr>
        <w:spacing w:after="0" w:line="213" w:lineRule="exact"/>
        <w:rPr>
          <w:sz w:val="20"/>
          <w:szCs w:val="20"/>
          <w:color w:val="auto"/>
        </w:rPr>
      </w:pPr>
    </w:p>
    <w:p>
      <w:pPr>
        <w:ind w:right="80" w:firstLine="416"/>
        <w:spacing w:after="0" w:line="256" w:lineRule="auto"/>
        <w:rPr>
          <w:sz w:val="20"/>
          <w:szCs w:val="20"/>
          <w:color w:val="auto"/>
        </w:rPr>
      </w:pPr>
      <w:r>
        <w:rPr>
          <w:rFonts w:ascii="Times New Roman" w:cs="Times New Roman" w:eastAsia="Times New Roman" w:hAnsi="Times New Roman"/>
          <w:sz w:val="18"/>
          <w:szCs w:val="18"/>
          <w:color w:val="auto"/>
        </w:rPr>
        <w:t>There is no guarantee that any such CROs, clinical trial investigators or other third parties on which we rely will devote adequate time and resources to our development activities or perform as contractually required.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187" w:lineRule="exact"/>
        <w:rPr>
          <w:sz w:val="20"/>
          <w:szCs w:val="20"/>
          <w:color w:val="auto"/>
        </w:rPr>
      </w:pPr>
    </w:p>
    <w:p>
      <w:pPr>
        <w:ind w:right="180" w:firstLine="416"/>
        <w:spacing w:after="0" w:line="258"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PRT543, PRT811, PRT1419, PRT2527, PRT3645 or any other product candidates and will not be able to, or may be delayed in our efforts to, successfully commercialize our products.</w:t>
      </w:r>
    </w:p>
    <w:p>
      <w:pPr>
        <w:spacing w:after="0" w:line="287" w:lineRule="exact"/>
        <w:rPr>
          <w:sz w:val="20"/>
          <w:szCs w:val="20"/>
          <w:color w:val="auto"/>
        </w:rPr>
      </w:pPr>
    </w:p>
    <w:p>
      <w:pPr>
        <w:ind w:left="42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Manufacturing pharmaceutical products is complex and subject to product loss for a variety of reasons. We rely on third-party suppliers, including single source suppliers, to manufacture preclinical and clinical supplies of our product candidates and we intend to rely on third parties to produce commercial supplies of any approved product candidate.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75"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We do not have any manufacturing facilities. We rely, and expect to continue to rely, on third parties for the manufacture of our product candidates for preclinical and clinical testing, product development purposes, to support regulatory application submissions, as well as for commercial manufacture if any of our product candidates obtain marketing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In addition, the ongoing COVID-19 pandemic may result in disruptions to the operations or an extended shutdown of certain businesses, which could include certain of our contract manufacturers.</w:t>
      </w:r>
    </w:p>
    <w:p>
      <w:pPr>
        <w:spacing w:after="0" w:line="189" w:lineRule="exact"/>
        <w:rPr>
          <w:sz w:val="20"/>
          <w:szCs w:val="20"/>
          <w:color w:val="auto"/>
        </w:rPr>
      </w:pPr>
    </w:p>
    <w:p>
      <w:pPr>
        <w:ind w:right="800" w:firstLine="416"/>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agreements with third-party manufacturers or do so on favorable terms. Even if we are able to establish agreements with third-party manufacturers, reliance on third-party manufacturers entails additional risks, including:</w:t>
      </w:r>
    </w:p>
    <w:p>
      <w:pPr>
        <w:spacing w:after="0" w:line="54" w:lineRule="exact"/>
        <w:rPr>
          <w:sz w:val="20"/>
          <w:szCs w:val="20"/>
          <w:color w:val="auto"/>
        </w:rPr>
      </w:pPr>
    </w:p>
    <w:p>
      <w:pPr>
        <w:ind w:left="840" w:hanging="427"/>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product development, analytical testing, and data generation to support regulatory applications;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7" w:name="page48"/>
    <w:bookmarkEnd w:id="47"/>
    <w:p>
      <w:pPr>
        <w:ind w:left="840" w:right="60" w:hanging="427"/>
        <w:spacing w:after="0" w:line="266" w:lineRule="auto"/>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6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17"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ind w:left="840" w:hanging="427"/>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our drugs under specified storage conditions and in a timely manner.</w:t>
      </w:r>
    </w:p>
    <w:p>
      <w:pPr>
        <w:spacing w:after="0" w:line="225"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We have only limited supply arrangements in place with respect to our product candidates, and these arrangements do not extend to commercial supply. We acquire many key materials on a purchase order basis. As a result, we do not have long-term committed arrangements with respect to our product candidates and other materials. We will need to establish one or more agreements with third parties to develop and scale up the drug manufacturing process, conduct drug testing, and generate data to support a regulatory submission. If we obtain marketing approval for any of our product candidates, we will need to establish an agreement for commercial manufacture with a third party.</w:t>
      </w:r>
    </w:p>
    <w:p>
      <w:pPr>
        <w:spacing w:after="0" w:line="183" w:lineRule="exact"/>
        <w:rPr>
          <w:sz w:val="20"/>
          <w:szCs w:val="20"/>
          <w:color w:val="auto"/>
        </w:rPr>
      </w:pPr>
    </w:p>
    <w:p>
      <w:pPr>
        <w:ind w:right="400" w:firstLine="416"/>
        <w:spacing w:after="0" w:line="261" w:lineRule="auto"/>
        <w:rPr>
          <w:sz w:val="20"/>
          <w:szCs w:val="20"/>
          <w:color w:val="auto"/>
        </w:rPr>
      </w:pPr>
      <w:r>
        <w:rPr>
          <w:rFonts w:ascii="Times New Roman" w:cs="Times New Roman" w:eastAsia="Times New Roman" w:hAnsi="Times New Roman"/>
          <w:sz w:val="18"/>
          <w:szCs w:val="18"/>
          <w:color w:val="auto"/>
        </w:rPr>
        <w:t>In addition, we are dependent on a sole supplier for certain components of our manufacturing process. Even if we are able to replace any raw materials or other materials with an alternative, such alternatives may cost more, result in lower yields or not be as suitable for our purposes. In addition, some of the materials that we use to manufacture our product candidates are complex materials, which may be more difficult to substitute. Therefore, any disruptions arising from our sole suppliers could result in delays and additional regulatory submissions.</w:t>
      </w:r>
    </w:p>
    <w:p>
      <w:pPr>
        <w:spacing w:after="0" w:line="180"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of the United States. If the FDA determines that our CMOs are not in compliance with FDA laws and regulations, including those governing cGMPs, the FDA may deny a new drug application, or NDA, approval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194" w:lineRule="exact"/>
        <w:rPr>
          <w:sz w:val="20"/>
          <w:szCs w:val="20"/>
          <w:color w:val="auto"/>
        </w:rPr>
      </w:pPr>
    </w:p>
    <w:p>
      <w:pPr>
        <w:ind w:right="120" w:firstLine="416"/>
        <w:spacing w:after="0" w:line="258" w:lineRule="auto"/>
        <w:rPr>
          <w:sz w:val="20"/>
          <w:szCs w:val="20"/>
          <w:color w:val="auto"/>
        </w:rPr>
      </w:pPr>
      <w:r>
        <w:rPr>
          <w:rFonts w:ascii="Times New Roman" w:cs="Times New Roman" w:eastAsia="Times New Roman" w:hAnsi="Times New Roman"/>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183" w:lineRule="exact"/>
        <w:rPr>
          <w:sz w:val="20"/>
          <w:szCs w:val="20"/>
          <w:color w:val="auto"/>
        </w:rPr>
      </w:pPr>
    </w:p>
    <w:p>
      <w:pPr>
        <w:ind w:right="120" w:firstLine="416"/>
        <w:spacing w:after="0" w:line="266"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76"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Third 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8" w:name="page49"/>
    <w:bookmarkEnd w:id="48"/>
    <w:p>
      <w:pPr>
        <w:ind w:firstLine="416"/>
        <w:spacing w:after="0" w:line="254"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preclinical and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including the ongoing conflict in Ukraine, or public health epidemics such as the ongoing COVID-19 pandemic. If our current third-party manufacturers cannot perform as agreed, we may be required to replace such manufacturers and we may be unable to replace them on a timely basis or at all.</w:t>
      </w:r>
    </w:p>
    <w:p>
      <w:pPr>
        <w:spacing w:after="0" w:line="192" w:lineRule="exact"/>
        <w:rPr>
          <w:sz w:val="20"/>
          <w:szCs w:val="20"/>
          <w:color w:val="auto"/>
        </w:rPr>
      </w:pPr>
    </w:p>
    <w:p>
      <w:pPr>
        <w:ind w:right="40" w:firstLine="416"/>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obtain marketing approval on a timely and competitive basis.</w:t>
      </w:r>
    </w:p>
    <w:p>
      <w:pPr>
        <w:spacing w:after="0" w:line="266" w:lineRule="exact"/>
        <w:rPr>
          <w:sz w:val="20"/>
          <w:szCs w:val="20"/>
          <w:color w:val="auto"/>
        </w:rPr>
      </w:pPr>
    </w:p>
    <w:p>
      <w:pPr>
        <w:ind w:left="4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51" w:lineRule="exact"/>
        <w:rPr>
          <w:sz w:val="20"/>
          <w:szCs w:val="20"/>
          <w:color w:val="auto"/>
        </w:rPr>
      </w:pPr>
    </w:p>
    <w:p>
      <w:pPr>
        <w:ind w:right="140" w:firstLine="416"/>
        <w:spacing w:after="0" w:line="256" w:lineRule="auto"/>
        <w:rPr>
          <w:sz w:val="20"/>
          <w:szCs w:val="20"/>
          <w:color w:val="auto"/>
        </w:rPr>
      </w:pPr>
      <w:r>
        <w:rPr>
          <w:rFonts w:ascii="Times New Roman" w:cs="Times New Roman" w:eastAsia="Times New Roman" w:hAnsi="Times New Roman"/>
          <w:sz w:val="18"/>
          <w:szCs w:val="18"/>
          <w:color w:val="auto"/>
        </w:rPr>
        <w:t>We may seek third-party collaborators for the development and commercialization of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187"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58" w:lineRule="exact"/>
        <w:rPr>
          <w:sz w:val="20"/>
          <w:szCs w:val="20"/>
          <w:color w:val="auto"/>
        </w:rPr>
      </w:pPr>
    </w:p>
    <w:p>
      <w:pPr>
        <w:ind w:left="820" w:right="500" w:hanging="407"/>
        <w:spacing w:after="0" w:line="282" w:lineRule="auto"/>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may not perform their obligations as expected;</w:t>
      </w:r>
    </w:p>
    <w:p>
      <w:pPr>
        <w:sectPr>
          <w:pgSz w:w="11900" w:h="16838" w:orient="portrait"/>
          <w:cols w:equalWidth="0" w:num="1">
            <w:col w:w="11220"/>
          </w:cols>
          <w:pgMar w:left="320" w:top="553" w:right="359" w:bottom="1440" w:gutter="0" w:footer="0" w:header="0"/>
        </w:sectPr>
      </w:pP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58" w:lineRule="exact"/>
        <w:rPr>
          <w:sz w:val="20"/>
          <w:szCs w:val="20"/>
          <w:color w:val="auto"/>
        </w:rPr>
      </w:pPr>
    </w:p>
    <w:p>
      <w:pPr>
        <w:sectPr>
          <w:pgSz w:w="11900" w:h="16838" w:orient="portrait"/>
          <w:cols w:equalWidth="0" w:num="2">
            <w:col w:w="480" w:space="340"/>
            <w:col w:w="10400"/>
          </w:cols>
          <w:pgMar w:left="320" w:top="553" w:right="359" w:bottom="1440" w:gutter="0" w:footer="0" w:header="0"/>
          <w:type w:val="continuous"/>
        </w:sectPr>
      </w:pPr>
    </w:p>
    <w:p>
      <w:pPr>
        <w:ind w:left="820" w:right="440" w:hanging="407"/>
        <w:spacing w:after="0" w:line="282" w:lineRule="auto"/>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40" w:lineRule="exact"/>
        <w:rPr>
          <w:rFonts w:ascii="Times New Roman" w:cs="Times New Roman" w:eastAsia="Times New Roman" w:hAnsi="Times New Roman"/>
          <w:sz w:val="18"/>
          <w:szCs w:val="18"/>
          <w:color w:val="auto"/>
        </w:rPr>
      </w:pPr>
    </w:p>
    <w:p>
      <w:pPr>
        <w:ind w:left="820" w:right="60" w:hanging="407"/>
        <w:spacing w:after="0" w:line="266" w:lineRule="auto"/>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40" w:lineRule="exact"/>
        <w:rPr>
          <w:rFonts w:ascii="Times New Roman" w:cs="Times New Roman" w:eastAsia="Times New Roman" w:hAnsi="Times New Roman"/>
          <w:sz w:val="18"/>
          <w:szCs w:val="18"/>
          <w:color w:val="auto"/>
        </w:rPr>
      </w:pPr>
    </w:p>
    <w:p>
      <w:pPr>
        <w:ind w:left="820" w:right="660" w:hanging="407"/>
        <w:spacing w:after="0" w:line="282" w:lineRule="auto"/>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our product relative to other products;</w:t>
      </w:r>
    </w:p>
    <w:p>
      <w:pPr>
        <w:spacing w:after="0" w:line="40" w:lineRule="exact"/>
        <w:rPr>
          <w:rFonts w:ascii="Times New Roman" w:cs="Times New Roman" w:eastAsia="Times New Roman" w:hAnsi="Times New Roman"/>
          <w:sz w:val="18"/>
          <w:szCs w:val="18"/>
          <w:color w:val="auto"/>
        </w:rPr>
      </w:pPr>
    </w:p>
    <w:p>
      <w:pPr>
        <w:ind w:left="820" w:hanging="407"/>
        <w:spacing w:after="0" w:line="266" w:lineRule="auto"/>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54" w:lineRule="exact"/>
        <w:rPr>
          <w:rFonts w:ascii="Times New Roman" w:cs="Times New Roman" w:eastAsia="Times New Roman" w:hAnsi="Times New Roman"/>
          <w:sz w:val="18"/>
          <w:szCs w:val="18"/>
          <w:color w:val="auto"/>
        </w:rPr>
      </w:pPr>
    </w:p>
    <w:p>
      <w:pPr>
        <w:ind w:left="820" w:right="220" w:hanging="407"/>
        <w:spacing w:after="0" w:line="275" w:lineRule="auto"/>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254" w:lineRule="exact"/>
        <w:rPr>
          <w:rFonts w:ascii="Times New Roman" w:cs="Times New Roman" w:eastAsia="Times New Roman" w:hAnsi="Times New Roman"/>
          <w:sz w:val="18"/>
          <w:szCs w:val="18"/>
          <w:color w:val="auto"/>
        </w:rPr>
      </w:pPr>
    </w:p>
    <w:p>
      <w:pPr>
        <w:ind w:left="820" w:right="680" w:hanging="407"/>
        <w:spacing w:after="0" w:line="282" w:lineRule="auto"/>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type w:val="continuous"/>
        </w:sectPr>
      </w:pPr>
    </w:p>
    <w:bookmarkStart w:id="49" w:name="page50"/>
    <w:bookmarkEnd w:id="49"/>
    <w:p>
      <w:pPr>
        <w:ind w:left="820" w:hanging="407"/>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and</w:t>
      </w:r>
    </w:p>
    <w:p>
      <w:pPr>
        <w:spacing w:after="0" w:line="90" w:lineRule="exact"/>
        <w:rPr>
          <w:rFonts w:ascii="Times New Roman" w:cs="Times New Roman" w:eastAsia="Times New Roman" w:hAnsi="Times New Roman"/>
          <w:sz w:val="18"/>
          <w:szCs w:val="18"/>
          <w:color w:val="auto"/>
        </w:rPr>
      </w:pPr>
    </w:p>
    <w:p>
      <w:pPr>
        <w:ind w:left="820" w:right="80" w:hanging="407"/>
        <w:spacing w:after="0" w:line="282" w:lineRule="auto"/>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148" w:lineRule="exact"/>
        <w:rPr>
          <w:sz w:val="20"/>
          <w:szCs w:val="20"/>
          <w:color w:val="auto"/>
        </w:rPr>
      </w:pPr>
    </w:p>
    <w:p>
      <w:pPr>
        <w:ind w:right="320" w:firstLine="416"/>
        <w:spacing w:after="0" w:line="282" w:lineRule="auto"/>
        <w:rPr>
          <w:sz w:val="20"/>
          <w:szCs w:val="20"/>
          <w:color w:val="auto"/>
        </w:rPr>
      </w:pPr>
      <w:r>
        <w:rPr>
          <w:rFonts w:ascii="Times New Roman" w:cs="Times New Roman" w:eastAsia="Times New Roman" w:hAnsi="Times New Roman"/>
          <w:sz w:val="18"/>
          <w:szCs w:val="18"/>
          <w:color w:val="auto"/>
        </w:rPr>
        <w:t>If we establish one or more collaborations, all of the risks relating to product development, regulatory approval and commercialization described herein would also apply to the activities of any such future collaborators.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17" w:lineRule="exact"/>
        <w:rPr>
          <w:sz w:val="20"/>
          <w:szCs w:val="20"/>
          <w:color w:val="auto"/>
        </w:rPr>
      </w:pPr>
    </w:p>
    <w:p>
      <w:pPr>
        <w:ind w:left="4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potential and ability to achieve profitability will be adversely affected.</w:t>
      </w:r>
    </w:p>
    <w:p>
      <w:pPr>
        <w:spacing w:after="0" w:line="53"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The total addressable market opportunity for PRT543, PRT811, PRT1419, PRT2527, PRT3645 and any other product candidates we may develop will ultimately depend upon, among other things, the diagnosis criteria included in the final labeling for each such product candidate if our product candidates are approved for sale for these indications, acceptance by the medical community, patient access, drug and any related companion diagnostic pricing and their reimbursement. We may initially seek regulatory approval of some of our product candidates as therapies for relapsed or refractory patients. The number of patients in our targeted commercial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279"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24" w:lineRule="exact"/>
        <w:rPr>
          <w:sz w:val="20"/>
          <w:szCs w:val="20"/>
          <w:color w:val="auto"/>
        </w:rPr>
      </w:pPr>
    </w:p>
    <w:p>
      <w:pPr>
        <w:ind w:right="140" w:firstLine="416"/>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For example, current cancer treatments, such as existing targeted therapies, chemotherapy, and radiation therapy, are well established in the medical community, and doctors may continue to rely on these treatments.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62" w:lineRule="exact"/>
        <w:rPr>
          <w:sz w:val="20"/>
          <w:szCs w:val="20"/>
          <w:color w:val="auto"/>
        </w:rPr>
      </w:pPr>
    </w:p>
    <w:p>
      <w:pPr>
        <w:ind w:left="840" w:hanging="427"/>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as front-line treatment for various indications;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 particular compared to alternative treatments;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product candidates by the FDA;</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0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for our product candidates and competing products and treatments;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distribution and/or use restrictions, such as through a REMS;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payor coverage and adequate reimbursement;</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marketing approval in relation to other product approvals;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from patient advocacy groups; and</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8" w:right="399" w:bottom="1440" w:gutter="0" w:footer="0" w:header="0"/>
        </w:sectPr>
      </w:pPr>
    </w:p>
    <w:bookmarkStart w:id="50" w:name="page51"/>
    <w:bookmarkEnd w:id="50"/>
    <w:p>
      <w:pPr>
        <w:jc w:val="both"/>
        <w:ind w:left="4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sales and marketing capabilities or enter into agreements with third parties to market and sell our products, we may not be able to generate revenue.</w:t>
      </w:r>
    </w:p>
    <w:p>
      <w:pPr>
        <w:spacing w:after="0" w:line="53" w:lineRule="exact"/>
        <w:rPr>
          <w:sz w:val="20"/>
          <w:szCs w:val="20"/>
          <w:color w:val="auto"/>
        </w:rPr>
      </w:pPr>
    </w:p>
    <w:p>
      <w:pPr>
        <w:ind w:right="120" w:firstLine="416"/>
        <w:spacing w:after="0" w:line="266" w:lineRule="auto"/>
        <w:rPr>
          <w:sz w:val="20"/>
          <w:szCs w:val="20"/>
          <w:color w:val="auto"/>
        </w:rPr>
      </w:pPr>
      <w:r>
        <w:rPr>
          <w:rFonts w:ascii="Times New Roman" w:cs="Times New Roman" w:eastAsia="Times New Roman" w:hAnsi="Times New Roman"/>
          <w:sz w:val="18"/>
          <w:szCs w:val="18"/>
          <w:color w:val="auto"/>
        </w:rPr>
        <w:t>We currently have no sales or marketing infrastructure and have no experience in the sale, marketing or distribution of pharmaceutical products. To achieve commercial success for any product for which we obtain marketing approval, we will need to establish sales, marketing and distribution capabilities, either ourselves or through collaboration or other arrangements with third parties.</w:t>
      </w:r>
    </w:p>
    <w:p>
      <w:pPr>
        <w:spacing w:after="0" w:line="176"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There are risks 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are expected to be costly, and our investment would be lost if we cannot retain or reposition our sales and marketing personnel.</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17" w:lineRule="exact"/>
        <w:rPr>
          <w:sz w:val="20"/>
          <w:szCs w:val="20"/>
          <w:color w:val="auto"/>
        </w:rPr>
      </w:pPr>
    </w:p>
    <w:p>
      <w:pPr>
        <w:ind w:left="840" w:hanging="427"/>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raise financing necessary to build our commercialization infrastructure;</w:t>
      </w:r>
    </w:p>
    <w:p>
      <w:pPr>
        <w:spacing w:after="0" w:line="117" w:lineRule="exact"/>
        <w:rPr>
          <w:rFonts w:ascii="Times New Roman" w:cs="Times New Roman" w:eastAsia="Times New Roman" w:hAnsi="Times New Roman"/>
          <w:sz w:val="18"/>
          <w:szCs w:val="18"/>
          <w:color w:val="auto"/>
        </w:rPr>
      </w:pPr>
    </w:p>
    <w:p>
      <w:pPr>
        <w:ind w:left="840" w:right="320" w:hanging="427"/>
        <w:spacing w:after="0" w:line="282" w:lineRule="auto"/>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an adequate number of physicians as to the benefits of our products;</w:t>
      </w:r>
    </w:p>
    <w:p>
      <w:pPr>
        <w:spacing w:after="0" w:line="5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third-party payor coverage and reimbursement in any geography;</w:t>
      </w:r>
    </w:p>
    <w:p>
      <w:pPr>
        <w:spacing w:after="0" w:line="117" w:lineRule="exact"/>
        <w:rPr>
          <w:rFonts w:ascii="Times New Roman" w:cs="Times New Roman" w:eastAsia="Times New Roman" w:hAnsi="Times New Roman"/>
          <w:sz w:val="18"/>
          <w:szCs w:val="18"/>
          <w:color w:val="auto"/>
        </w:rPr>
      </w:pPr>
    </w:p>
    <w:p>
      <w:pPr>
        <w:ind w:left="840" w:right="300" w:hanging="427"/>
        <w:spacing w:after="0" w:line="282" w:lineRule="auto"/>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and marketing services, our product revenues and our profitability, if any, are likely to be lower than if we were to market and sell any products that we develop ourselves. In addition, we may not be successful in entering into arrangements with third parties to market and sell our product candidates or may be unable to do so on terms that are acceptable to us. We likely will have little control over such third parties, and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any of our product candidates for which we receive marketing approval.</w:t>
      </w:r>
    </w:p>
    <w:p>
      <w:pPr>
        <w:spacing w:after="0" w:line="291" w:lineRule="exact"/>
        <w:rPr>
          <w:sz w:val="20"/>
          <w:szCs w:val="20"/>
          <w:color w:val="auto"/>
        </w:rPr>
      </w:pPr>
    </w:p>
    <w:p>
      <w:pPr>
        <w:ind w:left="4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pharmaceutical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existing or emerging biotechnology companies, academic research institutions and governmental agencies and public and private research institutions worldwide. There are a number of pharmaceutical and biotechnology companies that currently are pursuing the development of precision oncology therapies optimized to effectively target the key driver mechanisms in cancers with high unmet need, including Arvinas Inc., Aurigene, Black Diamond Therapeutics, Inc., Boehringer Ingelheim, C4 Therapeutics, Constellation Pharmaceuticals, Inc., Eli Lilly and Company, F. Hoffman-La Roche, Foghorn Therapeutics Inc., Fochon Pharmaceuticals, G1 Therapeutics Inc., Genentech, Kronos Bio, Inc., Kura Oncology, Inc., Kymera Therapeutics Inc., Mirati Therapeutics Inc., Nuvation Bio Inc. Repare Therapeutics Inc., Revolution Medicines, Inc., Relay Therapeutics, Inc., Springworks Therapeutics, Inc., Syndax Pharmaceuticals, Inc., and Zentalis Pharmaceuticals, Inc. In addition, we may face competition from companies developing product candidates that are based on targeting pathways of adaptive resistance, including Amgen Inc., AbbVie Inc., AstraZeneca plc, GlaxoSmithKline plc, Ideaya Biosciences, Johnson &amp; Johnson Services, Inc., Pfizer Inc., Tango Therapeutics, Inc., Vincerx Pharma, Inc., Novartis AG, and Gilead Sciences, Inc.</w:t>
      </w:r>
    </w:p>
    <w:p>
      <w:pPr>
        <w:spacing w:after="0" w:line="190" w:lineRule="exact"/>
        <w:rPr>
          <w:sz w:val="20"/>
          <w:szCs w:val="20"/>
          <w:color w:val="auto"/>
        </w:rPr>
      </w:pPr>
    </w:p>
    <w:p>
      <w:pPr>
        <w:ind w:right="280" w:firstLine="416"/>
        <w:spacing w:after="0" w:line="282" w:lineRule="auto"/>
        <w:rPr>
          <w:sz w:val="20"/>
          <w:szCs w:val="20"/>
          <w:color w:val="auto"/>
        </w:rPr>
      </w:pPr>
      <w:r>
        <w:rPr>
          <w:rFonts w:ascii="Times New Roman" w:cs="Times New Roman" w:eastAsia="Times New Roman" w:hAnsi="Times New Roman"/>
          <w:sz w:val="18"/>
          <w:szCs w:val="18"/>
          <w:color w:val="auto"/>
        </w:rPr>
        <w:t>Specifically, with respect to our PRMT5 programs, PRT543 and PRT811, several companies are developing PRMT5 inhibitors with clinical trials ongoing, including Amgen (AMG193), GlaxoSmithKline (GSK3326595), Ideaya Biosciences (IDE397), Johnson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51" w:name="page52"/>
    <w:bookmarkEnd w:id="51"/>
    <w:p>
      <w:pPr>
        <w:ind w:firstLine="8"/>
        <w:spacing w:after="0" w:line="255" w:lineRule="auto"/>
        <w:tabs>
          <w:tab w:leader="none" w:pos="1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Johnson (JNJ-64619178), Pfizer (PF-06939999), and Tango Therapeutics (TNG908). For our MCL1 program, PRT1419, other companies are developing MCL1 inhibitors with monotherapy and/or combination trials ongoing, including Amgen (AMG176), AstraZeneca (AZD5991), Novartis (MIK665), and Gilead (GS-9716). For our CDK9 program, PRT2527, both AstraZeneca (AZD4573), Vincerx (VIP512), and Kronos (KB-0742) have CDK9 programs in Phase 1 clinical trials. For our CDK4/6 program, PRT3645, Novartis (ribociclib), Lilly (abemaciclib), Pfizer (palbociclib), G1 Therapeutics (G1T38), and Fochon Pharmaceuticals (FCN-437) have clinical trials ongoing. For our SMARCA2 (BRM) degrader program, other companies, including Amgen, Aurigene, C4 Therapeutics, F. Hoffmann-La Roche, Foghorn Therapeutics, Inc., Kymera Therapeutics, Arvinas, Genentech, Boehringer Ingelheim, and Lilly have publicly disclosed their pre-clinical research efforts.</w:t>
      </w:r>
    </w:p>
    <w:p>
      <w:pPr>
        <w:spacing w:after="0" w:line="189" w:lineRule="exact"/>
        <w:rPr>
          <w:sz w:val="20"/>
          <w:szCs w:val="20"/>
          <w:color w:val="auto"/>
        </w:rPr>
      </w:pPr>
    </w:p>
    <w:p>
      <w:pPr>
        <w:ind w:right="60" w:firstLine="416"/>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either alone or through collaborations,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sales and marketing personnel, establishing clinical trial sites and patient registration for clinical trials, as well as in acquiring technologies complementary to, or necessary for, our programs.</w:t>
      </w:r>
    </w:p>
    <w:p>
      <w:pPr>
        <w:spacing w:after="0" w:line="189"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oncology market for cost-effective and reimbursable cancer treatments.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92"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to administer, are less expensive or with a more favorable labeling than our current or future product candidates. Our competitors also may obtain FDA, foreign regulatory authority, or other marketing or regulatory approval for their products more rapidly than any approval we may obtain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291" w:lineRule="exact"/>
        <w:rPr>
          <w:sz w:val="20"/>
          <w:szCs w:val="20"/>
          <w:color w:val="auto"/>
        </w:rPr>
      </w:pPr>
    </w:p>
    <w:p>
      <w:pPr>
        <w:ind w:left="4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51" w:lineRule="exact"/>
        <w:rPr>
          <w:sz w:val="20"/>
          <w:szCs w:val="20"/>
          <w:color w:val="auto"/>
        </w:rPr>
      </w:pPr>
    </w:p>
    <w:p>
      <w:pPr>
        <w:ind w:right="40" w:firstLine="416"/>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 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200" w:lineRule="exact"/>
        <w:rPr>
          <w:sz w:val="20"/>
          <w:szCs w:val="20"/>
          <w:color w:val="auto"/>
        </w:rPr>
      </w:pPr>
    </w:p>
    <w:p>
      <w:pPr>
        <w:spacing w:after="0" w:line="204" w:lineRule="exact"/>
        <w:rPr>
          <w:sz w:val="20"/>
          <w:szCs w:val="20"/>
          <w:color w:val="auto"/>
        </w:rPr>
      </w:pPr>
    </w:p>
    <w:p>
      <w:pPr>
        <w:ind w:right="140" w:firstLine="416"/>
        <w:spacing w:after="0" w:line="261"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third-party payors, including government healthcare programs, private health insurers and other organizations. Third-party payors decide which medications they will pay for and establish reimbursement levels. In the United States, the principal decisions about reimbursement for new medicines are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ind w:right="220"/>
        <w:spacing w:after="0" w:line="282" w:lineRule="auto"/>
        <w:rPr>
          <w:sz w:val="20"/>
          <w:szCs w:val="20"/>
          <w:color w:val="auto"/>
        </w:rPr>
      </w:pPr>
      <w:r>
        <w:rPr>
          <w:rFonts w:ascii="Times New Roman" w:cs="Times New Roman" w:eastAsia="Times New Roman" w:hAnsi="Times New Roman"/>
          <w:sz w:val="18"/>
          <w:szCs w:val="18"/>
          <w:color w:val="auto"/>
        </w:rPr>
        <w:t>typically made by the CMS, which decides whether and to what extent a new medicine will be covered and reimbursed under Medicare. Private payors often, but not always, follow CMS’s decisions regarding coverage and reimbursement.</w:t>
      </w:r>
    </w:p>
    <w:p>
      <w:pPr>
        <w:spacing w:after="0" w:line="162" w:lineRule="exact"/>
        <w:rPr>
          <w:sz w:val="20"/>
          <w:szCs w:val="20"/>
          <w:color w:val="auto"/>
        </w:rPr>
      </w:pPr>
    </w:p>
    <w:p>
      <w:pPr>
        <w:ind w:right="80" w:firstLine="416"/>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coverage and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92"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 While we have not yet developed any companion diagnostic test for our product candidates, if we do, there is significant uncertainty regarding our ability to obtain coverage and adequate reimbursement for the same reasons applicable to our product candidates.</w:t>
      </w:r>
    </w:p>
    <w:p>
      <w:pPr>
        <w:spacing w:after="0" w:line="183" w:lineRule="exact"/>
        <w:rPr>
          <w:sz w:val="20"/>
          <w:szCs w:val="20"/>
          <w:color w:val="auto"/>
        </w:rPr>
      </w:pPr>
    </w:p>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There may also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but also have their own methods and approval process apart from Medicare determinations. Our inability to promptly obtain coverage and adequate reimbursement rates from third-party payors for any approved products that we develop could have a material adverse effect on our operating results, our ability to raise capital needed to commercialize products and our overall financial condition.</w:t>
      </w:r>
    </w:p>
    <w:p>
      <w:pPr>
        <w:spacing w:after="0" w:line="186" w:lineRule="exact"/>
        <w:rPr>
          <w:sz w:val="20"/>
          <w:szCs w:val="20"/>
          <w:color w:val="auto"/>
        </w:rPr>
      </w:pPr>
    </w:p>
    <w:p>
      <w:pPr>
        <w:ind w:left="4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51" w:lineRule="exact"/>
        <w:rPr>
          <w:sz w:val="20"/>
          <w:szCs w:val="20"/>
          <w:color w:val="auto"/>
        </w:rPr>
      </w:pPr>
    </w:p>
    <w:p>
      <w:pPr>
        <w:ind w:right="280" w:firstLine="416"/>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commercialize any products that we may develop. If we cannot successfully defend ourselves against any claims that our product candidates or products caused injuries, we will incur substantial liabilities. Regardless of merit or eventual outcome, liability claims may result in:</w:t>
      </w:r>
    </w:p>
    <w:p>
      <w:pPr>
        <w:spacing w:after="0" w:line="68" w:lineRule="exact"/>
        <w:rPr>
          <w:sz w:val="20"/>
          <w:szCs w:val="20"/>
          <w:color w:val="auto"/>
        </w:rPr>
      </w:pPr>
    </w:p>
    <w:p>
      <w:pPr>
        <w:ind w:left="840" w:hanging="427"/>
        <w:spacing w:after="0"/>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3" w:name="page54"/>
    <w:bookmarkEnd w:id="53"/>
    <w:p>
      <w:pPr>
        <w:ind w:right="80" w:firstLine="416"/>
        <w:spacing w:after="0" w:line="258" w:lineRule="auto"/>
        <w:rPr>
          <w:sz w:val="20"/>
          <w:szCs w:val="20"/>
          <w:color w:val="auto"/>
        </w:rPr>
      </w:pPr>
      <w:r>
        <w:rPr>
          <w:rFonts w:ascii="Times New Roman" w:cs="Times New Roman" w:eastAsia="Times New Roman" w:hAnsi="Times New Roman"/>
          <w:sz w:val="18"/>
          <w:szCs w:val="18"/>
          <w:color w:val="auto"/>
        </w:rPr>
        <w:t>Our current product liability insurance coverage for the United States and certain other jurisdictions may not be adequate to cover all liabilities that we may incur. We likely will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successful product liability claim or series of claims brought against us could decrease our cash and adversely affect our business and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Our Operations</w:t>
      </w:r>
    </w:p>
    <w:p>
      <w:pPr>
        <w:spacing w:after="0" w:line="117" w:lineRule="exact"/>
        <w:rPr>
          <w:sz w:val="20"/>
          <w:szCs w:val="20"/>
          <w:color w:val="auto"/>
        </w:rPr>
      </w:pPr>
    </w:p>
    <w:p>
      <w:pPr>
        <w:ind w:left="4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and to attract, retain and motivate qualified personnel and manage our human capital.</w:t>
      </w:r>
    </w:p>
    <w:p>
      <w:pPr>
        <w:spacing w:after="0" w:line="51"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Kris Vaddi, Ph.D., our founder and Chief Executive Officer, as well as the other principal members of our management, scientific and clinical team. We currently do not maintain key person insurance on these individuals. Although we have entered into employment agreements with our executive officers, each of them may terminate their employment with us at any time.</w:t>
      </w:r>
    </w:p>
    <w:p>
      <w:pPr>
        <w:spacing w:after="0" w:line="183"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 We conduct our operations in the greater Delaware area, a region that is home to other pharmaceutical companies as well as many academic and research institutions and in addition, the ongoing COVID-19 pandemic has increased companies’ willingness to hire remote workers,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Any or all of these competing factors may limit our ability to continue to attract and retain high quality personnel, which could negatively affect our ability to successfully develop and commercialize our product candidates and to grow our business and operations as currently contemplated.</w:t>
      </w:r>
    </w:p>
    <w:p>
      <w:pPr>
        <w:spacing w:after="0" w:line="298" w:lineRule="exact"/>
        <w:rPr>
          <w:sz w:val="20"/>
          <w:szCs w:val="20"/>
          <w:color w:val="auto"/>
        </w:rPr>
      </w:pPr>
    </w:p>
    <w:p>
      <w:pPr>
        <w:ind w:left="4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37" w:lineRule="exact"/>
        <w:rPr>
          <w:sz w:val="20"/>
          <w:szCs w:val="20"/>
          <w:color w:val="auto"/>
        </w:rPr>
      </w:pPr>
    </w:p>
    <w:p>
      <w:pPr>
        <w:ind w:right="100" w:firstLine="416"/>
        <w:spacing w:after="0" w:line="255" w:lineRule="auto"/>
        <w:rPr>
          <w:sz w:val="20"/>
          <w:szCs w:val="20"/>
          <w:color w:val="auto"/>
        </w:rPr>
      </w:pPr>
      <w:r>
        <w:rPr>
          <w:rFonts w:ascii="Times New Roman" w:cs="Times New Roman" w:eastAsia="Times New Roman" w:hAnsi="Times New Roman"/>
          <w:sz w:val="18"/>
          <w:szCs w:val="18"/>
          <w:color w:val="auto"/>
        </w:rPr>
        <w:t>As of June 30, 2022, we had 112 full-time employees. We expect significant growth in the number of our employees and the scope of our operations, particularly in the areas of clinical development, clinical operations,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364"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PRT543, PRT811, PRT1419, PRT2527, and PRT3645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PRT543, PRT811, PRT1419, PRT2527, PRT3645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61" w:lineRule="exact"/>
        <w:rPr>
          <w:sz w:val="20"/>
          <w:szCs w:val="20"/>
          <w:color w:val="auto"/>
        </w:rPr>
      </w:pPr>
    </w:p>
    <w:p>
      <w:pPr>
        <w:ind w:right="240" w:firstLine="416"/>
        <w:spacing w:after="0" w:line="282" w:lineRule="auto"/>
        <w:rPr>
          <w:sz w:val="20"/>
          <w:szCs w:val="20"/>
          <w:color w:val="auto"/>
        </w:rPr>
      </w:pPr>
      <w:r>
        <w:rPr>
          <w:rFonts w:ascii="Times New Roman" w:cs="Times New Roman" w:eastAsia="Times New Roman" w:hAnsi="Times New Roman"/>
          <w:sz w:val="18"/>
          <w:szCs w:val="18"/>
          <w:color w:val="auto"/>
        </w:rPr>
        <w:t>If we are not able to effectively manage growth and expand our organization, we may not be able to successfully implement the tasks necessary to further develop and commercialize PRT543, PRT811, PRT1419, PRT2527, or PRT3645 our other pipeline product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candidates or any future product candidates and, accordingly, may not achieve our research, development and commercialization goals.</w:t>
      </w:r>
    </w:p>
    <w:p>
      <w:pPr>
        <w:spacing w:after="0" w:line="275" w:lineRule="exact"/>
        <w:rPr>
          <w:sz w:val="20"/>
          <w:szCs w:val="20"/>
          <w:color w:val="auto"/>
        </w:rPr>
      </w:pPr>
    </w:p>
    <w:p>
      <w:pPr>
        <w:ind w:left="4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37"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151"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292" w:lineRule="exact"/>
        <w:rPr>
          <w:sz w:val="20"/>
          <w:szCs w:val="20"/>
          <w:color w:val="auto"/>
        </w:rPr>
      </w:pPr>
    </w:p>
    <w:p>
      <w:pPr>
        <w:ind w:left="420"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CROs, CMOs, or other vendors, contractors or consultants, may fail or suffer security breaches, cyber-attacks, loss or leakage of data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p>
    <w:p>
      <w:pPr>
        <w:spacing w:after="0" w:line="72"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CROs, CMOs, vendors, and other contractors and consultants who have access to our confidential information. Our internal information technology systems and infrastructure are also vulnerable to damage from natural disasters, terrorism, war, telecommunication and electrical failures. System failures or outages, including any potential disruptions due to significantly increased global demand on certain cloud-based systems during the ongoing COVID-19 pandemic, could compromise our ability to perform these functions in a timely manner, which could harm our ability to conduct business or delay our financial reporting. Such failures could materially adversely affect our operating results and financial condition.</w:t>
      </w:r>
    </w:p>
    <w:p>
      <w:pPr>
        <w:spacing w:after="0" w:line="188"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given their size and complexity and the increasing amounts of confidential information that they maintain, our internal information technology systems and those of our third-party CROs, CMOs, vendors and other contractors and consultants are potentially vulnerable to breakdown or other damage or interruption from service interruptions, system malfunction, accidents by our employees or third party service providers, natural disasters, terrorism, war and telecommunication and electrical failures, as well as security breaches from inadvertent or intentional actions by our employees, third-party CROs, CMOs,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CROs, CMOs, vendors and other contractors and consultants, or lead to data leakage.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The ongoing COVID-19 pandemic is generally increasing the attack</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5" w:name="page56"/>
    <w:bookmarkEnd w:id="55"/>
    <w:p>
      <w:pPr>
        <w:ind w:right="20"/>
        <w:spacing w:after="0" w:line="252" w:lineRule="auto"/>
        <w:rPr>
          <w:sz w:val="20"/>
          <w:szCs w:val="20"/>
          <w:color w:val="auto"/>
        </w:rPr>
      </w:pPr>
      <w:r>
        <w:rPr>
          <w:rFonts w:ascii="Times New Roman" w:cs="Times New Roman" w:eastAsia="Times New Roman" w:hAnsi="Times New Roman"/>
          <w:sz w:val="18"/>
          <w:szCs w:val="18"/>
          <w:color w:val="auto"/>
        </w:rPr>
        <w:t>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ongoing COVID-19 pandemic to their advantage.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third-party CROs, CMOs, vendors and other contractors and consultants, or inappropriate disclosure of confidential or proprietary information, we could incur liability and reputational damage and the further development and commercialization of PRT543, PRT811, PRT1419, PRT2527, PRT3645 or any future product candidates could be delayed. Any breach, loss or compromise of clinical trial participant personal data may also subject us to civil fines and penalties, including under HIPAA, and other relevant state and federal privacy laws in the United States. The costs related to significant security breaches or disruptions could be material and exceed the limits of the cybersecurity insurance we maintain against such risks. If the information technology systems of our third-party CROs, CMOs,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42" w:lineRule="exact"/>
        <w:rPr>
          <w:sz w:val="20"/>
          <w:szCs w:val="20"/>
          <w:color w:val="auto"/>
        </w:rPr>
      </w:pPr>
    </w:p>
    <w:p>
      <w:pPr>
        <w:ind w:right="40" w:firstLine="416"/>
        <w:spacing w:after="0" w:line="252" w:lineRule="auto"/>
        <w:rPr>
          <w:sz w:val="20"/>
          <w:szCs w:val="20"/>
          <w:color w:val="auto"/>
        </w:rPr>
      </w:pPr>
      <w:r>
        <w:rPr>
          <w:rFonts w:ascii="Times New Roman" w:cs="Times New Roman" w:eastAsia="Times New Roman" w:hAnsi="Times New Roman"/>
          <w:sz w:val="18"/>
          <w:szCs w:val="18"/>
          <w:color w:val="auto"/>
        </w:rPr>
        <w:t>While we have not experienced any such system failure, accident or security breach to date, and believe that our data protection efforts and our investment in information technology reduce the likelihood of such incidents in the future, we cannot assure you that our data protection efforts and our investment in information technology will prevent significant breakdowns, data leakages, breaches in our systems, or those of our third-party CROs, CMOs,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PRT543, PRT811, PRT1419, PRT2527, PRT3645 or any other product candidates could result in delays in our marketing approval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204" w:lineRule="exact"/>
        <w:rPr>
          <w:sz w:val="20"/>
          <w:szCs w:val="20"/>
          <w:color w:val="auto"/>
        </w:rPr>
      </w:pPr>
    </w:p>
    <w:p>
      <w:pPr>
        <w:ind w:left="4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24" w:lineRule="exact"/>
        <w:rPr>
          <w:sz w:val="20"/>
          <w:szCs w:val="20"/>
          <w:color w:val="auto"/>
        </w:rPr>
      </w:pPr>
    </w:p>
    <w:p>
      <w:pPr>
        <w:ind w:right="80" w:firstLine="416"/>
        <w:spacing w:after="0" w:line="254"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38"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International data protection laws, including Regulation 2016/679, known as the General Data Protection Regulation, or GDPR, may also apply to health-related and other personal information obtained outside of the United States. The GDPR went into effect on May 25, 2018. The GDPR introduced new data protection requirements in the EU, as well as potential fines for noncompliant companies of up to the greater of €20 million or 4% of annual global revenue. The regulation imposes numerous new requirements for the collection, use and disclosure of personal information, including more stringent requirements relating to consent and the information that must be shared with data subjects about how their personal information is used, the obligation to notify regulators and affected individuals of personal data breaches, extensive new internal privacy governance obligations and obligations to honor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6" w:name="page57"/>
    <w:bookmarkEnd w:id="56"/>
    <w:p>
      <w:pPr>
        <w:ind w:right="20"/>
        <w:spacing w:after="0" w:line="252" w:lineRule="auto"/>
        <w:rPr>
          <w:sz w:val="20"/>
          <w:szCs w:val="20"/>
          <w:color w:val="auto"/>
        </w:rPr>
      </w:pPr>
      <w:r>
        <w:rPr>
          <w:rFonts w:ascii="Times New Roman" w:cs="Times New Roman" w:eastAsia="Times New Roman" w:hAnsi="Times New Roman"/>
          <w:sz w:val="18"/>
          <w:szCs w:val="18"/>
          <w:color w:val="auto"/>
        </w:rPr>
        <w:t>expanded rights of individuals in relation to their personal information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right to access, correct and delete their data). In addition, the GDPR includes restrictions on cross-border data transfer. The GDPR will increase our responsibility and liability in relation to personal data that we process, and we may be required to put in place additional mechanisms to ensure compliance with the new EU data protection rules. In addition, the GDPR prohibits the transfer of personal data to countries outside of the European Economic Area, or EEA, such as the United States, which are not considered by the European Commission to provide an adequate level of data protection. Switzerland has adopted similar restrictions. Although there are legal mechanisms to allow for the transfer of personal data from the EEA and Switzerland to the United States, they are subject to pending legal challenges that, if successful, could invalidate these mechanisms, restrict our ability to process personal data of Europeans outside of Europe and adversely impact our business. For example, in July 2020, the European Courts of Justice invalidated the EU-U.S. Privacy Shield, which enabled the transfer of personal data from EU to the U.S. for companies that had self-certified to the Privacy Shield. On August 10, 2020, the U.S. Department of Commerce and the European Commission announced new discussions to evaluate the potential for an enhanced EU-U.S. Privacy Shield framework to comply with the July 16 judgment of the Court of Justice. While the Court of Justice upheld the use of other data transfer mechanisms, such as the Binding Corporate Rules, the decision has led to some uncertainty regarding the use of such mechanisms for data transfers to the United States, and the court made clear that reliance on Binding Corporate Rules alone may not necessarily be sufficient in all circumstances.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the Court of Justice’s decision on November 11, 2020 which imposes higher burdens on the use of data transfer mechanisms, such as the Binding Corporate Rules, for cross-border data transfers. To comply with this guidance, we may need to implement additional safeguards to further enhance the security of data transferred out of the European Economic Area, which could increase our compliance costs, expose us to further regulatory scrutiny and liability, and adversely affect our business. To the extent that we were to rely on Privacy Shield, we will not be able to do so in the future, which could increase our costs and our ability to efficiently process personal data from the EU.</w:t>
      </w:r>
    </w:p>
    <w:p>
      <w:pPr>
        <w:spacing w:after="0" w:line="193"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Further, Brexit has created uncertainty with regard to data protection regulation in the United Kingdom. In particular, while the Data Protection Act of 2018, that “implements” and complements the GDPR achieved Royal Assent on May 23, 2018 and is now effective in the United Kingdom, it is still unclear whether transfer of data from the EEA to the United Kingdom will remain lawful under GDPR. Beginning in 2021, the United Kingdom became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183" w:lineRule="exact"/>
        <w:rPr>
          <w:sz w:val="20"/>
          <w:szCs w:val="20"/>
          <w:color w:val="auto"/>
        </w:rPr>
      </w:pPr>
    </w:p>
    <w:p>
      <w:pPr>
        <w:ind w:right="60" w:firstLine="416"/>
        <w:spacing w:after="0" w:line="252" w:lineRule="auto"/>
        <w:rPr>
          <w:sz w:val="20"/>
          <w:szCs w:val="20"/>
          <w:color w:val="auto"/>
        </w:rPr>
      </w:pPr>
      <w:r>
        <w:rPr>
          <w:rFonts w:ascii="Times New Roman" w:cs="Times New Roman" w:eastAsia="Times New Roman" w:hAnsi="Times New Roman"/>
          <w:sz w:val="18"/>
          <w:szCs w:val="18"/>
          <w:color w:val="auto"/>
        </w:rPr>
        <w:t>In addition, the state of California recently enacted the California Consumer Privacy Act, or CCPA, which creates new individual privacy rights for California consumers (as defined in the CCPA)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became enforceable by the California Attorney General on July 1, 2020, along with related regulations which came into force on August 14, 2020 and may impact our business activities and exemplifies the vulnerability of our business to the evolving regulatory environment related to personal data and protected health information. Additionally, although not effective until January 1, 2023, the California Privacy Rights Act (the “CPRA”), which expands upon the CCPA, was passed in the election on November 3, 2020.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The CCPA and CPRA provide for unlimited civil penalties for violations, as well as a private right of action for data breaches that is expected to increase data breach litigation. The CCPA and CPRA may increase our compliance costs and potential liability, particularly in the event of a data breach. Additionally, the CCPA has prompted a number of proposals in the U.S. for new federal and state-level privacy legislation that, if passed, could increase our potential liability, increase our compliance costs, and adversely affect our business. Other states are also seeking to regulate consumer privacy stringently, and both Virginia and Colorado signed comprehensive privacy legislation in 2021. These laws (the Virginia Consumer Data Protection Act and the Colorado Privacy Act) are set to come into force in 2023 and a number of other state legislatures are actively considering passing similar consumer privacy laws, including those in New York and Washington.</w:t>
      </w:r>
    </w:p>
    <w:p>
      <w:pPr>
        <w:spacing w:after="0" w:line="193" w:lineRule="exact"/>
        <w:rPr>
          <w:sz w:val="20"/>
          <w:szCs w:val="20"/>
          <w:color w:val="auto"/>
        </w:rPr>
      </w:pPr>
    </w:p>
    <w:p>
      <w:pPr>
        <w:ind w:right="60" w:firstLine="416"/>
        <w:spacing w:after="0" w:line="256"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7" w:name="page58"/>
    <w:bookmarkEnd w:id="57"/>
    <w:p>
      <w:pPr>
        <w:ind w:right="140"/>
        <w:spacing w:after="0" w:line="266" w:lineRule="auto"/>
        <w:rPr>
          <w:sz w:val="20"/>
          <w:szCs w:val="20"/>
          <w:color w:val="auto"/>
        </w:rPr>
      </w:pPr>
      <w:r>
        <w:rPr>
          <w:rFonts w:ascii="Times New Roman" w:cs="Times New Roman" w:eastAsia="Times New Roman" w:hAnsi="Times New Roman"/>
          <w:sz w:val="18"/>
          <w:szCs w:val="18"/>
          <w:color w:val="auto"/>
        </w:rPr>
        <w:t>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280" w:lineRule="exact"/>
        <w:rPr>
          <w:sz w:val="20"/>
          <w:szCs w:val="20"/>
          <w:color w:val="auto"/>
        </w:rPr>
      </w:pPr>
    </w:p>
    <w:p>
      <w:pPr>
        <w:ind w:left="4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51" w:lineRule="exact"/>
        <w:rPr>
          <w:sz w:val="20"/>
          <w:szCs w:val="20"/>
          <w:color w:val="auto"/>
        </w:rPr>
      </w:pPr>
    </w:p>
    <w:p>
      <w:pPr>
        <w:ind w:right="20" w:firstLine="416"/>
        <w:spacing w:after="0" w:line="252" w:lineRule="auto"/>
        <w:rPr>
          <w:sz w:val="20"/>
          <w:szCs w:val="20"/>
          <w:color w:val="auto"/>
        </w:rPr>
      </w:pPr>
      <w:r>
        <w:rPr>
          <w:rFonts w:ascii="Times New Roman" w:cs="Times New Roman" w:eastAsia="Times New Roman" w:hAnsi="Times New Roman"/>
          <w:sz w:val="18"/>
          <w:szCs w:val="18"/>
          <w:color w:val="auto"/>
        </w:rPr>
        <w:t>Our company is located in Delaware. Any unplanned event, such as flood, fire, explosion, earthquake, extreme weather condition, medical epidemic, including the ongoing COVID-19 pandemic, power shortage, telecommunication failure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For example, our operations are concentrated primarily on the east coast of the United States, and any adverse weather event or natural disaster, such as a hurricane or heavy snowstorm, could have a material adverse effect on a substantial portion of our operations. Extreme weather conditions or other natural disasters could further disrupt our operations, and have a material and adverse effect on our business, financial condition, results of operations and prospects. In addition, the long-term effects of climate change on general economic conditions and the pharmaceutical industry in particular are unclear, and may heighten or intensify existing risk of natural disasters.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42" w:lineRule="exact"/>
        <w:rPr>
          <w:sz w:val="20"/>
          <w:szCs w:val="20"/>
          <w:color w:val="auto"/>
        </w:rPr>
      </w:pPr>
    </w:p>
    <w:p>
      <w:pPr>
        <w:ind w:left="4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37"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94"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(particularly those generated in taxable years beginning after December 31, 2020)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(the Code) if we undergo, or have undergone, an “ownership change,” generally defined as a greater than 50 percentage point change (by value) in our equity ownership by certain stockholders over a three-year period. We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8" w:name="page59"/>
    <w:bookmarkEnd w:id="58"/>
    <w:p>
      <w:pPr>
        <w:ind w:right="60"/>
        <w:spacing w:after="0" w:line="253" w:lineRule="auto"/>
        <w:rPr>
          <w:sz w:val="20"/>
          <w:szCs w:val="20"/>
          <w:color w:val="auto"/>
        </w:rPr>
      </w:pPr>
      <w:r>
        <w:rPr>
          <w:rFonts w:ascii="Times New Roman" w:cs="Times New Roman" w:eastAsia="Times New Roman" w:hAnsi="Times New Roman"/>
          <w:sz w:val="18"/>
          <w:szCs w:val="18"/>
          <w:color w:val="auto"/>
        </w:rPr>
        <w:t>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in taxable years beginning after December 31, 2020,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339" w:lineRule="exact"/>
        <w:rPr>
          <w:sz w:val="20"/>
          <w:szCs w:val="20"/>
          <w:color w:val="auto"/>
        </w:rPr>
      </w:pPr>
    </w:p>
    <w:p>
      <w:pPr>
        <w:ind w:left="4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37"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79" w:lineRule="exact"/>
        <w:rPr>
          <w:sz w:val="20"/>
          <w:szCs w:val="20"/>
          <w:color w:val="auto"/>
        </w:rPr>
      </w:pPr>
    </w:p>
    <w:p>
      <w:pPr>
        <w:ind w:left="840" w:hanging="427"/>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17" w:lineRule="exact"/>
        <w:rPr>
          <w:rFonts w:ascii="Times New Roman" w:cs="Times New Roman" w:eastAsia="Times New Roman" w:hAnsi="Times New Roman"/>
          <w:sz w:val="18"/>
          <w:szCs w:val="18"/>
          <w:color w:val="auto"/>
        </w:rPr>
      </w:pPr>
    </w:p>
    <w:p>
      <w:pPr>
        <w:ind w:left="840" w:right="140" w:hanging="427"/>
        <w:spacing w:after="0" w:line="282" w:lineRule="auto"/>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53"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systems and personnel of any acquired businesses with our operations, systems and personnel;</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17" w:lineRule="exact"/>
        <w:rPr>
          <w:rFonts w:ascii="Times New Roman" w:cs="Times New Roman" w:eastAsia="Times New Roman" w:hAnsi="Times New Roman"/>
          <w:sz w:val="18"/>
          <w:szCs w:val="18"/>
          <w:color w:val="auto"/>
        </w:rPr>
      </w:pPr>
    </w:p>
    <w:p>
      <w:pPr>
        <w:ind w:left="840" w:hanging="427"/>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portfolio of investments may be subject to market, interest and credit risk that may reduce its value.</w:t>
      </w:r>
    </w:p>
    <w:p>
      <w:pPr>
        <w:spacing w:after="0" w:line="121"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auto"/>
        </w:rPr>
        <w:t>The value of our investments may decline due to increases in interest rates, downgrades of the bonds and other securities included in our commercial money market account portfolio and instability in the global financial markets that reduces the liquidity of securities included in our portfolio. In addition, the ongoing COVID-19 pandemic has and may continue to adversely affect the financial markets in some or all countries worldwide.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left="4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67" w:lineRule="exact"/>
        <w:rPr>
          <w:sz w:val="20"/>
          <w:szCs w:val="20"/>
          <w:color w:val="auto"/>
        </w:rPr>
      </w:pPr>
    </w:p>
    <w:p>
      <w:pPr>
        <w:ind w:right="440" w:firstLine="416"/>
        <w:spacing w:after="0" w:line="282" w:lineRule="auto"/>
        <w:rPr>
          <w:sz w:val="20"/>
          <w:szCs w:val="20"/>
          <w:color w:val="auto"/>
        </w:rPr>
      </w:pPr>
      <w:r>
        <w:rPr>
          <w:rFonts w:ascii="Times New Roman" w:cs="Times New Roman" w:eastAsia="Times New Roman" w:hAnsi="Times New Roman"/>
          <w:sz w:val="18"/>
          <w:szCs w:val="18"/>
          <w:color w:val="auto"/>
        </w:rPr>
        <w:t>Our success depends in large part on our ability to protect our proprietary technologies that we believe are important to our business, including pursuing, obtaining and maintaining patent protection in the United States and other countries intended to cover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9" w:name="page60"/>
    <w:bookmarkEnd w:id="59"/>
    <w:p>
      <w:pPr>
        <w:ind w:right="60"/>
        <w:spacing w:after="0" w:line="258" w:lineRule="auto"/>
        <w:rPr>
          <w:sz w:val="20"/>
          <w:szCs w:val="20"/>
          <w:color w:val="auto"/>
        </w:rPr>
      </w:pPr>
      <w:r>
        <w:rPr>
          <w:rFonts w:ascii="Times New Roman" w:cs="Times New Roman" w:eastAsia="Times New Roman" w:hAnsi="Times New Roman"/>
          <w:sz w:val="18"/>
          <w:szCs w:val="18"/>
          <w:color w:val="auto"/>
        </w:rPr>
        <w:t>the compositions of matter of our product candidates, for example, PRT543, PRT811, PRT1419, PRT2527, and PRT3645 their methods of use, related technologies and other inventions that are important to our business. In addition to patent protection, we also rely on trade secrets to protect aspects of our business that are not amenable to, or that we do not consider appropriate for, patent protection. If we do not adequately pursue, obtain, maintain, protect or enforce our intellectual property, third parties, including our competitors, may be able to erode or negate any competitive advantage we may have, which could harm our business and ability to achieve profitability.</w:t>
      </w:r>
    </w:p>
    <w:p>
      <w:pPr>
        <w:spacing w:after="0" w:line="183" w:lineRule="exact"/>
        <w:rPr>
          <w:sz w:val="20"/>
          <w:szCs w:val="20"/>
          <w:color w:val="auto"/>
        </w:rPr>
      </w:pPr>
    </w:p>
    <w:p>
      <w:pPr>
        <w:jc w:val="both"/>
        <w:ind w:right="60" w:firstLine="419"/>
        <w:spacing w:after="0" w:line="261" w:lineRule="auto"/>
        <w:rPr>
          <w:sz w:val="20"/>
          <w:szCs w:val="20"/>
          <w:color w:val="auto"/>
        </w:rPr>
      </w:pPr>
      <w:r>
        <w:rPr>
          <w:rFonts w:ascii="Times New Roman" w:cs="Times New Roman" w:eastAsia="Times New Roman" w:hAnsi="Times New Roman"/>
          <w:sz w:val="18"/>
          <w:szCs w:val="18"/>
          <w:color w:val="auto"/>
        </w:rPr>
        <w:t>To protect our proprietary position, we have currently filed patent applications in the United States related to our product candidates that we consider important to our business, including patent applications relating to compositions of matter covering our compounds, the processes for manufacturing such compounds and use of such compounds in therapies. We have also filed patent applications in foreign jurisdictions relating to PRT543, PRT811, PRT1419, and PRT2527.</w:t>
      </w:r>
    </w:p>
    <w:p>
      <w:pPr>
        <w:spacing w:after="0" w:line="180" w:lineRule="exact"/>
        <w:rPr>
          <w:sz w:val="20"/>
          <w:szCs w:val="20"/>
          <w:color w:val="auto"/>
        </w:rPr>
      </w:pPr>
    </w:p>
    <w:p>
      <w:pPr>
        <w:ind w:right="60" w:firstLine="419"/>
        <w:spacing w:after="0" w:line="255" w:lineRule="auto"/>
        <w:rPr>
          <w:sz w:val="20"/>
          <w:szCs w:val="20"/>
          <w:color w:val="auto"/>
        </w:rPr>
      </w:pPr>
      <w:r>
        <w:rPr>
          <w:rFonts w:ascii="Times New Roman" w:cs="Times New Roman" w:eastAsia="Times New Roman" w:hAnsi="Times New Roman"/>
          <w:sz w:val="18"/>
          <w:szCs w:val="18"/>
          <w:color w:val="auto"/>
        </w:rPr>
        <w:t>The patent application and approval process is expensive, time-consuming and complex. We may not be able to file, prosecute and maintain all necessary or desirable patent applications at a reasonable cost or in a timely manner or in all jurisdictions. We also cannot predict whether the patent applications we are currently pursuing will issue as patents in any particular jurisdictions. It is also possible that we will fail to identify patentable aspects of our research and development output before it is too late to obtain patent protection. Moreover, depending on the terms of any future license agreements to which we may become a party, we may not have the right to control the preparation, filing, and prosecution of patent applications, or to maintain the patents, covering technology licensed from third parties. Therefore, these patents and patent applications may not be prosecuted and enforced in a manner consistent with the best interests of our business.</w:t>
      </w:r>
    </w:p>
    <w:p>
      <w:pPr>
        <w:spacing w:after="0" w:line="189" w:lineRule="exact"/>
        <w:rPr>
          <w:sz w:val="20"/>
          <w:szCs w:val="20"/>
          <w:color w:val="auto"/>
        </w:rPr>
      </w:pPr>
    </w:p>
    <w:p>
      <w:pPr>
        <w:ind w:right="40" w:firstLine="419"/>
        <w:spacing w:after="0" w:line="253" w:lineRule="auto"/>
        <w:rPr>
          <w:sz w:val="20"/>
          <w:szCs w:val="20"/>
          <w:color w:val="auto"/>
        </w:rPr>
      </w:pPr>
      <w:r>
        <w:rPr>
          <w:rFonts w:ascii="Times New Roman" w:cs="Times New Roman" w:eastAsia="Times New Roman" w:hAnsi="Times New Roman"/>
          <w:sz w:val="18"/>
          <w:szCs w:val="18"/>
          <w:color w:val="auto"/>
        </w:rPr>
        <w:t>Furthermore, the patent position of biotechnology and pharmaceutical companies generally is highly uncertain. No consistent policy regarding the breadth of claims allowed in biotechnology and pharmaceutical patents has emerged to date in the United States or in many foreign jurisdictions. The standards applied by the United States Patent and Trademark Office, or the USPTO, and foreign patent offices in granting patents are not always applied uniformly or predictably. In addition, the determination of patent rights with respect to biological and pharmaceutical products commonly involves complex legal and factual questions, which have in recent years been the subject of much litigation. As a result, the issuance, scope, validity, enforceability and commercial value of our patent rights are highly uncertain. Thus, we cannot offer any assurances about which, if any, patents will issue, the breadth of any such patents, whether any issued patents will be found invalid and unenforceable or will be threatened by third parties or whether any issued patents will effectively prevent others from commercializing competing technologies and product candidates. While we have filed patent applications covering aspects of our current product candidates, we currently have four issued U.S. patents covering PRT543 that is expected to expire no earlier than August 9, 2038; three issued U.S. patents covering PRT811 that are expected to expire no earlier than March 14, 2039; and one issued U.S. patent covering PRT1419 that is expected to expire no earlier than November 8, 2039. We do not yet have issued patents on all of our product candidates.</w:t>
      </w:r>
    </w:p>
    <w:p>
      <w:pPr>
        <w:spacing w:after="0" w:line="219"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Our pending patent applications cannot be enforced against third parties practicing the technology claimed in such applications unless and until at least one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Since patent applications in the United States and most other countries are confidential for a period of time after filing, and some remain so until issued, we cannot be certain that we were the first to file or invent (prior to March 16, 2013) any patent application related to our product candidates. In addition, we enter into non-disclosure and confidentiality agreements with parties who have access to confidential or patentable aspects of our research and development output, such as our employees, collaborators, CROs, CMOs, hospitals, independent treatment centers, consultants, independent contractors, suppliers, advisors and other third parties; however, any of these parties may breach the agreements and disclose such output before a patent application is filed, thereby jeopardizing our ability to seek patent protection. Furthermore, if third parties have filed patent applications related to our product candidates or technology, we may not be able to obtain our own patent rights to those product candidates or technology.</w:t>
      </w:r>
    </w:p>
    <w:p>
      <w:pPr>
        <w:spacing w:after="0" w:line="217"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patents or pending patent applications may be challenged in the courts or patent offices in the United States and abroad. For example, we may be subject to a third-party pre-issuance submission of prior art to the USPTO or become involved in post-grant review procedures, oppositions, derivations, revocation, reexaminations, inter partes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0" w:name="page61"/>
    <w:bookmarkEnd w:id="60"/>
    <w:p>
      <w:pPr>
        <w:ind w:right="120"/>
        <w:spacing w:after="0" w:line="255" w:lineRule="auto"/>
        <w:rPr>
          <w:sz w:val="20"/>
          <w:szCs w:val="20"/>
          <w:color w:val="auto"/>
        </w:rPr>
      </w:pPr>
      <w:r>
        <w:rPr>
          <w:rFonts w:ascii="Times New Roman" w:cs="Times New Roman" w:eastAsia="Times New Roman" w:hAnsi="Times New Roman"/>
          <w:sz w:val="18"/>
          <w:szCs w:val="18"/>
          <w:color w:val="auto"/>
        </w:rPr>
        <w:t>infringing third-party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189"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Moreover, 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92" w:lineRule="exact"/>
        <w:rPr>
          <w:sz w:val="20"/>
          <w:szCs w:val="20"/>
          <w:color w:val="auto"/>
        </w:rPr>
      </w:pPr>
    </w:p>
    <w:p>
      <w:pPr>
        <w:ind w:right="160" w:firstLine="416"/>
        <w:spacing w:after="0" w:line="258" w:lineRule="auto"/>
        <w:rPr>
          <w:sz w:val="20"/>
          <w:szCs w:val="20"/>
          <w:color w:val="auto"/>
        </w:rPr>
      </w:pPr>
      <w:r>
        <w:rPr>
          <w:rFonts w:ascii="Times New Roman" w:cs="Times New Roman" w:eastAsia="Times New Roman" w:hAnsi="Times New Roman"/>
          <w:sz w:val="18"/>
          <w:szCs w:val="18"/>
          <w:color w:val="auto"/>
        </w:rPr>
        <w:t>Our pending and future patent applications may not result in patents being issued that protect our product candidates, in whole or in part, or which effectively prevent others from commercializing competitive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European patent law restricts the patentability of methods of treatment of the human body more than United States law does.</w:t>
      </w:r>
    </w:p>
    <w:p>
      <w:pPr>
        <w:spacing w:after="0" w:line="183"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Even if our patent applications issue as patents, they may not issue in a form that will provide us with any meaningful protection, prevent competitors or other third parties from competing with us or otherwise provide us with any competitive advantage. Moreover, the coverage claimed in a patent application can be significantly reduced before the patent is issued and its scope can be reinterpreted after issuance. Consequently, we do not know whether any of our product candidates will be protectable or remain protected by valid and enforceable patents. Our competitors and other third parties may be able to circumvent our patents by developing similar or alternative technologies or products in a non-infringing manner. Our competitors and other third parties may also seek approval to market their own products similar to or otherwise competitive with our products. Alternatively, our competitors or other third parties may seek to market generic versions or “follow-on” versions of any approved products by submitting abbreviated new drug applications, or ANDAs, or new drug applications under Section 505(b)(2) of the FDCA, respectively, to the FDA during which they may claim that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214" w:lineRule="exact"/>
        <w:rPr>
          <w:sz w:val="20"/>
          <w:szCs w:val="20"/>
          <w:color w:val="auto"/>
        </w:rPr>
      </w:pPr>
    </w:p>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Furthermore, future patents may be subject to a reservation of rights by one or more third parties. For example, to the extent the research resulting in future patent rights or technologies is funded in the future in part by the U.S. government, the government could have certain rights in any resulting patents and technology, including a non-exclusive license authorizing the government to use the invention or to have others use the invention on its behalf for non-commercial purposes. If the U.S. government then decides to exercise these rights, it is not required to engage us as its contractor in connection with doing so. These rights may also permit the government to disclose our confidential information to third parties and to exercise march-in rights to use or allow third parties to use our licensed technology. The government may also exercise its march-in rights if it determines that action is necessary because we failed to achieve practical application of the government-funded technology, because action is necessary to alleviate health or safety needs, to meet requirements of federal regulations, or to give preference to U.S. industry. In addition, our rights in such government-funded inventions may be subject to certain requirements to manufacture products embodying such inventions in the United States. Any exercise by the government of aforementioned proprietary rights could harm our competitive position, business, financial condition, results of operations, and prospects.</w:t>
      </w:r>
    </w:p>
    <w:p>
      <w:pPr>
        <w:spacing w:after="0" w:line="231" w:lineRule="exact"/>
        <w:rPr>
          <w:sz w:val="20"/>
          <w:szCs w:val="20"/>
          <w:color w:val="auto"/>
        </w:rPr>
      </w:pPr>
    </w:p>
    <w:p>
      <w:pPr>
        <w:ind w:left="4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1" w:name="page62"/>
    <w:bookmarkEnd w:id="61"/>
    <w:p>
      <w:pPr>
        <w:ind w:firstLine="416"/>
        <w:spacing w:after="0" w:line="252" w:lineRule="auto"/>
        <w:rPr>
          <w:sz w:val="20"/>
          <w:szCs w:val="20"/>
          <w:color w:val="auto"/>
        </w:rPr>
      </w:pPr>
      <w:r>
        <w:rPr>
          <w:rFonts w:ascii="Times New Roman" w:cs="Times New Roman" w:eastAsia="Times New Roman" w:hAnsi="Times New Roman"/>
          <w:sz w:val="18"/>
          <w:szCs w:val="18"/>
          <w:color w:val="auto"/>
        </w:rPr>
        <w:t>As is the case with other pharmaceutical companies, our success is heavily dependent on intellectual property, particularly patents. Obtaining and enforcing patents in the 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Recent patent reform legislation in the United States and other countries, including the Leahy-Smith America Invents Act, or the Leahy-Smith Act, signed into law in September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USPTO during patent prosecution and additional procedures to attack the validity of a patent by USPTO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future collaboration partners’ patent applications and the enforcement or defense of our or our future collaboration partners’ issued patents, all of which could harm our business, results of operations, financial condition and prospects.</w:t>
      </w:r>
    </w:p>
    <w:p>
      <w:pPr>
        <w:spacing w:after="0" w:line="181"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validity and enforceability of patents, once obtained. Additionally, there have been recent proposals for additional changes to the patent laws of the United States and other countries that, if adopted, could impact our ability to enforce our proprietary technology. Depending on future actions by the U.S. Congress, the U.S. courts, the USPTO and the relevant law-making bodies in other countries, the laws and regulations governing patents could change in unpredictable ways that could have a material adverse effect on our existing patent portfolio and weaken our ability to obtain new patents or to enforce our existing patents and patents that we might obtain in the future.</w:t>
      </w:r>
    </w:p>
    <w:p>
      <w:pPr>
        <w:spacing w:after="0" w:line="269" w:lineRule="exact"/>
        <w:rPr>
          <w:sz w:val="20"/>
          <w:szCs w:val="20"/>
          <w:color w:val="auto"/>
        </w:rPr>
      </w:pPr>
    </w:p>
    <w:p>
      <w:pPr>
        <w:ind w:left="4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or administrative disputes to protect or enforce our patents or other intellectual property, which could be expensive, time consuming and unsuccessful.</w:t>
      </w:r>
    </w:p>
    <w:p>
      <w:pPr>
        <w:spacing w:after="0" w:line="24" w:lineRule="exact"/>
        <w:rPr>
          <w:sz w:val="20"/>
          <w:szCs w:val="20"/>
          <w:color w:val="auto"/>
        </w:rPr>
      </w:pPr>
    </w:p>
    <w:p>
      <w:pPr>
        <w:ind w:right="160" w:firstLine="416"/>
        <w:spacing w:after="0" w:line="258"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patents, trademarks, copyrights, trade secrets or other intellectual property. To counter infringement, misappropriation or other violations, we may be required to file infringement, misappropriation or other violation claims, which can be expensive and time consuming and divert the time and attention of our management and business and scientific personnel. In addition, many of our adversaries in these proceedings may have the ability to dedicate substantially greater resources to prosecuting these legal actions than we can.</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05" w:right="399" w:bottom="1440" w:gutter="0" w:footer="0" w:header="0"/>
        </w:sectPr>
      </w:pPr>
    </w:p>
    <w:bookmarkStart w:id="62" w:name="page63"/>
    <w:bookmarkEnd w:id="62"/>
    <w:p>
      <w:pPr>
        <w:ind w:right="280" w:firstLine="416"/>
        <w:spacing w:after="0" w:line="258" w:lineRule="auto"/>
        <w:rPr>
          <w:sz w:val="20"/>
          <w:szCs w:val="20"/>
          <w:color w:val="auto"/>
        </w:rPr>
      </w:pPr>
      <w:r>
        <w:rPr>
          <w:rFonts w:ascii="Times New Roman" w:cs="Times New Roman" w:eastAsia="Times New Roman" w:hAnsi="Times New Roman"/>
          <w:sz w:val="18"/>
          <w:szCs w:val="18"/>
          <w:color w:val="auto"/>
        </w:rPr>
        <w:t>Any claims we assert against perceived infringers could provoke these parties to assert counterclaims against us alleging that we infringe, misappropriate or otherwise violate their patents or their other intellectual property, in addition to counterclaims asserting that our patents are invalid or unenforceable, or both. In patent litigation in the United States, counterclaims challenging the validity, enforceability or scope of asserted patents are commonplace. Similarly, third parties may initiate legal proceedings against us seeking a declaration that certain of our intellectual property is non-infringed, invalid or unenforceable. The outcome of any such proceeding is generally unpredictable.</w:t>
      </w:r>
    </w:p>
    <w:p>
      <w:pPr>
        <w:spacing w:after="0" w:line="183"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If a defendant were to prevail on a legal assertion of invalidity or unenforceability of our patents covering one of our product candidates, we could lose at least a part, and perhaps all, of the patent protection covering such a product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90"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92" w:lineRule="exact"/>
        <w:rPr>
          <w:sz w:val="20"/>
          <w:szCs w:val="20"/>
          <w:color w:val="auto"/>
        </w:rPr>
      </w:pPr>
    </w:p>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Furthermore, third parties may also raise invalidity or unenforceability claims before administrative bodies in the United States or foreign authorities, even outside the context of litigation. Such mechanisms include re-examination, inter partes review, post-grant review, interference proceedings, derivation proceedings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Such proceedings could result in revocation, cancellation or amendment to our patents in such a way that they no longer cover and protect our product candidates. The outcome following legal assertions of invalidity and unenforceability is unpredictable. Grounds for a validity challenge could be an alleged failure to meet any of several statutory requirements, including lack of novelty, obviousness, non-enablement or written description. Grounds for an unenforceability assertion could be an allegation that someone connected with the prosecution of the patent withheld relevant information from the USPTO, or made a misleading statement, during prosecution of the patent. With respect to the validity of our patents, for example, we cannot be certain that there is no invalidating prior art of which we, our licensors, our patent counsel and the patent examiner were unaware during prosecution. Moreover, it is possible that prior art may exist that we are aware of but do not believe is relevant to our current or future patents, but that could nevertheless be determined to render our patents invalid. If a third party were to prevail on a legal assertion of invalidity or unenforceability, we could lose at least part, and perhaps all, of the patent protection on one or more of our product candidates. Any such loss of patent protection could have a material adverse impact on our business, financial condition, results of operations and prospects.</w:t>
      </w:r>
    </w:p>
    <w:p>
      <w:pPr>
        <w:spacing w:after="0" w:line="3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protect or enforce our intellectual property and proprietary rights throughout the world.</w:t>
      </w:r>
    </w:p>
    <w:p>
      <w:pPr>
        <w:spacing w:after="0" w:line="135" w:lineRule="exact"/>
        <w:rPr>
          <w:sz w:val="20"/>
          <w:szCs w:val="20"/>
          <w:color w:val="auto"/>
        </w:rPr>
      </w:pPr>
    </w:p>
    <w:p>
      <w:pPr>
        <w:ind w:right="160" w:firstLine="416"/>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with respect to our product candidates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any future intellectual property license agreements may not always include worldwide rights. Consequently, competitors and other third parties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and where our ability to enforce our patents to stop infringing activities may be inadequate.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3" w:name="page64"/>
    <w:bookmarkEnd w:id="63"/>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These products may compete with our products in such territories and in jurisdictions where we do not have any patent rights or where any future patent claims or other intellectual property or proprietary rights may not be effective or sufficient to prevent them from competing with us, which could have a material adverse effect on our business, financial condition, results of operations and prospects.</w:t>
      </w:r>
    </w:p>
    <w:p>
      <w:pPr>
        <w:spacing w:after="0" w:line="203" w:lineRule="exact"/>
        <w:rPr>
          <w:sz w:val="20"/>
          <w:szCs w:val="20"/>
          <w:color w:val="auto"/>
        </w:rPr>
      </w:pPr>
    </w:p>
    <w:p>
      <w:pPr>
        <w:ind w:right="20" w:firstLine="416"/>
        <w:spacing w:after="0" w:line="252"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and proprietary rights may be adversely affected by unforeseen changes in foreign intellectual property laws. Additionally, the laws of some countries outside of the United States and Europe do not afford intellectual property protection to the same extent as the laws of the United States and Europe. Many companies have encountered significant problems in protecting and defending intellectual property and proprietary rights in certain foreign jurisdictions. The legal systems of some countries, including, for example, India, China and other developing countries, do not view favorably the enforcement of patents and other intellectual property or proprietary rights, particularly those relating to biotechnology products, which could make it difficult for us to stop the infringement, misappropriation or other violation of our patents or other intellectual property or proprietary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Proceedings to enforce our intellectual property and proprietary rights in foreign jurisdictions, whether or not successful, could result in substantial costs and divert our efforts and resources from other aspects of our business, could put our patents, trademarks or other intellectual property and proprietary rights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and proprietary rights in major markets for our products, we cannot ensure that we will be able to initiate or maintain similar efforts in all jurisdictions in which we may wish to market our products. Accordingly, our efforts to protect our intellectual property and proprietary rights in such countries may be inadequate.</w:t>
      </w:r>
    </w:p>
    <w:p>
      <w:pPr>
        <w:spacing w:after="0" w:line="242" w:lineRule="exact"/>
        <w:rPr>
          <w:sz w:val="20"/>
          <w:szCs w:val="20"/>
          <w:color w:val="auto"/>
        </w:rPr>
      </w:pPr>
    </w:p>
    <w:p>
      <w:pPr>
        <w:ind w:left="4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misappropriating or otherwise violating intellectual property or proprietary rights of third parties, such litigation or disputes could be costly and time consuming and could prevent or delay us from developing or commercializing our product candidates.</w:t>
      </w:r>
    </w:p>
    <w:p>
      <w:pPr>
        <w:spacing w:after="0" w:line="51" w:lineRule="exact"/>
        <w:rPr>
          <w:sz w:val="20"/>
          <w:szCs w:val="20"/>
          <w:color w:val="auto"/>
        </w:rPr>
      </w:pPr>
    </w:p>
    <w:p>
      <w:pPr>
        <w:ind w:right="40" w:firstLine="416"/>
        <w:spacing w:after="0" w:line="257"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technologies without infringing, misappropriating or otherwise violating the intellectual property and other proprietary rights of third parties. If any third-party patents, patent applications or other proprietary rights are found to cover our product candidates or any related companion diagnostics or their compositions, methods of use or manufacturing, we may be required to pay damages, which could be substantial, and we would not be free to manufacture or market our product candidates or to do so without obtaining a license, which may not be available on commercially reasonable terms, or at all.</w:t>
      </w:r>
    </w:p>
    <w:p>
      <w:pPr>
        <w:spacing w:after="0" w:line="200" w:lineRule="exact"/>
        <w:rPr>
          <w:sz w:val="20"/>
          <w:szCs w:val="20"/>
          <w:color w:val="auto"/>
        </w:rPr>
      </w:pPr>
    </w:p>
    <w:p>
      <w:pPr>
        <w:spacing w:after="0" w:line="204"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We may in the future become party to, or threatened with, adversarial proceedings or litigation regarding intellectual property or proprietary rights with respect to our product candidates and technologies we use in our business. Our competitors or other third parties may assert infringement claims against us, alleging that our product candidates are covered by their patents. We cannot be certain that we do not infringe existing patents or that we will not infringe patents that may be granted in the future. Furthermore, because patent applications can take many years to issue and may be confidential for 18 months or more after filing, and because patent claims can be revised before issuance, there may be applications now pending which may later result in issued patents that may be infringed by the manufacture, use or sale of our product candidates. If a patent holder believes our product candidate infringes its patent rights,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192"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or proprietary rights with respect to our product candidates, including interference proceedings before the USPTO. Third parties may assert infringement, misappropriation or other claims against us based on existing or future intellectual property or proprietary rights. The outcome of intellectual property litigation and other disputes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using or manufacturing products. The coverage of patents is subject to interpretation by the courts, and the interpretation is not always uniform. If we were sued for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4" w:name="page65"/>
    <w:bookmarkEnd w:id="64"/>
    <w:p>
      <w:pPr>
        <w:spacing w:after="0" w:line="254" w:lineRule="auto"/>
        <w:rPr>
          <w:sz w:val="20"/>
          <w:szCs w:val="20"/>
          <w:color w:val="auto"/>
        </w:rPr>
      </w:pPr>
      <w:r>
        <w:rPr>
          <w:rFonts w:ascii="Times New Roman" w:cs="Times New Roman" w:eastAsia="Times New Roman" w:hAnsi="Times New Roman"/>
          <w:sz w:val="18"/>
          <w:szCs w:val="18"/>
          <w:color w:val="auto"/>
        </w:rPr>
        <w:t>patent infringement, we would need to demonstrate that our product candidates, products or methods of use, manufacturing or other applicable activities either do not infringe the patent claims of the relevant patent or that the patent claims are invalid or unenforceable, and we may not be successful in doing so. However, proving invalidity or unenforceability is difficult. For example, in the United States, proving invalidity requires a showing of clear and convincing evidence to overcome the presumption of validity enjoyed by issued patents. Even if we believe third-party intellectual property claims are without merit, there is no assurance that a court would find in our favor on questions of infringement, validity, or enforceability. Even if we are successful in these proceedings, we may incur substantial costs and the time and attention of our management and business and scientific personnel could be diverted in pursuing these proceedings, which could significantly harm our business and operating results. In addition, we may not have sufficient resources to bring these actions to a successful conclusion.</w:t>
      </w:r>
    </w:p>
    <w:p>
      <w:pPr>
        <w:spacing w:after="0" w:line="192" w:lineRule="exact"/>
        <w:rPr>
          <w:sz w:val="20"/>
          <w:szCs w:val="20"/>
          <w:color w:val="auto"/>
        </w:rPr>
      </w:pPr>
    </w:p>
    <w:p>
      <w:pPr>
        <w:ind w:right="140" w:firstLine="416"/>
        <w:spacing w:after="0" w:line="253" w:lineRule="auto"/>
        <w:rPr>
          <w:sz w:val="20"/>
          <w:szCs w:val="20"/>
          <w:color w:val="auto"/>
        </w:rPr>
      </w:pPr>
      <w:r>
        <w:rPr>
          <w:rFonts w:ascii="Times New Roman" w:cs="Times New Roman" w:eastAsia="Times New Roman" w:hAnsi="Times New Roman"/>
          <w:sz w:val="18"/>
          <w:szCs w:val="18"/>
          <w:color w:val="auto"/>
        </w:rPr>
        <w:t>If we are found to infringe, misappropriate or otherwise violate a third party’s intellectual property or proprietary rights and we are unsuccessful in demonstrating that such intellectual property or proprietary rights are invalid or unenforceable,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In addition, we could be found liable for significant monetary damages, including treble damages and attorneys’ fees if we are found to have willfully infringed such third-party patent rights.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98" w:lineRule="exact"/>
        <w:rPr>
          <w:sz w:val="20"/>
          <w:szCs w:val="20"/>
          <w:color w:val="auto"/>
        </w:rPr>
      </w:pPr>
    </w:p>
    <w:p>
      <w:pPr>
        <w:ind w:left="4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consultants or we have misappropriated their intellectual property, or claiming ownership of what we regard as our own intellectual property.</w:t>
      </w:r>
    </w:p>
    <w:p>
      <w:pPr>
        <w:spacing w:after="0" w:line="51" w:lineRule="exact"/>
        <w:rPr>
          <w:sz w:val="20"/>
          <w:szCs w:val="20"/>
          <w:color w:val="auto"/>
        </w:rPr>
      </w:pPr>
    </w:p>
    <w:p>
      <w:pPr>
        <w:ind w:right="40" w:firstLine="416"/>
        <w:spacing w:after="0" w:line="253" w:lineRule="auto"/>
        <w:rPr>
          <w:sz w:val="20"/>
          <w:szCs w:val="20"/>
          <w:color w:val="auto"/>
        </w:rPr>
      </w:pPr>
      <w:r>
        <w:rPr>
          <w:rFonts w:ascii="Times New Roman" w:cs="Times New Roman" w:eastAsia="Times New Roman" w:hAnsi="Times New Roman"/>
          <w:sz w:val="18"/>
          <w:szCs w:val="18"/>
          <w:color w:val="auto"/>
        </w:rPr>
        <w:t>Some of our employees and consultants are currently or have been previously employed at universities or at other biotechnology or pharmaceutical companies, including our competitors or potential competitors. These employees and consultants may have executed proprietary rights, non-disclosure and non-competition agreements, or similar agreements, in connection with such other current or previous employment.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third parties. Litigation may be necessary to defend against such claims. If we fail in defending any such claims, in addition to paying monetary damages, we may lose valuable intellectual property or personnel or sustain damages. Such intellectual property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our management. Any of the foregoing would have a material adverse effect on our business, financial condition, results of operations and prospects.</w:t>
      </w:r>
    </w:p>
    <w:p>
      <w:pPr>
        <w:spacing w:after="0" w:line="194"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which may result in claims by or against us related to the ownership of such intellectual property. In addition, such agreements may not be self-executing such that the intellectual property subject to such agreements may not be assigned to us without additional assignments being executed, and we may fail to obtain such assignments. In addition, such agreements may be breached. In addition, we have multiple sponsored research agreements relating to our lead product candidates with various academic institutions. Some of these academic institutions may not have intellectual property assignments or similar agreements with their employees and consultants, which may result in claims by or against us related to ownership of any intellectual property. Accordingly, we may be forced to bring claims against third parties, or defend claims that they may bring against us to determine the ownership of what we regard as our intellectual property. If we fail in prosecuting or defending any such claims, in addition to paying monetary damages, we may lose valuable intellectual property. Even if we are successful in prosecuting or defending against such claims, litigation could result in substantial costs and be a distraction to our senior management and scientific personnel, which would have a material adverse effect on our business, financial condition, results of operations and prospects.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Rights to improvements to our product candidates may be held by third parties.</w:t>
      </w:r>
    </w:p>
    <w:p>
      <w:pPr>
        <w:spacing w:after="0" w:line="121"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In the course of testing our product candidates, we have entered into agreements with third parties to conduct clinical testing, which provide that improvements to our product candidates may be owned solely by a party or jointly between the parties. If we determine that rights to such improvements owned solely by a third party are necessary to commercialize our product candidates or maintain our competitive advantage, we may need to obtain a license from such third party in order to use the improvements and continue developing, manufacturing or marketing the product candidates.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Failure to obtain a license on commercially reasonable terms or at all, or to obtain an exclusive license, could prevent us from commercializing our product candidates or force us to cease some of our business operations, which could materially harm our business. If we determine that rights to improvements jointly owned between us and a third party are necessary to commercialize our product candidates or maintain our competitive advantage, we may need to obtain an exclusive license from such third party. If we are unable to obtain an exclusive license to any such third-party co-owners’ interest in such improvements, such co-owners may be able to license their rights to other third parties, including our competitors, and our competitors could market competing products and technology. In addition, we may need the cooperation of any such co-owners of our intellectual property in order to enforce such intellectual property against third parties, and such cooperation may not be provided to us. Any of the foregoing could have a material adverse effect on our competitive position, business, financial conditions, results of operations, and prospects.</w:t>
      </w:r>
    </w:p>
    <w:p>
      <w:pPr>
        <w:spacing w:after="0" w:line="3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term of our patents may be inadequate to protect our competitive position on our products.</w:t>
      </w:r>
    </w:p>
    <w:p>
      <w:pPr>
        <w:spacing w:after="0" w:line="121" w:lineRule="exact"/>
        <w:rPr>
          <w:sz w:val="20"/>
          <w:szCs w:val="20"/>
          <w:color w:val="auto"/>
        </w:rPr>
      </w:pPr>
    </w:p>
    <w:p>
      <w:pPr>
        <w:ind w:right="80" w:firstLine="416"/>
        <w:spacing w:after="0" w:line="252"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other factors relating to any FDA marketing approval we receive for any of our product candidates, one or more of our U.S. patents may be eligible for limited patent term extension under the Drug Price Competition and Patent Term Restoration Action of 1984, or the Hatch- Waxman Amendments. We expect to seek extensions of patent terms in the United States and, if available, in other countries where we are prosecuting patents. In the United States, the Hatch-Waxman Amendments permit a patent term extension of up to five years beyond the normal expiration of the patent, limited to the approved indication (or any additional indications approved during the period of extension), as compensation for patent term lost to the regulatory review process during which the sponsor was unable to commercially market its new product. A patent term extension cannot extend the remaining term of a patent beyond a total of 14 years from the date of product approval, only one patent applicable to an approved drug is eligible for the extension and only those claims covering the approved drug, a method for using it, or a method for manufacturing it may be extended, and the application for the extension must be submitted prior to the expiration of the patent. However, the applicable authorities, including the FDA and the USPTO in the United States, and any equivalent regulatory authority in other countries, may not agree with our assessment of whether such extensions are available for our patents, may refuse to grant extensions to our patents, or may grant more limited extensions than we request.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patent term extension or the term of any such extension is less than we request, our competitors and other third parties may be able to obtain approval of competing products following our patent expiration and take advantage of our investment in development and clinical trials by referencing our clinical and preclinical data and launch their product earlier than might otherwise be the case. Any of the foregoing would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66" w:name="page67"/>
    <w:bookmarkEnd w:id="66"/>
    <w:p>
      <w:pPr>
        <w:ind w:left="4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67" w:lineRule="exact"/>
        <w:rPr>
          <w:sz w:val="20"/>
          <w:szCs w:val="20"/>
          <w:color w:val="auto"/>
        </w:rPr>
      </w:pPr>
    </w:p>
    <w:p>
      <w:pPr>
        <w:ind w:right="40" w:firstLine="416"/>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In the future, we may rely on licensing partners to pay these fees due to U.S. and non-U.S. patent agencies and to comply with these other requirements with respect to any future licensed patents and patent applications. While an inadvertent lapse can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and other third parties might be able to enter the market with similar or identical products of technology, which would have a material adverse effect on our business, financial condition, results of operations and prospects.</w:t>
      </w:r>
    </w:p>
    <w:p>
      <w:pPr>
        <w:spacing w:after="0" w:line="200" w:lineRule="exact"/>
        <w:rPr>
          <w:sz w:val="20"/>
          <w:szCs w:val="20"/>
          <w:color w:val="auto"/>
        </w:rPr>
      </w:pPr>
    </w:p>
    <w:p>
      <w:pPr>
        <w:spacing w:after="0" w:line="314" w:lineRule="exact"/>
        <w:rPr>
          <w:sz w:val="20"/>
          <w:szCs w:val="20"/>
          <w:color w:val="auto"/>
        </w:rPr>
      </w:pPr>
    </w:p>
    <w:p>
      <w:pPr>
        <w:ind w:left="4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would be harmed.</w:t>
      </w:r>
    </w:p>
    <w:p>
      <w:pPr>
        <w:spacing w:after="0" w:line="51"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We rely on proprietary know-how and trade secret protection and confidentiality agreements to protect proprietary know-how or trade secrets that are not patentable or that we elect not to patent. We seek to protect our trade secrets and proprietary know-how in part by entering into non-disclosure and confidentiality agreements with parties who have access to such knowledge, such as our employees, consultants, independent contractors, advisors, CMOs, CROs, hospitals, independent treatment centers, suppliers, collaborators and other third parties. We also enter into confidentiality and invention or patent assignment agreements with employees and certain consultants. However, we cannot guarantee that we have entered into such agreements with each party that may have or have had access to our trade secrets or proprietary know-how. Additionally, our confidentiality agreements and other contractual protections may not be adequate to protect our intellectual property from unauthorized disclosure, third-party infringement or misappropriation.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or other third party, we would have no right to prevent such third party, or those to whom they communicate such technology or information, from using that technology or information to compete with us. If any of our trade secrets were to be disclosed to or independently developed by a competitor or other third party, our business, financial condition, results of operations and prospects our business and competitive position could be materially harmed.</w:t>
      </w:r>
    </w:p>
    <w:p>
      <w:pPr>
        <w:spacing w:after="0" w:line="200" w:lineRule="exact"/>
        <w:rPr>
          <w:sz w:val="20"/>
          <w:szCs w:val="20"/>
          <w:color w:val="auto"/>
        </w:rPr>
      </w:pP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120" w:firstLine="416"/>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820" w:right="160" w:hanging="407"/>
        <w:spacing w:after="0" w:line="282"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similar to any product candidates we may develop or utilize similarly related technologies that are not covered by the claims of the patents that we may license or may own in the future;</w:t>
      </w:r>
    </w:p>
    <w:p>
      <w:pPr>
        <w:spacing w:after="0" w:line="53" w:lineRule="exact"/>
        <w:rPr>
          <w:rFonts w:ascii="Times New Roman" w:cs="Times New Roman" w:eastAsia="Times New Roman" w:hAnsi="Times New Roman"/>
          <w:sz w:val="18"/>
          <w:szCs w:val="18"/>
          <w:color w:val="auto"/>
        </w:rPr>
      </w:pPr>
    </w:p>
    <w:p>
      <w:pPr>
        <w:ind w:left="820" w:right="320" w:hanging="407"/>
        <w:spacing w:after="0" w:line="282"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license partners or current or future collaborators, might not have been the first to make the inventions covered by the issued patent or pending patent application that we license or may own in the future;</w:t>
      </w:r>
    </w:p>
    <w:p>
      <w:pPr>
        <w:spacing w:after="0" w:line="53" w:lineRule="exact"/>
        <w:rPr>
          <w:rFonts w:ascii="Times New Roman" w:cs="Times New Roman" w:eastAsia="Times New Roman" w:hAnsi="Times New Roman"/>
          <w:sz w:val="18"/>
          <w:szCs w:val="18"/>
          <w:color w:val="auto"/>
        </w:rPr>
      </w:pPr>
    </w:p>
    <w:p>
      <w:pPr>
        <w:ind w:left="820" w:right="120" w:hanging="407"/>
        <w:spacing w:after="0" w:line="282"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license partners or current or future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820" w:right="100" w:hanging="407"/>
        <w:spacing w:after="0" w:line="281"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any of our owned or licensed intellectual property rights;</w:t>
      </w:r>
    </w:p>
    <w:p>
      <w:pPr>
        <w:spacing w:after="0" w:line="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own in the future will not lead to issued patents;</w:t>
      </w:r>
    </w:p>
    <w:p>
      <w:pPr>
        <w:spacing w:after="0" w:line="157" w:lineRule="exact"/>
        <w:rPr>
          <w:rFonts w:ascii="Times New Roman" w:cs="Times New Roman" w:eastAsia="Times New Roman" w:hAnsi="Times New Roman"/>
          <w:sz w:val="18"/>
          <w:szCs w:val="18"/>
          <w:color w:val="auto"/>
        </w:rPr>
      </w:pPr>
    </w:p>
    <w:p>
      <w:pPr>
        <w:ind w:left="820" w:right="100" w:hanging="407"/>
        <w:spacing w:after="0" w:line="282"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67" w:name="page68"/>
    <w:bookmarkEnd w:id="67"/>
    <w:p>
      <w:pPr>
        <w:ind w:left="820" w:right="20" w:hanging="407"/>
        <w:spacing w:after="0" w:line="282" w:lineRule="auto"/>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4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9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57" w:lineRule="exact"/>
        <w:rPr>
          <w:rFonts w:ascii="Times New Roman" w:cs="Times New Roman" w:eastAsia="Times New Roman" w:hAnsi="Times New Roman"/>
          <w:sz w:val="18"/>
          <w:szCs w:val="18"/>
          <w:color w:val="auto"/>
        </w:rPr>
      </w:pPr>
    </w:p>
    <w:p>
      <w:pPr>
        <w:ind w:left="820" w:right="260" w:hanging="407"/>
        <w:spacing w:after="0" w:line="282" w:lineRule="auto"/>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 how, and a third party may subsequently file a patent covering such intellectual property.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90" w:lineRule="exact"/>
        <w:rPr>
          <w:sz w:val="20"/>
          <w:szCs w:val="20"/>
          <w:color w:val="auto"/>
        </w:rPr>
      </w:pPr>
    </w:p>
    <w:p>
      <w:pPr>
        <w:ind w:left="4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and liquid trading market for our common stock may never be sustained. As a result, you may not be able to resell your shares of common stock at or above the purchase price.</w:t>
      </w:r>
    </w:p>
    <w:p>
      <w:pPr>
        <w:spacing w:after="0" w:line="37" w:lineRule="exact"/>
        <w:rPr>
          <w:sz w:val="20"/>
          <w:szCs w:val="20"/>
          <w:color w:val="auto"/>
        </w:rPr>
      </w:pPr>
    </w:p>
    <w:p>
      <w:pPr>
        <w:ind w:right="100" w:firstLine="416"/>
        <w:spacing w:after="0" w:line="256" w:lineRule="auto"/>
        <w:rPr>
          <w:sz w:val="20"/>
          <w:szCs w:val="20"/>
          <w:color w:val="auto"/>
        </w:rPr>
      </w:pPr>
      <w:r>
        <w:rPr>
          <w:rFonts w:ascii="Times New Roman" w:cs="Times New Roman" w:eastAsia="Times New Roman" w:hAnsi="Times New Roman"/>
          <w:sz w:val="18"/>
          <w:szCs w:val="18"/>
          <w:color w:val="auto"/>
        </w:rPr>
        <w:t>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143" w:lineRule="exact"/>
        <w:rPr>
          <w:sz w:val="20"/>
          <w:szCs w:val="20"/>
          <w:color w:val="auto"/>
        </w:rPr>
      </w:pPr>
    </w:p>
    <w:p>
      <w:pPr>
        <w:ind w:left="4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37" w:lineRule="exact"/>
        <w:rPr>
          <w:sz w:val="20"/>
          <w:szCs w:val="20"/>
          <w:color w:val="auto"/>
        </w:rPr>
      </w:pPr>
    </w:p>
    <w:p>
      <w:pPr>
        <w:ind w:right="120" w:firstLine="416"/>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40" w:lineRule="exact"/>
        <w:rPr>
          <w:sz w:val="20"/>
          <w:szCs w:val="20"/>
          <w:color w:val="auto"/>
        </w:rPr>
      </w:pPr>
    </w:p>
    <w:p>
      <w:pPr>
        <w:ind w:left="820" w:right="460" w:hanging="407"/>
        <w:spacing w:after="0" w:line="282"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planned and ongoing development of our product candidates or future development programs, including scale-up CMC expenses;</w:t>
      </w:r>
    </w:p>
    <w:p>
      <w:pPr>
        <w:spacing w:after="0" w:line="26" w:lineRule="exact"/>
        <w:rPr>
          <w:rFonts w:ascii="Times New Roman" w:cs="Times New Roman" w:eastAsia="Times New Roman" w:hAnsi="Times New Roman"/>
          <w:sz w:val="18"/>
          <w:szCs w:val="18"/>
          <w:color w:val="auto"/>
        </w:rPr>
      </w:pPr>
    </w:p>
    <w:p>
      <w:pPr>
        <w:ind w:left="820" w:hanging="407"/>
        <w:spacing w:after="0" w:line="282"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the addition or termination of future preclinical or clinical trials or funding support by us, or future collaborators or licensing partners;</w:t>
      </w:r>
    </w:p>
    <w:p>
      <w:pPr>
        <w:spacing w:after="0" w:line="40" w:lineRule="exact"/>
        <w:rPr>
          <w:rFonts w:ascii="Times New Roman" w:cs="Times New Roman" w:eastAsia="Times New Roman" w:hAnsi="Times New Roman"/>
          <w:sz w:val="18"/>
          <w:szCs w:val="18"/>
          <w:color w:val="auto"/>
        </w:rPr>
      </w:pPr>
    </w:p>
    <w:p>
      <w:pPr>
        <w:ind w:left="820" w:right="80" w:hanging="407"/>
        <w:spacing w:after="0" w:line="282"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4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9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03" w:lineRule="exact"/>
        <w:rPr>
          <w:rFonts w:ascii="Times New Roman" w:cs="Times New Roman" w:eastAsia="Times New Roman" w:hAnsi="Times New Roman"/>
          <w:sz w:val="18"/>
          <w:szCs w:val="18"/>
          <w:color w:val="auto"/>
        </w:rPr>
      </w:pPr>
    </w:p>
    <w:p>
      <w:pPr>
        <w:ind w:left="820" w:right="340" w:hanging="407"/>
        <w:spacing w:after="0" w:line="282"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40" w:lineRule="exact"/>
        <w:rPr>
          <w:rFonts w:ascii="Times New Roman" w:cs="Times New Roman" w:eastAsia="Times New Roman" w:hAnsi="Times New Roman"/>
          <w:sz w:val="18"/>
          <w:szCs w:val="18"/>
          <w:color w:val="auto"/>
        </w:rPr>
      </w:pPr>
    </w:p>
    <w:p>
      <w:pPr>
        <w:ind w:left="820" w:right="520" w:hanging="407"/>
        <w:spacing w:after="0" w:line="282"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3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 such as due to the ongoing COVID-19 pandemic.</w:t>
      </w:r>
    </w:p>
    <w:p>
      <w:pPr>
        <w:spacing w:after="0" w:line="239" w:lineRule="exact"/>
        <w:rPr>
          <w:sz w:val="20"/>
          <w:szCs w:val="20"/>
          <w:color w:val="auto"/>
        </w:rPr>
      </w:pPr>
    </w:p>
    <w:p>
      <w:pPr>
        <w:ind w:right="140" w:firstLine="416"/>
        <w:spacing w:after="0" w:line="261"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68" w:name="page69"/>
    <w:bookmarkEnd w:id="68"/>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likely to be highly volatile, which could result in substantial losses for purchasers of our common stock.</w:t>
      </w:r>
    </w:p>
    <w:p>
      <w:pPr>
        <w:spacing w:after="0" w:line="121"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has been highly volatile since our initial public offering, or IPO. From June 30, 2021 to June 30, 2022, the closing price of common stock on the Nasdaq Global Select Market has ranged from $4.00 to $38.65 per share. The market price of our common stock is likely to continue to be highly volatile and subject to wide fluctuations in response to various factors, some of which we cannot control. As a result of this volatility, investors may not be able to sell their common stock at or above the price paid. The market price for our common stock may be influenced by many factors, including the other risks described in this section of this Quarterly Report on Form 10-Q and the following:</w:t>
      </w:r>
    </w:p>
    <w:p>
      <w:pPr>
        <w:spacing w:after="0" w:line="75" w:lineRule="exact"/>
        <w:rPr>
          <w:sz w:val="20"/>
          <w:szCs w:val="20"/>
          <w:color w:val="auto"/>
        </w:rPr>
      </w:pPr>
    </w:p>
    <w:p>
      <w:pPr>
        <w:ind w:left="820" w:right="140" w:hanging="407"/>
        <w:spacing w:after="0" w:line="282" w:lineRule="auto"/>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or results of clinical trials of our product candidates, or those of our competitors or our future collaborators, or changes in the development status of our product candidates;</w:t>
      </w:r>
    </w:p>
    <w:p>
      <w:pPr>
        <w:spacing w:after="0" w:line="53" w:lineRule="exact"/>
        <w:rPr>
          <w:rFonts w:ascii="Times New Roman" w:cs="Times New Roman" w:eastAsia="Times New Roman" w:hAnsi="Times New Roman"/>
          <w:sz w:val="18"/>
          <w:szCs w:val="18"/>
          <w:color w:val="auto"/>
        </w:rPr>
      </w:pPr>
    </w:p>
    <w:p>
      <w:pPr>
        <w:ind w:left="820" w:right="220" w:hanging="407"/>
        <w:spacing w:after="0" w:line="282" w:lineRule="auto"/>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product candidates;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30" w:lineRule="exact"/>
        <w:rPr>
          <w:rFonts w:ascii="Times New Roman" w:cs="Times New Roman" w:eastAsia="Times New Roman" w:hAnsi="Times New Roman"/>
          <w:sz w:val="18"/>
          <w:szCs w:val="18"/>
          <w:color w:val="auto"/>
        </w:rPr>
      </w:pPr>
    </w:p>
    <w:p>
      <w:pPr>
        <w:ind w:left="820" w:right="280" w:hanging="407"/>
        <w:spacing w:after="0" w:line="282" w:lineRule="auto"/>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future commercialization partners, or our competitors, and the timing of these introductions or announcements;</w:t>
      </w:r>
    </w:p>
    <w:p>
      <w:pPr>
        <w:spacing w:after="0" w:line="54" w:lineRule="exact"/>
        <w:rPr>
          <w:sz w:val="20"/>
          <w:szCs w:val="20"/>
          <w:color w:val="auto"/>
        </w:rPr>
      </w:pPr>
    </w:p>
    <w:p>
      <w:pPr>
        <w:ind w:left="420" w:right="180"/>
        <w:spacing w:after="0" w:line="375" w:lineRule="auto"/>
        <w:rPr>
          <w:sz w:val="20"/>
          <w:szCs w:val="20"/>
          <w:color w:val="auto"/>
        </w:rPr>
      </w:pPr>
      <w:r>
        <w:rPr>
          <w:rFonts w:ascii="Times New Roman" w:cs="Times New Roman" w:eastAsia="Times New Roman" w:hAnsi="Times New Roman"/>
          <w:sz w:val="18"/>
          <w:szCs w:val="18"/>
          <w:color w:val="auto"/>
        </w:rPr>
        <w:t>• actions taken by regulatory agencies with respect to our products, clinical studies, manufacturing process or sales and marketing terms; • actual or anticipated variations in our financial results or those of companies that are perceived to be similar to us;</w:t>
      </w:r>
    </w:p>
    <w:p>
      <w:pPr>
        <w:spacing w:after="0" w:line="1" w:lineRule="exact"/>
        <w:rPr>
          <w:sz w:val="20"/>
          <w:szCs w:val="20"/>
          <w:color w:val="auto"/>
        </w:rPr>
      </w:pPr>
    </w:p>
    <w:p>
      <w:pPr>
        <w:ind w:left="820" w:hanging="407"/>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future collaborations, including but not limited to those with development and commercialization partners;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44"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17" w:lineRule="exact"/>
        <w:rPr>
          <w:sz w:val="20"/>
          <w:szCs w:val="20"/>
          <w:color w:val="auto"/>
        </w:rPr>
      </w:pPr>
    </w:p>
    <w:p>
      <w:pPr>
        <w:ind w:left="820" w:right="80" w:hanging="407"/>
        <w:spacing w:after="0" w:line="282" w:lineRule="auto"/>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 candidates and products;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3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3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44" w:lineRule="exact"/>
        <w:rPr>
          <w:rFonts w:ascii="Times New Roman" w:cs="Times New Roman" w:eastAsia="Times New Roman" w:hAnsi="Times New Roman"/>
          <w:sz w:val="18"/>
          <w:szCs w:val="18"/>
          <w:color w:val="auto"/>
        </w:rPr>
      </w:pPr>
    </w:p>
    <w:p>
      <w:pPr>
        <w:ind w:left="820" w:right="320" w:hanging="407"/>
        <w:spacing w:after="0" w:line="282" w:lineRule="auto"/>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4"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sz w:val="20"/>
          <w:szCs w:val="20"/>
          <w:color w:val="auto"/>
        </w:rPr>
      </w:pPr>
    </w:p>
    <w:p>
      <w:pPr>
        <w:ind w:left="820" w:hanging="407"/>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fluctuations of trading volume of our common stock;</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insiders or our stockholders;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 (including the current conflict in Ukraine);</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and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69" w:name="page70"/>
    <w:bookmarkEnd w:id="69"/>
    <w:p>
      <w:pPr>
        <w:ind w:left="820" w:hanging="407"/>
        <w:spacing w:after="0" w:line="282" w:lineRule="auto"/>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or other events or factors, many of which are beyond our control, such as the ongoing COVID-19 pandemic.</w:t>
      </w:r>
    </w:p>
    <w:p>
      <w:pPr>
        <w:spacing w:after="0" w:line="162" w:lineRule="exact"/>
        <w:rPr>
          <w:sz w:val="20"/>
          <w:szCs w:val="20"/>
          <w:color w:val="auto"/>
        </w:rPr>
      </w:pPr>
    </w:p>
    <w:p>
      <w:pPr>
        <w:ind w:right="160" w:firstLine="416"/>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39" w:lineRule="exact"/>
        <w:rPr>
          <w:sz w:val="20"/>
          <w:szCs w:val="20"/>
          <w:color w:val="auto"/>
        </w:rPr>
      </w:pPr>
    </w:p>
    <w:p>
      <w:pPr>
        <w:ind w:left="4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51" w:lineRule="exact"/>
        <w:rPr>
          <w:sz w:val="20"/>
          <w:szCs w:val="20"/>
          <w:color w:val="auto"/>
        </w:rPr>
      </w:pPr>
    </w:p>
    <w:p>
      <w:pPr>
        <w:ind w:right="40" w:firstLine="416"/>
        <w:spacing w:after="0" w:line="266" w:lineRule="auto"/>
        <w:rPr>
          <w:sz w:val="20"/>
          <w:szCs w:val="20"/>
          <w:color w:val="auto"/>
        </w:rPr>
      </w:pPr>
      <w:r>
        <w:rPr>
          <w:rFonts w:ascii="Times New Roman" w:cs="Times New Roman" w:eastAsia="Times New Roman" w:hAnsi="Times New Roman"/>
          <w:sz w:val="18"/>
          <w:szCs w:val="18"/>
          <w:color w:val="auto"/>
        </w:rPr>
        <w:t>As of June 30, 2022, our executive officers, directors, beneficial owners of 5% or more of our capital stock and their respective affiliates beneficially owned a substantial portion of our common stock. The voting power of this group may increase to the extent they convert shares of non-voting common stock they hold into common stock.</w:t>
      </w:r>
    </w:p>
    <w:p>
      <w:pPr>
        <w:spacing w:after="0" w:line="176" w:lineRule="exact"/>
        <w:rPr>
          <w:sz w:val="20"/>
          <w:szCs w:val="20"/>
          <w:color w:val="auto"/>
        </w:rPr>
      </w:pPr>
    </w:p>
    <w:p>
      <w:pPr>
        <w:ind w:right="140" w:firstLine="416"/>
        <w:spacing w:after="0" w:line="256" w:lineRule="auto"/>
        <w:rPr>
          <w:sz w:val="20"/>
          <w:szCs w:val="20"/>
          <w:color w:val="auto"/>
        </w:rPr>
      </w:pPr>
      <w:r>
        <w:rPr>
          <w:rFonts w:ascii="Times New Roman" w:cs="Times New Roman" w:eastAsia="Times New Roman" w:hAnsi="Times New Roman"/>
          <w:sz w:val="18"/>
          <w:szCs w:val="18"/>
          <w:color w:val="auto"/>
        </w:rPr>
        <w:t>This group of stockholders have the ability to control us through this ownership position and are able to determine all matters requiring stockholder approval. For example, these stockholders are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16" w:lineRule="exact"/>
        <w:rPr>
          <w:sz w:val="20"/>
          <w:szCs w:val="20"/>
          <w:color w:val="auto"/>
        </w:rPr>
      </w:pPr>
    </w:p>
    <w:p>
      <w:pPr>
        <w:ind w:left="4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limit your ability to influence corporate matters and may limit your visibility with respect to certain transactions.</w:t>
      </w:r>
    </w:p>
    <w:p>
      <w:pPr>
        <w:spacing w:after="0" w:line="51" w:lineRule="exact"/>
        <w:rPr>
          <w:sz w:val="20"/>
          <w:szCs w:val="20"/>
          <w:color w:val="auto"/>
        </w:rPr>
      </w:pPr>
    </w:p>
    <w:p>
      <w:pPr>
        <w:ind w:right="100" w:firstLine="416"/>
        <w:spacing w:after="0" w:line="253" w:lineRule="auto"/>
        <w:rPr>
          <w:sz w:val="20"/>
          <w:szCs w:val="20"/>
          <w:color w:val="auto"/>
        </w:rPr>
      </w:pPr>
      <w:r>
        <w:rPr>
          <w:rFonts w:ascii="Times New Roman" w:cs="Times New Roman" w:eastAsia="Times New Roman" w:hAnsi="Times New Roman"/>
          <w:sz w:val="18"/>
          <w:szCs w:val="18"/>
          <w:color w:val="auto"/>
        </w:rPr>
        <w:t>The dual class structure of our common stock may limit your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restated certificate of incorporation. Consequently, if holders of our non-voting common stock exercise their option to make this conversion, this will have the effect of increasing the relative voting power of those prior holders of our non-voting common stock, and correspondingly decreasing the voting power of the holders of our common stock, which may limit your ability to influence corporate matters. For example, at June 30, 2022, the common stock will have 100% of the voting power, but if the holders of non-voting common stock were to convert all of their shares into common stock, the prior common stock would have 76.1% of the voting power, and the former non-voting common stock would represent 23.9% of the voting power. Additionally, stockholders who hold, in the aggregate, more than 10% of our common stock and non-voting common stock, but 10% or less of our common stock, and are not otherwise an insider of the company, may not be required to report changes in their ownership due to transactions in our non-voting common stock pursuant to Section 16(a) of the Securities Exchange Act of 1934, as amended, or the Exchange Act, and may not be subject to the short-swing profit provisions of Section 16(b) of the Exchange Act.</w:t>
      </w:r>
    </w:p>
    <w:p>
      <w:pPr>
        <w:spacing w:after="0" w:line="294" w:lineRule="exact"/>
        <w:rPr>
          <w:sz w:val="20"/>
          <w:szCs w:val="20"/>
          <w:color w:val="auto"/>
        </w:rPr>
      </w:pPr>
    </w:p>
    <w:p>
      <w:pPr>
        <w:ind w:left="420" w:right="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28" w:lineRule="exact"/>
        <w:rPr>
          <w:sz w:val="20"/>
          <w:szCs w:val="20"/>
          <w:color w:val="auto"/>
        </w:rPr>
      </w:pPr>
    </w:p>
    <w:p>
      <w:pPr>
        <w:ind w:right="80" w:firstLine="416"/>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of 2002, as amended, or the Sarbanes-Oxley Act, (ii) reduced disclosure obligations regarding executive compensation in our Annual Reports on Form 10-K as well as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in our Annual Reports on Form 10-K.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0" w:name="page71"/>
    <w:bookmarkEnd w:id="70"/>
    <w:p>
      <w:pPr>
        <w:ind w:firstLine="416"/>
        <w:spacing w:after="0" w:line="253" w:lineRule="auto"/>
        <w:rPr>
          <w:sz w:val="20"/>
          <w:szCs w:val="20"/>
          <w:color w:val="auto"/>
        </w:rPr>
      </w:pPr>
      <w:r>
        <w:rPr>
          <w:rFonts w:ascii="Times New Roman" w:cs="Times New Roman" w:eastAsia="Times New Roman" w:hAnsi="Times New Roman"/>
          <w:sz w:val="18"/>
          <w:szCs w:val="18"/>
          <w:color w:val="auto"/>
        </w:rPr>
        <w:t>We could be an emerging growth company until December 31, 2025, although circumstances could cause us to lose that status earlier, including if we are deemed to be a “large accelerated filer,” which occurs when the market value of our common stock that is held by non-affiliates equals or exceeds $700 million as of the prior June 30, or if we have total annual gross revenue of $1.07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if our revenues remain less than $100.0 million, and reduced disclosure obligations regarding executive compensation in our Annual Reports on Form 10-K as well as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92"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200" w:lineRule="exact"/>
        <w:rPr>
          <w:sz w:val="20"/>
          <w:szCs w:val="20"/>
          <w:color w:val="auto"/>
        </w:rPr>
      </w:pPr>
    </w:p>
    <w:p>
      <w:pPr>
        <w:spacing w:after="0" w:line="203" w:lineRule="exact"/>
        <w:rPr>
          <w:sz w:val="20"/>
          <w:szCs w:val="20"/>
          <w:color w:val="auto"/>
        </w:rPr>
      </w:pPr>
    </w:p>
    <w:p>
      <w:pPr>
        <w:ind w:right="80" w:firstLine="416"/>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as of the prior June 30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6" w:lineRule="exact"/>
        <w:rPr>
          <w:sz w:val="20"/>
          <w:szCs w:val="20"/>
          <w:color w:val="auto"/>
        </w:rPr>
      </w:pPr>
    </w:p>
    <w:p>
      <w:pPr>
        <w:ind w:left="4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51" w:lineRule="exact"/>
        <w:rPr>
          <w:sz w:val="20"/>
          <w:szCs w:val="20"/>
          <w:color w:val="auto"/>
        </w:rPr>
      </w:pPr>
    </w:p>
    <w:p>
      <w:pPr>
        <w:ind w:right="80" w:firstLine="416"/>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54" w:lineRule="exact"/>
        <w:rPr>
          <w:sz w:val="20"/>
          <w:szCs w:val="20"/>
          <w:color w:val="auto"/>
        </w:rPr>
      </w:pPr>
    </w:p>
    <w:p>
      <w:pPr>
        <w:ind w:left="820" w:hanging="407"/>
        <w:spacing w:after="0"/>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9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104"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104" w:lineRule="exact"/>
        <w:rPr>
          <w:sz w:val="20"/>
          <w:szCs w:val="20"/>
          <w:color w:val="auto"/>
        </w:rPr>
      </w:pPr>
    </w:p>
    <w:p>
      <w:pPr>
        <w:ind w:left="820" w:hanging="407"/>
        <w:spacing w:after="0"/>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9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7" w:lineRule="exact"/>
        <w:rPr>
          <w:rFonts w:ascii="Times New Roman" w:cs="Times New Roman" w:eastAsia="Times New Roman" w:hAnsi="Times New Roman"/>
          <w:sz w:val="18"/>
          <w:szCs w:val="18"/>
          <w:color w:val="auto"/>
        </w:rPr>
      </w:pPr>
    </w:p>
    <w:p>
      <w:pPr>
        <w:ind w:left="820" w:right="480" w:hanging="407"/>
        <w:spacing w:after="0" w:line="282" w:lineRule="auto"/>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1" w:name="page72"/>
    <w:bookmarkEnd w:id="71"/>
    <w:p>
      <w:pPr>
        <w:ind w:right="20" w:firstLine="416"/>
        <w:spacing w:after="0" w:line="266"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53" w:lineRule="exact"/>
        <w:rPr>
          <w:sz w:val="20"/>
          <w:szCs w:val="20"/>
          <w:color w:val="auto"/>
        </w:rPr>
      </w:pPr>
    </w:p>
    <w:p>
      <w:pPr>
        <w:ind w:left="4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which may discourage lawsuits with respect to such claims.</w:t>
      </w:r>
    </w:p>
    <w:p>
      <w:pPr>
        <w:spacing w:after="0" w:line="37"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w:t>
      </w:r>
    </w:p>
    <w:p>
      <w:pPr>
        <w:spacing w:after="0" w:line="170" w:lineRule="exact"/>
        <w:rPr>
          <w:sz w:val="20"/>
          <w:szCs w:val="20"/>
          <w:color w:val="auto"/>
        </w:rPr>
      </w:pPr>
    </w:p>
    <w:p>
      <w:pPr>
        <w:ind w:right="60" w:firstLine="416"/>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53" w:lineRule="exact"/>
        <w:rPr>
          <w:sz w:val="20"/>
          <w:szCs w:val="20"/>
          <w:color w:val="auto"/>
        </w:rPr>
      </w:pPr>
    </w:p>
    <w:p>
      <w:pPr>
        <w:ind w:right="120" w:firstLine="416"/>
        <w:spacing w:after="0" w:line="254"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38"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stockholders will not be deemed to have waived our compliance with the federal securities laws and the regulations promulgated thereunder.</w:t>
      </w:r>
    </w:p>
    <w:p>
      <w:pPr>
        <w:spacing w:after="0" w:line="171" w:lineRule="exact"/>
        <w:rPr>
          <w:sz w:val="20"/>
          <w:szCs w:val="20"/>
          <w:color w:val="auto"/>
        </w:rPr>
      </w:pPr>
    </w:p>
    <w:p>
      <w:pPr>
        <w:ind w:right="300" w:firstLine="416"/>
        <w:spacing w:after="0" w:line="261"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216"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10"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will continue to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sectPr>
      </w:pPr>
    </w:p>
    <w:bookmarkStart w:id="72" w:name="page73"/>
    <w:bookmarkEnd w:id="72"/>
    <w:p>
      <w:pPr>
        <w:spacing w:after="0" w:line="256" w:lineRule="auto"/>
        <w:rPr>
          <w:sz w:val="20"/>
          <w:szCs w:val="20"/>
          <w:color w:val="auto"/>
        </w:rPr>
      </w:pPr>
      <w:r>
        <w:rPr>
          <w:rFonts w:ascii="Times New Roman" w:cs="Times New Roman" w:eastAsia="Times New Roman" w:hAnsi="Times New Roman"/>
          <w:sz w:val="18"/>
          <w:szCs w:val="18"/>
          <w:color w:val="auto"/>
        </w:rPr>
        <w:t>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56" w:lineRule="exact"/>
        <w:rPr>
          <w:sz w:val="20"/>
          <w:szCs w:val="20"/>
          <w:color w:val="auto"/>
        </w:rPr>
      </w:pPr>
    </w:p>
    <w:p>
      <w:pPr>
        <w:ind w:left="48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ind w:right="200" w:firstLine="47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operation and expansion of our business and do not anticipate declaring or paying any cash dividends for the foreseeable future. As a result, capital appreciation, if any, of our common stock will be your sole source of gain for the foreseeable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4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291" w:lineRule="exact"/>
        <w:rPr>
          <w:sz w:val="20"/>
          <w:szCs w:val="20"/>
          <w:color w:val="auto"/>
        </w:rPr>
      </w:pPr>
    </w:p>
    <w:p>
      <w:pPr>
        <w:ind w:left="48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51" w:lineRule="exact"/>
        <w:rPr>
          <w:sz w:val="20"/>
          <w:szCs w:val="20"/>
          <w:color w:val="auto"/>
        </w:rPr>
      </w:pPr>
    </w:p>
    <w:p>
      <w:pPr>
        <w:ind w:right="100" w:firstLine="479"/>
        <w:spacing w:after="0" w:line="266"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the rules and the listing requirements of the Nasdaq Global Select Market. The Sarbanes-Oxley Act requires, among other things, that we maintain effective disclosure controls and procedures and internal control over financial reporting.</w:t>
      </w:r>
    </w:p>
    <w:p>
      <w:pPr>
        <w:spacing w:after="0" w:line="176" w:lineRule="exact"/>
        <w:rPr>
          <w:sz w:val="20"/>
          <w:szCs w:val="20"/>
          <w:color w:val="auto"/>
        </w:rPr>
      </w:pPr>
    </w:p>
    <w:p>
      <w:pPr>
        <w:ind w:right="80" w:firstLine="419"/>
        <w:spacing w:after="0" w:line="261" w:lineRule="auto"/>
        <w:rPr>
          <w:sz w:val="20"/>
          <w:szCs w:val="20"/>
          <w:color w:val="auto"/>
        </w:rPr>
      </w:pPr>
      <w:r>
        <w:rPr>
          <w:rFonts w:ascii="Times New Roman" w:cs="Times New Roman" w:eastAsia="Times New Roman" w:hAnsi="Times New Roman"/>
          <w:sz w:val="18"/>
          <w:szCs w:val="18"/>
          <w:color w:val="auto"/>
        </w:rPr>
        <w:t>We perform system and process evaluation and testing of our internal control over financial reporting to allow management to report on the effectiveness of our internal control over financial reporting in our Annual Report on Form 10-K filing for that year, as required by Section 404(a) of the Sarbanes-Oxley Act. This requires that we incur substantial additional professional fees and internal costs to expand our accounting and finance functions and that we expend significant management efforts.</w:t>
      </w:r>
    </w:p>
    <w:p>
      <w:pPr>
        <w:spacing w:after="0" w:line="180" w:lineRule="exact"/>
        <w:rPr>
          <w:sz w:val="20"/>
          <w:szCs w:val="20"/>
          <w:color w:val="auto"/>
        </w:rPr>
      </w:pPr>
    </w:p>
    <w:p>
      <w:pPr>
        <w:jc w:val="both"/>
        <w:ind w:right="180" w:firstLine="419"/>
        <w:spacing w:after="0" w:line="261" w:lineRule="auto"/>
        <w:rPr>
          <w:sz w:val="20"/>
          <w:szCs w:val="20"/>
          <w:color w:val="auto"/>
        </w:rPr>
      </w:pPr>
      <w:r>
        <w:rPr>
          <w:rFonts w:ascii="Times New Roman" w:cs="Times New Roman" w:eastAsia="Times New Roman" w:hAnsi="Times New Roman"/>
          <w:sz w:val="18"/>
          <w:szCs w:val="18"/>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0" w:lineRule="exact"/>
        <w:rPr>
          <w:sz w:val="20"/>
          <w:szCs w:val="20"/>
          <w:color w:val="auto"/>
        </w:rPr>
      </w:pPr>
    </w:p>
    <w:p>
      <w:pPr>
        <w:ind w:right="140" w:firstLine="419"/>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Securities and Exchange Commission, or SEC, or other regulatory authorities.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120" w:firstLine="419"/>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05" w:right="4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ind w:firstLine="478"/>
        <w:spacing w:after="0" w:line="255" w:lineRule="auto"/>
        <w:rPr>
          <w:sz w:val="20"/>
          <w:szCs w:val="20"/>
          <w:color w:val="auto"/>
        </w:rPr>
      </w:pPr>
      <w:r>
        <w:rPr>
          <w:rFonts w:ascii="Times New Roman" w:cs="Times New Roman" w:eastAsia="Times New Roman" w:hAnsi="Times New Roman"/>
          <w:sz w:val="18"/>
          <w:szCs w:val="18"/>
          <w:color w:val="auto"/>
        </w:rPr>
        <w:t>In the third quarter of 2020, we completed our IPO and sold 9,573,750 shares of common stock at an IPO price of $19.00 per share. The offer and sale of all of the shares in the IPO were registered under the Securities Act pursuant to registration statements on Form S-1 (File No. 333-248628), which was declared effective by the SEC on September 24, 2020, as supplemented by a registration statement on Form S-1 filed pursuant to Rule 462(b) (File No. 333-248628). We received net proceeds from the IPO of approximately $166.6 million, after deducting underwriting discounts and commissions of approximately $12.7 million and offering expenses of approximately $2.5 million. Morgan Stanley, Goldman Sachs &amp; Co. LLC and BofA Securities acted as joint book-running managers of the offering and as representatives of the underwriters. None of the expenses associated with the IPO were paid to directors, officers, persons owning 10% or more of any class of equity securities, or to their associates, or to our affiliates.</w:t>
      </w:r>
    </w:p>
    <w:p>
      <w:pPr>
        <w:spacing w:after="0" w:line="189" w:lineRule="exact"/>
        <w:rPr>
          <w:sz w:val="20"/>
          <w:szCs w:val="20"/>
          <w:color w:val="auto"/>
        </w:rPr>
      </w:pPr>
    </w:p>
    <w:p>
      <w:pPr>
        <w:ind w:right="540" w:firstLine="478"/>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the prospectus filed with the SEC pursuant to Rule 424(b)(4) under the Securities Act on September 25, 2020.</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1" w:lineRule="exact"/>
        <w:rPr>
          <w:sz w:val="20"/>
          <w:szCs w:val="20"/>
          <w:color w:val="auto"/>
        </w:rPr>
      </w:pPr>
    </w:p>
    <w:p>
      <w:pPr>
        <w:ind w:right="20" w:firstLine="479"/>
        <w:spacing w:after="0" w:line="270" w:lineRule="auto"/>
        <w:rPr>
          <w:sz w:val="20"/>
          <w:szCs w:val="20"/>
          <w:color w:val="auto"/>
        </w:rPr>
      </w:pPr>
      <w:r>
        <w:rPr>
          <w:rFonts w:ascii="Times New Roman" w:cs="Times New Roman" w:eastAsia="Times New Roman" w:hAnsi="Times New Roman"/>
          <w:sz w:val="17"/>
          <w:szCs w:val="17"/>
          <w:color w:val="auto"/>
        </w:rPr>
        <w:t>On August 8, 2022, we entered into an amendment (the “Lease Amendment”) to the lease agreement for office and lab space at Chestnut Run Plaza in Wilmington, Delaware (the “Chestnut Run Lease”). The Chestnut Run Lease commences on the earlier of (i) the Landlord Work Substantial Completion Date (as such term is defined in the Chestnut Run Lease), or (ii) the date the Company takes possession of the premises for the conduct of the Company’s business. The Lease Amendment increases the monthly base rent payments due over the initial term of the Chestnut Run Lease to approximately $42.6 million. The foregoing summary of Lease Amendment does not purport to be complete and is subject to, and qualified in its entirety by, the complete text of the lease, a copy of which we expect to file with our Quarterly Report on Form 10-Q for the quarterly period ending September 30, 2022.</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Furnish the exhibits required by Item 601 of Regulation S-K (§ 229.601 of this chapter).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720" w:type="dxa"/>
            <w:vAlign w:val="bottom"/>
            <w:gridSpan w:val="10"/>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  Exhibit Filing</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10"/>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10.1 †</w:t>
            </w:r>
          </w:p>
        </w:tc>
        <w:tc>
          <w:tcPr>
            <w:tcW w:w="8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120" w:type="dxa"/>
            <w:vAlign w:val="bottom"/>
            <w:tcBorders>
              <w:bottom w:val="single" w:sz="8" w:color="0000EE"/>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EE"/>
                <w:w w:val="99"/>
              </w:rPr>
              <w:t>Separation Agreement, dated April 6, 2022, between the Registrant and</w:t>
            </w:r>
          </w:p>
        </w:tc>
        <w:tc>
          <w:tcPr>
            <w:tcW w:w="360" w:type="dxa"/>
            <w:vAlign w:val="bottom"/>
            <w:gridSpan w:val="6"/>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Deborah Morosini, M.D.</w:t>
            </w: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8"/>
                <w:szCs w:val="18"/>
                <w:color w:val="auto"/>
              </w:rPr>
            </w:pPr>
          </w:p>
        </w:tc>
        <w:tc>
          <w:tcPr>
            <w:tcW w:w="51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w:t>
            </w:r>
          </w:p>
        </w:tc>
        <w:tc>
          <w:tcPr>
            <w:tcW w:w="320" w:type="dxa"/>
            <w:vAlign w:val="bottom"/>
            <w:gridSpan w:val="5"/>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and 15d-14(a) under the Securities Exchange Act of 1934, as Adopted</w:t>
            </w: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 Act of 2002.</w:t>
            </w:r>
          </w:p>
        </w:tc>
        <w:tc>
          <w:tcPr>
            <w:tcW w:w="720" w:type="dxa"/>
            <w:vAlign w:val="bottom"/>
            <w:tcBorders>
              <w:top w:val="single" w:sz="8" w:color="0000EE"/>
            </w:tcBorders>
          </w:tcPr>
          <w:p>
            <w:pPr>
              <w:spacing w:after="0"/>
              <w:rPr>
                <w:sz w:val="17"/>
                <w:szCs w:val="17"/>
                <w:color w:val="auto"/>
              </w:rPr>
            </w:pPr>
          </w:p>
        </w:tc>
        <w:tc>
          <w:tcPr>
            <w:tcW w:w="46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8"/>
                <w:szCs w:val="18"/>
                <w:color w:val="auto"/>
              </w:rPr>
            </w:pPr>
          </w:p>
        </w:tc>
        <w:tc>
          <w:tcPr>
            <w:tcW w:w="54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15d-14(a) under the Securities Exchange Act of 1934, as Adopted Pursuant</w:t>
            </w:r>
          </w:p>
        </w:tc>
        <w:tc>
          <w:tcPr>
            <w:tcW w:w="8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to Section 302 of the Sarbanes-Oxley Act of 2002.</w:t>
            </w:r>
          </w:p>
        </w:tc>
        <w:tc>
          <w:tcPr>
            <w:tcW w:w="186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8"/>
                <w:szCs w:val="18"/>
                <w:color w:val="auto"/>
              </w:rPr>
            </w:pPr>
          </w:p>
        </w:tc>
        <w:tc>
          <w:tcPr>
            <w:tcW w:w="53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w:t>
            </w:r>
          </w:p>
        </w:tc>
        <w:tc>
          <w:tcPr>
            <w:tcW w:w="18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1350, as Adopted Pursuant to Section 906 of the Sarbanes-Oxley Act of</w:t>
            </w:r>
          </w:p>
        </w:tc>
        <w:tc>
          <w:tcPr>
            <w:tcW w:w="32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0" w:type="dxa"/>
            <w:vAlign w:val="bottom"/>
            <w:gridSpan w:val="3"/>
          </w:tcPr>
          <w:p>
            <w:pPr>
              <w:ind w:left="80"/>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13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8"/>
                <w:szCs w:val="18"/>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1350, as Adopted Pursuant to Section 906 of the Sarbanes-Oxley Act of</w:t>
            </w:r>
          </w:p>
        </w:tc>
        <w:tc>
          <w:tcPr>
            <w:tcW w:w="80" w:type="dxa"/>
            <w:vAlign w:val="bottom"/>
            <w:tcBorders>
              <w:top w:val="single" w:sz="8" w:color="0000EE"/>
            </w:tcBorders>
          </w:tcPr>
          <w:p>
            <w:pPr>
              <w:spacing w:after="0"/>
              <w:rPr>
                <w:sz w:val="17"/>
                <w:szCs w:val="17"/>
                <w:color w:val="auto"/>
              </w:rPr>
            </w:pPr>
          </w:p>
        </w:tc>
        <w:tc>
          <w:tcPr>
            <w:tcW w:w="24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0" w:type="dxa"/>
            <w:vAlign w:val="bottom"/>
            <w:gridSpan w:val="3"/>
          </w:tcPr>
          <w:p>
            <w:pPr>
              <w:ind w:left="80"/>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13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10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0" w:type="dxa"/>
            <w:vAlign w:val="bottom"/>
          </w:tcPr>
          <w:p>
            <w:pPr>
              <w:spacing w:after="0"/>
              <w:rPr>
                <w:sz w:val="21"/>
                <w:szCs w:val="21"/>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0" w:type="dxa"/>
            <w:vAlign w:val="bottom"/>
          </w:tcPr>
          <w:p>
            <w:pPr>
              <w:spacing w:after="0"/>
              <w:rPr>
                <w:sz w:val="19"/>
                <w:szCs w:val="19"/>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0" w:type="dxa"/>
            <w:vAlign w:val="bottom"/>
          </w:tcPr>
          <w:p>
            <w:pPr>
              <w:spacing w:after="0"/>
              <w:rPr>
                <w:sz w:val="19"/>
                <w:szCs w:val="19"/>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0" w:type="dxa"/>
            <w:vAlign w:val="bottom"/>
          </w:tcPr>
          <w:p>
            <w:pPr>
              <w:spacing w:after="0"/>
              <w:rPr>
                <w:sz w:val="19"/>
                <w:szCs w:val="19"/>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0" w:type="dxa"/>
            <w:vAlign w:val="bottom"/>
          </w:tcPr>
          <w:p>
            <w:pPr>
              <w:spacing w:after="0"/>
              <w:rPr>
                <w:sz w:val="19"/>
                <w:szCs w:val="19"/>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0" w:type="dxa"/>
            <w:vAlign w:val="bottom"/>
          </w:tcPr>
          <w:p>
            <w:pPr>
              <w:spacing w:after="0"/>
              <w:rPr>
                <w:sz w:val="19"/>
                <w:szCs w:val="19"/>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8"/>
                <w:szCs w:val="18"/>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certifications furnished in Exhibits 32.1 and 32.2 hereto are deemed to accompany this Form 10-Q and are not deemed “filed” for purposes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 18 of the Exchange Act, or otherwise subject to the liability of that section, nor shall they be deemed incorporated by reference into any filing under the Securities Act or the Exchange Act</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47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8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Prelude Therapeutics Incorporated</w:t>
            </w:r>
          </w:p>
        </w:tc>
      </w:tr>
      <w:tr>
        <w:trPr>
          <w:trHeight w:val="45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30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 Krishna Vaddi</w:t>
            </w:r>
          </w:p>
        </w:tc>
      </w:tr>
      <w:tr>
        <w:trPr>
          <w:trHeight w:val="214"/>
        </w:trPr>
        <w:tc>
          <w:tcPr>
            <w:tcW w:w="3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760" w:type="dxa"/>
            <w:vAlign w:val="bottom"/>
            <w:tcBorders>
              <w:top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9"/>
              </w:rPr>
              <w:t>Krishna Vaddi, PhD</w:t>
            </w:r>
          </w:p>
        </w:tc>
      </w:tr>
      <w:tr>
        <w:trPr>
          <w:trHeight w:val="229"/>
        </w:trPr>
        <w:tc>
          <w:tcPr>
            <w:tcW w:w="34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76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4"/>
        </w:trPr>
        <w:tc>
          <w:tcPr>
            <w:tcW w:w="34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76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30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 Laurent Chardonnet</w:t>
            </w:r>
          </w:p>
        </w:tc>
      </w:tr>
      <w:tr>
        <w:trPr>
          <w:trHeight w:val="214"/>
        </w:trPr>
        <w:tc>
          <w:tcPr>
            <w:tcW w:w="3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76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9"/>
              </w:rPr>
              <w:t>Laurent Chardonnet</w:t>
            </w:r>
          </w:p>
        </w:tc>
      </w:tr>
      <w:tr>
        <w:trPr>
          <w:trHeight w:val="229"/>
        </w:trPr>
        <w:tc>
          <w:tcPr>
            <w:tcW w:w="34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76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4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76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(Principal Accounting Officer)</w:t>
            </w:r>
          </w:p>
        </w:tc>
      </w:tr>
      <w:tr>
        <w:trPr>
          <w:trHeight w:val="675"/>
        </w:trPr>
        <w:tc>
          <w:tcPr>
            <w:tcW w:w="3460" w:type="dxa"/>
            <w:vAlign w:val="bottom"/>
          </w:tcPr>
          <w:p>
            <w:pPr>
              <w:spacing w:after="0"/>
              <w:rPr>
                <w:sz w:val="24"/>
                <w:szCs w:val="24"/>
                <w:color w:val="auto"/>
              </w:rPr>
            </w:pPr>
          </w:p>
        </w:tc>
        <w:tc>
          <w:tcPr>
            <w:tcW w:w="3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74</w:t>
            </w:r>
          </w:p>
        </w:tc>
        <w:tc>
          <w:tcPr>
            <w:tcW w:w="4760" w:type="dxa"/>
            <w:vAlign w:val="bottom"/>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PRELUDE THERAPEUTICS INCORPORATED CONSULTING AGREEMENT</w:t>
      </w:r>
    </w:p>
    <w:p>
      <w:pPr>
        <w:spacing w:after="0" w:line="216"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THIS CONSULTING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as of May 6, 2022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between Prelude Therapeutics Incorporated, a Delaware corporation with its principal place of business at 200 Powder Mill Road, Experimental Station E400/3213, Wilmington, Delaware 19803 USA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Deborah Morosini (“</w:t>
      </w:r>
      <w:r>
        <w:rPr>
          <w:rFonts w:ascii="Times New Roman" w:cs="Times New Roman" w:eastAsia="Times New Roman" w:hAnsi="Times New Roman"/>
          <w:sz w:val="20"/>
          <w:szCs w:val="20"/>
          <w:b w:val="1"/>
          <w:bCs w:val="1"/>
          <w:color w:val="auto"/>
        </w:rPr>
        <w:t>Consultant</w:t>
      </w:r>
      <w:r>
        <w:rPr>
          <w:rFonts w:ascii="Times New Roman" w:cs="Times New Roman" w:eastAsia="Times New Roman" w:hAnsi="Times New Roman"/>
          <w:sz w:val="20"/>
          <w:szCs w:val="20"/>
          <w:color w:val="auto"/>
        </w:rPr>
        <w:t>”). Company desires to retain Consultant to perform certain consulting activities as described below, and Consultant desires to serve as a consultant to Company and perform such activities under the terms of this Agreement.</w:t>
      </w:r>
    </w:p>
    <w:p>
      <w:pPr>
        <w:spacing w:after="0" w:line="1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NOW, THEREFORE, Consultant and Company agree as follows:</w:t>
      </w:r>
    </w:p>
    <w:p>
      <w:pPr>
        <w:spacing w:after="0" w:line="212" w:lineRule="exact"/>
        <w:rPr>
          <w:sz w:val="20"/>
          <w:szCs w:val="20"/>
          <w:color w:val="auto"/>
        </w:rPr>
      </w:pPr>
    </w:p>
    <w:p>
      <w:pPr>
        <w:ind w:left="800" w:hanging="792"/>
        <w:spacing w:after="0"/>
        <w:tabs>
          <w:tab w:leader="none" w:pos="80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SERVICES AND COMPENSATION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ind w:firstLine="872"/>
        <w:spacing w:after="0" w:line="269" w:lineRule="auto"/>
        <w:tabs>
          <w:tab w:leader="none" w:pos="1731"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Consultant agrees to act as a consultant to Company with respect to such matters and projects as are mutually agreed from time to time by and between Consultant and Company, and perform the services described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(collectively, “</w:t>
      </w:r>
      <w:r>
        <w:rPr>
          <w:rFonts w:ascii="Times New Roman" w:cs="Times New Roman" w:eastAsia="Times New Roman" w:hAnsi="Times New Roman"/>
          <w:sz w:val="20"/>
          <w:szCs w:val="20"/>
          <w:b w:val="1"/>
          <w:bCs w:val="1"/>
          <w:color w:val="auto"/>
        </w:rPr>
        <w:t>Services</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872"/>
        <w:spacing w:after="0" w:line="245" w:lineRule="auto"/>
        <w:tabs>
          <w:tab w:leader="none" w:pos="1742"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Company agrees to pay Consultant the compensation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for the performance of the Services. All fees and other amounts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if any, are stated, and are payable, in U.S. dollars. Unless otherwise provided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Consultant will invoice Company on a monthly basis, within 15 days of the end of the applicable calendar month, for all fees and expenses payable to Consultant with respect to such calendar month in a form prescribed by Company. Company will pay each such invoice within thirty (30) days following receipt thereof, except for any amounts that Company disputes in good faith. The parties will use their respective commercially reasonable efforts to promptly resolve any such payment disputes.</w:t>
      </w:r>
    </w:p>
    <w:p>
      <w:pPr>
        <w:spacing w:after="0" w:line="184" w:lineRule="exact"/>
        <w:rPr>
          <w:rFonts w:ascii="Times New Roman" w:cs="Times New Roman" w:eastAsia="Times New Roman" w:hAnsi="Times New Roman"/>
          <w:sz w:val="20"/>
          <w:szCs w:val="20"/>
          <w:color w:val="auto"/>
        </w:rPr>
      </w:pPr>
    </w:p>
    <w:p>
      <w:pPr>
        <w:ind w:firstLine="872"/>
        <w:spacing w:after="0" w:line="269" w:lineRule="auto"/>
        <w:tabs>
          <w:tab w:leader="none" w:pos="1731"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Consultant is required to perform Services at or using any Company facility or resources, Consultant will first obtain from Company, and comply with, Company’s workplace, computer and security policies and procedures.</w:t>
      </w:r>
    </w:p>
    <w:p>
      <w:pPr>
        <w:spacing w:after="0" w:line="155" w:lineRule="exact"/>
        <w:rPr>
          <w:rFonts w:ascii="Times New Roman" w:cs="Times New Roman" w:eastAsia="Times New Roman" w:hAnsi="Times New Roman"/>
          <w:sz w:val="20"/>
          <w:szCs w:val="20"/>
          <w:color w:val="auto"/>
        </w:rPr>
      </w:pPr>
    </w:p>
    <w:p>
      <w:pPr>
        <w:ind w:left="800" w:hanging="792"/>
        <w:spacing w:after="0"/>
        <w:tabs>
          <w:tab w:leader="none" w:pos="80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CONFIDENTIALITY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firstLine="872"/>
        <w:spacing w:after="0" w:line="247" w:lineRule="auto"/>
        <w:tabs>
          <w:tab w:leader="none" w:pos="1731"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means any proprietary information technical data, trade secrets or know-how, including, but not limited to, research and product plans, products, services, markets, developments, inventions, processes, formulas, technology, marketing, finances or other business information disclosed to Consultant by Company either directly or indirectly in writing, orally or otherwise. Confidential Information also includes all Inventions (as defined below) and any other information or materials generated in connection with the Services.</w:t>
      </w:r>
    </w:p>
    <w:p>
      <w:pPr>
        <w:spacing w:after="0" w:line="184" w:lineRule="exact"/>
        <w:rPr>
          <w:rFonts w:ascii="Times New Roman" w:cs="Times New Roman" w:eastAsia="Times New Roman" w:hAnsi="Times New Roman"/>
          <w:sz w:val="20"/>
          <w:szCs w:val="20"/>
          <w:color w:val="auto"/>
        </w:rPr>
      </w:pPr>
    </w:p>
    <w:p>
      <w:pPr>
        <w:jc w:val="both"/>
        <w:ind w:firstLine="872"/>
        <w:spacing w:after="0" w:line="243" w:lineRule="auto"/>
        <w:tabs>
          <w:tab w:leader="none" w:pos="1742"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shall not, during or subsequent to the term of this Agreement, use any Confidential Information for any purpose whatsoever other than the performance of the Services on behalf of Company, or disclose Confidential Information to any third party. Consultant agrees that Confidential Information shall remain the sole property of Company. Consultant further agrees to maintain the Confidential Information in strict confidence and to take all reasonable precautions to prevent any unauthorized disclosure or use of Confidential Information. Notwithstanding the above, Consultant’s obligation under this Section 2(b) relating to Confidential Information shall not apply to information which (i) is rightfully known to Consultant at the time of disclosure to Consultant by Company as evidenced by written records of Consultant, (ii) has become publicly known and made generally available through no wrongful act of Consultant, or (iii) has been rightfully received by Consultant from a third party authorized to make such disclosure. Nothing in this Section 2 or otherwise in this Agreement shall limit or restrict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7" w:name="page78"/>
    <w:bookmarkEnd w:id="77"/>
    <w:p>
      <w:pPr>
        <w:ind w:right="20"/>
        <w:spacing w:after="0" w:line="269" w:lineRule="auto"/>
        <w:rPr>
          <w:sz w:val="20"/>
          <w:szCs w:val="20"/>
          <w:color w:val="auto"/>
        </w:rPr>
      </w:pPr>
      <w:r>
        <w:rPr>
          <w:rFonts w:ascii="Times New Roman" w:cs="Times New Roman" w:eastAsia="Times New Roman" w:hAnsi="Times New Roman"/>
          <w:sz w:val="20"/>
          <w:szCs w:val="20"/>
          <w:color w:val="auto"/>
        </w:rPr>
        <w:t xml:space="preserve">any way Consultant’s immunity from liability for disclosing Company’s trade secrets as specifically permitted by 18 U.S. Code Section 1833, the pertinent provisions of which are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872"/>
        <w:spacing w:after="0" w:line="244" w:lineRule="auto"/>
        <w:tabs>
          <w:tab w:leader="none" w:pos="1731"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agrees that Consultant will not, during the term of this Agreement, improperly use or disclose to Company any proprietary information or trade secrets of any former or current employer or other person or entity to which Consultant has a duty to keep in confidence such information and that Consultant will not bring onto the premises of Company any unpublished document or proprietary information belonging to such employer, person or entity unless consented to in writing by the same. Consultant will indemnify Company and hold it harmless from and against all claims, liabilities, damages and expenses, including reasonable attorneys’ fees and costs of suit, arising out of or in connection with any violation or claimed violation by Company of such third party’s rights resulting in whole or in part from Company’s use of the work product of Consultant under this Agreement.</w:t>
      </w:r>
    </w:p>
    <w:p>
      <w:pPr>
        <w:spacing w:after="0" w:line="185" w:lineRule="exact"/>
        <w:rPr>
          <w:rFonts w:ascii="Times New Roman" w:cs="Times New Roman" w:eastAsia="Times New Roman" w:hAnsi="Times New Roman"/>
          <w:sz w:val="20"/>
          <w:szCs w:val="20"/>
          <w:color w:val="auto"/>
        </w:rPr>
      </w:pPr>
    </w:p>
    <w:p>
      <w:pPr>
        <w:jc w:val="both"/>
        <w:ind w:firstLine="872"/>
        <w:spacing w:after="0" w:line="263" w:lineRule="auto"/>
        <w:tabs>
          <w:tab w:leader="none" w:pos="1742"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Consultant recognizes that Company has received and in the future will receive from third parties their confidential or proprietary information subject to a duty on Company’s part to maintain the confidentiality of such information and to use it only for certain limited purposes. Consultant agrees that Consultant owes Company and such third parties, during the term of this Agreement and thereafter, a duty to hold all such confidential or proprietary information in the strictest confidence and not to disclose it to any person, firm or corporation or to use it except as necessary in carrying out the Services for Company consistent with Company’s agreement with such third party.</w:t>
      </w:r>
    </w:p>
    <w:p>
      <w:pPr>
        <w:spacing w:after="0" w:line="166" w:lineRule="exact"/>
        <w:rPr>
          <w:rFonts w:ascii="Times New Roman" w:cs="Times New Roman" w:eastAsia="Times New Roman" w:hAnsi="Times New Roman"/>
          <w:sz w:val="19"/>
          <w:szCs w:val="19"/>
          <w:color w:val="auto"/>
        </w:rPr>
      </w:pPr>
    </w:p>
    <w:p>
      <w:pPr>
        <w:jc w:val="both"/>
        <w:ind w:firstLine="872"/>
        <w:spacing w:after="0" w:line="254" w:lineRule="auto"/>
        <w:tabs>
          <w:tab w:leader="none" w:pos="1731"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termination of this Agreement, or upon Company’s earlier request, Consultant will deliver to Company all Confidential Information and Company’s property relating thereto and all tangible embodiments thereof, in Consultant’s possession or control.</w:t>
      </w:r>
    </w:p>
    <w:p>
      <w:pPr>
        <w:spacing w:after="0" w:line="170" w:lineRule="exact"/>
        <w:rPr>
          <w:rFonts w:ascii="Times New Roman" w:cs="Times New Roman" w:eastAsia="Times New Roman" w:hAnsi="Times New Roman"/>
          <w:sz w:val="20"/>
          <w:szCs w:val="20"/>
          <w:color w:val="auto"/>
        </w:rPr>
      </w:pPr>
    </w:p>
    <w:p>
      <w:pPr>
        <w:ind w:left="800" w:hanging="792"/>
        <w:spacing w:after="0"/>
        <w:tabs>
          <w:tab w:leader="none" w:pos="80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OWNERSHIP</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872"/>
        <w:spacing w:after="0" w:line="243" w:lineRule="auto"/>
        <w:tabs>
          <w:tab w:leader="none" w:pos="1731"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agrees to assign and does hereby irrevocably assign to Company all right, title and interest in and to any information (including, without limitation, business plans and/or business information), technology, know-how, materials, deliverables, works of authorship, documents, notes, records, designs, ideas, inventions, improvements, devices, developments, discoveries, compositions, trade secrets, processes, methods and/or techniques, whether or not patentable or copyrightable, that are conceived, reduced to practice or made by Consultant alone or jointly with others in the course of performing the Services or through the use of Confidential Information (collectively, “</w:t>
      </w:r>
      <w:r>
        <w:rPr>
          <w:rFonts w:ascii="Times New Roman" w:cs="Times New Roman" w:eastAsia="Times New Roman" w:hAnsi="Times New Roman"/>
          <w:sz w:val="20"/>
          <w:szCs w:val="20"/>
          <w:b w:val="1"/>
          <w:bCs w:val="1"/>
          <w:color w:val="auto"/>
        </w:rPr>
        <w:t>Inventions</w:t>
      </w:r>
      <w:r>
        <w:rPr>
          <w:rFonts w:ascii="Times New Roman" w:cs="Times New Roman" w:eastAsia="Times New Roman" w:hAnsi="Times New Roman"/>
          <w:sz w:val="20"/>
          <w:szCs w:val="20"/>
          <w:color w:val="auto"/>
        </w:rPr>
        <w:t>”), including all worldwide patent rights (including patent applications and disclosures), copyright rights, mask work rights, trade secret rights, know-how, and any and all other intellectual property or proprietary rights (collectively, “</w:t>
      </w:r>
      <w:r>
        <w:rPr>
          <w:rFonts w:ascii="Times New Roman" w:cs="Times New Roman" w:eastAsia="Times New Roman" w:hAnsi="Times New Roman"/>
          <w:sz w:val="20"/>
          <w:szCs w:val="20"/>
          <w:b w:val="1"/>
          <w:bCs w:val="1"/>
          <w:color w:val="auto"/>
        </w:rPr>
        <w:t>Intellectual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Property Rights</w:t>
      </w:r>
      <w:r>
        <w:rPr>
          <w:rFonts w:ascii="Times New Roman" w:cs="Times New Roman" w:eastAsia="Times New Roman" w:hAnsi="Times New Roman"/>
          <w:sz w:val="20"/>
          <w:szCs w:val="20"/>
          <w:color w:val="auto"/>
        </w:rPr>
        <w:t>”) therein.</w:t>
      </w:r>
    </w:p>
    <w:p>
      <w:pPr>
        <w:spacing w:after="0" w:line="189" w:lineRule="exact"/>
        <w:rPr>
          <w:rFonts w:ascii="Times New Roman" w:cs="Times New Roman" w:eastAsia="Times New Roman" w:hAnsi="Times New Roman"/>
          <w:sz w:val="20"/>
          <w:szCs w:val="20"/>
          <w:color w:val="auto"/>
        </w:rPr>
      </w:pPr>
    </w:p>
    <w:p>
      <w:pPr>
        <w:jc w:val="both"/>
        <w:ind w:firstLine="872"/>
        <w:spacing w:after="0" w:line="246" w:lineRule="auto"/>
        <w:tabs>
          <w:tab w:leader="none" w:pos="1742"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agrees to sign, execute and acknowledge or cause to be signed, executed and acknowledged without cost, but at the expense of Company, any and all documents and to perform such acts as may be necessary, useful or convenient for the purposes of perfecting the foregoing assignments and obtaining, enforcing and defending Intellectual Property Rights in any and all countries with respect to Inventions. It is understood and agreed that Company or Company’s designee shall have the sole right, but not the obligation, to prepare, file, prosecute and maintain patent applications and patents worldwide with respect to Inventions.</w:t>
      </w:r>
    </w:p>
    <w:p>
      <w:pPr>
        <w:spacing w:after="0" w:line="184" w:lineRule="exact"/>
        <w:rPr>
          <w:rFonts w:ascii="Times New Roman" w:cs="Times New Roman" w:eastAsia="Times New Roman" w:hAnsi="Times New Roman"/>
          <w:sz w:val="20"/>
          <w:szCs w:val="20"/>
          <w:color w:val="auto"/>
        </w:rPr>
      </w:pPr>
    </w:p>
    <w:p>
      <w:pPr>
        <w:ind w:right="20" w:firstLine="872"/>
        <w:spacing w:after="0" w:line="269" w:lineRule="auto"/>
        <w:tabs>
          <w:tab w:leader="none" w:pos="1791"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termination of this Agreement, or upon Company’s earlier requests, Consultant will deliver to Company all property relating to, and all tangible embodiments of, Inventions in Consultant’s possession or control.</w:t>
      </w:r>
    </w:p>
    <w:p>
      <w:pPr>
        <w:spacing w:after="0" w:line="1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8" w:name="page79"/>
    <w:bookmarkEnd w:id="78"/>
    <w:p>
      <w:pPr>
        <w:jc w:val="both"/>
        <w:ind w:left="-8" w:firstLine="872"/>
        <w:spacing w:after="0" w:line="246" w:lineRule="auto"/>
        <w:tabs>
          <w:tab w:leader="none" w:pos="1734"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agrees that if, in the course of performing the Services, Consultant incorporates into any Invention developed hereunder any invention, improvement, development concept, discovery or other proprietary subject matter owned by Consultant or in which Consultant has an interest (“</w:t>
      </w:r>
      <w:r>
        <w:rPr>
          <w:rFonts w:ascii="Times New Roman" w:cs="Times New Roman" w:eastAsia="Times New Roman" w:hAnsi="Times New Roman"/>
          <w:sz w:val="20"/>
          <w:szCs w:val="20"/>
          <w:b w:val="1"/>
          <w:bCs w:val="1"/>
          <w:color w:val="auto"/>
        </w:rPr>
        <w:t>Item</w:t>
      </w:r>
      <w:r>
        <w:rPr>
          <w:rFonts w:ascii="Times New Roman" w:cs="Times New Roman" w:eastAsia="Times New Roman" w:hAnsi="Times New Roman"/>
          <w:sz w:val="20"/>
          <w:szCs w:val="20"/>
          <w:color w:val="auto"/>
        </w:rPr>
        <w:t>”), Consultant will inform Company in writing thereof, and Company is hereby granted and shall have a non-exclusive, royalty-free, perpetual, irrevocable, worldwide license to make, have made, modify, reproduce, display, use and sell such Item as part of or in connection with the exploitation of such Invention.</w:t>
      </w:r>
    </w:p>
    <w:p>
      <w:pPr>
        <w:spacing w:after="0" w:line="184" w:lineRule="exact"/>
        <w:rPr>
          <w:rFonts w:ascii="Times New Roman" w:cs="Times New Roman" w:eastAsia="Times New Roman" w:hAnsi="Times New Roman"/>
          <w:sz w:val="20"/>
          <w:szCs w:val="20"/>
          <w:color w:val="auto"/>
        </w:rPr>
      </w:pPr>
    </w:p>
    <w:p>
      <w:pPr>
        <w:jc w:val="both"/>
        <w:ind w:left="-8" w:firstLine="872"/>
        <w:spacing w:after="0" w:line="245" w:lineRule="auto"/>
        <w:tabs>
          <w:tab w:leader="none" w:pos="1723"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agrees that if Company is unable because of Consultant’s unavailability, mental or physical incapacity, or for any other reason, to secure Consultant’s signature to apply for or to pursue any application or registration for any Intellectual Property Rights covering any Invention, then Consultant hereby irrevocably designates and appoints Company and its duly authorized officers and agents as Consultant’s agent and attorney-in-fact, to act for and in Consultant’s behalf to execute and file any such applications and to do all other lawfully permitted acts to further the prosecution and issuance of such Intellectual Property Rights thereon with the same legal force and effect as if executed by Consultant.</w:t>
      </w:r>
    </w:p>
    <w:p>
      <w:pPr>
        <w:spacing w:after="0" w:line="180" w:lineRule="exact"/>
        <w:rPr>
          <w:rFonts w:ascii="Times New Roman" w:cs="Times New Roman" w:eastAsia="Times New Roman" w:hAnsi="Times New Roman"/>
          <w:sz w:val="20"/>
          <w:szCs w:val="20"/>
          <w:color w:val="auto"/>
        </w:rPr>
      </w:pPr>
    </w:p>
    <w:p>
      <w:pPr>
        <w:jc w:val="both"/>
        <w:ind w:left="-8" w:firstLine="8"/>
        <w:spacing w:after="0" w:line="250" w:lineRule="auto"/>
        <w:tabs>
          <w:tab w:leader="none" w:pos="788"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REPORTS</w:t>
      </w:r>
      <w:r>
        <w:rPr>
          <w:rFonts w:ascii="Times New Roman" w:cs="Times New Roman" w:eastAsia="Times New Roman" w:hAnsi="Times New Roman"/>
          <w:sz w:val="20"/>
          <w:szCs w:val="20"/>
          <w:color w:val="auto"/>
        </w:rPr>
        <w:t>. Consultant agrees, from time to time during the term of this Agreement, to keep Company advised as to Consultant’s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progress in performing the Services and, as reasonably requested by Company, prepare written reports with respect thereto. It is understood that the time required in the preparation of such written reports shall be considered time devoted to the performance of the Services by Consultant. All such reports prepared by Consultant shall be the sole property of Company.</w:t>
      </w:r>
    </w:p>
    <w:p>
      <w:pPr>
        <w:spacing w:after="0" w:line="175" w:lineRule="exact"/>
        <w:rPr>
          <w:rFonts w:ascii="Times New Roman" w:cs="Times New Roman" w:eastAsia="Times New Roman" w:hAnsi="Times New Roman"/>
          <w:sz w:val="20"/>
          <w:szCs w:val="20"/>
          <w:b w:val="1"/>
          <w:bCs w:val="1"/>
          <w:color w:val="auto"/>
        </w:rPr>
      </w:pPr>
    </w:p>
    <w:p>
      <w:pPr>
        <w:ind w:left="792" w:hanging="792"/>
        <w:spacing w:after="0"/>
        <w:tabs>
          <w:tab w:leader="none" w:pos="792"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 AND TERMINATION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ind w:left="-8" w:firstLine="872"/>
        <w:spacing w:after="0" w:line="269" w:lineRule="auto"/>
        <w:tabs>
          <w:tab w:leader="none" w:pos="1723"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will commence on the Effective Date and will continue until November 4, 2022, at which time it will automatically terminate.</w:t>
      </w:r>
    </w:p>
    <w:p>
      <w:pPr>
        <w:spacing w:after="0" w:line="159" w:lineRule="exact"/>
        <w:rPr>
          <w:rFonts w:ascii="Times New Roman" w:cs="Times New Roman" w:eastAsia="Times New Roman" w:hAnsi="Times New Roman"/>
          <w:sz w:val="20"/>
          <w:szCs w:val="20"/>
          <w:color w:val="auto"/>
        </w:rPr>
      </w:pPr>
    </w:p>
    <w:p>
      <w:pPr>
        <w:jc w:val="both"/>
        <w:ind w:left="-8" w:firstLine="872"/>
        <w:spacing w:after="0" w:line="258" w:lineRule="auto"/>
        <w:tabs>
          <w:tab w:leader="none" w:pos="1734"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termination of this Agreement, all rights and duties of the parties hereunder shall cease except: (i) Consultant will promptly deliver to Company all Inventions, including all work in progress on any Inventions not previously delivered to Company, if any; (ii) Company shall be obliged to pay, within thirty (30) days after receipt of Consultant’s final statement, all amounts owing to Consultant for unpaid Services completed by Consultant and related expenses, if any, in accordance with Section 1; and (iii) Sections 2, 3, 5(c), 6, 7, 8 and</w:t>
      </w:r>
    </w:p>
    <w:p>
      <w:pPr>
        <w:ind w:left="252" w:hanging="252"/>
        <w:spacing w:after="0"/>
        <w:tabs>
          <w:tab w:leader="none" w:pos="252"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survive termination of this Agreement.</w:t>
      </w:r>
    </w:p>
    <w:p>
      <w:pPr>
        <w:spacing w:after="0" w:line="189" w:lineRule="exact"/>
        <w:rPr>
          <w:rFonts w:ascii="Times New Roman" w:cs="Times New Roman" w:eastAsia="Times New Roman" w:hAnsi="Times New Roman"/>
          <w:sz w:val="20"/>
          <w:szCs w:val="20"/>
          <w:color w:val="auto"/>
        </w:rPr>
      </w:pPr>
    </w:p>
    <w:p>
      <w:pPr>
        <w:ind w:left="792" w:hanging="792"/>
        <w:spacing w:after="0"/>
        <w:tabs>
          <w:tab w:leader="none" w:pos="792"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RELATIONSHIP OF THE PARTIES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left="-8" w:firstLine="872"/>
        <w:spacing w:after="0" w:line="246" w:lineRule="auto"/>
        <w:tabs>
          <w:tab w:leader="none" w:pos="1723"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Independent Contractor</w:t>
      </w:r>
      <w:r>
        <w:rPr>
          <w:rFonts w:ascii="Times New Roman" w:cs="Times New Roman" w:eastAsia="Times New Roman" w:hAnsi="Times New Roman"/>
          <w:sz w:val="20"/>
          <w:szCs w:val="20"/>
          <w:color w:val="auto"/>
        </w:rPr>
        <w:t>. Consultant is an independent contractor and nothing in this Agreement will be construed as establishing an employment or agency relationship between Company and Consultant. Consultant has no authority to bind Company by contract or otherwise. Consultant will perform Services under the general direction of Company, but Consultant will determine, in Consultant’s sole discretion, the manner and means by which Services are accomplished, subject to the requirement that Consultant will at all times comply with applicable law.</w:t>
      </w:r>
    </w:p>
    <w:p>
      <w:pPr>
        <w:spacing w:after="0" w:line="184" w:lineRule="exact"/>
        <w:rPr>
          <w:rFonts w:ascii="Times New Roman" w:cs="Times New Roman" w:eastAsia="Times New Roman" w:hAnsi="Times New Roman"/>
          <w:sz w:val="20"/>
          <w:szCs w:val="20"/>
          <w:color w:val="auto"/>
        </w:rPr>
      </w:pPr>
    </w:p>
    <w:p>
      <w:pPr>
        <w:jc w:val="both"/>
        <w:ind w:left="-8" w:firstLine="872"/>
        <w:spacing w:after="0" w:line="259" w:lineRule="auto"/>
        <w:tabs>
          <w:tab w:leader="none" w:pos="1734"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Taxes and Employee Benefits</w:t>
      </w:r>
      <w:r>
        <w:rPr>
          <w:rFonts w:ascii="Times New Roman" w:cs="Times New Roman" w:eastAsia="Times New Roman" w:hAnsi="Times New Roman"/>
          <w:sz w:val="19"/>
          <w:szCs w:val="19"/>
          <w:color w:val="auto"/>
        </w:rPr>
        <w:t>. Consultant acknowledges and agrees that Consultant is obligated to report as income, and pay all applicable taxes with respect to, all compensation received by Consultant pursuant to this Agreement. Consultant will not be entitled to any benefits paid or made available by Company to its employees, including, without limitation, any vacation or illness payments, or to participate in any plans, arrangements or distributions made by Company pertaining to any bonus, stock option, profit sharing, insurance or similar benefits. Consultant will indemnify and hold Company harmless from and against all damages, liabilities, losses, penalties, fines, expenses and costs (including reasonable fees and expenses of attorneys and other professionals) arising out of or relating to any obligation imposed by law on Company to pay any withholding taxes, social security, unemployment or disability insurance or</w:t>
      </w:r>
    </w:p>
    <w:p>
      <w:pPr>
        <w:spacing w:after="0" w:line="172" w:lineRule="exact"/>
        <w:rPr>
          <w:sz w:val="20"/>
          <w:szCs w:val="20"/>
          <w:color w:val="auto"/>
        </w:rPr>
      </w:pPr>
    </w:p>
    <w:p>
      <w:pPr>
        <w:ind w:left="872"/>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69850</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60" w:right="339" w:bottom="1440" w:gutter="0" w:footer="0" w:header="0"/>
        </w:sectPr>
      </w:pPr>
    </w:p>
    <w:bookmarkStart w:id="79" w:name="page80"/>
    <w:bookmarkEnd w:id="79"/>
    <w:p>
      <w:pPr>
        <w:spacing w:after="0" w:line="269" w:lineRule="auto"/>
        <w:rPr>
          <w:sz w:val="20"/>
          <w:szCs w:val="20"/>
          <w:color w:val="auto"/>
        </w:rPr>
      </w:pPr>
      <w:r>
        <w:rPr>
          <w:rFonts w:ascii="Times New Roman" w:cs="Times New Roman" w:eastAsia="Times New Roman" w:hAnsi="Times New Roman"/>
          <w:sz w:val="20"/>
          <w:szCs w:val="20"/>
          <w:color w:val="auto"/>
        </w:rPr>
        <w:t>similar items in connection with compensation received by Consultant pursuant to this Agreement. Consultant acknowledges that Company will not carry any liability insurance on behalf of Consultant.</w:t>
      </w:r>
    </w:p>
    <w:p>
      <w:pPr>
        <w:spacing w:after="0" w:line="159" w:lineRule="exact"/>
        <w:rPr>
          <w:sz w:val="20"/>
          <w:szCs w:val="20"/>
          <w:color w:val="auto"/>
        </w:rPr>
      </w:pPr>
    </w:p>
    <w:p>
      <w:pPr>
        <w:jc w:val="both"/>
        <w:ind w:firstLine="872"/>
        <w:spacing w:after="0" w:line="249" w:lineRule="auto"/>
        <w:tabs>
          <w:tab w:leader="none" w:pos="1731"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Transparency Reporting</w:t>
      </w:r>
      <w:r>
        <w:rPr>
          <w:rFonts w:ascii="Times New Roman" w:cs="Times New Roman" w:eastAsia="Times New Roman" w:hAnsi="Times New Roman"/>
          <w:sz w:val="20"/>
          <w:szCs w:val="20"/>
          <w:color w:val="auto"/>
        </w:rPr>
        <w:t>. Consultant agrees that Company or its designee may report to federal and/or state authorities such compensation, payments, and other transfers of value made to Consultant hereunder that Company, in its sole discretion, deems necessary in order to comply with transparency reporting requirements pursuant to 42 U.S.C. § 1320a-7h (commonly known as the “Physician Payment Sunshine Act”) and similar state laws, and their respective implementing regulations.</w:t>
      </w:r>
    </w:p>
    <w:p>
      <w:pPr>
        <w:spacing w:after="0" w:line="175" w:lineRule="exact"/>
        <w:rPr>
          <w:rFonts w:ascii="Times New Roman" w:cs="Times New Roman" w:eastAsia="Times New Roman" w:hAnsi="Times New Roman"/>
          <w:sz w:val="20"/>
          <w:szCs w:val="20"/>
          <w:color w:val="auto"/>
        </w:rPr>
      </w:pPr>
    </w:p>
    <w:p>
      <w:pPr>
        <w:ind w:left="800" w:hanging="792"/>
        <w:spacing w:after="0"/>
        <w:tabs>
          <w:tab w:leader="none" w:pos="80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WARRANTIES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872"/>
        <w:spacing w:after="0" w:line="244" w:lineRule="auto"/>
        <w:tabs>
          <w:tab w:leader="none" w:pos="1731"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Debarment</w:t>
      </w:r>
      <w:r>
        <w:rPr>
          <w:rFonts w:ascii="Times New Roman" w:cs="Times New Roman" w:eastAsia="Times New Roman" w:hAnsi="Times New Roman"/>
          <w:sz w:val="20"/>
          <w:szCs w:val="20"/>
          <w:color w:val="auto"/>
        </w:rPr>
        <w:t>. Consultant represents and warrants that Consultant has not been debarred under Section (a) or (b) of 21 U.S.C. Section 335a and does not appear on the United States Food and Drug debarment list. Consultant represents and warrants that Consultant has not committed any crime or conduct that could result in such debarment or Consultant’s exclusion from any governmental healthcare program. Consultant represents and warrants that, to Consultant’s knowledge, no investigations, claims or proceedings with respect to any such crimes or conduct are pending or threatened against Consultant. Consultant agrees and undertakes to promptly notify Company if Consultant becomes debarred or proceedings have been initiated against Consultant with respect to debarment, whether such debarment or initiation of proceedings occurs during or after the term of this Agreement.</w:t>
      </w:r>
    </w:p>
    <w:p>
      <w:pPr>
        <w:spacing w:after="0" w:line="185" w:lineRule="exact"/>
        <w:rPr>
          <w:rFonts w:ascii="Times New Roman" w:cs="Times New Roman" w:eastAsia="Times New Roman" w:hAnsi="Times New Roman"/>
          <w:sz w:val="20"/>
          <w:szCs w:val="20"/>
          <w:color w:val="auto"/>
        </w:rPr>
      </w:pPr>
    </w:p>
    <w:p>
      <w:pPr>
        <w:jc w:val="both"/>
        <w:ind w:firstLine="872"/>
        <w:spacing w:after="0" w:line="254" w:lineRule="auto"/>
        <w:tabs>
          <w:tab w:leader="none" w:pos="1742"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Standard</w:t>
      </w:r>
      <w:r>
        <w:rPr>
          <w:rFonts w:ascii="Times New Roman" w:cs="Times New Roman" w:eastAsia="Times New Roman" w:hAnsi="Times New Roman"/>
          <w:sz w:val="20"/>
          <w:szCs w:val="20"/>
          <w:color w:val="auto"/>
        </w:rPr>
        <w:t>. Consultant represents and warrants that Consultant has the requisite training, background, experience, technical knowledge and skills to perform the Services and that Consultant will perform the Services in a thorough and professional manner, consistent with high professional and industry standards and in compliance with all applicable laws and regulations.</w:t>
      </w:r>
    </w:p>
    <w:p>
      <w:pPr>
        <w:spacing w:after="0" w:line="170" w:lineRule="exact"/>
        <w:rPr>
          <w:rFonts w:ascii="Times New Roman" w:cs="Times New Roman" w:eastAsia="Times New Roman" w:hAnsi="Times New Roman"/>
          <w:sz w:val="20"/>
          <w:szCs w:val="20"/>
          <w:color w:val="auto"/>
        </w:rPr>
      </w:pPr>
    </w:p>
    <w:p>
      <w:pPr>
        <w:jc w:val="both"/>
        <w:ind w:firstLine="8"/>
        <w:spacing w:after="0" w:line="255" w:lineRule="auto"/>
        <w:tabs>
          <w:tab w:leader="none" w:pos="796" w:val="left"/>
        </w:tabs>
        <w:numPr>
          <w:ilvl w:val="0"/>
          <w:numId w:val="6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CONFLICTING OBLIGATIONS</w:t>
      </w:r>
      <w:r>
        <w:rPr>
          <w:rFonts w:ascii="Times New Roman" w:cs="Times New Roman" w:eastAsia="Times New Roman" w:hAnsi="Times New Roman"/>
          <w:sz w:val="19"/>
          <w:szCs w:val="19"/>
          <w:color w:val="auto"/>
        </w:rPr>
        <w:t>. Consultant hereby represents, warrants and certifies that Consultant has no outstanding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agreement, commitment or obligation that is in conflict with any of the provisions of this Agreement, or that would preclude Consultant from complying with the provisions hereof, and further certifies that Consultant will not enter into any such conflicting agreement during the term of this Agreement. Subject to written waivers that may be provided by Company upon request, which shall not be unreasonably withheld, Consultant agrees that, during the term of this Agreement, Consultant will not directly or indirectly (i) provide any services in the Field of Interest (as defined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to any other business or commercial entity, (ii) provide any services for any business or commercial entity that is competitive with Company and shall list on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any other companies for whom Consultant is providing services (“</w:t>
      </w:r>
      <w:r>
        <w:rPr>
          <w:rFonts w:ascii="Times New Roman" w:cs="Times New Roman" w:eastAsia="Times New Roman" w:hAnsi="Times New Roman"/>
          <w:sz w:val="19"/>
          <w:szCs w:val="19"/>
          <w:b w:val="1"/>
          <w:bCs w:val="1"/>
          <w:color w:val="auto"/>
        </w:rPr>
        <w:t>Outside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Companies</w:t>
      </w:r>
      <w:r>
        <w:rPr>
          <w:rFonts w:ascii="Times New Roman" w:cs="Times New Roman" w:eastAsia="Times New Roman" w:hAnsi="Times New Roman"/>
          <w:sz w:val="19"/>
          <w:szCs w:val="19"/>
          <w:color w:val="auto"/>
        </w:rPr>
        <w:t>”), or (iii) participate in the formation of any business or commercial entity in the Field of Interest or otherwise competitive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The Services performed hereunder will not be conducted on time that is required to be devoted to any other third party. Consultant shall not use the funding, resources and facilities of any other third party, without the prior written consent of Company, to perform Services hereunder and shall not perform the Services hereunder in any manner that would give any third party rights or access to the product of such Services. Without limiting the foregoing, Consultant agrees to use his or her best efforts (A) to segregate Consultant’s Services performed under this Agreement from Consultant’s work done for the Outside Companies and any other third party so as to minimize any questions of disclosure of, or rights under, any inventions, (B) to notify Company if at any time Consultant believes that such questions may result from his or her performance under this Agreement and (C) to assist Company in fairly resolving any questions in this regard which may arise.</w:t>
      </w:r>
    </w:p>
    <w:p>
      <w:pPr>
        <w:spacing w:after="0" w:line="176" w:lineRule="exact"/>
        <w:rPr>
          <w:rFonts w:ascii="Times New Roman" w:cs="Times New Roman" w:eastAsia="Times New Roman" w:hAnsi="Times New Roman"/>
          <w:sz w:val="19"/>
          <w:szCs w:val="19"/>
          <w:b w:val="1"/>
          <w:bCs w:val="1"/>
          <w:color w:val="auto"/>
        </w:rPr>
      </w:pPr>
    </w:p>
    <w:p>
      <w:pPr>
        <w:jc w:val="both"/>
        <w:ind w:firstLine="8"/>
        <w:spacing w:after="0" w:line="256" w:lineRule="auto"/>
        <w:tabs>
          <w:tab w:leader="none" w:pos="796"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GENERAL</w:t>
      </w:r>
      <w:r>
        <w:rPr>
          <w:rFonts w:ascii="Times New Roman" w:cs="Times New Roman" w:eastAsia="Times New Roman" w:hAnsi="Times New Roman"/>
          <w:sz w:val="20"/>
          <w:szCs w:val="20"/>
          <w:color w:val="auto"/>
        </w:rPr>
        <w:t>. This Agreement, including the Exhibits hereto, is the sole agreement and understanding between Company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 concerning the subject matter hereof, and it supersedes all prior agreements and understandings with respect to such matter. Any required notice shall be given in writing by customary means with receipt confirmed at the address of each party set forth below, or to such</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0" w:name="page81"/>
    <w:bookmarkEnd w:id="80"/>
    <w:p>
      <w:pPr>
        <w:jc w:val="both"/>
        <w:spacing w:after="0" w:line="242" w:lineRule="auto"/>
        <w:rPr>
          <w:sz w:val="20"/>
          <w:szCs w:val="20"/>
          <w:color w:val="auto"/>
        </w:rPr>
      </w:pPr>
      <w:r>
        <w:rPr>
          <w:rFonts w:ascii="Times New Roman" w:cs="Times New Roman" w:eastAsia="Times New Roman" w:hAnsi="Times New Roman"/>
          <w:sz w:val="20"/>
          <w:szCs w:val="20"/>
          <w:color w:val="auto"/>
        </w:rPr>
        <w:t>other address as either party may substitute by written notice to the other. Consultant shall not subcontract any portion of Consultant’s duties under this Agreement without the prior written consent of Company. Neither this Agreement nor any right hereunder or interest herein may be assigned or transferred by Consultant without the prior written consent of Company. Company may assign this Agreement to any entity that succeeds to substantially all of the business or assets of Company. This Agreement shall be governed by the laws of the State of Delaware, without reference to its conflicts of law principles. This Agreement may only be amended or modified by a writing signed by both parties. Waiver of any term or provision of this Agreement or forbearance to enforce any term or provision by either party shall not constitute a waiver as to any subsequent breach or failure of the same term or provision or a waiver of any other term or provision of this Agreement. In the event that any provision of this Agreement becomes or is declared by a court of competent jurisdiction to be illegal, unenforceable or void, this Agreement shall continue in full force and effect without said provision, provided that no such severability shall be effective if it materially changes the economic benefit of this Agreement to either Company or Consultant. This Agreement may be executed in two or more counterparts, each of which will be deemed an original, but all of which together shall constitute one and the same instrument. Once signed, any reproduction of this Agreement made by reliable means (e.g., photocopy, facsimile) is considered an original.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4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Agreement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02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PRELUDE THERAPEUTICS INCORPORATED</w:t>
            </w:r>
          </w:p>
        </w:tc>
        <w:tc>
          <w:tcPr>
            <w:tcW w:w="2880" w:type="dxa"/>
            <w:vAlign w:val="bottom"/>
            <w:gridSpan w:val="3"/>
          </w:tcPr>
          <w:p>
            <w:pPr>
              <w:ind w:left="800"/>
              <w:spacing w:after="0"/>
              <w:rPr>
                <w:sz w:val="20"/>
                <w:szCs w:val="20"/>
                <w:color w:val="auto"/>
              </w:rPr>
            </w:pPr>
            <w:r>
              <w:rPr>
                <w:rFonts w:ascii="Times New Roman" w:cs="Times New Roman" w:eastAsia="Times New Roman" w:hAnsi="Times New Roman"/>
                <w:sz w:val="20"/>
                <w:szCs w:val="20"/>
                <w:b w:val="1"/>
                <w:bCs w:val="1"/>
                <w:color w:val="auto"/>
                <w:w w:val="97"/>
              </w:rPr>
              <w:t>DEBORAH MOROSINI</w:t>
            </w:r>
          </w:p>
        </w:tc>
      </w:tr>
      <w:tr>
        <w:trPr>
          <w:trHeight w:val="446"/>
        </w:trPr>
        <w:tc>
          <w:tcPr>
            <w:tcW w:w="50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w:t>
            </w:r>
          </w:p>
        </w:tc>
        <w:tc>
          <w:tcPr>
            <w:tcW w:w="288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auto"/>
              </w:rPr>
              <w:t>By:</w:t>
            </w:r>
          </w:p>
        </w:tc>
      </w:tr>
      <w:tr>
        <w:trPr>
          <w:trHeight w:val="399"/>
        </w:trPr>
        <w:tc>
          <w:tcPr>
            <w:tcW w:w="50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Name: Kris Vaddi</w:t>
            </w:r>
          </w:p>
        </w:tc>
        <w:tc>
          <w:tcPr>
            <w:tcW w:w="288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auto"/>
              </w:rPr>
              <w:t>Name: Deborah Morosini</w:t>
            </w:r>
          </w:p>
        </w:tc>
      </w:tr>
      <w:tr>
        <w:trPr>
          <w:trHeight w:val="20"/>
        </w:trPr>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5"/>
        </w:trPr>
        <w:tc>
          <w:tcPr>
            <w:tcW w:w="50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Title: CEO and Founder</w:t>
            </w:r>
          </w:p>
        </w:tc>
        <w:tc>
          <w:tcPr>
            <w:tcW w:w="288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auto"/>
                <w:w w:val="99"/>
              </w:rPr>
              <w:t>Title: EVP clinical affairs</w:t>
            </w:r>
          </w:p>
        </w:tc>
      </w:tr>
      <w:tr>
        <w:trPr>
          <w:trHeight w:val="20"/>
        </w:trPr>
        <w:tc>
          <w:tcPr>
            <w:tcW w:w="54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20" w:type="dxa"/>
            <w:vAlign w:val="bottom"/>
            <w:tcBorders>
              <w:right w:val="single" w:sz="8" w:color="auto"/>
            </w:tcBorders>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Address: </w:t>
      </w:r>
      <w:r>
        <w:rPr>
          <w:rFonts w:ascii="Times New Roman" w:cs="Times New Roman" w:eastAsia="Times New Roman" w:hAnsi="Times New Roman"/>
          <w:sz w:val="20"/>
          <w:szCs w:val="20"/>
          <w:u w:val="single" w:color="auto"/>
          <w:color w:val="auto"/>
        </w:rPr>
        <w:t>200 Powder Mill Road Experimental Station Wilmington DE</w:t>
      </w:r>
      <w:r>
        <w:rPr>
          <w:rFonts w:ascii="Times New Roman" w:cs="Times New Roman" w:eastAsia="Times New Roman" w:hAnsi="Times New Roman"/>
          <w:sz w:val="20"/>
          <w:szCs w:val="20"/>
          <w:color w:val="auto"/>
        </w:rPr>
        <w:t>Address: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19317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0"/>
          <w:szCs w:val="20"/>
          <w:u w:val="single" w:color="auto"/>
          <w:color w:val="auto"/>
        </w:rPr>
        <w:t>4/6/2022</w:t>
      </w:r>
    </w:p>
    <w:p>
      <w:pPr>
        <w:spacing w:after="0" w:line="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color w:val="auto"/>
        </w:rPr>
        <w:t>Date: 4/6/2022</w:t>
      </w:r>
    </w:p>
    <w:p>
      <w:pPr>
        <w:spacing w:after="0" w:line="225" w:lineRule="auto"/>
        <w:rPr>
          <w:sz w:val="20"/>
          <w:szCs w:val="20"/>
          <w:color w:val="auto"/>
        </w:rPr>
      </w:pPr>
      <w:r>
        <w:rPr>
          <w:rFonts w:ascii="Times New Roman" w:cs="Times New Roman" w:eastAsia="Times New Roman" w:hAnsi="Times New Roman"/>
          <w:sz w:val="20"/>
          <w:szCs w:val="20"/>
          <w:color w:val="auto"/>
        </w:rPr>
        <w:t>Phone:</w:t>
      </w:r>
    </w:p>
    <w:p>
      <w:pPr>
        <w:ind w:left="5820"/>
        <w:spacing w:after="0"/>
        <w:rPr>
          <w:sz w:val="20"/>
          <w:szCs w:val="20"/>
          <w:color w:val="auto"/>
        </w:rPr>
      </w:pPr>
      <w:r>
        <w:rPr>
          <w:rFonts w:ascii="Times New Roman" w:cs="Times New Roman" w:eastAsia="Times New Roman" w:hAnsi="Times New Roman"/>
          <w:sz w:val="20"/>
          <w:szCs w:val="20"/>
          <w:color w:val="auto"/>
        </w:rPr>
        <w:t>Phone:</w:t>
      </w:r>
    </w:p>
    <w:p>
      <w:pPr>
        <w:spacing w:after="0" w:line="225" w:lineRule="auto"/>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0"/>
          <w:szCs w:val="20"/>
          <w:u w:val="single" w:color="auto"/>
          <w:color w:val="auto"/>
        </w:rPr>
        <w:t>kv@preludetx.com</w:t>
      </w:r>
    </w:p>
    <w:p>
      <w:pPr>
        <w:ind w:left="5820"/>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0"/>
          <w:szCs w:val="20"/>
          <w:u w:val="single" w:color="auto"/>
          <w:color w:val="auto"/>
        </w:rPr>
        <w:t>dmorosini@preludetx.com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SERVICES AND COMPENSATION</w:t>
      </w:r>
    </w:p>
    <w:p>
      <w:pPr>
        <w:spacing w:after="0" w:line="220" w:lineRule="exact"/>
        <w:rPr>
          <w:sz w:val="20"/>
          <w:szCs w:val="20"/>
          <w:color w:val="auto"/>
        </w:rPr>
      </w:pPr>
    </w:p>
    <w:p>
      <w:pPr>
        <w:ind w:firstLine="8"/>
        <w:spacing w:after="0" w:line="269" w:lineRule="auto"/>
        <w:tabs>
          <w:tab w:leader="none" w:pos="796"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Services</w:t>
      </w:r>
      <w:r>
        <w:rPr>
          <w:rFonts w:ascii="Times New Roman" w:cs="Times New Roman" w:eastAsia="Times New Roman" w:hAnsi="Times New Roman"/>
          <w:sz w:val="20"/>
          <w:szCs w:val="20"/>
          <w:color w:val="auto"/>
        </w:rPr>
        <w:t>. Consultant will provide transition support, turnover of external relationships, and related services as may be requested by the Company’s Chief Executive Officer or President and Chief Medical Officer.</w:t>
      </w:r>
    </w:p>
    <w:p>
      <w:pPr>
        <w:spacing w:after="0" w:line="159" w:lineRule="exact"/>
        <w:rPr>
          <w:rFonts w:ascii="Times New Roman" w:cs="Times New Roman" w:eastAsia="Times New Roman" w:hAnsi="Times New Roman"/>
          <w:sz w:val="20"/>
          <w:szCs w:val="20"/>
          <w:b w:val="1"/>
          <w:bCs w:val="1"/>
          <w:color w:val="auto"/>
        </w:rPr>
      </w:pPr>
    </w:p>
    <w:p>
      <w:pPr>
        <w:ind w:left="800" w:hanging="792"/>
        <w:spacing w:after="0"/>
        <w:tabs>
          <w:tab w:leader="none" w:pos="80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ind w:left="1700" w:hanging="842"/>
        <w:spacing w:after="0"/>
        <w:tabs>
          <w:tab w:leader="none" w:pos="17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will pay Consultant $500 per hour.</w:t>
      </w:r>
    </w:p>
    <w:p>
      <w:pPr>
        <w:spacing w:after="0" w:line="215" w:lineRule="exact"/>
        <w:rPr>
          <w:rFonts w:ascii="Times New Roman" w:cs="Times New Roman" w:eastAsia="Times New Roman" w:hAnsi="Times New Roman"/>
          <w:sz w:val="20"/>
          <w:szCs w:val="20"/>
          <w:color w:val="auto"/>
        </w:rPr>
      </w:pPr>
    </w:p>
    <w:p>
      <w:pPr>
        <w:jc w:val="both"/>
        <w:ind w:left="1700" w:right="660" w:hanging="842"/>
        <w:spacing w:after="0" w:line="254" w:lineRule="auto"/>
        <w:tabs>
          <w:tab w:leader="none" w:pos="17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shall maintain documentation of the hours spent in performing the Services, and a description of the activities performed during each interval. Such documentation shall be required to be submitted to Company for payment.</w:t>
      </w:r>
    </w:p>
    <w:p>
      <w:pPr>
        <w:spacing w:after="0" w:line="174" w:lineRule="exact"/>
        <w:rPr>
          <w:rFonts w:ascii="Times New Roman" w:cs="Times New Roman" w:eastAsia="Times New Roman" w:hAnsi="Times New Roman"/>
          <w:sz w:val="20"/>
          <w:szCs w:val="20"/>
          <w:color w:val="auto"/>
        </w:rPr>
      </w:pPr>
    </w:p>
    <w:p>
      <w:pPr>
        <w:ind w:left="1700" w:right="60" w:hanging="842"/>
        <w:spacing w:after="0" w:line="269" w:lineRule="auto"/>
        <w:tabs>
          <w:tab w:leader="none" w:pos="17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will reimburse Consultant for all reasonable properly vouched travel and out- of-pocket expenses incurred by Consultant in performing Services pursuant to this Agreement that are pre-approved by Company.</w:t>
      </w:r>
    </w:p>
    <w:p>
      <w:pPr>
        <w:spacing w:after="0" w:line="159" w:lineRule="exact"/>
        <w:rPr>
          <w:rFonts w:ascii="Times New Roman" w:cs="Times New Roman" w:eastAsia="Times New Roman" w:hAnsi="Times New Roman"/>
          <w:sz w:val="20"/>
          <w:szCs w:val="20"/>
          <w:color w:val="auto"/>
        </w:rPr>
      </w:pPr>
    </w:p>
    <w:p>
      <w:pPr>
        <w:ind w:left="1700" w:right="20" w:hanging="842"/>
        <w:spacing w:after="0" w:line="269" w:lineRule="auto"/>
        <w:tabs>
          <w:tab w:leader="none" w:pos="17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will submit to Company all statements for expenses incurred and Services performed on a monthly basis in a form prescribed by Company.</w:t>
      </w:r>
    </w:p>
    <w:p>
      <w:pPr>
        <w:spacing w:after="0" w:line="159" w:lineRule="exact"/>
        <w:rPr>
          <w:rFonts w:ascii="Times New Roman" w:cs="Times New Roman" w:eastAsia="Times New Roman" w:hAnsi="Times New Roman"/>
          <w:sz w:val="20"/>
          <w:szCs w:val="20"/>
          <w:color w:val="auto"/>
        </w:rPr>
      </w:pPr>
    </w:p>
    <w:p>
      <w:pPr>
        <w:ind w:left="1700" w:right="300" w:hanging="842"/>
        <w:spacing w:after="0" w:line="246" w:lineRule="auto"/>
        <w:tabs>
          <w:tab w:leader="none" w:pos="17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compensation provided for hereunder has been determined by the parties through good faith and arms-length bargaining to be the fair market value of the Services described in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No amount paid or to be paid hereunder is intended to be, nor shall it be construed as, an offer or payment made, whether directly or indirectly, overtly or covertly, to induce the referral of patients, the purchase, prescribing, or order of any item or service, or the recommending or arranging for the purchase, prescribing, or order of any item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1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DEFEND TRADE SECRETS ACT, 18 U.S. CODE § 1833 NOTICE: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 U.S. Code Section 1833 provides as follows:</w:t>
      </w:r>
    </w:p>
    <w:p>
      <w:pPr>
        <w:spacing w:after="0" w:line="212" w:lineRule="exact"/>
        <w:rPr>
          <w:sz w:val="20"/>
          <w:szCs w:val="20"/>
          <w:color w:val="auto"/>
        </w:rPr>
      </w:pPr>
    </w:p>
    <w:p>
      <w:pPr>
        <w:jc w:val="both"/>
        <w:ind w:left="88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Immunity From Liability For Confidential Disclosure Of A Trade Secret To The Government Or In A Court Filing. </w:t>
      </w:r>
      <w:r>
        <w:rPr>
          <w:rFonts w:ascii="Times New Roman" w:cs="Times New Roman" w:eastAsia="Times New Roman" w:hAnsi="Times New Roman"/>
          <w:sz w:val="20"/>
          <w:szCs w:val="20"/>
          <w:color w:val="auto"/>
        </w:rPr>
        <w:t>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80" w:lineRule="exact"/>
        <w:rPr>
          <w:sz w:val="20"/>
          <w:szCs w:val="20"/>
          <w:color w:val="auto"/>
        </w:rPr>
      </w:pPr>
    </w:p>
    <w:p>
      <w:pPr>
        <w:jc w:val="both"/>
        <w:ind w:left="88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Use of Trade Secret Information in Anti-Retaliation Lawsuit. </w:t>
      </w:r>
      <w:r>
        <w:rPr>
          <w:rFonts w:ascii="Times New Roman" w:cs="Times New Roman" w:eastAsia="Times New Roman" w:hAnsi="Times New Roman"/>
          <w:sz w:val="20"/>
          <w:szCs w:val="20"/>
          <w:color w:val="auto"/>
        </w:rPr>
        <w:t>An individual who files a lawsuit for retaliation by an employer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OUTSIDE COMPANIES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[List; if none, so indicate]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w:t>
      </w:r>
    </w:p>
    <w:p>
      <w:pPr>
        <w:sectPr>
          <w:pgSz w:w="11900" w:h="16838" w:orient="portrait"/>
          <w:cols w:equalWidth="0" w:num="1">
            <w:col w:w="11240"/>
          </w:cols>
          <w:pgMar w:left="320" w:top="114"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Krishna Vaddi, certify that:</w:t>
      </w:r>
    </w:p>
    <w:p>
      <w:pPr>
        <w:spacing w:after="0" w:line="225" w:lineRule="exact"/>
        <w:rPr>
          <w:sz w:val="20"/>
          <w:szCs w:val="20"/>
          <w:color w:val="auto"/>
        </w:rPr>
      </w:pPr>
    </w:p>
    <w:p>
      <w:pPr>
        <w:ind w:left="500" w:hanging="492"/>
        <w:spacing w:after="0"/>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60" w:hanging="492"/>
        <w:spacing w:after="0" w:line="266" w:lineRule="auto"/>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00" w:right="340" w:hanging="493"/>
        <w:spacing w:after="0" w:line="266" w:lineRule="auto"/>
        <w:tabs>
          <w:tab w:leader="none" w:pos="10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460" w:hanging="493"/>
        <w:spacing w:after="0" w:line="282" w:lineRule="auto"/>
        <w:tabs>
          <w:tab w:leader="none" w:pos="10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24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Krishna Vaddi</w:t>
            </w:r>
          </w:p>
        </w:tc>
      </w:tr>
      <w:tr>
        <w:trPr>
          <w:trHeight w:val="216"/>
        </w:trPr>
        <w:tc>
          <w:tcPr>
            <w:tcW w:w="3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Krishna Vaddi, PhD</w:t>
            </w:r>
          </w:p>
        </w:tc>
      </w:tr>
      <w:tr>
        <w:trPr>
          <w:trHeight w:val="216"/>
        </w:trPr>
        <w:tc>
          <w:tcPr>
            <w:tcW w:w="3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6"/>
        </w:trPr>
        <w:tc>
          <w:tcPr>
            <w:tcW w:w="3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ectPr>
          <w:pgSz w:w="11900" w:h="16838" w:orient="portrait"/>
          <w:cols w:equalWidth="0" w:num="1">
            <w:col w:w="11240"/>
          </w:cols>
          <w:pgMar w:left="320" w:top="34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Laurent Chardonnet, certify that:</w:t>
      </w:r>
    </w:p>
    <w:p>
      <w:pPr>
        <w:spacing w:after="0" w:line="225" w:lineRule="exact"/>
        <w:rPr>
          <w:sz w:val="20"/>
          <w:szCs w:val="20"/>
          <w:color w:val="auto"/>
        </w:rPr>
      </w:pPr>
    </w:p>
    <w:p>
      <w:pPr>
        <w:ind w:left="500" w:hanging="492"/>
        <w:spacing w:after="0"/>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60" w:hanging="492"/>
        <w:spacing w:after="0" w:line="266"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00" w:right="340" w:hanging="493"/>
        <w:spacing w:after="0" w:line="266" w:lineRule="auto"/>
        <w:tabs>
          <w:tab w:leader="none" w:pos="10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460" w:hanging="493"/>
        <w:spacing w:after="0" w:line="282" w:lineRule="auto"/>
        <w:tabs>
          <w:tab w:leader="none" w:pos="10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24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Laurent Chardonnet</w:t>
            </w:r>
          </w:p>
        </w:tc>
      </w:tr>
      <w:tr>
        <w:trPr>
          <w:trHeight w:val="216"/>
        </w:trPr>
        <w:tc>
          <w:tcPr>
            <w:tcW w:w="3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Laurent Chardonnet</w:t>
            </w:r>
          </w:p>
        </w:tc>
      </w:tr>
      <w:tr>
        <w:trPr>
          <w:trHeight w:val="216"/>
        </w:trPr>
        <w:tc>
          <w:tcPr>
            <w:tcW w:w="3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r>
    </w:tbl>
    <w:p>
      <w:pPr>
        <w:sectPr>
          <w:pgSz w:w="11900" w:h="16838" w:orient="portrait"/>
          <w:cols w:equalWidth="0" w:num="1">
            <w:col w:w="11240"/>
          </w:cols>
          <w:pgMar w:left="320" w:top="34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Krishna Vaddi, Chief Executive Officer of Prelude Therapeutics Incorporated (the “Company”), do hereby certify, pursuant to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 to the best of my knowledge:</w:t>
      </w:r>
    </w:p>
    <w:p>
      <w:pPr>
        <w:spacing w:after="0" w:line="207" w:lineRule="exact"/>
        <w:rPr>
          <w:sz w:val="20"/>
          <w:szCs w:val="20"/>
          <w:color w:val="auto"/>
        </w:rPr>
      </w:pPr>
    </w:p>
    <w:p>
      <w:pPr>
        <w:ind w:left="1000" w:right="640" w:hanging="493"/>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June 30, 2022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00" w:right="620" w:hanging="493"/>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22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Krishna Vaddi</w:t>
            </w:r>
          </w:p>
        </w:tc>
      </w:tr>
      <w:tr>
        <w:trPr>
          <w:trHeight w:val="216"/>
        </w:trPr>
        <w:tc>
          <w:tcPr>
            <w:tcW w:w="3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Krishna Vaddi, PhD</w:t>
            </w:r>
          </w:p>
        </w:tc>
      </w:tr>
      <w:tr>
        <w:trPr>
          <w:trHeight w:val="216"/>
        </w:trPr>
        <w:tc>
          <w:tcPr>
            <w:tcW w:w="3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ectPr>
          <w:pgSz w:w="11900" w:h="16838" w:orient="portrait"/>
          <w:cols w:equalWidth="0" w:num="1">
            <w:col w:w="11240"/>
          </w:cols>
          <w:pgMar w:left="320" w:top="34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Laurent Chardonnet, Chief Financial Officer of Prelude Therapeutics Incorporated (the “Company”), do hereby certify, pursuant to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 to the best of my knowledge:</w:t>
      </w:r>
    </w:p>
    <w:p>
      <w:pPr>
        <w:spacing w:after="0" w:line="207" w:lineRule="exact"/>
        <w:rPr>
          <w:sz w:val="20"/>
          <w:szCs w:val="20"/>
          <w:color w:val="auto"/>
        </w:rPr>
      </w:pPr>
    </w:p>
    <w:p>
      <w:pPr>
        <w:ind w:left="1000" w:right="640" w:hanging="493"/>
        <w:spacing w:after="0" w:line="282"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June 30, 2022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00" w:right="700" w:hanging="493"/>
        <w:spacing w:after="0" w:line="282"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2240" w:type="dxa"/>
            <w:vAlign w:val="bottom"/>
          </w:tcPr>
          <w:p>
            <w:pPr>
              <w:ind w:left="1960"/>
              <w:spacing w:after="0"/>
              <w:rPr>
                <w:sz w:val="20"/>
                <w:szCs w:val="20"/>
                <w:color w:val="auto"/>
              </w:rPr>
            </w:pPr>
            <w:r>
              <w:rPr>
                <w:rFonts w:ascii="Times New Roman" w:cs="Times New Roman" w:eastAsia="Times New Roman" w:hAnsi="Times New Roman"/>
                <w:sz w:val="18"/>
                <w:szCs w:val="18"/>
                <w:color w:val="auto"/>
                <w:w w:val="99"/>
              </w:rPr>
              <w:t>By:</w:t>
            </w:r>
          </w:p>
        </w:tc>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Laurent Chardonnet</w:t>
            </w:r>
          </w:p>
        </w:tc>
      </w:tr>
      <w:tr>
        <w:trPr>
          <w:trHeight w:val="216"/>
        </w:trPr>
        <w:tc>
          <w:tcPr>
            <w:tcW w:w="35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Laurent Chardonnet</w:t>
            </w:r>
          </w:p>
        </w:tc>
      </w:tr>
      <w:tr>
        <w:trPr>
          <w:trHeight w:val="216"/>
        </w:trPr>
        <w:tc>
          <w:tcPr>
            <w:tcW w:w="35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5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(Principal Accounting and Finance Officer)</w:t>
            </w:r>
          </w:p>
        </w:tc>
      </w:tr>
    </w:tbl>
    <w:p>
      <w:pPr>
        <w:spacing w:after="0" w:line="1" w:lineRule="exact"/>
        <w:rPr>
          <w:sz w:val="20"/>
          <w:szCs w:val="20"/>
          <w:color w:val="auto"/>
        </w:rPr>
      </w:pP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lvl w:ilvl="1">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lvl w:ilvl="1">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amp;"/>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1."/>
      <w:numFmt w:val="decimal"/>
      <w:start w:val="1"/>
    </w:lvl>
    <w:lvl w:ilvl="1">
      <w:lvlJc w:val="left"/>
      <w:lvlText w:val="(%2)"/>
      <w:numFmt w:val="lowerLetter"/>
      <w:start w:val="1"/>
    </w:lvl>
  </w:abstractNum>
  <w:abstractNum w:abstractNumId="55">
    <w:nsid w:val="61574095"/>
    <w:multiLevelType w:val="hybridMultilevel"/>
    <w:lvl w:ilvl="0">
      <w:lvlJc w:val="left"/>
      <w:lvlText w:val="%1"/>
      <w:numFmt w:val="decimal"/>
      <w:start w:val="1"/>
    </w:lvl>
    <w:lvl w:ilvl="1">
      <w:lvlJc w:val="left"/>
      <w:lvlText w:val="(%2)"/>
      <w:numFmt w:val="lowerLetter"/>
      <w:start w:val="3"/>
    </w:lvl>
  </w:abstractNum>
  <w:abstractNum w:abstractNumId="56">
    <w:nsid w:val="7E0C57B1"/>
    <w:multiLevelType w:val="hybridMultilevel"/>
    <w:lvl w:ilvl="0">
      <w:lvlJc w:val="left"/>
      <w:lvlText w:val="%1."/>
      <w:numFmt w:val="decimal"/>
      <w:start w:val="3"/>
    </w:lvl>
    <w:lvl w:ilvl="1">
      <w:lvlJc w:val="left"/>
      <w:lvlText w:val="(%2)"/>
      <w:numFmt w:val="lowerLetter"/>
      <w:start w:val="1"/>
    </w:lvl>
  </w:abstractNum>
  <w:abstractNum w:abstractNumId="57">
    <w:nsid w:val="77AE35EB"/>
    <w:multiLevelType w:val="hybridMultilevel"/>
    <w:lvl w:ilvl="0">
      <w:lvlJc w:val="left"/>
      <w:lvlText w:val="%1"/>
      <w:numFmt w:val="decimal"/>
      <w:start w:val="1"/>
    </w:lvl>
    <w:lvl w:ilvl="1">
      <w:lvlJc w:val="left"/>
      <w:lvlText w:val="(%2)"/>
      <w:numFmt w:val="lowerLetter"/>
      <w:start w:val="4"/>
    </w:lvl>
  </w:abstractNum>
  <w:abstractNum w:abstractNumId="58">
    <w:nsid w:val="579BE4F1"/>
    <w:multiLevelType w:val="hybridMultilevel"/>
    <w:lvl w:ilvl="0">
      <w:lvlJc w:val="left"/>
      <w:lvlText w:val="%1."/>
      <w:numFmt w:val="decimal"/>
      <w:start w:val="4"/>
    </w:lvl>
    <w:lvl w:ilvl="1">
      <w:lvlJc w:val="left"/>
      <w:lvlText w:val="(%2)"/>
      <w:numFmt w:val="lowerLetter"/>
      <w:start w:val="1"/>
    </w:lvl>
  </w:abstractNum>
  <w:abstractNum w:abstractNumId="59">
    <w:nsid w:val="310C50B3"/>
    <w:multiLevelType w:val="hybridMultilevel"/>
    <w:lvl w:ilvl="0">
      <w:lvlJc w:val="left"/>
      <w:lvlText w:val="%1"/>
      <w:numFmt w:val="decimal"/>
      <w:start w:val="10"/>
    </w:lvl>
    <w:lvl w:ilvl="1">
      <w:lvlJc w:val="left"/>
      <w:lvlText w:val="%2"/>
      <w:numFmt w:val="lowerLetter"/>
      <w:start w:val="1"/>
    </w:lvl>
  </w:abstractNum>
  <w:abstractNum w:abstractNumId="60">
    <w:nsid w:val="5FF87E05"/>
    <w:multiLevelType w:val="hybridMultilevel"/>
    <w:lvl w:ilvl="0">
      <w:lvlJc w:val="left"/>
      <w:lvlText w:val="%1."/>
      <w:numFmt w:val="decimal"/>
      <w:start w:val="6"/>
    </w:lvl>
    <w:lvl w:ilvl="1">
      <w:lvlJc w:val="left"/>
      <w:lvlText w:val="(%2)"/>
      <w:numFmt w:val="lowerLetter"/>
      <w:start w:val="1"/>
    </w:lvl>
  </w:abstractNum>
  <w:abstractNum w:abstractNumId="61">
    <w:nsid w:val="2F305DEF"/>
    <w:multiLevelType w:val="hybridMultilevel"/>
    <w:lvl w:ilvl="0">
      <w:lvlJc w:val="left"/>
      <w:lvlText w:val="%1"/>
      <w:numFmt w:val="decimal"/>
      <w:start w:val="1"/>
    </w:lvl>
    <w:lvl w:ilvl="1">
      <w:lvlJc w:val="left"/>
      <w:lvlText w:val="(%2)"/>
      <w:numFmt w:val="lowerLetter"/>
      <w:start w:val="3"/>
    </w:lvl>
  </w:abstractNum>
  <w:abstractNum w:abstractNumId="62">
    <w:nsid w:val="25A70BF7"/>
    <w:multiLevelType w:val="hybridMultilevel"/>
    <w:lvl w:ilvl="0">
      <w:lvlJc w:val="left"/>
      <w:lvlText w:val="%1."/>
      <w:numFmt w:val="decimal"/>
      <w:start w:val="7"/>
    </w:lvl>
    <w:lvl w:ilvl="1">
      <w:lvlJc w:val="left"/>
      <w:lvlText w:val="(%2)"/>
      <w:numFmt w:val="lowerLetter"/>
      <w:start w:val="1"/>
    </w:lvl>
  </w:abstractNum>
  <w:abstractNum w:abstractNumId="63">
    <w:nsid w:val="1DBABF00"/>
    <w:multiLevelType w:val="hybridMultilevel"/>
    <w:lvl w:ilvl="0">
      <w:lvlJc w:val="left"/>
      <w:lvlText w:val="%1."/>
      <w:numFmt w:val="decimal"/>
      <w:start w:val="1"/>
    </w:lvl>
    <w:lvl w:ilvl="1">
      <w:lvlJc w:val="left"/>
      <w:lvlText w:val="•"/>
      <w:numFmt w:val="bullet"/>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2022-08-09T07:18:25Z</dcterms:created>
  <dcterms:modified xsi:type="dcterms:W3CDTF">2022-08-09T07:18:25Z</dcterms:modified>
</cp:coreProperties>
</file>