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4" w:lineRule="exact"/>
        <w:rPr>
          <w:sz w:val="24"/>
          <w:szCs w:val="24"/>
          <w:color w:val="auto"/>
        </w:rPr>
      </w:pPr>
    </w:p>
    <w:p>
      <w:pPr>
        <w:ind w:left="480"/>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ectPr>
          <w:pgSz w:w="11900" w:h="16838" w:orient="portrait"/>
          <w:cols w:equalWidth="0" w:num="1">
            <w:col w:w="11240"/>
          </w:cols>
          <w:pgMar w:left="320" w:top="1207" w:right="339" w:bottom="1440" w:gutter="0" w:footer="0" w:header="0"/>
        </w:sectPr>
      </w:pPr>
    </w:p>
    <w:p>
      <w:pPr>
        <w:spacing w:after="0" w:line="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40" w:space="320"/>
            <w:col w:w="3280"/>
          </w:cols>
          <w:pgMar w:left="320" w:top="1207" w:right="339" w:bottom="1440" w:gutter="0" w:footer="0" w:header="0"/>
          <w:type w:val="continuous"/>
        </w:sectPr>
      </w:pPr>
    </w:p>
    <w:tbl>
      <w:tblPr>
        <w:tblLayout w:type="fixed"/>
        <w:tblInd w:w="1760" w:type="dxa"/>
        <w:tblCellMar>
          <w:top w:w="0" w:type="dxa"/>
          <w:left w:w="0" w:type="dxa"/>
          <w:bottom w:w="0" w:type="dxa"/>
          <w:right w:w="0" w:type="dxa"/>
        </w:tblCellMar>
      </w:tblPr>
      <w:tr>
        <w:trPr>
          <w:trHeight w:val="223"/>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60" w:type="dxa"/>
            <w:vAlign w:val="bottom"/>
          </w:tcPr>
          <w:p>
            <w:pPr>
              <w:spacing w:after="0"/>
              <w:rPr>
                <w:sz w:val="19"/>
                <w:szCs w:val="19"/>
                <w:color w:val="auto"/>
              </w:rPr>
            </w:pPr>
          </w:p>
        </w:tc>
      </w:tr>
      <w:tr>
        <w:trPr>
          <w:trHeight w:val="252"/>
        </w:trPr>
        <w:tc>
          <w:tcPr>
            <w:tcW w:w="4240" w:type="dxa"/>
            <w:vAlign w:val="bottom"/>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19805</w:t>
            </w:r>
          </w:p>
        </w:tc>
      </w:tr>
      <w:tr>
        <w:trPr>
          <w:trHeight w:val="173"/>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60" w:type="dxa"/>
            <w:vAlign w:val="bottom"/>
          </w:tcPr>
          <w:p>
            <w:pPr>
              <w:jc w:val="center"/>
              <w:ind w:left="21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PRLD</w:t>
            </w:r>
          </w:p>
        </w:tc>
        <w:tc>
          <w:tcPr>
            <w:tcW w:w="100" w:type="dxa"/>
            <w:vAlign w:val="bottom"/>
          </w:tcPr>
          <w:p>
            <w:pPr>
              <w:spacing w:after="0"/>
              <w:rPr>
                <w:sz w:val="16"/>
                <w:szCs w:val="16"/>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356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7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23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$77.1 million as of the last business day of the registrant’s most recently completed second fiscal quarter, based upon the closing sale price on The Nasdaq Stock Market LLC reported for such date. This excludes an aggregate of 37,666,916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9, 2024 was 54,920,594.</w:t>
      </w:r>
    </w:p>
    <w:p>
      <w:pPr>
        <w:spacing w:after="0" w:line="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(“Proxy Statement”) relating to the 2024 Annual Meeting of Stockholders will be filed with the Commission within 120 days after the end of the Registrant’s 2023 fiscal year pursuant to Regulation 14A and is incorporated by reference into Part III of this Report.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4"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8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38"/>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38"/>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38"/>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6"/>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All forward-looking statements included in this Annual Report on Form 10-K are based on information available to us on the date hereof, and we assume no obligation to update any such forward-looking statements.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Prelude Therapeutics Incorporated ("Prelude")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 owned, internally developed pipeline. We also began work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186"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4" w:name="page5"/>
    <w:bookmarkEnd w:id="4"/>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85725</wp:posOffset>
            </wp:positionV>
            <wp:extent cx="5745480" cy="265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5480" cy="265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 with a potentially superior safety profile over first-generation CDK9 inhibitors. Our next generation CDK4/6 inhibitor is specifically designed to be brain and tissue penetrant.</w:t>
      </w:r>
    </w:p>
    <w:p>
      <w:pPr>
        <w:spacing w:after="0" w:line="74"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also announced a global partnership with AbCellera that will allow us to combine our small molecules and degraders expertise with their antibody expertise to develop precision antibody drug conjugates. We also intend to explore continued clinical development with external partners for our CDK4/6.</w:t>
      </w:r>
    </w:p>
    <w:p>
      <w:pPr>
        <w:spacing w:after="0" w:line="74" w:lineRule="exact"/>
        <w:rPr>
          <w:sz w:val="20"/>
          <w:szCs w:val="20"/>
          <w:color w:val="auto"/>
        </w:rPr>
      </w:pPr>
    </w:p>
    <w:p>
      <w:pPr>
        <w:ind w:right="200" w:firstLine="478"/>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78" w:lineRule="exact"/>
        <w:rPr>
          <w:sz w:val="20"/>
          <w:szCs w:val="20"/>
          <w:color w:val="auto"/>
        </w:rPr>
      </w:pPr>
    </w:p>
    <w:p>
      <w:pPr>
        <w:ind w:right="120" w:firstLine="478"/>
        <w:spacing w:after="0" w:line="312" w:lineRule="auto"/>
        <w:rPr>
          <w:sz w:val="20"/>
          <w:szCs w:val="20"/>
          <w:color w:val="auto"/>
        </w:rPr>
      </w:pPr>
      <w:r>
        <w:rPr>
          <w:rFonts w:ascii="Times New Roman" w:cs="Times New Roman" w:eastAsia="Times New Roman" w:hAnsi="Times New Roman"/>
          <w:sz w:val="17"/>
          <w:szCs w:val="17"/>
          <w:color w:val="auto"/>
        </w:rPr>
        <w:t>Patients with SMARCA4 mutations or deletions have poor clinical outcomes and limited treatment options. Therefore, mutated or deleted SMARCA4 cancers provide a potential biomarker to select those patients most likely to respond to treatment with a highly selective SMARCA2 degrader.</w:t>
      </w:r>
    </w:p>
    <w:p>
      <w:pPr>
        <w:spacing w:after="0" w:line="31"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completed the fifth dose escalation cohort and demonstrated selective, potent and dose dependent degradation of SMARCA2 with an acceptable safety profile. Based on PK/PD and safety data to date, the Company expects to conclude monotherapy dose escalation in the middle of 2024 and identify recommended phase 2 doses. In addition, enrollment of patients into back-fill cohorts enriched for NSCLC and SMARCA4 loss-of-function mutations has been initiated. Objectives for this first Phase 1 clinical trial are to establish the safety and tolerability profile of PRT3789 as both monotherapy and in combination with docetaxel, evaluate efficacy, pharmacokinetics and pharmacodynamics and determine a dose and potential indications for advancement into a registrational clinical trial. We expect to present initial data in the second half of 2024 from patients currently enrolled in the Phase 1 trial.</w:t>
      </w:r>
    </w:p>
    <w:p>
      <w:pPr>
        <w:spacing w:after="0" w:line="79" w:lineRule="exact"/>
        <w:rPr>
          <w:sz w:val="20"/>
          <w:szCs w:val="20"/>
          <w:color w:val="auto"/>
        </w:rPr>
      </w:pPr>
    </w:p>
    <w:p>
      <w:pPr>
        <w:ind w:right="300" w:firstLine="478"/>
        <w:spacing w:after="0" w:line="281" w:lineRule="auto"/>
        <w:rPr>
          <w:sz w:val="20"/>
          <w:szCs w:val="20"/>
          <w:color w:val="auto"/>
        </w:rPr>
      </w:pPr>
      <w:r>
        <w:rPr>
          <w:rFonts w:ascii="Times New Roman" w:cs="Times New Roman" w:eastAsia="Times New Roman" w:hAnsi="Times New Roman"/>
          <w:sz w:val="18"/>
          <w:szCs w:val="18"/>
          <w:color w:val="auto"/>
        </w:rPr>
        <w:t>Our discovery team has identified a series of highly selective and orally bioavailable SMARCA2 degraders. The lead oral molecule, PRT7732, is currently in investigational new drug (IND) enabling studies and on track to enter Phase 1</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 w:name="page6"/>
    <w:bookmarkEnd w:id="5"/>
    <w:p>
      <w:pPr>
        <w:ind w:right="520"/>
        <w:spacing w:after="0" w:line="281" w:lineRule="auto"/>
        <w:rPr>
          <w:sz w:val="20"/>
          <w:szCs w:val="20"/>
          <w:color w:val="auto"/>
        </w:rPr>
      </w:pPr>
      <w:r>
        <w:rPr>
          <w:rFonts w:ascii="Times New Roman" w:cs="Times New Roman" w:eastAsia="Times New Roman" w:hAnsi="Times New Roman"/>
          <w:sz w:val="18"/>
          <w:szCs w:val="18"/>
          <w:color w:val="auto"/>
        </w:rPr>
        <w:t>clinical development in the second half of 2024. PRT7732 is structurally distinct from PRT3789 and in addition, may provide clinically meaningful differences, more patient-friendly dosing and may have utility in earlier lines of therapy.</w:t>
      </w:r>
    </w:p>
    <w:p>
      <w:pPr>
        <w:spacing w:after="0" w:line="55"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As one of our first precision ADC programs, Prelude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Prelude and AbCellera will jointly discover, develop, and commercialize products emerging from the collaboration. AbCellera will lead manufacturing activities and Prelude will lead clinical development and global commercialization, subject to AbCellera’s option to co-promote any resulting commercial products in the United States.</w:t>
      </w:r>
    </w:p>
    <w:p>
      <w:pPr>
        <w:spacing w:after="0" w:line="79" w:lineRule="exact"/>
        <w:rPr>
          <w:sz w:val="20"/>
          <w:szCs w:val="20"/>
          <w:color w:val="auto"/>
        </w:rPr>
      </w:pPr>
    </w:p>
    <w:p>
      <w:pPr>
        <w:ind w:right="160" w:firstLine="479"/>
        <w:spacing w:after="0" w:line="281"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55" w:lineRule="exact"/>
        <w:rPr>
          <w:sz w:val="20"/>
          <w:szCs w:val="20"/>
          <w:color w:val="auto"/>
        </w:rPr>
      </w:pPr>
    </w:p>
    <w:p>
      <w:pPr>
        <w:jc w:val="both"/>
        <w:ind w:right="80" w:firstLine="523"/>
        <w:spacing w:after="0" w:line="265"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69"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78"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 study supports further development of PRT2527 in hematologic malignancies (NCT05665530). In this study, PRT2527 is advancing in monotherapy hematological indications, such as B-cell malignancies and acute myeloid leukemia (AML), and it has initiated the combination with zanubrutinib in B-cell malignancies. We expect to complete the monotherapy dose escalation in B-cell malignancies in the middle of 2024. A second cohort of patients with AML is expected to initiate in the first half of 2024 in monotherapy.</w:t>
      </w:r>
    </w:p>
    <w:p>
      <w:pPr>
        <w:spacing w:after="0" w:line="187" w:lineRule="exact"/>
        <w:rPr>
          <w:sz w:val="20"/>
          <w:szCs w:val="20"/>
          <w:color w:val="auto"/>
        </w:rPr>
      </w:pPr>
    </w:p>
    <w:p>
      <w:pPr>
        <w:ind w:right="340" w:firstLine="478"/>
        <w:spacing w:after="0" w:line="260" w:lineRule="auto"/>
        <w:rPr>
          <w:sz w:val="20"/>
          <w:szCs w:val="20"/>
          <w:color w:val="auto"/>
        </w:rPr>
      </w:pPr>
      <w:r>
        <w:rPr>
          <w:rFonts w:ascii="Times New Roman" w:cs="Times New Roman" w:eastAsia="Times New Roman" w:hAnsi="Times New Roman"/>
          <w:sz w:val="18"/>
          <w:szCs w:val="18"/>
          <w:color w:val="auto"/>
        </w:rPr>
        <w:t>Our MCL1 candidate, PRT1419, was designed to be a potent and selective inhibitor of the anti-apoptotic protein, MCL1. We concluded Phase 1 development of PRT1419 and established a confirmation dose in hematological malignancies. Based on the potential to address the intended patient population with the CDK9 inhibitor which potently inhibits MCL-1, we decided to prioritize our CDK9 inhibitor, PRT2527, and to discontinue development of PRT1419.</w:t>
      </w:r>
    </w:p>
    <w:p>
      <w:pPr>
        <w:spacing w:after="0" w:line="182"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is underway with the objective of establishing a biologically active dose confirmation.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We intend to complete the dose escalation portion of the Phase 1 clinical trial of PRT3645 this year and following its completion, to explore continued clinical development with external partners.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21" w:lineRule="exact"/>
        <w:rPr>
          <w:sz w:val="20"/>
          <w:szCs w:val="20"/>
          <w:color w:val="auto"/>
        </w:rPr>
      </w:pPr>
    </w:p>
    <w:p>
      <w:pPr>
        <w:ind w:right="860" w:firstLine="478"/>
        <w:spacing w:after="0" w:line="281"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55" w:lineRule="exact"/>
        <w:rPr>
          <w:sz w:val="20"/>
          <w:szCs w:val="20"/>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a compelling biological rationale</w:t>
      </w:r>
    </w:p>
    <w:p>
      <w:pPr>
        <w:spacing w:after="0" w:line="115" w:lineRule="exact"/>
        <w:rPr>
          <w:sz w:val="20"/>
          <w:szCs w:val="20"/>
          <w:color w:val="auto"/>
        </w:rPr>
      </w:pPr>
    </w:p>
    <w:p>
      <w:pPr>
        <w:ind w:left="1540" w:right="360" w:hanging="514"/>
        <w:spacing w:after="0" w:line="283"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14" w:lineRule="exact"/>
        <w:rPr>
          <w:rFonts w:ascii="Times New Roman" w:cs="Times New Roman" w:eastAsia="Times New Roman" w:hAnsi="Times New Roman"/>
          <w:sz w:val="18"/>
          <w:szCs w:val="18"/>
          <w:color w:val="auto"/>
        </w:rPr>
      </w:pPr>
    </w:p>
    <w:p>
      <w:pPr>
        <w:ind w:left="1540" w:right="540" w:hanging="514"/>
        <w:spacing w:after="0" w:line="283"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view all target classes equally and strive to invent clinical candidates that meet our desired target product profiles. Clinical candidates from all programs to-date have been internally designed and developed.</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14" w:lineRule="exact"/>
        <w:rPr>
          <w:rFonts w:ascii="Times New Roman" w:cs="Times New Roman" w:eastAsia="Times New Roman" w:hAnsi="Times New Roman"/>
          <w:sz w:val="18"/>
          <w:szCs w:val="18"/>
          <w:color w:val="auto"/>
        </w:rPr>
      </w:pPr>
    </w:p>
    <w:p>
      <w:pPr>
        <w:ind w:left="1540" w:right="60" w:hanging="514"/>
        <w:spacing w:after="0" w:line="283"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53"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invent and develop molecules rapidly and efficiently.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file a new IND every 12 to 18 months.</w:t>
      </w:r>
    </w:p>
    <w:p>
      <w:pPr>
        <w:spacing w:after="0" w:line="182"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We design our clinical trials to leverage the broad utility of our compounds with a focus on efficient regulatory pathways to enable our potentially transformative medicines to potentially quickly reach patients with high unmet medical need. By focusing on validated cancer signaling pathways and early clinical proof-of-concept, we seek to advance our programs through expedited approval processes, as available. We believe that we can generate proof-of-concept clinical data to guide our future regulatory pathways to approval.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oncology company on the foundation of drug discovery excellence to deliver novel precision oncology medicines to patients with underserved cancers by pursuing the following objectives:</w:t>
      </w:r>
    </w:p>
    <w:p>
      <w:pPr>
        <w:spacing w:after="0" w:line="74" w:lineRule="exact"/>
        <w:rPr>
          <w:sz w:val="20"/>
          <w:szCs w:val="20"/>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cancer biology and medicinal chemistry expertise to strive to deliver one new IND every 12 to 18 months.</w:t>
      </w:r>
    </w:p>
    <w:p>
      <w:pPr>
        <w:spacing w:after="0" w:line="116" w:lineRule="exact"/>
        <w:rPr>
          <w:rFonts w:ascii="Times New Roman" w:cs="Times New Roman" w:eastAsia="Times New Roman" w:hAnsi="Times New Roman"/>
          <w:sz w:val="18"/>
          <w:szCs w:val="18"/>
          <w:color w:val="auto"/>
        </w:rPr>
      </w:pPr>
    </w:p>
    <w:p>
      <w:pPr>
        <w:ind w:left="900" w:right="120" w:hanging="413"/>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differentiated small molecules NCEs in validated targets and first-in-class targets that address unmet needs of oncology patients.</w:t>
      </w:r>
    </w:p>
    <w:p>
      <w:pPr>
        <w:spacing w:after="0" w:line="54"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progress our product candidates through clinical development in patients with solid tumors and hematological malignancies.</w:t>
      </w:r>
    </w:p>
    <w:p>
      <w:pPr>
        <w:spacing w:after="0" w:line="116" w:lineRule="exact"/>
        <w:rPr>
          <w:rFonts w:ascii="Times New Roman" w:cs="Times New Roman" w:eastAsia="Times New Roman" w:hAnsi="Times New Roman"/>
          <w:sz w:val="18"/>
          <w:szCs w:val="18"/>
          <w:color w:val="auto"/>
        </w:rPr>
      </w:pPr>
    </w:p>
    <w:p>
      <w:pPr>
        <w:ind w:left="900" w:right="720" w:hanging="413"/>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on underserved cancers and design clinical trials that allow for efficient decision-making with the highest probability of success and potential for rapid regulatory approval.</w:t>
      </w:r>
    </w:p>
    <w:p>
      <w:pPr>
        <w:spacing w:after="0" w:line="54"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 pipeline in combination with internally discovered and third-party developed compounds.</w:t>
      </w:r>
    </w:p>
    <w:p>
      <w:pPr>
        <w:spacing w:after="0" w:line="116"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accelerate development timelines and maximize the value of our product candidates.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Background and Treatment</w:t>
      </w:r>
    </w:p>
    <w:p>
      <w:pPr>
        <w:spacing w:after="0" w:line="121" w:lineRule="exact"/>
        <w:rPr>
          <w:sz w:val="20"/>
          <w:szCs w:val="20"/>
          <w:color w:val="auto"/>
        </w:rPr>
      </w:pPr>
    </w:p>
    <w:p>
      <w:pPr>
        <w:ind w:right="620" w:firstLine="478"/>
        <w:spacing w:after="0" w:line="281" w:lineRule="auto"/>
        <w:rPr>
          <w:sz w:val="20"/>
          <w:szCs w:val="20"/>
          <w:color w:val="auto"/>
        </w:rPr>
      </w:pPr>
      <w:r>
        <w:rPr>
          <w:rFonts w:ascii="Times New Roman" w:cs="Times New Roman" w:eastAsia="Times New Roman" w:hAnsi="Times New Roman"/>
          <w:sz w:val="18"/>
          <w:szCs w:val="18"/>
          <w:color w:val="auto"/>
        </w:rPr>
        <w:t>Cancer is the second-leading cause of death in the United States. Cancer is a disease of the genome caused by changes in DNA that alter cell behavior, growth, and division. These changes can cause cells to produce abnormal amounts of certain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7" w:name="page8"/>
    <w:bookmarkEnd w:id="7"/>
    <w:p>
      <w:pPr>
        <w:ind w:right="380"/>
        <w:spacing w:after="0" w:line="281" w:lineRule="auto"/>
        <w:rPr>
          <w:sz w:val="20"/>
          <w:szCs w:val="20"/>
          <w:color w:val="auto"/>
        </w:rPr>
      </w:pPr>
      <w:r>
        <w:rPr>
          <w:rFonts w:ascii="Times New Roman" w:cs="Times New Roman" w:eastAsia="Times New Roman" w:hAnsi="Times New Roman"/>
          <w:sz w:val="18"/>
          <w:szCs w:val="18"/>
          <w:color w:val="auto"/>
        </w:rPr>
        <w:t>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63" w:lineRule="exact"/>
        <w:rPr>
          <w:sz w:val="20"/>
          <w:szCs w:val="20"/>
          <w:color w:val="auto"/>
        </w:rPr>
      </w:pPr>
    </w:p>
    <w:p>
      <w:pPr>
        <w:ind w:right="360" w:firstLine="478"/>
        <w:spacing w:after="0" w:line="265" w:lineRule="auto"/>
        <w:rPr>
          <w:sz w:val="20"/>
          <w:szCs w:val="20"/>
          <w:color w:val="auto"/>
        </w:rPr>
      </w:pPr>
      <w:r>
        <w:rPr>
          <w:rFonts w:ascii="Times New Roman" w:cs="Times New Roman" w:eastAsia="Times New Roman" w:hAnsi="Times New Roman"/>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77" w:lineRule="exact"/>
        <w:rPr>
          <w:sz w:val="20"/>
          <w:szCs w:val="20"/>
          <w:color w:val="auto"/>
        </w:rPr>
      </w:pPr>
    </w:p>
    <w:p>
      <w:pPr>
        <w:ind w:right="280" w:firstLine="478"/>
        <w:spacing w:after="0" w:line="265" w:lineRule="auto"/>
        <w:rPr>
          <w:sz w:val="20"/>
          <w:szCs w:val="20"/>
          <w:color w:val="auto"/>
        </w:rPr>
      </w:pPr>
      <w:r>
        <w:rPr>
          <w:rFonts w:ascii="Times New Roman" w:cs="Times New Roman" w:eastAsia="Times New Roman" w:hAnsi="Times New Roman"/>
          <w:sz w:val="18"/>
          <w:szCs w:val="18"/>
          <w:color w:val="auto"/>
        </w:rPr>
        <w:t>Drug therapy is intended to kill or damage malignant cells by interfering with the biological processes that control development, growth, and survival of cancer cells. This treatment modality has evolved over time from the use of non-specific cytotoxic therapies to precision oncology medicines targeting molecular pathways or oncogenic drivers. These precision medicines are broadly known as targeted therapies</w:t>
      </w:r>
      <w:r>
        <w:rPr>
          <w:rFonts w:ascii="Times New Roman" w:cs="Times New Roman" w:eastAsia="Times New Roman" w:hAnsi="Times New Roman"/>
          <w:sz w:val="18"/>
          <w:szCs w:val="18"/>
          <w:b w:val="1"/>
          <w:bCs w:val="1"/>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SMARCA2 (BRM) targeted degrader program</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SMARCA2, or BRM, and its related family member, SMARCA4, or BRG1, are the enzymatic subunits of the SWI/SNF complex that regulates gene expression by allowing the DNA to be accessible for transcription to mature RNA, a process known as chromatin remodeling.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is mutated in multiple cancers, including 10-12% of NSCLC, resulting in loss of SMARCA4 protein. Because the activity of either SMARCA2 or SMARCA4 is required for chromatin remodeling to occur, the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 cells become highly dependent on SMARCA2 for their survival. Therefore, we believe targeting SMARCA2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cancers will produce a strong synthetic lethality, resulting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mutant tumor cell death while sparing normal cells that express SMARCA4 protein.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Loss of SMARCA4 (BRG1) through mutation leads to dependency on SMARCA2 (BRM)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85725</wp:posOffset>
            </wp:positionV>
            <wp:extent cx="3742055" cy="3347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42055" cy="334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 w:name="page9"/>
    <w:bookmarkEnd w:id="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SMARCA2 Degrader Program</w:t>
      </w:r>
    </w:p>
    <w:p>
      <w:pPr>
        <w:spacing w:after="0" w:line="121"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87"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We used structure-based drug design to identify a novel series of potent and SMARCA2 binders and linked these binding elements to an E3 ligase binding domain to identify SMARCA2 degraders. Extensive structure activity relationships generated by the iterative synthesis and testing of &gt;1000 compounds as of the date of this Annual Report on Form 10-K has allowed for the identification of specific structural motifs that provide &gt;1000-fold selectivity for SMARCA2 degradation over SMARCA4 while maintaining potent SMARCA2 degradation, with DC50 &lt; 10 nM. DC50 is a quantitative measure of how much of a compound is needed to achieve degradation of the target protein (SMARCA2) by 50%. We have designed our SMARCA2 degraders to be potent and selective to specifically inhibit SMARCA4-deficient human NSCLC cell lines and primary patient derived samples in vitro and in vivo at well tolerated doses. We completed IND-enabling studies and received IND clearance in October 2022 for PRT3789, a first-in-class, highly selective degrader of SMARCA2 protein, which along with SMARCA4 controls gene regulation through chromatin remodeling. PRT3789 is efficacious and well tolerated in preclinical models of SMARCA4 deleted/mutated cancers as monotherapy and in combination with standards of care. Patients with SMARCA4 mutations or deletions may have poor clinical outcomes and limited treatment options. Therefore, mutated or deleted SMARCA4 cancers provide a potential biomarker to select those patients most likely to respond to treatment with a highly selective SMARCA2 degrader.</w:t>
      </w:r>
    </w:p>
    <w:p>
      <w:pPr>
        <w:spacing w:after="0" w:line="81"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completed the fifth dose escalation cohort and demonstrated selective, potent and dose dependent degradation of SMARCA2 with an acceptable safety profile. Based on PK/PD and safety data to date, the Company expects to conclude monotherapy dose escalation in the middle of 2024 and identify recommended phase 2 doses. In addition, enrollment of patients into back-fill cohorts enriched for NSCLC and SMARCA4 loss-of-function mutations has been initiated. Objectives for this first Phase 1 clinical trial are to establish the safety and tolerability profile of PRT3789 as both monotherapy and in combination with docetaxel, evaluate efficacy, pharmacokinetics and pharmacodynamics and determine a dose and potential indications for advancement into a registrational clinical trial.</w:t>
      </w:r>
    </w:p>
    <w:p>
      <w:pPr>
        <w:spacing w:after="0" w:line="79" w:lineRule="exact"/>
        <w:rPr>
          <w:sz w:val="20"/>
          <w:szCs w:val="20"/>
          <w:color w:val="auto"/>
        </w:rPr>
      </w:pPr>
    </w:p>
    <w:p>
      <w:pPr>
        <w:ind w:right="260" w:firstLine="479"/>
        <w:spacing w:after="0" w:line="288" w:lineRule="auto"/>
        <w:rPr>
          <w:sz w:val="20"/>
          <w:szCs w:val="20"/>
          <w:color w:val="auto"/>
        </w:rPr>
      </w:pPr>
      <w:r>
        <w:rPr>
          <w:rFonts w:ascii="Times New Roman" w:cs="Times New Roman" w:eastAsia="Times New Roman" w:hAnsi="Times New Roman"/>
          <w:sz w:val="17"/>
          <w:szCs w:val="17"/>
          <w:color w:val="auto"/>
        </w:rPr>
        <w:t>Our discovery team has identified a series of highly selective and orally bioavailable SMARCA2 degraders. The lead oral molecule, PRT7732, is currently in IND enabling studies and on track to enter Phase 1 clinical development in the second half of 2024. PRT7732 is structurally distinct from PRT3789 and in addition, may provide clinically meaningful differences, more patient-friendly dosing and may have utility in earlier lines of therapy.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CDK9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 xml:space="preserve">CDK9 has emerged as an essential regulator of cancer-promoting transcriptional programs, including those driven by </w:t>
      </w:r>
      <w:r>
        <w:rPr>
          <w:rFonts w:ascii="Times New Roman" w:cs="Times New Roman" w:eastAsia="Times New Roman" w:hAnsi="Times New Roman"/>
          <w:sz w:val="18"/>
          <w:szCs w:val="18"/>
          <w:i w:val="1"/>
          <w:iCs w:val="1"/>
          <w:color w:val="auto"/>
        </w:rPr>
        <w:t>MCL1, MYC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Inhibition of CDK9 is therefore an attractive therapeutic approach to target specifically genomically selected cancers. We have applied our internal expertise to design PRT2527 as a potent inhibitor of CDK9 that exhibits high kinome selectivity, PK properties and solubility that we believe may broaden the therapeutic window of CDK9 inhibition. A Phase 1 trial is underway evaluating escalating IV doses of PRT2527 as a monotherapy in patients with selected solid tumors, including sarcoma, prostate cancer, lung cancer, and other cancers with genomic alterations that lead to MYC dependence.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understood that other members of the CDK family play important roles in regulating</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9" w:name="page10"/>
    <w:bookmarkEnd w:id="9"/>
    <w:p>
      <w:pPr>
        <w:ind w:right="340"/>
        <w:spacing w:after="0" w:line="281" w:lineRule="auto"/>
        <w:rPr>
          <w:sz w:val="20"/>
          <w:szCs w:val="20"/>
          <w:color w:val="auto"/>
        </w:rPr>
      </w:pPr>
      <w:r>
        <w:rPr>
          <w:rFonts w:ascii="Times New Roman" w:cs="Times New Roman" w:eastAsia="Times New Roman" w:hAnsi="Times New Roman"/>
          <w:sz w:val="18"/>
          <w:szCs w:val="18"/>
          <w:color w:val="auto"/>
        </w:rPr>
        <w:t>transcription. CDK9 specifically phosphorylates RNA polymerase II to generate mature mRNA. Given its fundamental role in transcription, CDK9 has emerged as a central node in the transcriptional addiction of cancer.</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CDK9 regulates expression of several oncogenes that drive cancer cell growth and resistance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154305</wp:posOffset>
            </wp:positionV>
            <wp:extent cx="3742055" cy="2705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42055" cy="270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 xml:space="preserve">Importantly, inhibition of CDK9 in cancer has been shown to preferentially deplete short-lived transcripts including key anti-apoptotic genes such as MCL1 and oncogenic transcription factors such as MYC and MYB. Preclinical evidence demonstrates that CDK9 inhibition represses MCL1 and thereby overcomes resistance to the BCL2 inhibitor venetoclax. Additionally, preclinical studies suggest that CDK9 inhibition perturbs MYC-mediated signaling and produces synthetic lethality in nuclear protein of the testis midline carcinoma, hepatocellular carcinoma and additional solid tumors. Our patient selection strategy in clinical trials will strive to exploit these relationships by identifying cancers with molecular evidence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dysregulation.</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CDK9 Inhibitor: PRT2527</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for the identification of PRT2527, which has improved potency and kinase selectivity compared to AZ4573, the most advanced CDK9-selective inhibitor currently in development. The PK and physical properties of PRT2527 are suitable for IV or subcutaneous dosing.</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 xml:space="preserve">In preclinical models, PRT2527 reduced MCL1 and MYC protein levels and was highly active in the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-amplified MV4-11 xenograft model at well-tolerated doses. Upon evaluation of additional models, PRT2527 treatment demonstrated robust efficacy in both hematological malignancies and solid tumor models with MYC dysregulation. Our preclinical studies suggest that PRT2527 demonstrates high kinase selectivity and potency, providing opportunity for a wider therapeutic index compared to less selective CDK9 inhibitors, allowing for rapid development in combinations.</w:t>
      </w:r>
    </w:p>
    <w:p>
      <w:pPr>
        <w:spacing w:after="0" w:line="72"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In February 2023, we signed an agreement with BeiGene for them to supply zanubrutinib, a BTK inhibitor, for further study in combination with PRT2527. 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 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0" w:name="page11"/>
    <w:bookmarkEnd w:id="10"/>
    <w:p>
      <w:pPr>
        <w:ind w:right="60"/>
        <w:spacing w:after="0" w:line="260" w:lineRule="auto"/>
        <w:rPr>
          <w:sz w:val="20"/>
          <w:szCs w:val="20"/>
          <w:color w:val="auto"/>
        </w:rPr>
      </w:pPr>
      <w:r>
        <w:rPr>
          <w:rFonts w:ascii="Times New Roman" w:cs="Times New Roman" w:eastAsia="Times New Roman" w:hAnsi="Times New Roman"/>
          <w:sz w:val="18"/>
          <w:szCs w:val="18"/>
          <w:color w:val="auto"/>
        </w:rPr>
        <w:t>selected as the optimal dose. The overall safety profile observed in this study supports further development of PRT2527 in hematologic malignancies (NCT05665530). In this study, PRT2527 is advancing in monotherapy hematological indications, such as B-cell malignancies and AML, and has initiated the combination with zanubrutinib in B-cell malignancies. We expect to complete the monotherapy dose escalation in B-cell malignancies in the middle of 2024. A second cohort of patients with AML is expected to initiate in the first half of 2024.</w:t>
      </w:r>
    </w:p>
    <w:p>
      <w:pPr>
        <w:spacing w:after="0" w:line="286" w:lineRule="exact"/>
        <w:rPr>
          <w:sz w:val="20"/>
          <w:szCs w:val="20"/>
          <w:color w:val="auto"/>
        </w:rPr>
      </w:pPr>
    </w:p>
    <w:p>
      <w:pPr>
        <w:jc w:val="right"/>
        <w:ind w:right="9820"/>
        <w:spacing w:after="0"/>
        <w:rPr>
          <w:sz w:val="20"/>
          <w:szCs w:val="20"/>
          <w:color w:val="auto"/>
        </w:rPr>
      </w:pPr>
      <w:r>
        <w:rPr>
          <w:rFonts w:ascii="Times New Roman" w:cs="Times New Roman" w:eastAsia="Times New Roman" w:hAnsi="Times New Roman"/>
          <w:sz w:val="17"/>
          <w:szCs w:val="17"/>
          <w:b w:val="1"/>
          <w:bCs w:val="1"/>
          <w:color w:val="auto"/>
        </w:rPr>
        <w:t>CDK4/6 Program</w:t>
      </w:r>
    </w:p>
    <w:p>
      <w:pPr>
        <w:spacing w:after="0" w:line="128" w:lineRule="exact"/>
        <w:rPr>
          <w:sz w:val="20"/>
          <w:szCs w:val="20"/>
          <w:color w:val="auto"/>
        </w:rPr>
      </w:pPr>
    </w:p>
    <w:p>
      <w:pPr>
        <w:jc w:val="right"/>
        <w:ind w:right="97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20" w:firstLine="478"/>
        <w:spacing w:after="0" w:line="258" w:lineRule="auto"/>
        <w:rPr>
          <w:sz w:val="20"/>
          <w:szCs w:val="20"/>
          <w:color w:val="auto"/>
        </w:rPr>
      </w:pPr>
      <w:r>
        <w:rPr>
          <w:rFonts w:ascii="Times New Roman" w:cs="Times New Roman" w:eastAsia="Times New Roman" w:hAnsi="Times New Roman"/>
          <w:sz w:val="18"/>
          <w:szCs w:val="18"/>
          <w:color w:val="auto"/>
        </w:rPr>
        <w:t>Among the CDK subfamily of kinases, CDK4 and CDK6 are the master regulators that control entry of cells into cell cycle. Given the central roles that CDK4 and CDK6 play in cell cycle regulation, dysregulation of the CDK4/CDK6 pathway has been frequently observed in cancer and CDK4/CDK6 have been intensively investigated as potential therapeutic targets for cancer treatment. The approval of three CDK4/CDK6 selective inhibitors in combination with endocrine therapies, to treat hormone receptor, or HR, positive and human epidermal growth factor receptor 2, or HER2, negative metastatic breast cancer, has further validated this hypothesis.</w:t>
      </w:r>
    </w:p>
    <w:p>
      <w:pPr>
        <w:spacing w:after="0" w:line="74" w:lineRule="exact"/>
        <w:rPr>
          <w:sz w:val="20"/>
          <w:szCs w:val="20"/>
          <w:color w:val="auto"/>
        </w:rPr>
      </w:pPr>
    </w:p>
    <w:p>
      <w:pPr>
        <w:jc w:val="center"/>
        <w:ind w:left="820" w:right="60"/>
        <w:spacing w:after="0" w:line="281" w:lineRule="auto"/>
        <w:rPr>
          <w:sz w:val="20"/>
          <w:szCs w:val="20"/>
          <w:color w:val="auto"/>
        </w:rPr>
      </w:pPr>
      <w:r>
        <w:rPr>
          <w:rFonts w:ascii="Times New Roman" w:cs="Times New Roman" w:eastAsia="Times New Roman" w:hAnsi="Times New Roman"/>
          <w:sz w:val="18"/>
          <w:szCs w:val="18"/>
          <w:u w:val="single" w:color="auto"/>
          <w:color w:val="auto"/>
        </w:rPr>
        <w:t>Next generation CDK 4/6 inhibitor with improved tolerability and tissue penetrance could translate into activity in areas of unmet need beyond HR+ breast cancer​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46355</wp:posOffset>
            </wp:positionV>
            <wp:extent cx="2337435" cy="2020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7435" cy="202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In addition to the role of CDK4/6 in ER+ metastatic breast cancer, large scale genomic studies revealed that the CDK4/CDK6 pathway is disrupted in the majority of gliomas, suggesting CDK4/CDK6 may be good targets for glioblastoma, or GBM. Genomic studies also identified the CDK4/6 pathway as one of three most altered and actionable genetic alternations in brain metastasis. However, despite positive preclinical data supporting targeting CDK4/CDK6 to treat CNS cancers, clinical development of CDK4/CDK6 inhibitors for GBM or brain metastases has not been successful, likely due to the inability of current inhibitors to penetrate the blood-brain barrier (BBB) and achieve effective concentrations in the brain. Recent studies have also demonstrated that CDK4/6 pathway activation can serve as a resistance mechanism to other targeted therapies, including inhibitors of the RAS and HER2 pathways, suggesting a combination potential in other tumor types with unmet need. Together, these data suggest that a next generation CDK4/6 inhibitor with improved tissue penetration and combinability could extend the therapeutic potential of this target class.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CDK4/6 Inhibitor: PRT3645</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Structure based design, iterative compound synthesis and testing led to the identification of PRT3645, a highly brain and tissue penetrant molecule that potently targets CDK4/6 with biased selectivity for CDK4. In cellular assays, PRT3645 inhibits phosphorylation of RB, a substrate of CDK4/CDK6, with low nanomolar activity. Consistent with this, PRT3645 treatment results in concentration-dependent inhibition of cell proliferation in glioblastoma (GBM) cell lines, ER+/HER2- and HER2+ breast cancer lines and NSCLC cell lines. In vivo, orally administered PRT3645 was well tolerated and highly efficacious in a dose-dependent manner in orthotopic human breast cancer brain metastasis and GBM models. In addition, combined activity was observed when PRT3645 was dosed with inhibitors of the RAS pathway in NSCLC or CRC models or in combination with HER2 pathway inhibitors in HER2+ breast cancer models, suggesting a combination potential in other tumor types with unmet need. In a head-to-head comparison, PRT3645 demonstrated a tissue: plasma ratio that was &gt;10x</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11" w:name="page12"/>
    <w:bookmarkEnd w:id="11"/>
    <w:p>
      <w:pPr>
        <w:ind w:right="20"/>
        <w:spacing w:after="0" w:line="255" w:lineRule="auto"/>
        <w:rPr>
          <w:sz w:val="20"/>
          <w:szCs w:val="20"/>
          <w:color w:val="auto"/>
        </w:rPr>
      </w:pPr>
      <w:r>
        <w:rPr>
          <w:rFonts w:ascii="Times New Roman" w:cs="Times New Roman" w:eastAsia="Times New Roman" w:hAnsi="Times New Roman"/>
          <w:sz w:val="18"/>
          <w:szCs w:val="18"/>
          <w:color w:val="auto"/>
        </w:rPr>
        <w:t>higher than approved CDK4/6 inhibitors. In July 2022, we received IND clearance for PRT3645. A Phase 1 multi-dose escalation clinical trial of PRT3645 is underway and we intend to reach a biologically active dose confirmation.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We intend to complete the dose escalation portion of the Phase 1 clinical trial of PRT3645 this year and following its completion to explore continued clinical development with external partners.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MCL1 Inhibitor: PRT1419</w:t>
      </w:r>
    </w:p>
    <w:p>
      <w:pPr>
        <w:spacing w:after="0" w:line="121"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color w:val="auto"/>
        </w:rPr>
        <w:t>PRT1419 is designed to be a potent and selective inhibitor of the anti-apoptotic protein, MCL1. PRT1419 has been optimized to provide maximal coverage of the target while maintaining an adequate tolerability window. Based on our preclinical data, as well as published third-party data, we believe that hematological malignancies are particularly sensitive to MCL1 inhibitors. MCL1 upregulation has been noted as a mechanism of acquired resistance to venetoclax and Tyrosine Kinase Inhibitors, or TKIs. We concluded a Phase 1 development of PRT1419 and established a confirmation dose in hematological cancers. Based on the potential to address the intended patient population with the CDK9 inhibitor which potently inhibits MCL-1, we decided to prioritize our CDK9 inhibitor, PRT2527, over PRT1419.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00" w:firstLine="479"/>
        <w:spacing w:after="0" w:line="265"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69" w:lineRule="exact"/>
        <w:rPr>
          <w:sz w:val="20"/>
          <w:szCs w:val="20"/>
          <w:color w:val="auto"/>
        </w:rPr>
      </w:pPr>
    </w:p>
    <w:p>
      <w:pPr>
        <w:ind w:right="80" w:firstLine="479"/>
        <w:spacing w:after="0" w:line="260"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74" w:lineRule="exact"/>
        <w:rPr>
          <w:sz w:val="20"/>
          <w:szCs w:val="20"/>
          <w:color w:val="auto"/>
        </w:rPr>
      </w:pPr>
    </w:p>
    <w:p>
      <w:pPr>
        <w:ind w:right="300" w:firstLine="479"/>
        <w:spacing w:after="0" w:line="265" w:lineRule="auto"/>
        <w:rPr>
          <w:sz w:val="20"/>
          <w:szCs w:val="20"/>
          <w:color w:val="auto"/>
        </w:rPr>
      </w:pPr>
      <w:r>
        <w:rPr>
          <w:rFonts w:ascii="Times New Roman" w:cs="Times New Roman" w:eastAsia="Times New Roman" w:hAnsi="Times New Roman"/>
          <w:sz w:val="18"/>
          <w:szCs w:val="18"/>
          <w:color w:val="auto"/>
        </w:rPr>
        <w:t>As more fully described below, our patent portfolio includes, inter alia, patent families with claims directed to compositions of matter for, and methods of using, compounds that degrade SMARCA2 and PRT2527, PRT3645, and other compounds. The patent portfolio currently comprises of 309 patents and patent applications: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(A)(i) 12 issued U.S. patents, (ii) 29 U.S. non-provisional patent applications, and (iii) 40 U.S. provisional patent applications; and</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(B)(iv) 15 PCT patent applications, (v) 60 issued foreign patents including patents in European jurisdictions, and (vi) 153 foreign patent applications.</w:t>
      </w:r>
    </w:p>
    <w:p>
      <w:pPr>
        <w:spacing w:after="0" w:line="128"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As of the present filing, a total of twelve U.S. patents have been issued, which are wholly owned by us. Specifically, one U.S. patent directed to PRT1419 has issued and is expected to expire no earlier than November 8, 2039, one U.S. patent directed to PRT2527 has issued and is expected to expire no earlier than September 2040, one U.S. patent directed to PRT3645 has issued and is expected to expire no earlier than September 2041, and one patent has issued for compounds that degrade SMARCA2, which is expected to expire no earlier than June 2041.</w:t>
      </w:r>
    </w:p>
    <w:p>
      <w:pPr>
        <w:spacing w:after="0" w:line="74"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In addition to our filings in the U.S., we own patent applications that are pending in Australia, Brazil, Canada, China, Eurasia, Europe, Hong Kong, India, Israel, Japan, Mexico, New Zealand, South Africa, South Korea, and Ukraine. Included in these applications are claims directed to the PRT1419, PRT2527, and SMARCA compositions and methods of using the same therapeutically. For the PRT1419 compound, the patents from these applications, if issued, are expected to expire no earlier than November 2039, subject to any disclaimers or extensions. For the PRT2527 compound, the patents from these applications, if issued, are expected to expire no earlier than September 2040, subject to any disclaimers or extensions. For the SMARCA compounds, the one issued patent and patents from other applications, if issued, are expected to expire no earlier than June 2041, subject to any disclaimers or extensions. For the PRT3645 compound, the patents from these applications, if issued, are expected to expire in September 2041, subject to any disclaimers or extensions available under the Hatch-Waxman Act.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8"/>
          <w:szCs w:val="18"/>
          <w:color w:val="auto"/>
        </w:rPr>
        <w:t>The patent portfolios for our programs are summarized below.</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PRT3789 and Other SMARCA2 Degraders</w:t>
      </w:r>
    </w:p>
    <w:p>
      <w:pPr>
        <w:spacing w:after="0" w:line="121"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Our PRT3789 and Other SMARCA2 Degraders patent portfolio is wholly owned by us. The portfolio includes one issued U.S. patent, which claims among other things, SMARCA degraders and other compounds, pharmaceutical compositions comprising SMARCA degraders, and methods of using such compounds. The portfolio further includes seven pending U.S. non-provisional applications, which claim, among other things, genera of compounds that encompass SMARCA2 and/or related degraders, pharmaceutical compositions comprising those degraders, and methods of treating cancer with those degraders.</w:t>
      </w:r>
    </w:p>
    <w:p>
      <w:pPr>
        <w:spacing w:after="0" w:line="74" w:lineRule="exact"/>
        <w:rPr>
          <w:sz w:val="20"/>
          <w:szCs w:val="20"/>
          <w:color w:val="auto"/>
        </w:rPr>
      </w:pPr>
    </w:p>
    <w:p>
      <w:pPr>
        <w:ind w:right="220" w:firstLine="479"/>
        <w:spacing w:after="0" w:line="258" w:lineRule="auto"/>
        <w:rPr>
          <w:sz w:val="20"/>
          <w:szCs w:val="20"/>
          <w:color w:val="auto"/>
        </w:rPr>
      </w:pPr>
      <w:r>
        <w:rPr>
          <w:rFonts w:ascii="Times New Roman" w:cs="Times New Roman" w:eastAsia="Times New Roman" w:hAnsi="Times New Roman"/>
          <w:sz w:val="18"/>
          <w:szCs w:val="18"/>
          <w:color w:val="auto"/>
        </w:rPr>
        <w:t>A related PCT application corresponding to the issued U.S. patent was filed and corresponding national phase applications were filed in Australia, Brazil, Canada, China, Eurasia, Europe, Hong Kong, India, Israel, Japan, Mexico, New Zealand, South Africa, South Korea, and Ukraine. A related PCT application corresponding to the U.S. non-provisional application was also filed on the same day as well as corresponding national phase applications in Australia, Brazil, Canada, China, Eurasia, Europe, India, Israel, Japan, Mexico, New Zealand, South Africa, South Korea, and Ukraine. One PCT application pertaining to combination therapy including the SMARCA2 degraders was also filed.</w:t>
      </w:r>
    </w:p>
    <w:p>
      <w:pPr>
        <w:spacing w:after="0" w:line="74"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The SMARCA2 Degraders patent portfolio also includes twelve pending U.S. provisional applications that, among other things, encompass SMARCA2 and/or related inhibitors, pharmaceutical compositions comprising those inhibitors, and methods of treating cancer with those inhibitors. Any patents granted that claim priority to this provisional application could expire as early as 2044, subject to any disclaimers or extensions available under the Hatch-Waxman Act.</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PRT3645 and Other CDK Inhibitors</w:t>
      </w:r>
    </w:p>
    <w:p>
      <w:pPr>
        <w:spacing w:after="0" w:line="121"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Our PRT3645 patent portfolio is wholly owned by us. The portfolio includes one issued U.S. patent, which claims among other things, PRT3645 and other compounds, pharmaceutical compositions comprising PRT3645, and methods of using such compounds. The portfolio further includes one pending U.S. non-provisional patent application, which claims among other things, PRT3645 related compounds, pharmaceutical compositions comprising PRT3645 related compounds, and methods of using such compounds.</w:t>
      </w:r>
    </w:p>
    <w:p>
      <w:pPr>
        <w:spacing w:after="0" w:line="72" w:lineRule="exact"/>
        <w:rPr>
          <w:sz w:val="20"/>
          <w:szCs w:val="20"/>
          <w:color w:val="auto"/>
        </w:rPr>
      </w:pPr>
    </w:p>
    <w:p>
      <w:pPr>
        <w:ind w:firstLine="479"/>
        <w:spacing w:after="0" w:line="267" w:lineRule="auto"/>
        <w:rPr>
          <w:sz w:val="20"/>
          <w:szCs w:val="20"/>
          <w:color w:val="auto"/>
        </w:rPr>
      </w:pPr>
      <w:r>
        <w:rPr>
          <w:rFonts w:ascii="Times New Roman" w:cs="Times New Roman" w:eastAsia="Times New Roman" w:hAnsi="Times New Roman"/>
          <w:sz w:val="18"/>
          <w:szCs w:val="18"/>
          <w:color w:val="auto"/>
        </w:rPr>
        <w:t xml:space="preserve">A related PCT application corresponding to the issued U.S. patent, </w:t>
      </w:r>
      <w:r>
        <w:rPr>
          <w:rFonts w:ascii="Times New Roman" w:cs="Times New Roman" w:eastAsia="Times New Roman" w:hAnsi="Times New Roman"/>
          <w:sz w:val="18"/>
          <w:szCs w:val="18"/>
          <w:i w:val="1"/>
          <w:iCs w:val="1"/>
          <w:color w:val="auto"/>
        </w:rPr>
        <w:t>supra</w:t>
      </w:r>
      <w:r>
        <w:rPr>
          <w:rFonts w:ascii="Times New Roman" w:cs="Times New Roman" w:eastAsia="Times New Roman" w:hAnsi="Times New Roman"/>
          <w:sz w:val="18"/>
          <w:szCs w:val="18"/>
          <w:color w:val="auto"/>
        </w:rPr>
        <w:t>, was filed in 2021, and corresponding national phase applications were filed in Australia, Brazil, Canada, China, Eurasia, Europe, Hong Kong, India, Israel, Japan, Mexico, New Zealand, South Africa, South Korea, and Ukraine. A PCT application that claims among other things, PRT3645 polymorphic compounds and methods of using such compounds, was filed in 2022.</w:t>
      </w:r>
    </w:p>
    <w:p>
      <w:pPr>
        <w:spacing w:after="0" w:line="66" w:lineRule="exact"/>
        <w:rPr>
          <w:sz w:val="20"/>
          <w:szCs w:val="20"/>
          <w:color w:val="auto"/>
        </w:rPr>
      </w:pPr>
    </w:p>
    <w:p>
      <w:pPr>
        <w:jc w:val="both"/>
        <w:ind w:right="100" w:firstLine="479"/>
        <w:spacing w:after="0" w:line="265" w:lineRule="auto"/>
        <w:rPr>
          <w:sz w:val="20"/>
          <w:szCs w:val="20"/>
          <w:color w:val="auto"/>
        </w:rPr>
      </w:pPr>
      <w:r>
        <w:rPr>
          <w:rFonts w:ascii="Times New Roman" w:cs="Times New Roman" w:eastAsia="Times New Roman" w:hAnsi="Times New Roman"/>
          <w:sz w:val="18"/>
          <w:szCs w:val="18"/>
          <w:color w:val="auto"/>
        </w:rPr>
        <w:t>The PRT3645 patent portfolio also includes five pending U.S. provisional applications that relate to among other things, methods of inhibiting CDK using PRT3645 related compounds and methods of treating certain cancers. Any patents granted that claim priority to these provisional applications could expire as early as 2044, subject to any disclaimers or extensions available under the Hatch-Waxman Act.</w:t>
      </w:r>
    </w:p>
    <w:p>
      <w:pPr>
        <w:spacing w:after="0" w:line="69" w:lineRule="exact"/>
        <w:rPr>
          <w:sz w:val="20"/>
          <w:szCs w:val="20"/>
          <w:color w:val="auto"/>
        </w:rPr>
      </w:pPr>
    </w:p>
    <w:p>
      <w:pPr>
        <w:jc w:val="both"/>
        <w:ind w:right="440" w:firstLine="479"/>
        <w:spacing w:after="0" w:line="265" w:lineRule="auto"/>
        <w:rPr>
          <w:sz w:val="20"/>
          <w:szCs w:val="20"/>
          <w:color w:val="auto"/>
        </w:rPr>
      </w:pPr>
      <w:r>
        <w:rPr>
          <w:rFonts w:ascii="Times New Roman" w:cs="Times New Roman" w:eastAsia="Times New Roman" w:hAnsi="Times New Roman"/>
          <w:sz w:val="18"/>
          <w:szCs w:val="18"/>
          <w:color w:val="auto"/>
        </w:rPr>
        <w:t>Our Other CDK Inhibitors portfolio is wholly owned by us. The portfolio includes six pending U.S. non-provisional patent applications, which claims among other things, CDK inhibitor compounds, pharmaceutical compositions comprising CDK related compounds, and methods of using such compounds.</w:t>
      </w:r>
    </w:p>
    <w:p>
      <w:pPr>
        <w:spacing w:after="0" w:line="69"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A related PCT application corresponding to the U.S. non-provisional was filed on December 17, 2021, and corresponding national phase applications were filed in Australia, Brazil, Canada, China, Eurasia, Europe, Hong Kong, India, Israel, Japan, Mexico, New Zealand, South Africa, South Korea, and Ukraine. Four other related PCT applications were filed in 2023.</w:t>
      </w:r>
    </w:p>
    <w:p>
      <w:pPr>
        <w:spacing w:after="0" w:line="69" w:lineRule="exact"/>
        <w:rPr>
          <w:sz w:val="20"/>
          <w:szCs w:val="20"/>
          <w:color w:val="auto"/>
        </w:rPr>
      </w:pPr>
    </w:p>
    <w:p>
      <w:pPr>
        <w:jc w:val="both"/>
        <w:ind w:right="80" w:firstLine="479"/>
        <w:spacing w:after="0" w:line="265" w:lineRule="auto"/>
        <w:rPr>
          <w:sz w:val="20"/>
          <w:szCs w:val="20"/>
          <w:color w:val="auto"/>
        </w:rPr>
      </w:pPr>
      <w:r>
        <w:rPr>
          <w:rFonts w:ascii="Times New Roman" w:cs="Times New Roman" w:eastAsia="Times New Roman" w:hAnsi="Times New Roman"/>
          <w:sz w:val="18"/>
          <w:szCs w:val="18"/>
          <w:color w:val="auto"/>
        </w:rPr>
        <w:t>The CDK Inhibitors patent portfolio also includes one pending U.S. provisional application that relate to among other things, methods of inhibiting CDK using compounds and methods of treating certain cancers. Any patents granted that claim priority to this provisional application could expire as early as 2044, subject to any disclaimers or extensions available under the Hatch-Waxman Act.</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PRT2527</w:t>
      </w:r>
    </w:p>
    <w:p>
      <w:pPr>
        <w:spacing w:after="0" w:line="12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PRT2527 patent portfolio is wholly owned by us. The portfolio includes one issued U.S. patent, which claims among other things, PRT2527 and other compounds, pharmaceutical compositions comprising PRT2527, and methods of using such compounds. The portfolio further includes three pending U.S. non-provisional applications: (i) a U.S. continuation application, which claims among other things, PRT2527 related compounds, pharmaceutical compositions comprising PRT2527 related compounds, and methods of using such compounds, which was effectively filed in 2020; (ii) a U.S. application, which claims among other things, PRT2527 related compounds, pharmaceutical compositions comprising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 w:name="page14"/>
    <w:bookmarkEnd w:id="13"/>
    <w:p>
      <w:pPr>
        <w:ind w:right="220"/>
        <w:spacing w:after="0" w:line="281" w:lineRule="auto"/>
        <w:rPr>
          <w:sz w:val="20"/>
          <w:szCs w:val="20"/>
          <w:color w:val="auto"/>
        </w:rPr>
      </w:pPr>
      <w:r>
        <w:rPr>
          <w:rFonts w:ascii="Times New Roman" w:cs="Times New Roman" w:eastAsia="Times New Roman" w:hAnsi="Times New Roman"/>
          <w:sz w:val="18"/>
          <w:szCs w:val="18"/>
          <w:color w:val="auto"/>
        </w:rPr>
        <w:t>PRT2527 related compounds, and methods of using such compounds, which was filed in 2023; and (iii) a U.S. application, directed to additional uses of PRT2527 and related compounds, which was filed in 2022.</w:t>
      </w:r>
    </w:p>
    <w:p>
      <w:pPr>
        <w:spacing w:after="0" w:line="55" w:lineRule="exact"/>
        <w:rPr>
          <w:sz w:val="20"/>
          <w:szCs w:val="20"/>
          <w:color w:val="auto"/>
        </w:rPr>
      </w:pPr>
    </w:p>
    <w:p>
      <w:pPr>
        <w:ind w:right="280" w:firstLine="479"/>
        <w:spacing w:after="0" w:line="260" w:lineRule="auto"/>
        <w:rPr>
          <w:sz w:val="20"/>
          <w:szCs w:val="20"/>
          <w:color w:val="auto"/>
        </w:rPr>
      </w:pPr>
      <w:r>
        <w:rPr>
          <w:rFonts w:ascii="Times New Roman" w:cs="Times New Roman" w:eastAsia="Times New Roman" w:hAnsi="Times New Roman"/>
          <w:sz w:val="18"/>
          <w:szCs w:val="18"/>
          <w:color w:val="auto"/>
        </w:rPr>
        <w:t xml:space="preserve">A related PCT application corresponding to the issued U.S. patent was filed in 2020, and corresponding national phase applications were filed in Australia, Brazil, Canada, China, Eurasia, Europe, Hong Kong, India, Israel, Japan, Mexico, New Zealand, South Africa, South Korea, and Ukraine. A related PCT application corresponding to the U.S. non-provisional application in (iii), </w:t>
      </w:r>
      <w:r>
        <w:rPr>
          <w:rFonts w:ascii="Times New Roman" w:cs="Times New Roman" w:eastAsia="Times New Roman" w:hAnsi="Times New Roman"/>
          <w:sz w:val="18"/>
          <w:szCs w:val="18"/>
          <w:i w:val="1"/>
          <w:iCs w:val="1"/>
          <w:color w:val="auto"/>
        </w:rPr>
        <w:t>supra</w:t>
      </w:r>
      <w:r>
        <w:rPr>
          <w:rFonts w:ascii="Times New Roman" w:cs="Times New Roman" w:eastAsia="Times New Roman" w:hAnsi="Times New Roman"/>
          <w:sz w:val="18"/>
          <w:szCs w:val="18"/>
          <w:color w:val="auto"/>
        </w:rPr>
        <w:t>, was filed in 2022. Another PCT application that claims among other things, PRT2527 crystalline forms and salts and methods of using such compounds, was filed in 2022.</w:t>
      </w:r>
    </w:p>
    <w:p>
      <w:pPr>
        <w:spacing w:after="0" w:line="74" w:lineRule="exact"/>
        <w:rPr>
          <w:sz w:val="20"/>
          <w:szCs w:val="20"/>
          <w:color w:val="auto"/>
        </w:rPr>
      </w:pPr>
    </w:p>
    <w:p>
      <w:pPr>
        <w:jc w:val="both"/>
        <w:ind w:right="20" w:firstLine="479"/>
        <w:spacing w:after="0" w:line="265" w:lineRule="auto"/>
        <w:rPr>
          <w:sz w:val="20"/>
          <w:szCs w:val="20"/>
          <w:color w:val="auto"/>
        </w:rPr>
      </w:pPr>
      <w:r>
        <w:rPr>
          <w:rFonts w:ascii="Times New Roman" w:cs="Times New Roman" w:eastAsia="Times New Roman" w:hAnsi="Times New Roman"/>
          <w:sz w:val="18"/>
          <w:szCs w:val="18"/>
          <w:color w:val="auto"/>
        </w:rPr>
        <w:t>The PRT2527 patent portfolio also includes six pending U.S. provisional applications that relate to among other things, methods of inhibiting CDK9 using PRT2527 related compounds and methods of treating certain cancers. Any patents granted that claim priority to these provisional applications could expire as early as 2044, subject to any disclaimers or extensions available under the Hatch-Waxman Act.</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00" w:firstLine="479"/>
        <w:spacing w:after="0" w:line="265" w:lineRule="auto"/>
        <w:rPr>
          <w:sz w:val="20"/>
          <w:szCs w:val="20"/>
          <w:color w:val="auto"/>
        </w:rPr>
      </w:pPr>
      <w:r>
        <w:rPr>
          <w:rFonts w:ascii="Times New Roman" w:cs="Times New Roman" w:eastAsia="Times New Roman" w:hAnsi="Times New Roman"/>
          <w:sz w:val="18"/>
          <w:szCs w:val="18"/>
          <w:color w:val="auto"/>
        </w:rPr>
        <w:t>In addition, we have patent portfolios that are directed to a number of different compounds other than PRT1419, PRT2527, PRT3645, SMARCA2 Degraders, and CDK inhibitors. We have patent applications directed to compounds that target resistance mechanisms in cancer. We expect to maintain some of these applications in the United States and to also file in foreign countries.</w:t>
      </w:r>
    </w:p>
    <w:p>
      <w:pPr>
        <w:spacing w:after="0" w:line="69"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74" w:lineRule="exact"/>
        <w:rPr>
          <w:sz w:val="20"/>
          <w:szCs w:val="20"/>
          <w:color w:val="auto"/>
        </w:rPr>
      </w:pPr>
    </w:p>
    <w:p>
      <w:pPr>
        <w:ind w:right="100" w:firstLine="479"/>
        <w:spacing w:after="0" w:line="260"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74"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8"/>
          <w:szCs w:val="18"/>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20" w:firstLine="479"/>
        <w:spacing w:after="0" w:line="265"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are successful in obtaining the necessary regulatory approval, we may pursue commercialization on our own or seek to collaborate with a third party for commercialization, particularly outside the United States.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14" w:name="page15"/>
    <w:bookmarkEnd w:id="14"/>
    <w:p>
      <w:pPr>
        <w:ind w:firstLine="479"/>
        <w:spacing w:after="0" w:line="270"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 Several biopharmaceutical companies,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are developing precision oncology medicines.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86"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1" w:lineRule="exact"/>
        <w:rPr>
          <w:sz w:val="20"/>
          <w:szCs w:val="20"/>
          <w:color w:val="auto"/>
        </w:rPr>
      </w:pPr>
    </w:p>
    <w:p>
      <w:pPr>
        <w:ind w:firstLine="523"/>
        <w:spacing w:after="0" w:line="258" w:lineRule="auto"/>
        <w:rPr>
          <w:sz w:val="20"/>
          <w:szCs w:val="20"/>
          <w:color w:val="auto"/>
        </w:rPr>
      </w:pPr>
      <w:r>
        <w:rPr>
          <w:rFonts w:ascii="Times New Roman" w:cs="Times New Roman" w:eastAsia="Times New Roman" w:hAnsi="Times New Roman"/>
          <w:sz w:val="18"/>
          <w:szCs w:val="18"/>
          <w:color w:val="auto"/>
        </w:rPr>
        <w:t>For our CDK9 program, PRT2527, AstraZeneca (AZD4573), Vincerx (VIP512), and Kronos (KB-0742) have CDK9 programs in Phase 1 clinical trials. For our CDK4/6 inhibitor program, PRT3645, Novartis (ribociclib), Lilly (abemaciclib), Pfizer (53albociclib), G1 Therapeutics (G1T38), and Fochon Pharmaceuticals (FCN-437) have clinical trials ongoing. For our SMARCA 2 (BRM) degrader program, other companies, including Amgen, Aurigene, C4 Therapeutics, F. Hoffman-La Roche, Foghorn Therapeutics, Inc., Kymera Therapeutics, Arvinas, Genentech, Boehringer Ingelheim, and Lilly have publicly disclosed their pre-clinical research efforts.</w:t>
      </w:r>
    </w:p>
    <w:p>
      <w:pPr>
        <w:spacing w:after="0" w:line="182" w:lineRule="exact"/>
        <w:rPr>
          <w:sz w:val="20"/>
          <w:szCs w:val="20"/>
          <w:color w:val="auto"/>
        </w:rPr>
      </w:pPr>
    </w:p>
    <w:p>
      <w:pPr>
        <w:ind w:right="220" w:firstLine="47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40" w:firstLine="479"/>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such as those we are developing.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In the U.S., pharmaceutical products are subject to extensive regulation by the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new drug applications, or NDAs, warning or untitled letters, product recalls, product seizures, import detention, total or partial suspension of production or distribution, injunctions, fines, civil penalties and criminal prosecution. We may also be debarred or excluded from participation in government healthcare programs. Regulatory requirements governing our business are evolving. FDA also continually issues guidance documents that provide FDA’s interpretation of its laws and regulations, as well as FDA’s approach to scientific issues and questions.</w:t>
      </w:r>
    </w:p>
    <w:p>
      <w:pPr>
        <w:spacing w:after="0" w:line="189"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FDA of an IND which must become effective before clinical testing in the U.S.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4" w:lineRule="exact"/>
        <w:rPr>
          <w:sz w:val="20"/>
          <w:szCs w:val="20"/>
          <w:color w:val="auto"/>
        </w:rPr>
      </w:pPr>
    </w:p>
    <w:p>
      <w:pPr>
        <w:ind w:right="80" w:firstLine="479"/>
        <w:spacing w:after="0" w:line="272" w:lineRule="auto"/>
        <w:rPr>
          <w:sz w:val="20"/>
          <w:szCs w:val="20"/>
          <w:color w:val="auto"/>
        </w:rPr>
      </w:pPr>
      <w:r>
        <w:rPr>
          <w:rFonts w:ascii="Times New Roman" w:cs="Times New Roman" w:eastAsia="Times New Roman" w:hAnsi="Times New Roman"/>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 or GLP, regulations and other applicable laws or regulations. The results of preclinical testing are submitted to FDA as part of an IND along with other information, including information about product chemistry, manufacturing and controls, a proposed clinical trial protocol, and any available clinical data or literature on the product candidate. Long-term preclinical tests, such as animal tests of reproductive toxicity and carcinogenicity, may continue after the IND is submitted. A 30-day waiting period after the submission of each IND is required prior to the commencement of clinical testing in humans. If FDA has not placed the study on clinical hold within this 30-day period, the clinical trial proposed in the IND may begin.</w:t>
      </w:r>
    </w:p>
    <w:p>
      <w:pPr>
        <w:spacing w:after="0" w:line="67" w:lineRule="exact"/>
        <w:rPr>
          <w:sz w:val="20"/>
          <w:szCs w:val="20"/>
          <w:color w:val="auto"/>
        </w:rPr>
      </w:pPr>
    </w:p>
    <w:p>
      <w:pPr>
        <w:ind w:right="40" w:firstLine="479"/>
        <w:spacing w:after="0" w:line="259"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 Sponsors will also be required to provide FDA with diversity action plans.</w:t>
      </w:r>
    </w:p>
    <w:p>
      <w:pPr>
        <w:spacing w:after="0" w:line="76"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for approval to an institutional review board, or IRB, and ethics committee for approval. An IRB considers among other things, whether the risks to individuals participating in the trials are minimized and are reasonable in relation to anticipated benefits, and whether the planned human subject protections are adequate. The IRB will also monitor the clinical trial until completed. An IRB may also require the clinical trial at the site to be halted, either temporarily or permanently, for failure to comply with the IRB’s requirements, or may impose other conditions. Progress reports detailing the results of the clinical trials must be submitted at least annually to FDA and the IRB and more frequently if serious adverse events or other significant safety information is found. Additionally,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 w:name="page17"/>
    <w:bookmarkEnd w:id="16"/>
    <w:p>
      <w:pPr>
        <w:spacing w:after="0" w:line="265" w:lineRule="auto"/>
        <w:rPr>
          <w:sz w:val="20"/>
          <w:szCs w:val="20"/>
          <w:color w:val="auto"/>
        </w:rPr>
      </w:pPr>
      <w:r>
        <w:rPr>
          <w:rFonts w:ascii="Times New Roman" w:cs="Times New Roman" w:eastAsia="Times New Roman" w:hAnsi="Times New Roman"/>
          <w:sz w:val="18"/>
          <w:szCs w:val="18"/>
          <w:color w:val="auto"/>
        </w:rPr>
        <w:t>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69"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be divided, or be combined. In Phase 1, the initial introduction of the drug into healthy human subjects or patients, the drug is tested to assess metabolism, pharmacokinetics, pharmacological actions, mechanism of action, absorption, metabolism distribution, excretion,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 In some instances, FDA may condition approval of an NDA on the applicant’s agreement to conduct additional clinical trials to further assess the product’s safety and effectiveness after approval, to answer unresolved questions, or to ensure that population representative data is collected. Such post-approval trials are typically referred to as Phase 4 studies. The results of Phase 4 studies can confirm or refute the effectiveness of a product candidate, and can provide important safety information.</w:t>
      </w:r>
    </w:p>
    <w:p>
      <w:pPr>
        <w:spacing w:after="0" w:line="84" w:lineRule="exact"/>
        <w:rPr>
          <w:sz w:val="20"/>
          <w:szCs w:val="20"/>
          <w:color w:val="auto"/>
        </w:rPr>
      </w:pPr>
    </w:p>
    <w:p>
      <w:pPr>
        <w:jc w:val="both"/>
        <w:ind w:right="240" w:firstLine="479"/>
        <w:spacing w:after="0" w:line="265"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6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physical characteristics of the product candidate and finalize a manufacturing process for the product candidate in commercial quantities in accordance with current Good Manufacturing Practice, or cGMP requirements. The manufacturing process must be capable of consistently producing quality batches of the product candidate. Further, appropriate packaging must be selected and tested and adequate stability studies must be conducted to demonstrate that the product candidate does not undergo unacceptable deterioration over its shelf life.</w:t>
      </w:r>
    </w:p>
    <w:p>
      <w:pPr>
        <w:spacing w:after="0" w:line="182" w:lineRule="exact"/>
        <w:rPr>
          <w:sz w:val="20"/>
          <w:szCs w:val="20"/>
          <w:color w:val="auto"/>
        </w:rPr>
      </w:pPr>
    </w:p>
    <w:p>
      <w:pPr>
        <w:ind w:right="160" w:firstLine="478"/>
        <w:spacing w:after="0" w:line="312" w:lineRule="auto"/>
        <w:rPr>
          <w:sz w:val="20"/>
          <w:szCs w:val="20"/>
          <w:color w:val="auto"/>
        </w:rPr>
      </w:pPr>
      <w:r>
        <w:rPr>
          <w:rFonts w:ascii="Times New Roman" w:cs="Times New Roman" w:eastAsia="Times New Roman" w:hAnsi="Times New Roman"/>
          <w:sz w:val="17"/>
          <w:szCs w:val="17"/>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139" w:lineRule="exact"/>
        <w:rPr>
          <w:sz w:val="20"/>
          <w:szCs w:val="20"/>
          <w:color w:val="auto"/>
        </w:rPr>
      </w:pPr>
    </w:p>
    <w:p>
      <w:pPr>
        <w:ind w:right="420" w:firstLine="478"/>
        <w:spacing w:after="0" w:line="281" w:lineRule="auto"/>
        <w:rPr>
          <w:sz w:val="20"/>
          <w:szCs w:val="20"/>
          <w:color w:val="auto"/>
        </w:rPr>
      </w:pPr>
      <w:r>
        <w:rPr>
          <w:rFonts w:ascii="Times New Roman" w:cs="Times New Roman" w:eastAsia="Times New Roman" w:hAnsi="Times New Roman"/>
          <w:sz w:val="18"/>
          <w:szCs w:val="18"/>
          <w:color w:val="auto"/>
        </w:rPr>
        <w:t>A single pivotal trial may be sufficient in rare instances to provide substantial evidence of effectiveness (generally subject to the requirement of additional post-approval studies).</w:t>
      </w:r>
    </w:p>
    <w:p>
      <w:pPr>
        <w:spacing w:after="0" w:line="163" w:lineRule="exact"/>
        <w:rPr>
          <w:sz w:val="20"/>
          <w:szCs w:val="20"/>
          <w:color w:val="auto"/>
        </w:rPr>
      </w:pPr>
    </w:p>
    <w:p>
      <w:pPr>
        <w:jc w:val="both"/>
        <w:ind w:right="40" w:firstLine="478"/>
        <w:spacing w:after="0" w:line="281"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63" w:lineRule="exact"/>
        <w:rPr>
          <w:sz w:val="20"/>
          <w:szCs w:val="20"/>
          <w:color w:val="auto"/>
        </w:rPr>
      </w:pPr>
    </w:p>
    <w:p>
      <w:pPr>
        <w:jc w:val="both"/>
        <w:ind w:right="20" w:firstLine="478"/>
        <w:spacing w:after="0" w:line="265"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6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provided that certain very specific qualifying criteria are met.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7" w:name="page18"/>
    <w:bookmarkEnd w:id="17"/>
    <w:p>
      <w:pPr>
        <w:ind w:right="60" w:firstLine="479"/>
        <w:spacing w:after="0" w:line="270" w:lineRule="auto"/>
        <w:rPr>
          <w:sz w:val="20"/>
          <w:szCs w:val="20"/>
          <w:color w:val="auto"/>
        </w:rPr>
      </w:pPr>
      <w:r>
        <w:rPr>
          <w:rFonts w:ascii="Times New Roman" w:cs="Times New Roman" w:eastAsia="Times New Roman" w:hAnsi="Times New Roman"/>
          <w:sz w:val="17"/>
          <w:szCs w:val="17"/>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FDA has set a performance goal for reviewing standard applications as within ten months of acceptance of an NDA for filing; and for priority review drugs, within six months of acceptance of an NDA for filing. Drugs may qualify for priority review if they would be a significant improvement in the safety or effectiveness of the treatment, diagnosis, or prevention of a serious condition when compared to standard applications.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70"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74"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Before approving an NDA, FDA will conduct a pre-approval inspection or remote regulatory assessment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will not approve the product unless cGMP compliance is satisfactory. The FDA also typically inspects or conduct a remote regulatory assessment of one or more clinical trial sites to ensure compliance with GCP requirements and the integrity of the data supporting safety and efficacy.</w:t>
      </w:r>
    </w:p>
    <w:p>
      <w:pPr>
        <w:spacing w:after="0" w:line="186"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FDA has committed to reviewing 90% of resubmissions in two or six months depending on the type of information included. Even if such data and information are submitted, the FDA may decide that the NDA does not satisfy the criteria for approval.</w:t>
      </w:r>
    </w:p>
    <w:p>
      <w:pPr>
        <w:spacing w:after="0" w:line="7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78" w:lineRule="exact"/>
        <w:rPr>
          <w:sz w:val="20"/>
          <w:szCs w:val="20"/>
          <w:color w:val="auto"/>
        </w:rPr>
      </w:pPr>
    </w:p>
    <w:p>
      <w:pPr>
        <w:ind w:right="300" w:firstLine="479"/>
        <w:spacing w:after="0" w:line="260" w:lineRule="auto"/>
        <w:rPr>
          <w:sz w:val="20"/>
          <w:szCs w:val="20"/>
          <w:color w:val="auto"/>
        </w:rPr>
      </w:pPr>
      <w:r>
        <w:rPr>
          <w:rFonts w:ascii="Times New Roman" w:cs="Times New Roman" w:eastAsia="Times New Roman" w:hAnsi="Times New Roman"/>
          <w:sz w:val="18"/>
          <w:szCs w:val="18"/>
          <w:color w:val="auto"/>
        </w:rPr>
        <w:t>There is no guarantee that FDA will approve an NDA. Moreover, 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w:t>
      </w:r>
    </w:p>
    <w:p>
      <w:pPr>
        <w:spacing w:after="0" w:line="74"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instances,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120" w:firstLine="478"/>
        <w:spacing w:after="0" w:line="276" w:lineRule="auto"/>
        <w:rPr>
          <w:sz w:val="20"/>
          <w:szCs w:val="20"/>
          <w:color w:val="auto"/>
        </w:rPr>
      </w:pPr>
      <w:r>
        <w:rPr>
          <w:rFonts w:ascii="Times New Roman" w:cs="Times New Roman" w:eastAsia="Times New Roman" w:hAnsi="Times New Roman"/>
          <w:sz w:val="17"/>
          <w:szCs w:val="17"/>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provided that certain criteria are met and certifications are provided. Competitors may use this publicly available information to gain knowledge regarding the progress of development programs.</w:t>
      </w:r>
    </w:p>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preclinical or clinical data demonstrate the potential to address unmet medical needs for the condition. The sponsor of an investigational drug product may request that FDA designate the product candidate for a specific indication as a fast-track drug concurrent with, or after, the submission of the IND for the product candidate. FDA must determine if the product candidate qualifies for fast-track designation within 60 days of receipt of the sponsor’s request. For fast track products, sponsors may have greater interactions with the FDA and the FDA may potentially initiate review of sections of a fast track product’s NDA before the application is complete, referred to as “rolling review.” The sponsor must provide, and the FDA must approve, a schedule for the submission of the application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By the date of approval of an accelerated approval product, FDA must specify the conditions for the required post approval studies, including enrollment targets, the study protocol, milestones, and target completion dates. FDA may also require that the confirmatory Phase 4 studies be commenced prior to FDA granting a product accelerated approval. Reports on the progress of the required Phase 4 confirmatory studies must be submitted to FDA every 180 days after approval. If the trials fail to verify the clinical benefit of the drug or biologics product, the FDA may withdraw approval of the application through a statutorily defined streamlined process. Failure to conduct the required Phase 4 confirmatory studies or to conduct such studies with due diligence, as well as failure to submit the required update reports can subject a sponsor to penalties. All promotional materials for product candidates approved under accelerated regulations are subject to prior review by the FDA.</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9"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 w:name="page20"/>
    <w:bookmarkEnd w:id="19"/>
    <w:p>
      <w:pPr>
        <w:ind w:right="100"/>
        <w:spacing w:after="0" w:line="256" w:lineRule="auto"/>
        <w:rPr>
          <w:sz w:val="20"/>
          <w:szCs w:val="20"/>
          <w:color w:val="auto"/>
        </w:rPr>
      </w:pPr>
      <w:r>
        <w:rPr>
          <w:rFonts w:ascii="Times New Roman" w:cs="Times New Roman" w:eastAsia="Times New Roman" w:hAnsi="Times New Roman"/>
          <w:sz w:val="18"/>
          <w:szCs w:val="18"/>
          <w:color w:val="auto"/>
        </w:rPr>
        <w:t>for a specific indication as a breakthrough therapy concurrent with, or after, the filing of the IND for the product candidate. FDA must determine if the product candidate qualifies for a Breakthrough Therapy Designation within 60 days of receipt of the sponsor’s request. The FDA may take certain actions with respect to breakthrough therapies, including but not limited to holding meetings with the sponsor throughout the development process, providing timely advice to the product sponsor regarding development and approval, involving more senior staff in the review process, assigning a cross-disciplinary project lead for the review team, granting priority review status or Fast Track Designation, reviewing applications on a rolling basis, and taking other steps to design the clinical studies in an efficient manner.</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 Additionally, sponsors must present a plausible hypothesis for clinical superiority to obtain orphan designation if there is a product already approved by the FDA that that is considered by the FDA to be the same as the already approved product and is intended for the same indication. This hypothesis must be demonstrated to obtain orphan exclusivity.</w:t>
      </w:r>
    </w:p>
    <w:p>
      <w:pPr>
        <w:spacing w:after="0" w:line="186" w:lineRule="exact"/>
        <w:rPr>
          <w:sz w:val="20"/>
          <w:szCs w:val="20"/>
          <w:color w:val="auto"/>
        </w:rPr>
      </w:pPr>
    </w:p>
    <w:p>
      <w:pPr>
        <w:jc w:val="both"/>
        <w:ind w:right="180" w:firstLine="478"/>
        <w:spacing w:after="0" w:line="265"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69"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FDA’s regulations provide flexibility in meeting approval standards for new therapies intended to treat persons with life-threatening and severely-debilitating illnesses, especially where no satisfactory alternative therapy exists, such that FDA may exercise scientific judgment in determining the kind and quantity of data required for approval and during development programs. Per guidance issued by FDA in 2023 with respect to rare diseases, “[t]his flexibility extends from the early stages of development to the design of adequate and well-controlled clinical investigations required to demonstrate effectiveness to support marketing approval and to establish safety data needed for the intended use.” FDA states that it “is committed to helping sponsors create successful drug development programs that address the particular challenges posed by each disease….”</w:t>
      </w:r>
    </w:p>
    <w:p>
      <w:pPr>
        <w:spacing w:after="0" w:line="78"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76"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It bears noting that the exact scope of orphan drug exclusivity may be an evolving space. A 2021 judicial decision,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challenged and reversed an FDA decision on the scope of orphan product exclusivity for the drug, Firdapse. Under this decision, orphan drug exclusivity for Firdapse blocked approval of another company’s application for the same drug for the entire disease or condition for which orphan drug designation was granted, not just the disease or condition for which approval was received. In a January 2023 Federal Register notice, however, the FDA stated that it intends to continue to apply its regulations tying the scope of orphan-drug exclusivity to the uses or indications for which a drug is approved. The exact scope of orphan drug exclusivity will likely be an evolving area.</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However, compliance may be required if approval is sought for other indications for which the product has not received orphan designation.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0" w:name="page21"/>
    <w:bookmarkEnd w:id="20"/>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Separately, product candidates intended for the treatment of adult cancer which are directed at molecular targets that the FDA determines to be substantially relevant to the growth or progression of pediatric cancer,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Orphan products are not exempt from this requirement.</w:t>
      </w:r>
    </w:p>
    <w:p>
      <w:pPr>
        <w:spacing w:after="0" w:line="2" w:lineRule="exact"/>
        <w:rPr>
          <w:sz w:val="20"/>
          <w:szCs w:val="20"/>
          <w:color w:val="auto"/>
        </w:rPr>
      </w:pPr>
    </w:p>
    <w:p>
      <w:pPr>
        <w:ind w:right="40" w:firstLine="479"/>
        <w:spacing w:after="0" w:line="252"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479"/>
        <w:spacing w:after="0" w:line="254"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 Promotion and advertising must also be truthful and non-misleading, must be adequately substantiated, and with a fair balance between product benefit claims and risks, among other requirements. In 2023, FDA issued a final rule and a guidance on risk and efficacy disclosures in direct-to-consumer advertising, and a guidance on communication of off-label scientific information about approved products. The FDA and other agencies actively enforce the laws and regulations prohibiting the promotion of off-label uses. Failure to comply with the laws and regulations governing advertising and promotion can have negative consequences, including FDA and other governmental authority enforcement actions.</w:t>
      </w:r>
    </w:p>
    <w:p>
      <w:pPr>
        <w:spacing w:after="0" w:line="81"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FDA also may require post-marketing testing, known as Phase 4 testing,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and list the drugs produced. The information that must be submitted to FDA regarding manufactured products was expanded through the Coronavirus Aid, Relief, and Economic Security, or CARES Act to include the volume of drugs produced during the prior year. Registration with FDA subjects entities to periodic unannounced inspections or remote regulatory assessments by FDA, during which the Agency inspects or assesses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Sponsors are further subject to various requirements related to FDA drug shortage and manufacturing volume reporting, supply chain security, such as risk management plan requirements, and the promotion of supply chain redundancy. Legislation and executive actions have also been issued to encourage domestic manufacturing, as well as to decrease drug prices. For instance, FDA recently approved a plan that was submitted by Florida to import drugs from Canada.</w:t>
      </w:r>
    </w:p>
    <w:p>
      <w:pPr>
        <w:spacing w:after="0" w:line="86"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Quality control and manufacturing procedures must continue to conform to cGMP after approval, including quality control and quality assurance and maintenance of records and documentation. Changes to the product manufacturing process often require prior FDA approval or notification before being implemented. FDA regulations also require the investigation and correction of any identified deviations from cGMP and specifications, and impose reporting and documentation requirements upon the sponsor and any third-party manufacturers.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180" w:firstLine="478"/>
        <w:spacing w:after="0" w:line="260"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1" w:name="page22"/>
    <w:bookmarkEnd w:id="21"/>
    <w:p>
      <w:pPr>
        <w:ind w:right="380"/>
        <w:spacing w:after="0" w:line="280" w:lineRule="auto"/>
        <w:rPr>
          <w:sz w:val="20"/>
          <w:szCs w:val="20"/>
          <w:color w:val="auto"/>
        </w:rPr>
      </w:pPr>
      <w:r>
        <w:rPr>
          <w:rFonts w:ascii="Times New Roman" w:cs="Times New Roman" w:eastAsia="Times New Roman" w:hAnsi="Times New Roman"/>
          <w:sz w:val="17"/>
          <w:szCs w:val="17"/>
          <w:color w:val="auto"/>
        </w:rPr>
        <w:t>Products with Therapeutic Equivalence Evaluations, commonly known as the Orange Book. In an effort to clarify which patents must be listed in the Orange Book, in January 2021, Congress passed the Orange Book Transparency Act of 2020, which largely codifies FDA’s existing practices into the FD&amp;C Act. Listing patents in the Orange Book that do not qualify for listing can be considered to be anticompetitive conduct and, in 2023, the Federal Trade Commission sent letters to a number of companies with respect to certain patents that agency asserted were improperly listed or inaccurate.</w:t>
      </w:r>
    </w:p>
    <w:p>
      <w:pPr>
        <w:spacing w:after="0" w:line="166"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87" w:lineRule="exact"/>
        <w:rPr>
          <w:sz w:val="20"/>
          <w:szCs w:val="20"/>
          <w:color w:val="auto"/>
        </w:rPr>
      </w:pPr>
    </w:p>
    <w:p>
      <w:pPr>
        <w:ind w:right="80" w:firstLine="478"/>
        <w:spacing w:after="0" w:line="252"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within certain specified timeframes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94"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2"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To qualify for three-year exclusivity, there must be new clinical investigations, other than bioavailability studies, supporting the application, that were conducted or sponsored by the applicant are deemed by the FDA to be essential to the approval of the application. In some instances, an ANDA applicant may receive approval prior to expiration of the three-year exclusivity if the applicant seeks, and FDA permits, the omission of such exclusivity-protected information from the ANDA package insert.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right="80" w:firstLine="478"/>
        <w:spacing w:after="0" w:line="258"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82" w:lineRule="exact"/>
        <w:rPr>
          <w:sz w:val="20"/>
          <w:szCs w:val="20"/>
          <w:color w:val="auto"/>
        </w:rPr>
      </w:pPr>
    </w:p>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2"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per product.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manufacturers of in vitro companion diagnostics intended to select the patients who will respond to cancer treatment to submit a pre-market approval application, or PMA, for that diagnostic device simultaneously with the submission of the drug approval application by the drug manufacturer (which may be the same company as the device manufacturer or a different company).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8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The PMA process, including the gathering of extensive clinical and preclinical data and device manufacturing information, as well as the submission to and review by the FDA, can take several years or longer. It involves a rigorous premarket review during which the applicant must prepare and provide the FDA with test data and other information to demonstrate reasonable assurance of the device’s safety and effectiveness for its intended use, along with information about the device and its components regarding, among other things, device design, manufacturing and labeling. PMA applications are subject to a substantial application fee, which is typically increased annually.</w:t>
      </w:r>
    </w:p>
    <w:p>
      <w:pPr>
        <w:spacing w:after="0" w:line="7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inspect the manufacturer’s facilities for compliance with the Quality System Regulation, or QSR, which imposes good manufacturing practice requirements for medical devices, including requirements for established processes, controls, recordkeeping, reporting, documentation and other quality assurance activities.</w:t>
      </w:r>
    </w:p>
    <w:p>
      <w:pPr>
        <w:spacing w:after="0" w:line="78" w:lineRule="exact"/>
        <w:rPr>
          <w:sz w:val="20"/>
          <w:szCs w:val="20"/>
          <w:color w:val="auto"/>
        </w:rPr>
      </w:pPr>
    </w:p>
    <w:p>
      <w:pPr>
        <w:ind w:right="420" w:firstLine="479"/>
        <w:spacing w:after="0" w:line="276" w:lineRule="auto"/>
        <w:rPr>
          <w:sz w:val="20"/>
          <w:szCs w:val="20"/>
          <w:color w:val="auto"/>
        </w:rPr>
      </w:pPr>
      <w:r>
        <w:rPr>
          <w:rFonts w:ascii="Times New Roman" w:cs="Times New Roman" w:eastAsia="Times New Roman" w:hAnsi="Times New Roman"/>
          <w:sz w:val="17"/>
          <w:szCs w:val="17"/>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submission of specific additional information, such as submission of final labeling, in order to secure final approval of the PMA. If the FDA concludes that the applicable criteria have been met, the FDA will issue a PMA for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23" w:name="page24"/>
    <w:bookmarkEnd w:id="23"/>
    <w:p>
      <w:pPr>
        <w:ind w:right="120"/>
        <w:spacing w:after="0" w:line="265" w:lineRule="auto"/>
        <w:rPr>
          <w:sz w:val="20"/>
          <w:szCs w:val="20"/>
          <w:color w:val="auto"/>
        </w:rPr>
      </w:pPr>
      <w:r>
        <w:rPr>
          <w:rFonts w:ascii="Times New Roman" w:cs="Times New Roman" w:eastAsia="Times New Roman" w:hAnsi="Times New Roman"/>
          <w:sz w:val="18"/>
          <w:szCs w:val="18"/>
          <w:color w:val="auto"/>
        </w:rPr>
        <w:t>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77" w:lineRule="exact"/>
        <w:rPr>
          <w:sz w:val="20"/>
          <w:szCs w:val="20"/>
          <w:color w:val="auto"/>
        </w:rPr>
      </w:pPr>
    </w:p>
    <w:p>
      <w:pPr>
        <w:ind w:right="20" w:firstLine="478"/>
        <w:spacing w:after="0" w:line="271" w:lineRule="auto"/>
        <w:rPr>
          <w:sz w:val="20"/>
          <w:szCs w:val="20"/>
          <w:color w:val="auto"/>
        </w:rPr>
      </w:pPr>
      <w:r>
        <w:rPr>
          <w:rFonts w:ascii="Times New Roman" w:cs="Times New Roman" w:eastAsia="Times New Roman" w:hAnsi="Times New Roman"/>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register each of their establishment(s) engaged in manufacturing or initial importation activities, including payment of an annual establishment registration fee, and list the device(s) at each such establishment with the FDA. A medical device manufacturer’s design and manufacturing processes and those of its contract manufacturers are required to comply with the applicable portions of the QSR, which cover the methods and documentation of the design, testing, production, processes, controls, quality assurance, labeling, packaging and shipping of medical devices. Device manufacturers also have post-market reporting requirements for certain types of adverse events and device malfunctions, as well as for device correction and removal activities (including recalls). Domestic facility records and manufacturing processes are subject to periodic unscheduled inspections by the FDA. The FDA also may inspect foreign facilities that export products to the United States.</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220" w:firstLine="479"/>
        <w:spacing w:after="0" w:line="26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69"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is a criminal statute that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interpreted broadly to include anything of value. 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 once implemented - are drawn narrowly, and practices that involve remuneration intended to induce prescribing, purchases or recommendations may be subject to scrutiny and enforcement action if they do not qualify for an exception or safe harbor. Additionally, the ACA amended the federal Anti-Kickback Statute such that a violation of that statute is a basis for liability under the federal civil False Claims Act. The Beneficiary Inducement Civil Monetary Penalties Law imposes similar restrictions on interactions between the biopharmaceutical industry and federal healthcare program beneficiaries.</w:t>
      </w:r>
    </w:p>
    <w:p>
      <w:pPr>
        <w:spacing w:after="0" w:line="8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or avoiding, decreasing or concealing an obligation to pay money to the federal government. Intent to deceive is not required to establish liability under the civil False Claims Act. Rather, a claim may be false for deliberate ignorance of the truth or falsity of the information provided or for acts in reckless disregard of the truth or falsity of that information.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damages, penalties or settlement funds. If the government declines to intervene, the individual may pursue the case alone. The civil False Claims Act provides for treble damages and a civil penalty for each false claim, such as an invoice or pharmacy claim for reimbursement, which can aggregate into tens and even hundreds of millions of dollars. For these reasons, since 2004, False Claims Act lawsuits against biopharmaceutical companies have increased significantly in volume and breadth, leading to several substantial global civil and criminal settlements of as much as $3.0 billion regarding certain sales and promotional practices.</w:t>
      </w:r>
    </w:p>
    <w:p>
      <w:pPr>
        <w:spacing w:after="0" w:line="81" w:lineRule="exact"/>
        <w:rPr>
          <w:sz w:val="20"/>
          <w:szCs w:val="20"/>
          <w:color w:val="auto"/>
        </w:rPr>
      </w:pPr>
    </w:p>
    <w:p>
      <w:pPr>
        <w:ind w:right="120" w:firstLine="479"/>
        <w:spacing w:after="0" w:line="281" w:lineRule="auto"/>
        <w:rPr>
          <w:sz w:val="20"/>
          <w:szCs w:val="20"/>
          <w:color w:val="auto"/>
        </w:rPr>
      </w:pPr>
      <w:r>
        <w:rPr>
          <w:rFonts w:ascii="Times New Roman" w:cs="Times New Roman" w:eastAsia="Times New Roman" w:hAnsi="Times New Roman"/>
          <w:sz w:val="18"/>
          <w:szCs w:val="18"/>
          <w:color w:val="auto"/>
        </w:rPr>
        <w:t>The civil False Claims Act has been used to assert liability on the basis of claims made to programs where the federal government reimburses, such as Medicare and Medicaid, as well as programs where the federal government is a direct</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24" w:name="page25"/>
    <w:bookmarkEnd w:id="24"/>
    <w:p>
      <w:pPr>
        <w:ind w:right="60"/>
        <w:spacing w:after="0" w:line="255" w:lineRule="auto"/>
        <w:rPr>
          <w:sz w:val="20"/>
          <w:szCs w:val="20"/>
          <w:color w:val="auto"/>
        </w:rPr>
      </w:pPr>
      <w:r>
        <w:rPr>
          <w:rFonts w:ascii="Times New Roman" w:cs="Times New Roman" w:eastAsia="Times New Roman" w:hAnsi="Times New Roman"/>
          <w:sz w:val="18"/>
          <w:szCs w:val="18"/>
          <w:color w:val="auto"/>
        </w:rPr>
        <w:t>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rebates, and for allegedly providing free product to customers with the expectation that the customers would bill federal programs for the product. In addition, certain marketing practices, including off-label promotion, may also violate false claims laws. Private payers have been filing follow-on lawsuits alleging fraudulent misrepresentation, although establishing liability and damages in these cases is more difficult than under the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79" w:lineRule="exact"/>
        <w:rPr>
          <w:sz w:val="20"/>
          <w:szCs w:val="20"/>
          <w:color w:val="auto"/>
        </w:rPr>
      </w:pPr>
    </w:p>
    <w:p>
      <w:pPr>
        <w:ind w:right="120" w:firstLine="479"/>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79" w:lineRule="exact"/>
        <w:rPr>
          <w:sz w:val="20"/>
          <w:szCs w:val="20"/>
          <w:color w:val="auto"/>
        </w:rPr>
      </w:pPr>
    </w:p>
    <w:p>
      <w:pPr>
        <w:ind w:right="60" w:firstLine="524"/>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healthcare data privacy and security regulations promulgated by both the federal government and the states in which we conduct our business. HIPAA, as amended by the Health Information Technology for Economic And Clinical Health Act, (“HITECH Act”), and their respective implementing regulations, impose certain requirements on covered entities relating to the privacy, security, and transmission of certain individually identifiable health information known as protected health information. The HIPAA privacy regulations impose certain requirements with respect to the disclosure of protected health information for research purposes, such as clinical trials. Among other things, the HITECH Act and its implementing regulations, made HIPAA’s security standards and certain privacy standards directly applicable to business associates, defined as persons or organizations, other than members of a covered entity’s workforce, that create, receive, maintain or transmit protected health information on behalf of a covered entity for a function or activity regulated by HIPAA. The HITECH Act also strengthened the civil and criminal sanctions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Other federal and state laws, such as the California Consumer Privacy Act (“CCPA”) and Washington’s My Health My Data Act, may govern the privacy and security of health and other information in certain circumstances, many of which differ from each other in significant ways and may not be preempted by HIPAA, thus complicating compliance efforts. Since the CCPA was signed into law in 2018, several other states, including Virginia, Colorado, Utah and Connecticut, have enacted similar privacy laws that may apply to personal information that we collect or maintain.</w:t>
      </w:r>
    </w:p>
    <w:p>
      <w:pPr>
        <w:spacing w:after="0" w:line="86" w:lineRule="exact"/>
        <w:rPr>
          <w:sz w:val="20"/>
          <w:szCs w:val="20"/>
          <w:color w:val="auto"/>
        </w:rPr>
      </w:pPr>
    </w:p>
    <w:p>
      <w:pPr>
        <w:ind w:firstLine="479"/>
        <w:spacing w:after="0" w:line="272" w:lineRule="auto"/>
        <w:rPr>
          <w:sz w:val="20"/>
          <w:szCs w:val="20"/>
          <w:color w:val="auto"/>
        </w:rPr>
      </w:pPr>
      <w:r>
        <w:rPr>
          <w:rFonts w:ascii="Times New Roman" w:cs="Times New Roman" w:eastAsia="Times New Roman" w:hAnsi="Times New Roman"/>
          <w:sz w:val="17"/>
          <w:szCs w:val="17"/>
          <w:color w:val="auto"/>
        </w:rPr>
        <w:t>Further, pursuant to the ACA, the Centers for Medicare &amp; Medicaid Services, or CMS, issued a final rule that requires certain manufacturers of prescription drugs, medical devices and medical products to collect and annually report information on certain payments or transfers of value to U.S.-licensed physicians, as defined by such law, and teaching hospitals, as well as ownership and investment interests held by physicians and their immediate family members. The reported data is made available in searchable form on a public website on an annual basis. Failure to submit timely, accurate and complete required information may result in civil monetary penalties. Beginning calendar year 2021, manufacturers must collect information regarding payments and other transfers of value to physician assistants, nurse practitioners, clinical nurse specialists, certified registered nurse anesthetists, anesthesiologist assistants and certified nurse- midwives for reporting in 2022. The reported information is made publicly available on a searchable website.</w:t>
      </w:r>
    </w:p>
    <w:p>
      <w:pPr>
        <w:spacing w:after="0" w:line="67"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We may also be subject to analogous state and foreign anti-kickback and false claims laws that may apply to sales or marketing arrangements and claims involving healthcare items or services reimbursed by non-governmental third party payors, including private insurers, or that apply regardless of payor. In addition, several states now require prescription drug companies to report certain expenses relating to the marketing and promotion of drug products to report gifts and payments to individual healthcare practitioners to prohibit various marketing-related activities, such as the provision of certain kinds of gifts or meals, and/or to comply with certain compliance requirements.</w:t>
      </w:r>
    </w:p>
    <w:p>
      <w:pPr>
        <w:spacing w:after="0" w:line="74" w:lineRule="exact"/>
        <w:rPr>
          <w:sz w:val="20"/>
          <w:szCs w:val="20"/>
          <w:color w:val="auto"/>
        </w:rPr>
      </w:pPr>
    </w:p>
    <w:p>
      <w:pPr>
        <w:ind w:right="140" w:firstLine="479"/>
        <w:spacing w:after="0" w:line="260" w:lineRule="auto"/>
        <w:rPr>
          <w:sz w:val="20"/>
          <w:szCs w:val="20"/>
          <w:color w:val="auto"/>
        </w:rPr>
      </w:pPr>
      <w:r>
        <w:rPr>
          <w:rFonts w:ascii="Times New Roman" w:cs="Times New Roman" w:eastAsia="Times New Roman" w:hAnsi="Times New Roman"/>
          <w:sz w:val="18"/>
          <w:szCs w:val="18"/>
          <w:color w:val="auto"/>
        </w:rPr>
        <w:t>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5" w:name="page26"/>
    <w:bookmarkEnd w:id="25"/>
    <w:p>
      <w:pPr>
        <w:ind w:right="60"/>
        <w:spacing w:after="0" w:line="265" w:lineRule="auto"/>
        <w:rPr>
          <w:sz w:val="20"/>
          <w:szCs w:val="20"/>
          <w:color w:val="auto"/>
        </w:rPr>
      </w:pPr>
      <w:r>
        <w:rPr>
          <w:rFonts w:ascii="Times New Roman" w:cs="Times New Roman" w:eastAsia="Times New Roman" w:hAnsi="Times New Roman"/>
          <w:sz w:val="18"/>
          <w:szCs w:val="18"/>
          <w:color w:val="auto"/>
        </w:rPr>
        <w:t>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6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sanctions, including civil and administrative penalties and damages, criminal fines and confinement, disgorgement, the curtailment or restructuring of its operations, loss of eligibility to obtain approvals from the FDA, exclusion from participation in federal health care programs, suspension and debarment from government procurement and non-procurement programs, refusal of orders under existing government contracts, integrity oversight and reporting obligations, and reputational harm. Although effective compliance programs can mitigate the risk of investigation and enforcement actions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478"/>
        <w:spacing w:after="0" w:line="251"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w:t>
      </w:r>
    </w:p>
    <w:p>
      <w:pPr>
        <w:spacing w:after="0" w:line="10" w:lineRule="exact"/>
        <w:rPr>
          <w:sz w:val="20"/>
          <w:szCs w:val="20"/>
          <w:color w:val="auto"/>
        </w:rPr>
      </w:pPr>
    </w:p>
    <w:p>
      <w:pPr>
        <w:ind w:right="4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 There have been legislative and judicial efforts to modify, repeal, or otherwise invalidate all, or certain provisions of, the ACA. We cannot predict the ultimate content, timing or effect of any healthcare reform legislation or the impact of potential legislation on us.</w:t>
      </w:r>
    </w:p>
    <w:p>
      <w:pPr>
        <w:spacing w:after="0" w:line="190"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through 2031.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6" w:name="page27"/>
    <w:bookmarkEnd w:id="26"/>
    <w:p>
      <w:pPr>
        <w:ind w:right="60"/>
        <w:spacing w:after="0" w:line="255" w:lineRule="auto"/>
        <w:rPr>
          <w:sz w:val="20"/>
          <w:szCs w:val="20"/>
          <w:color w:val="auto"/>
        </w:rPr>
      </w:pPr>
      <w:r>
        <w:rPr>
          <w:rFonts w:ascii="Times New Roman" w:cs="Times New Roman" w:eastAsia="Times New Roman" w:hAnsi="Times New Roman"/>
          <w:sz w:val="18"/>
          <w:szCs w:val="18"/>
          <w:color w:val="auto"/>
        </w:rPr>
        <w:t>Consolidated Appropriations Act, 2021 extended the suspension of the 2% Medicare sequester through March 31, 2021.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79"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and price increases, review the relationship between pricing and manufacturer patient programs, and reform government program reimbursement methodologies for drug products.</w:t>
      </w:r>
    </w:p>
    <w:p>
      <w:pPr>
        <w:spacing w:after="0" w:line="74"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The Trump and Biden administrations both issued executive orders intended to favor and encourage domestic manufacturing. And on August 16, 2022,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both sold into the Medicare program and throughout the United States.</w:t>
      </w:r>
    </w:p>
    <w:p>
      <w:pPr>
        <w:spacing w:after="0" w:line="182" w:lineRule="exact"/>
        <w:rPr>
          <w:sz w:val="20"/>
          <w:szCs w:val="20"/>
          <w:color w:val="auto"/>
        </w:rPr>
      </w:pPr>
    </w:p>
    <w:p>
      <w:pPr>
        <w:ind w:right="20" w:firstLine="478"/>
        <w:spacing w:after="0" w:line="274" w:lineRule="auto"/>
        <w:rPr>
          <w:sz w:val="20"/>
          <w:szCs w:val="20"/>
          <w:color w:val="auto"/>
        </w:rPr>
      </w:pPr>
      <w:r>
        <w:rPr>
          <w:rFonts w:ascii="Times New Roman" w:cs="Times New Roman" w:eastAsia="Times New Roman" w:hAnsi="Times New Roman"/>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CMS 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(4.3% after sequestration) of average sales price, or ASP.</w:t>
      </w:r>
    </w:p>
    <w:p>
      <w:pPr>
        <w:spacing w:after="0" w:line="171"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or caps, discounts, restrictions on certain product access and marketing cost disclosure and transparency measures, and, in some cases, to encourage importation from other countries and bulk purchasing.</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87" w:lineRule="exact"/>
        <w:rPr>
          <w:sz w:val="20"/>
          <w:szCs w:val="20"/>
          <w:color w:val="auto"/>
        </w:rPr>
      </w:pPr>
    </w:p>
    <w:p>
      <w:pPr>
        <w:ind w:right="140" w:firstLine="478"/>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although private payors often, but not always, follow CMS’s decisions regarding coverage and reimbursement.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reimbursement for these tests separate and apart from the coverage and reimbursement we seek for our product candidates, once approved.</w:t>
      </w:r>
    </w:p>
    <w:p>
      <w:pPr>
        <w:spacing w:after="0" w:line="225" w:lineRule="exact"/>
        <w:rPr>
          <w:sz w:val="20"/>
          <w:szCs w:val="20"/>
          <w:color w:val="auto"/>
        </w:rPr>
      </w:pPr>
    </w:p>
    <w:p>
      <w:pPr>
        <w:ind w:right="160" w:firstLine="478"/>
        <w:spacing w:after="0" w:line="260"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w:t>
      </w:r>
    </w:p>
    <w:p>
      <w:pPr>
        <w:spacing w:after="0" w:line="182" w:lineRule="exact"/>
        <w:rPr>
          <w:sz w:val="20"/>
          <w:szCs w:val="20"/>
          <w:color w:val="auto"/>
        </w:rPr>
      </w:pPr>
    </w:p>
    <w:p>
      <w:pPr>
        <w:ind w:right="80" w:firstLine="478"/>
        <w:spacing w:after="0" w:line="260"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82"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to continue, which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400" w:firstLine="479"/>
        <w:spacing w:after="0" w:line="265" w:lineRule="auto"/>
        <w:rPr>
          <w:sz w:val="20"/>
          <w:szCs w:val="20"/>
          <w:color w:val="auto"/>
        </w:rPr>
      </w:pPr>
      <w:r>
        <w:rPr>
          <w:rFonts w:ascii="Times New Roman" w:cs="Times New Roman" w:eastAsia="Times New Roman" w:hAnsi="Times New Roman"/>
          <w:sz w:val="18"/>
          <w:szCs w:val="18"/>
          <w:color w:val="auto"/>
        </w:rPr>
        <w:t>As of December 31, 2023, we had 128 full-time employees. Of our employees, 49%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2016. Our principal executive offices are located in Wilmington, DE. Our website address is www.preludetx.com. Website references in this Annual Report on Form 10-K are inactive, textual references only, and the information contained on, or that can be accessed through, our website is not part of, and is not incorporated by reference into, this Annual Report on Form 10-K.</w:t>
      </w:r>
    </w:p>
    <w:p>
      <w:pPr>
        <w:spacing w:after="0" w:line="177" w:lineRule="exact"/>
        <w:rPr>
          <w:sz w:val="20"/>
          <w:szCs w:val="20"/>
          <w:color w:val="auto"/>
        </w:rPr>
      </w:pPr>
    </w:p>
    <w:p>
      <w:pPr>
        <w:ind w:right="40" w:firstLine="479"/>
        <w:spacing w:after="0" w:line="280" w:lineRule="auto"/>
        <w:rPr>
          <w:sz w:val="20"/>
          <w:szCs w:val="20"/>
          <w:color w:val="auto"/>
        </w:rPr>
      </w:pPr>
      <w:r>
        <w:rPr>
          <w:rFonts w:ascii="Times New Roman" w:cs="Times New Roman" w:eastAsia="Times New Roman" w:hAnsi="Times New Roman"/>
          <w:sz w:val="17"/>
          <w:szCs w:val="17"/>
          <w:color w:val="auto"/>
        </w:rPr>
        <w:t>The mark “Prelude Therapeutics,” the Prelude logo and all product names are our common law trademarks.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479"/>
        <w:spacing w:after="0" w:line="260" w:lineRule="auto"/>
        <w:rPr>
          <w:sz w:val="20"/>
          <w:szCs w:val="20"/>
          <w:color w:val="auto"/>
        </w:rPr>
      </w:pPr>
      <w:r>
        <w:rPr>
          <w:rFonts w:ascii="Times New Roman" w:cs="Times New Roman" w:eastAsia="Times New Roman" w:hAnsi="Times New Roman"/>
          <w:sz w:val="18"/>
          <w:szCs w:val="18"/>
          <w:color w:val="auto"/>
        </w:rPr>
        <w:t>We file our annual reports on Form 10-K, quarterly reports on Form 10-Q and current reports on Form 8-K pursuant to Section 13(a) or 15(d) of the Securities Exchange Act of 1934, as amended, or the Exchange Act, electronically with the U.S. Securities and Exchange Commission, or the SEC. The SEC maintains an Internet site that contains reports, proxy and information statements, and other information regarding issuers that file electronically with the SEC. The address of that site is http://www.sec.gov.</w:t>
      </w:r>
    </w:p>
    <w:p>
      <w:pPr>
        <w:spacing w:after="0" w:line="74" w:lineRule="exact"/>
        <w:rPr>
          <w:sz w:val="20"/>
          <w:szCs w:val="20"/>
          <w:color w:val="auto"/>
        </w:rPr>
      </w:pPr>
    </w:p>
    <w:p>
      <w:pPr>
        <w:jc w:val="both"/>
        <w:ind w:right="20" w:firstLine="479"/>
        <w:spacing w:after="0" w:line="265" w:lineRule="auto"/>
        <w:rPr>
          <w:sz w:val="20"/>
          <w:szCs w:val="20"/>
          <w:color w:val="auto"/>
        </w:rPr>
      </w:pPr>
      <w:r>
        <w:rPr>
          <w:rFonts w:ascii="Times New Roman" w:cs="Times New Roman" w:eastAsia="Times New Roman" w:hAnsi="Times New Roman"/>
          <w:sz w:val="18"/>
          <w:szCs w:val="18"/>
          <w:color w:val="auto"/>
        </w:rPr>
        <w:t>We make available free of charge electronic versions of our Annual Report on Form 10-K, quarterly reports on Form 10-Q, current reports on Form 8-K and amendments to those reports on our website, preludetx.com, as soon as reasonably practicable after we electronically file or furnish such materials to the Securities and Exchange Commission, or SEC.</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0"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The occurrence of any of the following risks, or of additional risks and uncertainties not presently known to us or that we currently believe to be immaterial, could materially and adversely affect our business, financial condition, results of operations and prospects. If that were to happen, the trading price of our common stock could decline, and you could lose all or part of your investment.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right="80" w:hanging="413"/>
        <w:spacing w:after="0" w:line="28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We expect to incur continued losses for the foreseeable future and may never be profitable.</w:t>
      </w:r>
    </w:p>
    <w:p>
      <w:pPr>
        <w:spacing w:after="0" w:line="54" w:lineRule="exact"/>
        <w:rPr>
          <w:rFonts w:ascii="Times New Roman" w:cs="Times New Roman" w:eastAsia="Times New Roman" w:hAnsi="Times New Roman"/>
          <w:sz w:val="18"/>
          <w:szCs w:val="18"/>
          <w:color w:val="auto"/>
        </w:rPr>
      </w:pPr>
    </w:p>
    <w:p>
      <w:pPr>
        <w:ind w:left="840" w:right="780" w:hanging="413"/>
        <w:spacing w:after="0" w:line="28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and our inability to execute on our business plan may cause you the total or partial loss of your investment.</w:t>
      </w:r>
    </w:p>
    <w:p>
      <w:pPr>
        <w:spacing w:after="0" w:line="54" w:lineRule="exact"/>
        <w:rPr>
          <w:rFonts w:ascii="Times New Roman" w:cs="Times New Roman" w:eastAsia="Times New Roman" w:hAnsi="Times New Roman"/>
          <w:sz w:val="18"/>
          <w:szCs w:val="18"/>
          <w:color w:val="auto"/>
        </w:rPr>
      </w:pPr>
    </w:p>
    <w:p>
      <w:pPr>
        <w:ind w:left="840" w:right="200" w:hanging="413"/>
        <w:spacing w:after="0" w:line="265"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9" w:lineRule="exact"/>
        <w:rPr>
          <w:rFonts w:ascii="Times New Roman" w:cs="Times New Roman" w:eastAsia="Times New Roman" w:hAnsi="Times New Roman"/>
          <w:sz w:val="18"/>
          <w:szCs w:val="18"/>
          <w:color w:val="auto"/>
        </w:rPr>
      </w:pPr>
    </w:p>
    <w:p>
      <w:pPr>
        <w:ind w:left="840" w:right="40" w:hanging="413"/>
        <w:spacing w:after="0" w:line="265"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69" w:lineRule="exact"/>
        <w:rPr>
          <w:rFonts w:ascii="Times New Roman" w:cs="Times New Roman" w:eastAsia="Times New Roman" w:hAnsi="Times New Roman"/>
          <w:sz w:val="18"/>
          <w:szCs w:val="18"/>
          <w:color w:val="auto"/>
        </w:rPr>
      </w:pPr>
    </w:p>
    <w:p>
      <w:pPr>
        <w:ind w:left="840" w:right="1260" w:hanging="413"/>
        <w:spacing w:after="0" w:line="28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our product candidates.</w:t>
      </w:r>
    </w:p>
    <w:p>
      <w:pPr>
        <w:spacing w:after="0" w:line="54"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54" w:lineRule="exact"/>
        <w:rPr>
          <w:rFonts w:ascii="Times New Roman" w:cs="Times New Roman" w:eastAsia="Times New Roman" w:hAnsi="Times New Roman"/>
          <w:sz w:val="18"/>
          <w:szCs w:val="18"/>
          <w:color w:val="auto"/>
        </w:rPr>
      </w:pPr>
    </w:p>
    <w:p>
      <w:pPr>
        <w:ind w:left="840" w:right="60" w:hanging="413"/>
        <w:spacing w:after="0" w:line="265"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9" w:lineRule="exact"/>
        <w:rPr>
          <w:rFonts w:ascii="Times New Roman" w:cs="Times New Roman" w:eastAsia="Times New Roman" w:hAnsi="Times New Roman"/>
          <w:sz w:val="18"/>
          <w:szCs w:val="18"/>
          <w:color w:val="auto"/>
        </w:rPr>
      </w:pPr>
    </w:p>
    <w:p>
      <w:pPr>
        <w:ind w:left="840" w:right="480" w:hanging="413"/>
        <w:spacing w:after="0" w:line="28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4" w:lineRule="exact"/>
        <w:rPr>
          <w:rFonts w:ascii="Times New Roman" w:cs="Times New Roman" w:eastAsia="Times New Roman" w:hAnsi="Times New Roman"/>
          <w:sz w:val="18"/>
          <w:szCs w:val="18"/>
          <w:color w:val="auto"/>
        </w:rPr>
      </w:pPr>
    </w:p>
    <w:p>
      <w:pPr>
        <w:ind w:left="840" w:hanging="41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may have a material adverse effect on our business.</w:t>
      </w:r>
    </w:p>
    <w:p>
      <w:pPr>
        <w:spacing w:after="0" w:line="116" w:lineRule="exact"/>
        <w:rPr>
          <w:rFonts w:ascii="Times New Roman" w:cs="Times New Roman" w:eastAsia="Times New Roman" w:hAnsi="Times New Roman"/>
          <w:sz w:val="18"/>
          <w:szCs w:val="18"/>
          <w:color w:val="auto"/>
        </w:rPr>
      </w:pPr>
    </w:p>
    <w:p>
      <w:pPr>
        <w:ind w:left="840" w:right="40" w:hanging="416"/>
        <w:spacing w:after="0" w:line="260"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3" w:lineRule="exact"/>
        <w:rPr>
          <w:rFonts w:ascii="Times New Roman" w:cs="Times New Roman" w:eastAsia="Times New Roman" w:hAnsi="Times New Roman"/>
          <w:sz w:val="18"/>
          <w:szCs w:val="18"/>
          <w:color w:val="auto"/>
        </w:rPr>
      </w:pPr>
    </w:p>
    <w:p>
      <w:pPr>
        <w:ind w:left="840" w:right="40" w:hanging="416"/>
        <w:spacing w:after="0" w:line="258"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29" w:name="page30"/>
    <w:bookmarkEnd w:id="29"/>
    <w:p>
      <w:pPr>
        <w:ind w:left="420" w:right="104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4" w:lineRule="exact"/>
        <w:rPr>
          <w:rFonts w:ascii="Times New Roman" w:cs="Times New Roman" w:eastAsia="Times New Roman" w:hAnsi="Times New Roman"/>
          <w:sz w:val="18"/>
          <w:szCs w:val="18"/>
          <w:color w:val="auto"/>
        </w:rPr>
      </w:pPr>
    </w:p>
    <w:p>
      <w:pPr>
        <w:ind w:left="420" w:right="140" w:hanging="416"/>
        <w:spacing w:after="0" w:line="265"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9" w:lineRule="exact"/>
        <w:rPr>
          <w:rFonts w:ascii="Times New Roman" w:cs="Times New Roman" w:eastAsia="Times New Roman" w:hAnsi="Times New Roman"/>
          <w:sz w:val="18"/>
          <w:szCs w:val="18"/>
          <w:color w:val="auto"/>
        </w:rPr>
      </w:pPr>
    </w:p>
    <w:p>
      <w:pPr>
        <w:ind w:left="420" w:right="1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420" w:right="2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54" w:lineRule="exact"/>
        <w:rPr>
          <w:rFonts w:ascii="Times New Roman" w:cs="Times New Roman" w:eastAsia="Times New Roman" w:hAnsi="Times New Roman"/>
          <w:sz w:val="18"/>
          <w:szCs w:val="18"/>
          <w:color w:val="auto"/>
        </w:rPr>
      </w:pPr>
    </w:p>
    <w:p>
      <w:pPr>
        <w:ind w:left="420" w:right="2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54" w:lineRule="exact"/>
        <w:rPr>
          <w:rFonts w:ascii="Times New Roman" w:cs="Times New Roman" w:eastAsia="Times New Roman" w:hAnsi="Times New Roman"/>
          <w:sz w:val="18"/>
          <w:szCs w:val="18"/>
          <w:color w:val="auto"/>
        </w:rPr>
      </w:pPr>
    </w:p>
    <w:p>
      <w:pPr>
        <w:ind w:left="420" w:right="14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42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4" w:lineRule="exact"/>
        <w:rPr>
          <w:rFonts w:ascii="Times New Roman" w:cs="Times New Roman" w:eastAsia="Times New Roman" w:hAnsi="Times New Roman"/>
          <w:sz w:val="18"/>
          <w:szCs w:val="18"/>
          <w:color w:val="auto"/>
        </w:rPr>
      </w:pPr>
    </w:p>
    <w:p>
      <w:pPr>
        <w:ind w:left="420" w:right="60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54" w:lineRule="exact"/>
        <w:rPr>
          <w:rFonts w:ascii="Times New Roman" w:cs="Times New Roman" w:eastAsia="Times New Roman" w:hAnsi="Times New Roman"/>
          <w:sz w:val="18"/>
          <w:szCs w:val="18"/>
          <w:color w:val="auto"/>
        </w:rPr>
      </w:pPr>
    </w:p>
    <w:p>
      <w:pPr>
        <w:ind w:left="420" w:right="380" w:hanging="416"/>
        <w:spacing w:after="0" w:line="265"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9" w:lineRule="exact"/>
        <w:rPr>
          <w:rFonts w:ascii="Times New Roman" w:cs="Times New Roman" w:eastAsia="Times New Roman" w:hAnsi="Times New Roman"/>
          <w:sz w:val="18"/>
          <w:szCs w:val="18"/>
          <w:color w:val="auto"/>
        </w:rPr>
      </w:pPr>
    </w:p>
    <w:p>
      <w:pPr>
        <w:ind w:left="420" w:right="1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54"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116" w:lineRule="exact"/>
        <w:rPr>
          <w:rFonts w:ascii="Times New Roman" w:cs="Times New Roman" w:eastAsia="Times New Roman" w:hAnsi="Times New Roman"/>
          <w:sz w:val="18"/>
          <w:szCs w:val="18"/>
          <w:color w:val="auto"/>
        </w:rPr>
      </w:pPr>
    </w:p>
    <w:p>
      <w:pPr>
        <w:ind w:left="42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4"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116" w:lineRule="exact"/>
        <w:rPr>
          <w:rFonts w:ascii="Times New Roman" w:cs="Times New Roman" w:eastAsia="Times New Roman" w:hAnsi="Times New Roman"/>
          <w:sz w:val="18"/>
          <w:szCs w:val="18"/>
          <w:color w:val="auto"/>
        </w:rPr>
      </w:pPr>
    </w:p>
    <w:p>
      <w:pPr>
        <w:ind w:left="420" w:right="3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54" w:lineRule="exact"/>
        <w:rPr>
          <w:rFonts w:ascii="Times New Roman" w:cs="Times New Roman" w:eastAsia="Times New Roman" w:hAnsi="Times New Roman"/>
          <w:sz w:val="18"/>
          <w:szCs w:val="18"/>
          <w:color w:val="auto"/>
        </w:rPr>
      </w:pPr>
    </w:p>
    <w:p>
      <w:pPr>
        <w:ind w:left="420" w:right="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and is likely to be highly volatile, which could result in substantial losses for purchasers of our common stock.</w:t>
      </w:r>
    </w:p>
    <w:p>
      <w:pPr>
        <w:spacing w:after="0" w:line="54" w:lineRule="exact"/>
        <w:rPr>
          <w:rFonts w:ascii="Times New Roman" w:cs="Times New Roman" w:eastAsia="Times New Roman" w:hAnsi="Times New Roman"/>
          <w:sz w:val="18"/>
          <w:szCs w:val="18"/>
          <w:color w:val="auto"/>
        </w:rPr>
      </w:pPr>
    </w:p>
    <w:p>
      <w:pPr>
        <w:ind w:left="420" w:right="38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4" w:lineRule="exact"/>
        <w:rPr>
          <w:rFonts w:ascii="Times New Roman" w:cs="Times New Roman" w:eastAsia="Times New Roman" w:hAnsi="Times New Roman"/>
          <w:sz w:val="18"/>
          <w:szCs w:val="18"/>
          <w:color w:val="auto"/>
        </w:rPr>
      </w:pPr>
    </w:p>
    <w:p>
      <w:pPr>
        <w:ind w:left="420" w:right="400" w:hanging="416"/>
        <w:spacing w:after="0" w:line="312" w:lineRule="auto"/>
        <w:tabs>
          <w:tab w:leader="none" w:pos="4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31" w:lineRule="exact"/>
        <w:rPr>
          <w:rFonts w:ascii="Times New Roman" w:cs="Times New Roman" w:eastAsia="Times New Roman" w:hAnsi="Times New Roman"/>
          <w:sz w:val="17"/>
          <w:szCs w:val="17"/>
          <w:color w:val="auto"/>
        </w:rPr>
      </w:pPr>
    </w:p>
    <w:p>
      <w:pPr>
        <w:ind w:left="420" w:right="760" w:hanging="416"/>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2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20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We expect to incur continued losses for the foreseeable future and may never be profitable.</w:t>
      </w:r>
    </w:p>
    <w:p>
      <w:pPr>
        <w:spacing w:after="0" w:line="77" w:lineRule="exact"/>
        <w:rPr>
          <w:sz w:val="20"/>
          <w:szCs w:val="20"/>
          <w:color w:val="auto"/>
        </w:rPr>
      </w:pPr>
    </w:p>
    <w:p>
      <w:pPr>
        <w:jc w:val="both"/>
        <w:ind w:right="60" w:firstLine="416"/>
        <w:spacing w:after="0" w:line="260"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For the year ended December 31, 2023, we reported a net loss of $121.8 million. As of December 31, 2023, we had an accumulated deficit of $456.4 million. We have not yet commercialized any product, and we do not expect to generate revenue from sales of any products for several years, if at all. We expect to continue to incur significant research and development and other expenses related to our ongoing operations.</w:t>
      </w:r>
    </w:p>
    <w:p>
      <w:pPr>
        <w:spacing w:after="0" w:line="182" w:lineRule="exact"/>
        <w:rPr>
          <w:sz w:val="20"/>
          <w:szCs w:val="20"/>
          <w:color w:val="auto"/>
        </w:rPr>
      </w:pPr>
    </w:p>
    <w:p>
      <w:pPr>
        <w:ind w:right="220" w:firstLine="416"/>
        <w:spacing w:after="0" w:line="265"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and our research efforts on other potential product candidates targeting PRMT5, MCL1, CDK9, and BRM, otherwise known as SMARCA2. As of December 31, 2023, our cash, cash equivalents, and marketable securities were $232.9 million.</w:t>
      </w:r>
    </w:p>
    <w:p>
      <w:pPr>
        <w:spacing w:after="0" w:line="177"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We expect to incur increasing levels of operating losses for the foreseeable future, particularly as we advance our product candidates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and the development and subsequent INDs of other future product candidates we may choose to pursue. In addition, if we obtain marketing approval for any of our product candidates, we will incur significant sales, marketing and outsourced manufacturing expenses in connection with the commercialization.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We have never generated any revenue and our inability to execute on our business plan may cause you the total or partial loss of your investment</w:t>
      </w:r>
    </w:p>
    <w:p>
      <w:pPr>
        <w:spacing w:after="0" w:line="240" w:lineRule="exact"/>
        <w:rPr>
          <w:sz w:val="20"/>
          <w:szCs w:val="20"/>
          <w:color w:val="auto"/>
        </w:rPr>
      </w:pPr>
    </w:p>
    <w:p>
      <w:pPr>
        <w:ind w:right="40" w:firstLine="416"/>
        <w:spacing w:after="0" w:line="265"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one or more of our product candidates. Our ability to generate revenue depends on a number of factors, including, but not limited to, our ability to:</w:t>
      </w:r>
    </w:p>
    <w:p>
      <w:pPr>
        <w:spacing w:after="0" w:line="83" w:lineRule="exact"/>
        <w:rPr>
          <w:sz w:val="20"/>
          <w:szCs w:val="20"/>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clinical trials for our product candidates;</w:t>
      </w:r>
    </w:p>
    <w:p>
      <w:pPr>
        <w:spacing w:after="0" w:line="116"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our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our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our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building a sales force or entering into collaborations with third parties;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a kinase inhibitor that is made effective by the FDA;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successful product candidates with the medical community and with third-party payors.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31" w:name="page32"/>
    <w:bookmarkEnd w:id="31"/>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212"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2"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209"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26" w:lineRule="exact"/>
        <w:rPr>
          <w:sz w:val="20"/>
          <w:szCs w:val="20"/>
          <w:color w:val="auto"/>
        </w:rPr>
      </w:pPr>
    </w:p>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do not generate any revenue, we are dependent on working capital to fund our business plan, and 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through clinical development, and seek to design additional product candidates from our discovery programs. We expect increased expenses as we continue our research and development, expand our operations and complete construction on our new facility,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218" w:lineRule="exact"/>
        <w:rPr>
          <w:sz w:val="20"/>
          <w:szCs w:val="20"/>
          <w:color w:val="auto"/>
        </w:rPr>
      </w:pPr>
    </w:p>
    <w:p>
      <w:pPr>
        <w:ind w:firstLine="416"/>
        <w:spacing w:after="0" w:line="260"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2026.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7" w:lineRule="exact"/>
        <w:rPr>
          <w:sz w:val="20"/>
          <w:szCs w:val="20"/>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6" w:lineRule="exact"/>
        <w:rPr>
          <w:rFonts w:ascii="Times New Roman" w:cs="Times New Roman" w:eastAsia="Times New Roman" w:hAnsi="Times New Roman"/>
          <w:sz w:val="18"/>
          <w:szCs w:val="18"/>
          <w:color w:val="auto"/>
        </w:rPr>
      </w:pPr>
    </w:p>
    <w:p>
      <w:pPr>
        <w:ind w:left="840" w:right="580" w:hanging="413"/>
        <w:spacing w:after="0" w:line="28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2" w:name="page33"/>
    <w:bookmarkEnd w:id="32"/>
    <w:p>
      <w:pPr>
        <w:ind w:left="840" w:right="100" w:hanging="413"/>
        <w:spacing w:after="0" w:line="281"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54"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4"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associated with commercializing any approved product candidates, including establishing sales, marketing and distribution capabilities;</w:t>
      </w:r>
    </w:p>
    <w:p>
      <w:pPr>
        <w:spacing w:after="0" w:line="128" w:lineRule="exact"/>
        <w:rPr>
          <w:rFonts w:ascii="Times New Roman" w:cs="Times New Roman" w:eastAsia="Times New Roman" w:hAnsi="Times New Roman"/>
          <w:sz w:val="17"/>
          <w:szCs w:val="17"/>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that receive marketing approval;</w:t>
      </w:r>
    </w:p>
    <w:p>
      <w:pPr>
        <w:spacing w:after="0" w:line="116" w:lineRule="exact"/>
        <w:rPr>
          <w:rFonts w:ascii="Times New Roman" w:cs="Times New Roman" w:eastAsia="Times New Roman" w:hAnsi="Times New Roman"/>
          <w:sz w:val="18"/>
          <w:szCs w:val="18"/>
          <w:color w:val="auto"/>
        </w:rPr>
      </w:pPr>
    </w:p>
    <w:p>
      <w:pPr>
        <w:ind w:left="840" w:right="440" w:hanging="413"/>
        <w:spacing w:after="0" w:line="312" w:lineRule="auto"/>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40" w:right="40" w:hanging="413"/>
        <w:spacing w:after="0" w:line="281"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4" w:lineRule="exact"/>
        <w:rPr>
          <w:rFonts w:ascii="Times New Roman" w:cs="Times New Roman" w:eastAsia="Times New Roman" w:hAnsi="Times New Roman"/>
          <w:sz w:val="18"/>
          <w:szCs w:val="18"/>
          <w:color w:val="auto"/>
        </w:rPr>
      </w:pPr>
    </w:p>
    <w:p>
      <w:pPr>
        <w:jc w:val="both"/>
        <w:ind w:left="840" w:right="140" w:hanging="413"/>
        <w:spacing w:after="0" w:line="265"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our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77"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330"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4" w:lineRule="exact"/>
        <w:rPr>
          <w:sz w:val="20"/>
          <w:szCs w:val="20"/>
          <w:color w:val="auto"/>
        </w:rPr>
      </w:pPr>
    </w:p>
    <w:p>
      <w:pPr>
        <w:ind w:right="260"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continue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213"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33" w:name="page34"/>
    <w:bookmarkEnd w:id="33"/>
    <w:p>
      <w:pPr>
        <w:ind w:left="4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economic and political conditions may have serious adverse consequences on our business, financial condition, results of operations and prospects.</w:t>
      </w:r>
    </w:p>
    <w:p>
      <w:pPr>
        <w:spacing w:after="0" w:line="50"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As widely reported, global credit and financial markets have experienced volatility and disruptions in the past several years and especially in 2020, 2021 and 2022 due to the impacts of the COVID-19 pandemic, and, more recently, the ongoing conflicts in Ukraine and Israel, including severely diminished liquidity and credit availability, declines in consumer confidence, declines in economic growth, inflation, increases in unemployment rates and uncertainty about economic stability. There can be no assurances that further deterioration in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of the United States. The impact of this or any further downgrades to the U.S. government’s sovereign credit rating or its perceived creditworthiness could adversely affect the U.S. and global financial markets and economic conditions. Any of the foregoing could harm our business and we cannot anticipate all of the ways in which the current economic climate and financial market conditions could adversely impact our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30"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93"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We are early in our development efforts and our lead product candidates are each currently in a Phase 1 clinical trial. Our other product candidates are in earlier stages of development. We currently have no products that are approved for sale in any jurisdiction. There can be no assurance that our product candidates in development will achieve success in their clinical trials or obtain regulatory approval. Regulators may also request additional studies, data, and information, that we may need to develop and which were not originally planned. Any delays in obtaining regulatory approval, or if we never obtain regulatory approval, could have a material adverse effect on our business, financial condition and results of operations.</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30" w:lineRule="exact"/>
        <w:rPr>
          <w:sz w:val="20"/>
          <w:szCs w:val="20"/>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6" w:lineRule="exact"/>
        <w:rPr>
          <w:rFonts w:ascii="Times New Roman" w:cs="Times New Roman" w:eastAsia="Times New Roman" w:hAnsi="Times New Roman"/>
          <w:sz w:val="18"/>
          <w:szCs w:val="18"/>
          <w:color w:val="auto"/>
        </w:rPr>
      </w:pPr>
    </w:p>
    <w:p>
      <w:pPr>
        <w:ind w:left="840" w:right="52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16" w:lineRule="exact"/>
        <w:rPr>
          <w:rFonts w:ascii="Times New Roman" w:cs="Times New Roman" w:eastAsia="Times New Roman" w:hAnsi="Times New Roman"/>
          <w:sz w:val="18"/>
          <w:szCs w:val="18"/>
          <w:color w:val="auto"/>
        </w:rPr>
      </w:pPr>
    </w:p>
    <w:p>
      <w:pPr>
        <w:ind w:left="840" w:right="70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840" w:right="20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34" w:name="page35"/>
    <w:bookmarkEnd w:id="34"/>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6" w:lineRule="exact"/>
        <w:rPr>
          <w:rFonts w:ascii="Times New Roman" w:cs="Times New Roman" w:eastAsia="Times New Roman" w:hAnsi="Times New Roman"/>
          <w:sz w:val="18"/>
          <w:szCs w:val="18"/>
          <w:color w:val="auto"/>
        </w:rPr>
      </w:pPr>
    </w:p>
    <w:p>
      <w:pPr>
        <w:ind w:left="840" w:right="12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 and compliance with any post-approval requirements and commitments, including REMS and post-approval studies required by FDA.</w:t>
      </w:r>
    </w:p>
    <w:p>
      <w:pPr>
        <w:spacing w:after="0" w:line="203" w:lineRule="exact"/>
        <w:rPr>
          <w:sz w:val="20"/>
          <w:szCs w:val="20"/>
          <w:color w:val="auto"/>
        </w:rPr>
      </w:pPr>
    </w:p>
    <w:p>
      <w:pPr>
        <w:ind w:firstLine="416"/>
        <w:spacing w:after="0" w:line="260"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vary adversely from our expectations.</w:t>
      </w:r>
    </w:p>
    <w:p>
      <w:pPr>
        <w:spacing w:after="0" w:line="3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3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0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w:t>
      </w:r>
    </w:p>
    <w:p>
      <w:pPr>
        <w:spacing w:after="0" w:line="32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our product candidates.</w:t>
      </w:r>
    </w:p>
    <w:p>
      <w:pPr>
        <w:spacing w:after="0" w:line="64" w:lineRule="exact"/>
        <w:rPr>
          <w:sz w:val="20"/>
          <w:szCs w:val="20"/>
          <w:color w:val="auto"/>
        </w:rPr>
      </w:pPr>
    </w:p>
    <w:p>
      <w:pPr>
        <w:ind w:right="200" w:firstLine="416"/>
        <w:spacing w:after="0" w:line="265"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7" w:lineRule="exact"/>
        <w:rPr>
          <w:sz w:val="20"/>
          <w:szCs w:val="20"/>
          <w:color w:val="auto"/>
        </w:rPr>
      </w:pPr>
    </w:p>
    <w:p>
      <w:pPr>
        <w:ind w:right="280" w:firstLine="416"/>
        <w:spacing w:after="0" w:line="281"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3" w:lineRule="exact"/>
        <w:rPr>
          <w:sz w:val="20"/>
          <w:szCs w:val="20"/>
          <w:color w:val="auto"/>
        </w:rPr>
      </w:pPr>
    </w:p>
    <w:p>
      <w:pPr>
        <w:ind w:right="200" w:firstLine="416"/>
        <w:spacing w:after="0" w:line="265"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3" w:lineRule="exact"/>
        <w:rPr>
          <w:sz w:val="20"/>
          <w:szCs w:val="20"/>
          <w:color w:val="auto"/>
        </w:rPr>
      </w:pPr>
    </w:p>
    <w:p>
      <w:pPr>
        <w:ind w:left="840" w:right="120" w:hanging="413"/>
        <w:spacing w:after="0" w:line="28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ethics committees, or ECs, may not authorize us or our investigators to commence a clinical trial or conduct a clinical trial at a prospective trial site;</w:t>
      </w:r>
    </w:p>
    <w:p>
      <w:pPr>
        <w:spacing w:after="0" w:line="54" w:lineRule="exact"/>
        <w:rPr>
          <w:rFonts w:ascii="Times New Roman" w:cs="Times New Roman" w:eastAsia="Times New Roman" w:hAnsi="Times New Roman"/>
          <w:sz w:val="18"/>
          <w:szCs w:val="18"/>
          <w:color w:val="auto"/>
        </w:rPr>
      </w:pPr>
    </w:p>
    <w:p>
      <w:pPr>
        <w:ind w:left="840" w:hanging="413"/>
        <w:spacing w:after="0" w:line="265"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proposed dose for any of our pipeline programs. For instance, in the oncology space, FDA has recently focused not only on maximum tolerated dose but also on dose optimization, with the issuance of a guidance on this topic. FDA has also expressed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5" w:name="page36"/>
    <w:bookmarkEnd w:id="35"/>
    <w:p>
      <w:pPr>
        <w:ind w:left="840"/>
        <w:spacing w:after="0"/>
        <w:rPr>
          <w:sz w:val="20"/>
          <w:szCs w:val="20"/>
          <w:color w:val="auto"/>
        </w:rPr>
      </w:pPr>
      <w:r>
        <w:rPr>
          <w:rFonts w:ascii="Times New Roman" w:cs="Times New Roman" w:eastAsia="Times New Roman" w:hAnsi="Times New Roman"/>
          <w:sz w:val="18"/>
          <w:szCs w:val="18"/>
          <w:color w:val="auto"/>
        </w:rPr>
        <w:t>a preference for randomized controlled clinical trials to support accelerated approval, rather than single arm trials with response endpoint;</w:t>
      </w:r>
    </w:p>
    <w:p>
      <w:pPr>
        <w:spacing w:after="0" w:line="117" w:lineRule="exact"/>
        <w:rPr>
          <w:sz w:val="20"/>
          <w:szCs w:val="20"/>
          <w:color w:val="auto"/>
        </w:rPr>
      </w:pPr>
    </w:p>
    <w:p>
      <w:pPr>
        <w:ind w:left="840" w:right="54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contract research organizations, or CROs, and prospective trial sites;</w:t>
      </w:r>
    </w:p>
    <w:p>
      <w:pPr>
        <w:spacing w:after="0" w:line="54"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that may produce negative or inconclusive results, and we may decide, or regulators may require us, to conduct additional clinical trials, delay or halt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6" w:lineRule="exact"/>
        <w:rPr>
          <w:rFonts w:ascii="Times New Roman" w:cs="Times New Roman" w:eastAsia="Times New Roman" w:hAnsi="Times New Roman"/>
          <w:sz w:val="18"/>
          <w:szCs w:val="18"/>
          <w:color w:val="auto"/>
        </w:rPr>
      </w:pPr>
    </w:p>
    <w:p>
      <w:pPr>
        <w:ind w:left="840" w:hanging="413"/>
        <w:spacing w:after="0" w:line="260"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3"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patients after treatment, resulting in incomplete data;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to obtain regulatory approval of companion diagnostic tests, if required, on a timely basis, or at all;</w:t>
      </w:r>
    </w:p>
    <w:p>
      <w:pPr>
        <w:spacing w:after="0" w:line="116"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by our third-party contractors to meet their contractual obligations to us in a timely manner, or at all, or failure to comply with regulatory requirements;</w:t>
      </w:r>
    </w:p>
    <w:p>
      <w:pPr>
        <w:spacing w:after="0" w:line="54"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clinical trials for our product candidates for various reasons, including a finding by us or by a Data Monitoring Committee for a trial that the participants are being exposed to unacceptable health risks;</w:t>
      </w:r>
    </w:p>
    <w:p>
      <w:pPr>
        <w:spacing w:after="0" w:line="54" w:lineRule="exact"/>
        <w:rPr>
          <w:rFonts w:ascii="Times New Roman" w:cs="Times New Roman" w:eastAsia="Times New Roman" w:hAnsi="Times New Roman"/>
          <w:sz w:val="18"/>
          <w:szCs w:val="18"/>
          <w:color w:val="auto"/>
        </w:rPr>
      </w:pPr>
    </w:p>
    <w:p>
      <w:pPr>
        <w:ind w:left="840" w:right="68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or unexpected side effects or other unexpected characteristics from our product candidates, causing us or our investigators, regulators or IRBs/ECs to suspend or terminate the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6" w:lineRule="exact"/>
        <w:rPr>
          <w:rFonts w:ascii="Times New Roman" w:cs="Times New Roman" w:eastAsia="Times New Roman" w:hAnsi="Times New Roman"/>
          <w:sz w:val="18"/>
          <w:szCs w:val="18"/>
          <w:color w:val="auto"/>
        </w:rPr>
      </w:pPr>
    </w:p>
    <w:p>
      <w:pPr>
        <w:ind w:left="840" w:right="68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4" w:lineRule="exact"/>
        <w:rPr>
          <w:rFonts w:ascii="Times New Roman" w:cs="Times New Roman" w:eastAsia="Times New Roman" w:hAnsi="Times New Roman"/>
          <w:sz w:val="18"/>
          <w:szCs w:val="18"/>
          <w:color w:val="auto"/>
        </w:rPr>
      </w:pPr>
    </w:p>
    <w:p>
      <w:pPr>
        <w:ind w:left="840" w:right="66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recent COVID-19 pandemic, or another widespread outbreak of any other communicable disease, which may slow potential enrollment, reduce the number of eligible patients for clinical trials, or reduce the number of patients that remain in our trials.</w:t>
      </w:r>
    </w:p>
    <w:p>
      <w:pPr>
        <w:spacing w:after="0" w:line="190"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95" w:lineRule="exact"/>
        <w:rPr>
          <w:sz w:val="20"/>
          <w:szCs w:val="20"/>
          <w:color w:val="auto"/>
        </w:rPr>
      </w:pPr>
    </w:p>
    <w:p>
      <w:pPr>
        <w:jc w:val="both"/>
        <w:ind w:right="360" w:firstLine="416"/>
        <w:spacing w:after="0" w:line="265"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6" w:name="page37"/>
    <w:bookmarkEnd w:id="36"/>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50"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74" w:lineRule="exact"/>
        <w:rPr>
          <w:sz w:val="20"/>
          <w:szCs w:val="20"/>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34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41"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and the willingness of patients to enroll in a clinical trial during outbreaks of contagious disease;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sz w:val="20"/>
          <w:szCs w:val="20"/>
          <w:color w:val="auto"/>
        </w:rPr>
      </w:pPr>
    </w:p>
    <w:p>
      <w:pPr>
        <w:ind w:right="280" w:firstLine="416"/>
        <w:spacing w:after="0" w:line="265"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which would cause the value of our company to decline and limit our ability to obtain additional financing.</w:t>
      </w:r>
    </w:p>
    <w:p>
      <w:pPr>
        <w:spacing w:after="0" w:line="173" w:lineRule="exact"/>
        <w:rPr>
          <w:sz w:val="20"/>
          <w:szCs w:val="20"/>
          <w:color w:val="auto"/>
        </w:rPr>
      </w:pPr>
    </w:p>
    <w:p>
      <w:pPr>
        <w:ind w:left="4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our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09" w:lineRule="exact"/>
        <w:rPr>
          <w:sz w:val="20"/>
          <w:szCs w:val="20"/>
          <w:color w:val="auto"/>
        </w:rPr>
      </w:pPr>
    </w:p>
    <w:p>
      <w:pPr>
        <w:ind w:firstLine="416"/>
        <w:spacing w:after="0" w:line="260"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a material percentage of patients in these clinical trials may die during a trial, which could impact the development of product candidates. If we elect or are required to delay, suspend or terminate any clinical trial, the commercial prospects of our product candidates will be harmed and our ability to generate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37" w:name="page38"/>
    <w:bookmarkEnd w:id="37"/>
    <w:p>
      <w:pPr>
        <w:spacing w:after="0" w:line="265" w:lineRule="auto"/>
        <w:rPr>
          <w:sz w:val="20"/>
          <w:szCs w:val="20"/>
          <w:color w:val="auto"/>
        </w:rPr>
      </w:pPr>
      <w:r>
        <w:rPr>
          <w:rFonts w:ascii="Times New Roman" w:cs="Times New Roman" w:eastAsia="Times New Roman" w:hAnsi="Times New Roman"/>
          <w:sz w:val="18"/>
          <w:szCs w:val="18"/>
          <w:color w:val="auto"/>
        </w:rPr>
        <w:t>product revenues from this product candidate will be delayed or eliminated. Adverse events observed in clinical trials could prevent approval of the product or, if approved, hinder or prevent market acceptance of our product candidates. Any of these occurrences may harm our business, prospects, financial condition and results of operations significantly.</w:t>
      </w:r>
    </w:p>
    <w:p>
      <w:pPr>
        <w:spacing w:after="0" w:line="204"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213"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09" w:lineRule="exact"/>
        <w:rPr>
          <w:sz w:val="20"/>
          <w:szCs w:val="20"/>
          <w:color w:val="auto"/>
        </w:rPr>
      </w:pPr>
    </w:p>
    <w:p>
      <w:pPr>
        <w:ind w:right="160" w:firstLine="416"/>
        <w:spacing w:after="0" w:line="281"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8" w:lineRule="exact"/>
        <w:rPr>
          <w:sz w:val="20"/>
          <w:szCs w:val="20"/>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6"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65" w:lineRule="exact"/>
        <w:rPr>
          <w:sz w:val="20"/>
          <w:szCs w:val="20"/>
          <w:color w:val="auto"/>
        </w:rPr>
      </w:pPr>
    </w:p>
    <w:p>
      <w:pPr>
        <w:ind w:firstLine="416"/>
        <w:spacing w:after="0" w:line="28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307"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8" w:name="page39"/>
    <w:bookmarkEnd w:id="38"/>
    <w:p>
      <w:pPr>
        <w:ind w:right="20"/>
        <w:spacing w:after="0" w:line="272" w:lineRule="auto"/>
        <w:rPr>
          <w:sz w:val="20"/>
          <w:szCs w:val="20"/>
          <w:color w:val="auto"/>
        </w:rPr>
      </w:pPr>
      <w:r>
        <w:rPr>
          <w:rFonts w:ascii="Times New Roman" w:cs="Times New Roman" w:eastAsia="Times New Roman" w:hAnsi="Times New Roman"/>
          <w:sz w:val="17"/>
          <w:szCs w:val="17"/>
          <w:color w:val="auto"/>
        </w:rPr>
        <w:t>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6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249"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3" w:lineRule="exact"/>
        <w:rPr>
          <w:sz w:val="20"/>
          <w:szCs w:val="20"/>
          <w:color w:val="auto"/>
        </w:rPr>
      </w:pPr>
    </w:p>
    <w:p>
      <w:pPr>
        <w:ind w:right="240" w:firstLine="41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47" w:lineRule="exact"/>
        <w:rPr>
          <w:sz w:val="20"/>
          <w:szCs w:val="20"/>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w:t>
      </w:r>
    </w:p>
    <w:p>
      <w:pPr>
        <w:spacing w:after="0" w:line="89" w:lineRule="exact"/>
        <w:rPr>
          <w:rFonts w:ascii="Times New Roman" w:cs="Times New Roman" w:eastAsia="Times New Roman" w:hAnsi="Times New Roman"/>
          <w:sz w:val="18"/>
          <w:szCs w:val="18"/>
          <w:color w:val="auto"/>
        </w:rPr>
      </w:pPr>
    </w:p>
    <w:p>
      <w:pPr>
        <w:ind w:left="840" w:right="400" w:hanging="413"/>
        <w:spacing w:after="0" w:line="281"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2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sz w:val="20"/>
          <w:szCs w:val="20"/>
          <w:color w:val="auto"/>
        </w:rPr>
      </w:pPr>
    </w:p>
    <w:p>
      <w:pPr>
        <w:ind w:right="60" w:firstLine="416"/>
        <w:spacing w:after="0" w:line="260"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4" w:lineRule="exact"/>
        <w:rPr>
          <w:sz w:val="20"/>
          <w:szCs w:val="20"/>
          <w:color w:val="auto"/>
        </w:rPr>
      </w:pPr>
    </w:p>
    <w:p>
      <w:pPr>
        <w:ind w:left="4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any product candidates, on a timely basis or at all.</w:t>
      </w:r>
    </w:p>
    <w:p>
      <w:pPr>
        <w:spacing w:after="0" w:line="64" w:lineRule="exact"/>
        <w:rPr>
          <w:sz w:val="20"/>
          <w:szCs w:val="20"/>
          <w:color w:val="auto"/>
        </w:rPr>
      </w:pPr>
    </w:p>
    <w:p>
      <w:pPr>
        <w:ind w:firstLine="416"/>
        <w:spacing w:after="0" w:line="274" w:lineRule="auto"/>
        <w:rPr>
          <w:sz w:val="20"/>
          <w:szCs w:val="20"/>
          <w:color w:val="auto"/>
        </w:rPr>
      </w:pPr>
      <w:r>
        <w:rPr>
          <w:rFonts w:ascii="Times New Roman" w:cs="Times New Roman" w:eastAsia="Times New Roman" w:hAnsi="Times New Roman"/>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8" w:lineRule="exact"/>
        <w:rPr>
          <w:sz w:val="20"/>
          <w:szCs w:val="20"/>
          <w:color w:val="auto"/>
        </w:rPr>
      </w:pPr>
    </w:p>
    <w:p>
      <w:pPr>
        <w:ind w:right="80" w:firstLine="416"/>
        <w:spacing w:after="0" w:line="260"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209" w:lineRule="exact"/>
        <w:rPr>
          <w:sz w:val="20"/>
          <w:szCs w:val="20"/>
          <w:color w:val="auto"/>
        </w:rPr>
      </w:pPr>
    </w:p>
    <w:p>
      <w:pPr>
        <w:ind w:right="60" w:firstLine="416"/>
        <w:spacing w:after="0" w:line="280" w:lineRule="auto"/>
        <w:rPr>
          <w:sz w:val="20"/>
          <w:szCs w:val="20"/>
          <w:color w:val="auto"/>
        </w:rPr>
      </w:pPr>
      <w:r>
        <w:rPr>
          <w:rFonts w:ascii="Times New Roman" w:cs="Times New Roman" w:eastAsia="Times New Roman" w:hAnsi="Times New Roman"/>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The results of preclinical and early clinical trials of any product candidate may not be predictive of the results of our later-stage clinical trials.</w:t>
      </w:r>
    </w:p>
    <w:p>
      <w:pPr>
        <w:spacing w:after="0" w:line="193"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30" w:lineRule="exact"/>
        <w:rPr>
          <w:sz w:val="20"/>
          <w:szCs w:val="20"/>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that we do additional work to determine the optimal dose;</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6"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840" w:right="60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16"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65"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or OCE,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policy changes as they relate to our programs.</w:t>
      </w:r>
    </w:p>
    <w:p>
      <w:pPr>
        <w:spacing w:after="0" w:line="213" w:lineRule="exact"/>
        <w:rPr>
          <w:sz w:val="20"/>
          <w:szCs w:val="20"/>
          <w:color w:val="auto"/>
        </w:rPr>
      </w:pPr>
    </w:p>
    <w:p>
      <w:pPr>
        <w:ind w:right="20" w:firstLine="416"/>
        <w:spacing w:after="0" w:line="281"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3" w:lineRule="exact"/>
        <w:rPr>
          <w:sz w:val="20"/>
          <w:szCs w:val="20"/>
          <w:color w:val="auto"/>
        </w:rPr>
      </w:pPr>
    </w:p>
    <w:p>
      <w:pPr>
        <w:ind w:right="40" w:firstLine="416"/>
        <w:spacing w:after="0" w:line="265"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our commercial prospects will be harmed and our ability to generate revenues will be materially impaired which would adversely affect our business, prospects, financial condition and results of operations.</w:t>
      </w:r>
    </w:p>
    <w:p>
      <w:pPr>
        <w:spacing w:after="0" w:line="322" w:lineRule="exact"/>
        <w:rPr>
          <w:sz w:val="20"/>
          <w:szCs w:val="20"/>
          <w:color w:val="auto"/>
        </w:rPr>
      </w:pPr>
    </w:p>
    <w:p>
      <w:pPr>
        <w:ind w:left="4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320"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By the date of approval of an accelerated approval product, FDA must specify the conditions for the required post approval studies, including enrollment targets, the study protocol, milestones, and target completion dates. FDA may also require that the confirmatory Phase 4 studies be commenced prior to FDA granting a product accelerated approval. Reports on the progress of the required Phase 4 confirmatory studies must be submitted to FDA every 180 days after approval. If the trials fail to verify the clinical benefit of the drug or biologics product, the FDA may withdraw approval of the application through a statutorily defined streamlined process. Failure to conduct the required Phase 4 confirmatory studies or to conduct such studies with due diligence, as well as failure to submit the required update reports can subject a sponsor to penalties.</w:t>
      </w:r>
    </w:p>
    <w:p>
      <w:pPr>
        <w:spacing w:after="0" w:line="81"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impossible, to obtain. Also, the existing treatment landscape may change, which may necessitate that we conduct additional studies or collect additional data to obtain accelerated approval. Moreover, the FDA may withdraw approval of our product candidate approved under the accelerated approval pathway if, for example:</w:t>
      </w:r>
    </w:p>
    <w:p>
      <w:pPr>
        <w:spacing w:after="0" w:line="155" w:lineRule="exact"/>
        <w:rPr>
          <w:sz w:val="20"/>
          <w:szCs w:val="20"/>
          <w:color w:val="auto"/>
        </w:rPr>
      </w:pPr>
    </w:p>
    <w:p>
      <w:pPr>
        <w:ind w:left="840" w:right="560" w:hanging="413"/>
        <w:spacing w:after="0" w:line="281"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1" w:name="page42"/>
    <w:bookmarkEnd w:id="41"/>
    <w:p>
      <w:pPr>
        <w:ind w:left="840" w:hanging="413"/>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44"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FDA convened its Oncologic Drugs Advisory Committee to review what the FDA has called dangling or delinquent accelerated approvals where confirmatory studies have not been completed or where results did not confirm benefit. In addition, the OCE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We may see further legislative or regulatory changes to this program in the future.</w:t>
      </w:r>
    </w:p>
    <w:p>
      <w:pPr>
        <w:spacing w:after="0" w:line="290" w:lineRule="exact"/>
        <w:rPr>
          <w:sz w:val="20"/>
          <w:szCs w:val="20"/>
          <w:color w:val="auto"/>
        </w:rPr>
      </w:pPr>
    </w:p>
    <w:p>
      <w:pPr>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52" w:lineRule="exact"/>
        <w:rPr>
          <w:sz w:val="20"/>
          <w:szCs w:val="20"/>
          <w:color w:val="auto"/>
        </w:rPr>
      </w:pPr>
    </w:p>
    <w:p>
      <w:pPr>
        <w:ind w:right="60" w:firstLine="416"/>
        <w:spacing w:after="0" w:line="271" w:lineRule="auto"/>
        <w:rPr>
          <w:sz w:val="20"/>
          <w:szCs w:val="20"/>
          <w:color w:val="auto"/>
        </w:rPr>
      </w:pPr>
      <w:r>
        <w:rPr>
          <w:rFonts w:ascii="Times New Roman" w:cs="Times New Roman" w:eastAsia="Times New Roman" w:hAnsi="Times New Roman"/>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7"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95"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7"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where such designation is available,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which case we may be blocked by other’s periods of regulatory exclusivity or may need to demonstrate clinical superiority, which we may not be able to do. In addition, exclusive marketing rights in the United States may be limited if we seek approval for an indication broader than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2" w:name="page43"/>
    <w:bookmarkEnd w:id="42"/>
    <w:p>
      <w:pPr>
        <w:ind w:right="240"/>
        <w:spacing w:after="0" w:line="258" w:lineRule="auto"/>
        <w:rPr>
          <w:sz w:val="20"/>
          <w:szCs w:val="20"/>
          <w:color w:val="auto"/>
        </w:rPr>
      </w:pPr>
      <w:r>
        <w:rPr>
          <w:rFonts w:ascii="Times New Roman" w:cs="Times New Roman" w:eastAsia="Times New Roman" w:hAnsi="Times New Roman"/>
          <w:sz w:val="18"/>
          <w:szCs w:val="18"/>
          <w:color w:val="auto"/>
        </w:rPr>
        <w:t>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326"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6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Drugs designated as breakthrough therapies by the FDA are also eligible for priority review if supported by clinical data at the time of the submission of the NDA.</w:t>
      </w:r>
    </w:p>
    <w:p>
      <w:pPr>
        <w:spacing w:after="0" w:line="212"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330"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7"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7" w:lineRule="exact"/>
        <w:rPr>
          <w:sz w:val="20"/>
          <w:szCs w:val="20"/>
          <w:color w:val="auto"/>
        </w:rPr>
      </w:pPr>
    </w:p>
    <w:p>
      <w:pPr>
        <w:jc w:val="both"/>
        <w:ind w:right="80" w:firstLine="416"/>
        <w:spacing w:after="0" w:line="276" w:lineRule="auto"/>
        <w:rPr>
          <w:sz w:val="20"/>
          <w:szCs w:val="20"/>
          <w:color w:val="auto"/>
        </w:rPr>
      </w:pPr>
      <w:r>
        <w:rPr>
          <w:rFonts w:ascii="Times New Roman" w:cs="Times New Roman" w:eastAsia="Times New Roman" w:hAnsi="Times New Roman"/>
          <w:sz w:val="17"/>
          <w:szCs w:val="17"/>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7" w:lineRule="exact"/>
        <w:rPr>
          <w:sz w:val="20"/>
          <w:szCs w:val="20"/>
          <w:color w:val="auto"/>
        </w:rPr>
      </w:pPr>
    </w:p>
    <w:p>
      <w:pPr>
        <w:ind w:right="300" w:firstLine="416"/>
        <w:spacing w:after="0" w:line="260"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a “significant risk device,” approval of an investigational device exemption by the FDA and IRB is required before such diagnostic is used in conjunction with the clinical trials for a corresponding product candidate.</w:t>
      </w:r>
    </w:p>
    <w:p>
      <w:pPr>
        <w:spacing w:after="0" w:line="209"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8"/>
          <w:szCs w:val="18"/>
          <w:color w:val="auto"/>
        </w:rPr>
        <w:t>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and approval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3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3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30" w:lineRule="exact"/>
        <w:rPr>
          <w:sz w:val="20"/>
          <w:szCs w:val="20"/>
          <w:color w:val="auto"/>
        </w:rPr>
      </w:pPr>
    </w:p>
    <w:p>
      <w:pPr>
        <w:ind w:left="4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9" w:lineRule="exact"/>
        <w:rPr>
          <w:sz w:val="20"/>
          <w:szCs w:val="20"/>
          <w:color w:val="auto"/>
        </w:rPr>
      </w:pPr>
    </w:p>
    <w:p>
      <w:pPr>
        <w:ind w:right="120" w:firstLine="416"/>
        <w:spacing w:after="0" w:line="260"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2" w:lineRule="exact"/>
        <w:rPr>
          <w:sz w:val="20"/>
          <w:szCs w:val="20"/>
          <w:color w:val="auto"/>
        </w:rPr>
      </w:pPr>
    </w:p>
    <w:p>
      <w:pPr>
        <w:ind w:right="160" w:firstLine="416"/>
        <w:spacing w:after="0" w:line="26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7"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among other requirements. Thus, we will not be able to promote any products we develop for indications or uses for which they are not approved.</w:t>
      </w:r>
    </w:p>
    <w:p>
      <w:pPr>
        <w:spacing w:after="0" w:line="182" w:lineRule="exact"/>
        <w:rPr>
          <w:sz w:val="20"/>
          <w:szCs w:val="20"/>
          <w:color w:val="auto"/>
        </w:rPr>
      </w:pPr>
    </w:p>
    <w:p>
      <w:pPr>
        <w:ind w:right="240" w:firstLine="416"/>
        <w:spacing w:after="0" w:line="260"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82"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44" w:name="page45"/>
    <w:bookmarkEnd w:id="44"/>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174"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6"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either before or after approval, and later discovery of previously unknown adverse events or other problems with our products, manufacturers or manufacturing processes, may yield various results, including:</w:t>
      </w:r>
    </w:p>
    <w:p>
      <w:pPr>
        <w:spacing w:after="0" w:line="81" w:lineRule="exact"/>
        <w:rPr>
          <w:sz w:val="20"/>
          <w:szCs w:val="20"/>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6" w:lineRule="exact"/>
        <w:rPr>
          <w:rFonts w:ascii="Times New Roman" w:cs="Times New Roman" w:eastAsia="Times New Roman" w:hAnsi="Times New Roman"/>
          <w:sz w:val="18"/>
          <w:szCs w:val="18"/>
          <w:color w:val="auto"/>
        </w:rPr>
      </w:pPr>
    </w:p>
    <w:p>
      <w:pPr>
        <w:ind w:left="520" w:hanging="9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8" w:lineRule="exact"/>
        <w:rPr>
          <w:sz w:val="20"/>
          <w:szCs w:val="20"/>
          <w:color w:val="auto"/>
        </w:rPr>
      </w:pPr>
    </w:p>
    <w:p>
      <w:pPr>
        <w:ind w:right="660" w:firstLine="416"/>
        <w:spacing w:after="0" w:line="281"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45" w:name="page46"/>
    <w:bookmarkEnd w:id="45"/>
    <w:p>
      <w:pPr>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sanctions, including criminal, civil, and administrative penalties, contractual damages, reputational harm and diminished profits and future earnings.</w:t>
      </w:r>
    </w:p>
    <w:p>
      <w:pPr>
        <w:spacing w:after="0" w:line="66" w:lineRule="exact"/>
        <w:rPr>
          <w:sz w:val="20"/>
          <w:szCs w:val="20"/>
          <w:color w:val="auto"/>
        </w:rPr>
      </w:pPr>
    </w:p>
    <w:p>
      <w:pPr>
        <w:ind w:right="140" w:firstLine="419"/>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61" w:lineRule="exact"/>
        <w:rPr>
          <w:sz w:val="20"/>
          <w:szCs w:val="20"/>
          <w:color w:val="auto"/>
        </w:rPr>
      </w:pPr>
    </w:p>
    <w:p>
      <w:pPr>
        <w:ind w:left="840" w:right="160" w:hanging="413"/>
        <w:spacing w:after="0" w:line="260"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0" w:lineRule="exact"/>
        <w:rPr>
          <w:rFonts w:ascii="Times New Roman" w:cs="Times New Roman" w:eastAsia="Times New Roman" w:hAnsi="Times New Roman"/>
          <w:sz w:val="18"/>
          <w:szCs w:val="18"/>
          <w:color w:val="auto"/>
        </w:rPr>
      </w:pPr>
    </w:p>
    <w:p>
      <w:pPr>
        <w:ind w:left="840" w:hanging="413"/>
        <w:spacing w:after="0" w:line="258"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can be enforced by individual whistleblowers in “qui tam” actions brought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60" w:lineRule="exact"/>
        <w:rPr>
          <w:rFonts w:ascii="Times New Roman" w:cs="Times New Roman" w:eastAsia="Times New Roman" w:hAnsi="Times New Roman"/>
          <w:sz w:val="18"/>
          <w:szCs w:val="18"/>
          <w:color w:val="auto"/>
        </w:rPr>
      </w:pPr>
    </w:p>
    <w:p>
      <w:pPr>
        <w:ind w:left="840" w:right="120" w:hanging="413"/>
        <w:spacing w:after="0" w:line="280" w:lineRule="auto"/>
        <w:tabs>
          <w:tab w:leader="none" w:pos="8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31" w:lineRule="exact"/>
        <w:rPr>
          <w:rFonts w:ascii="Times New Roman" w:cs="Times New Roman" w:eastAsia="Times New Roman" w:hAnsi="Times New Roman"/>
          <w:sz w:val="17"/>
          <w:szCs w:val="17"/>
          <w:color w:val="auto"/>
        </w:rPr>
      </w:pPr>
    </w:p>
    <w:p>
      <w:pPr>
        <w:ind w:left="840" w:right="40" w:hanging="413"/>
        <w:spacing w:after="0" w:line="260"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60" w:lineRule="exact"/>
        <w:rPr>
          <w:rFonts w:ascii="Times New Roman" w:cs="Times New Roman" w:eastAsia="Times New Roman" w:hAnsi="Times New Roman"/>
          <w:sz w:val="18"/>
          <w:szCs w:val="18"/>
          <w:color w:val="auto"/>
        </w:rPr>
      </w:pPr>
    </w:p>
    <w:p>
      <w:pPr>
        <w:ind w:left="840" w:right="20" w:hanging="413"/>
        <w:spacing w:after="0" w:line="255"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reporting requirements under the Patient Protection and Affordable Care Act, as amended by the Health Care and Education Reconciliation Act of 2010, collectively referred to as the ACA, which requires certain manufacturers of drugs, devices, biologics and medical supplies to annually report to the Centers for Medicare &amp; Medicaid Services, or CMS, information related to certain payments and other transfers of value provided to teaching hospitals and to U.S.-licensed physicians, (defined to include doctors, dentists, optometrists, podiatrists and chiropractors), physician assistants, nurse practitioners, clinical nurse specialists, certified registered nurse anesthetists and anesthesiologist assistants, and certified nurse-midwives. Applicable manufacturers also most report ownership and investment interests held by physicians and their immediate family members; and</w:t>
      </w:r>
    </w:p>
    <w:p>
      <w:pPr>
        <w:spacing w:after="0" w:line="65" w:lineRule="exact"/>
        <w:rPr>
          <w:rFonts w:ascii="Times New Roman" w:cs="Times New Roman" w:eastAsia="Times New Roman" w:hAnsi="Times New Roman"/>
          <w:sz w:val="18"/>
          <w:szCs w:val="18"/>
          <w:color w:val="auto"/>
        </w:rPr>
      </w:pPr>
    </w:p>
    <w:p>
      <w:pPr>
        <w:ind w:left="840" w:hanging="413"/>
        <w:spacing w:after="0" w:line="254"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or the Compliance Program Guidelines for Pharmaceutical Manufacturers published by the U.S. Department of Health &amp; Human Services, Office of Inspector General, implement gift bans, and may require drug manufacturers to report information related to payments and other transfers of value to physicians and other healthcare providers, marketing expenditures, or drug pricing, including price increases. Some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267" w:lineRule="exact"/>
        <w:rPr>
          <w:sz w:val="20"/>
          <w:szCs w:val="20"/>
          <w:color w:val="auto"/>
        </w:rPr>
      </w:pPr>
    </w:p>
    <w:p>
      <w:pPr>
        <w:ind w:right="180" w:firstLine="416"/>
        <w:spacing w:after="0" w:line="260"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6" w:name="page47"/>
    <w:bookmarkEnd w:id="46"/>
    <w:p>
      <w:pPr>
        <w:ind w:right="80"/>
        <w:spacing w:after="0" w:line="254" w:lineRule="auto"/>
        <w:rPr>
          <w:sz w:val="20"/>
          <w:szCs w:val="20"/>
          <w:color w:val="auto"/>
        </w:rPr>
      </w:pPr>
      <w:r>
        <w:rPr>
          <w:rFonts w:ascii="Times New Roman" w:cs="Times New Roman" w:eastAsia="Times New Roman" w:hAnsi="Times New Roman"/>
          <w:sz w:val="18"/>
          <w:szCs w:val="18"/>
          <w:color w:val="auto"/>
        </w:rPr>
        <w:t>regulations that may apply to us, we may be subject to significant sanctions, including civil and administrative penalties and damages, criminal fines and confinement, disgorgement, exclusion from participation in government funded healthcare programs, such as Medicare and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 from participation in government funded healthcare programs, which could have a material adverse effect on our business, results of operations, financial condition and prospects.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experimenting with pay-for-performance rather than fee-for-service models and has been embracing many shared-risk arrangements, CMS and OIG specifically excluded manufacturers and others from utilizing the new, more flexible Stark Law exceptions and Anti-Kickback Statute safe harbors for value-based care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78"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w:t>
      </w:r>
    </w:p>
    <w:p>
      <w:pPr>
        <w:spacing w:after="0" w:line="74" w:lineRule="exact"/>
        <w:rPr>
          <w:sz w:val="20"/>
          <w:szCs w:val="20"/>
          <w:color w:val="auto"/>
        </w:rPr>
      </w:pPr>
    </w:p>
    <w:p>
      <w:pPr>
        <w:ind w:right="540" w:firstLine="479"/>
        <w:spacing w:after="0" w:line="260"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restrict coverage or lower reimbursement for our products could materially and adversely affect our business, financial condition and results of operations.</w:t>
      </w:r>
    </w:p>
    <w:p>
      <w:pPr>
        <w:spacing w:after="0" w:line="74" w:lineRule="exact"/>
        <w:rPr>
          <w:sz w:val="20"/>
          <w:szCs w:val="20"/>
          <w:color w:val="auto"/>
        </w:rPr>
      </w:pPr>
    </w:p>
    <w:p>
      <w:pPr>
        <w:ind w:right="20" w:firstLine="479"/>
        <w:spacing w:after="0" w:line="252"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These policies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The negotiated prices, which will first become effective in 2026, will be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4" w:lineRule="exact"/>
        <w:rPr>
          <w:sz w:val="20"/>
          <w:szCs w:val="20"/>
          <w:color w:val="auto"/>
        </w:rPr>
      </w:pPr>
    </w:p>
    <w:p>
      <w:pPr>
        <w:ind w:firstLine="479"/>
        <w:spacing w:after="0" w:line="271" w:lineRule="auto"/>
        <w:rPr>
          <w:sz w:val="20"/>
          <w:szCs w:val="20"/>
          <w:color w:val="auto"/>
        </w:rPr>
      </w:pPr>
      <w:r>
        <w:rPr>
          <w:rFonts w:ascii="Times New Roman" w:cs="Times New Roman" w:eastAsia="Times New Roman" w:hAnsi="Times New Roman"/>
          <w:sz w:val="17"/>
          <w:szCs w:val="17"/>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w:t>
      </w:r>
    </w:p>
    <w:p>
      <w:pPr>
        <w:spacing w:after="0" w:line="172" w:lineRule="exact"/>
        <w:rPr>
          <w:sz w:val="20"/>
          <w:szCs w:val="20"/>
          <w:color w:val="auto"/>
        </w:rPr>
      </w:pPr>
    </w:p>
    <w:p>
      <w:pPr>
        <w:ind w:left="4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66"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We currently are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For example, if we expand our operations outside of the United States, we must dedicate additional resources to comply with numerous laws and regulations in each jurisdiction in which we plan to operate, including anti-corruption laws. The U.S. Foreign Corrupt Practices Act, or FCPA, prohibits any U.S. individual or business, and third-party agents acting on their behalf, from paying, offering, or authorizing the payment or offering of anything of value, directly or indirectly, to any foreign official, foreign political party or official thereof, or candidate for foreign political office, for the purpose of influencing any act or decision of such official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and disposition of the company’s assets, including international subsidiaries, and to devise and maintain an adequate system of internal accounting controls for international operations.</w:t>
      </w:r>
    </w:p>
    <w:p>
      <w:pPr>
        <w:spacing w:after="0" w:line="83" w:lineRule="exact"/>
        <w:rPr>
          <w:sz w:val="20"/>
          <w:szCs w:val="20"/>
          <w:color w:val="auto"/>
        </w:rPr>
      </w:pPr>
    </w:p>
    <w:p>
      <w:pPr>
        <w:ind w:right="40" w:firstLine="524"/>
        <w:spacing w:after="0" w:line="260" w:lineRule="auto"/>
        <w:rPr>
          <w:sz w:val="20"/>
          <w:szCs w:val="20"/>
          <w:color w:val="auto"/>
        </w:rPr>
      </w:pPr>
      <w:r>
        <w:rPr>
          <w:rFonts w:ascii="Times New Roman" w:cs="Times New Roman" w:eastAsia="Times New Roman" w:hAnsi="Times New Roman"/>
          <w:sz w:val="18"/>
          <w:szCs w:val="18"/>
          <w:color w:val="auto"/>
        </w:rPr>
        <w:t>Compliance with the FCPA’s provisions can be costly and challenging, particularly in countries in which corruption is deemed to be a significant risk and in the life sciences industries, where, in many countries, hospitals are operated by the government, and doctors and other hospital employees are considered foreign officials per se. Certain payments to hospitals in connection with clinical trials and other work have been considered improper payments to government officials and led to FCPA enforcement actions with significant fines and penalties.</w:t>
      </w:r>
    </w:p>
    <w:p>
      <w:pPr>
        <w:spacing w:after="0" w:line="74" w:lineRule="exact"/>
        <w:rPr>
          <w:sz w:val="20"/>
          <w:szCs w:val="20"/>
          <w:color w:val="auto"/>
        </w:rPr>
      </w:pPr>
    </w:p>
    <w:p>
      <w:pPr>
        <w:ind w:right="80" w:firstLine="524"/>
        <w:spacing w:after="0" w:line="256" w:lineRule="auto"/>
        <w:rPr>
          <w:sz w:val="20"/>
          <w:szCs w:val="20"/>
          <w:color w:val="auto"/>
        </w:rPr>
      </w:pPr>
      <w:r>
        <w:rPr>
          <w:rFonts w:ascii="Times New Roman" w:cs="Times New Roman" w:eastAsia="Times New Roman" w:hAnsi="Times New Roman"/>
          <w:sz w:val="18"/>
          <w:szCs w:val="18"/>
          <w:color w:val="auto"/>
        </w:rPr>
        <w:t>Various international trade, export control and sanctions laws, regulations and executive orders also restrict the use and dissemination outside of the United States, or the sharing with certain non-U.S. persons in the United States, of personal identifying information and products, technology or sensitive personal data controlled for export, as well as restricting our ability to deal with certain persons subject to sanctions.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8" w:lineRule="exact"/>
        <w:rPr>
          <w:sz w:val="20"/>
          <w:szCs w:val="20"/>
          <w:color w:val="auto"/>
        </w:rPr>
      </w:pPr>
    </w:p>
    <w:p>
      <w:pPr>
        <w:ind w:right="380" w:firstLine="524"/>
        <w:spacing w:after="0" w:line="26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for both the company and individuals, as well as possible suspension or debarment from government contracting. The Securities and Exchange Commission, or the SEC, also may suspend or bar issuers from trading securities on U.S. exchanges for violations of the FCPA’s accounting provisions.</w:t>
      </w:r>
    </w:p>
    <w:p>
      <w:pPr>
        <w:spacing w:after="0" w:line="295" w:lineRule="exact"/>
        <w:rPr>
          <w:sz w:val="20"/>
          <w:szCs w:val="20"/>
          <w:color w:val="auto"/>
        </w:rPr>
      </w:pPr>
    </w:p>
    <w:p>
      <w:pPr>
        <w:ind w:left="4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0"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8" w:name="page49"/>
    <w:bookmarkEnd w:id="48"/>
    <w:p>
      <w:pPr>
        <w:ind w:right="60"/>
        <w:spacing w:after="0" w:line="281" w:lineRule="auto"/>
        <w:rPr>
          <w:sz w:val="20"/>
          <w:szCs w:val="20"/>
          <w:color w:val="auto"/>
        </w:rPr>
      </w:pPr>
      <w:r>
        <w:rPr>
          <w:rFonts w:ascii="Times New Roman" w:cs="Times New Roman" w:eastAsia="Times New Roman" w:hAnsi="Times New Roman"/>
          <w:sz w:val="18"/>
          <w:szCs w:val="18"/>
          <w:color w:val="auto"/>
        </w:rPr>
        <w:t>materials. In the event of contamination or injury resulting from our use of hazardous materials, we could be held liable for any resulting damages, and any liability could exceed our resources, including any available insurance.</w:t>
      </w:r>
    </w:p>
    <w:p>
      <w:pPr>
        <w:spacing w:after="0" w:line="176" w:lineRule="exact"/>
        <w:rPr>
          <w:sz w:val="20"/>
          <w:szCs w:val="20"/>
          <w:color w:val="auto"/>
        </w:rPr>
      </w:pPr>
    </w:p>
    <w:p>
      <w:pPr>
        <w:ind w:right="60" w:firstLine="479"/>
        <w:spacing w:after="0" w:line="260"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209"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204" w:lineRule="exact"/>
        <w:rPr>
          <w:sz w:val="20"/>
          <w:szCs w:val="20"/>
          <w:color w:val="auto"/>
        </w:rPr>
      </w:pPr>
    </w:p>
    <w:p>
      <w:pPr>
        <w:jc w:val="both"/>
        <w:ind w:right="200" w:firstLine="479"/>
        <w:spacing w:after="0" w:line="265"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4" w:lineRule="exact"/>
        <w:rPr>
          <w:sz w:val="20"/>
          <w:szCs w:val="20"/>
          <w:color w:val="auto"/>
        </w:rPr>
      </w:pPr>
    </w:p>
    <w:p>
      <w:pPr>
        <w:jc w:val="both"/>
        <w:ind w:right="200" w:firstLine="479"/>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8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our product candidates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laboratories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By example, we are required to monitor the activities of third parties undertaking clinical trials on our behalf, but our monitoring may not be able to detect any existing or emerging issues.</w:t>
      </w:r>
    </w:p>
    <w:p>
      <w:pPr>
        <w:spacing w:after="0" w:line="78"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or to conduct a trial in accordance with its investigational plan,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applicable to the stage of product development and our preclinical trials must be conducted in accordance with good laboratory practices. Our failure or the failure of third parties on whom we rely on to comply with these regulations may require us to stop and/or repeat clinical trials or other studies, which would delay the marketing approval process.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9" w:name="page50"/>
    <w:bookmarkEnd w:id="49"/>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212"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w:t>
      </w:r>
    </w:p>
    <w:p>
      <w:pPr>
        <w:spacing w:after="0" w:line="32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jc w:val="both"/>
        <w:ind w:right="60" w:firstLine="479"/>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2" w:lineRule="exact"/>
        <w:rPr>
          <w:sz w:val="20"/>
          <w:szCs w:val="20"/>
          <w:color w:val="auto"/>
        </w:rPr>
      </w:pPr>
    </w:p>
    <w:p>
      <w:pPr>
        <w:ind w:right="740" w:firstLine="479"/>
        <w:spacing w:after="0" w:line="281"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8" w:lineRule="exact"/>
        <w:rPr>
          <w:sz w:val="20"/>
          <w:szCs w:val="20"/>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6" w:lineRule="exact"/>
        <w:rPr>
          <w:rFonts w:ascii="Times New Roman" w:cs="Times New Roman" w:eastAsia="Times New Roman" w:hAnsi="Times New Roman"/>
          <w:sz w:val="18"/>
          <w:szCs w:val="18"/>
          <w:color w:val="auto"/>
        </w:rPr>
      </w:pPr>
    </w:p>
    <w:p>
      <w:pPr>
        <w:jc w:val="both"/>
        <w:ind w:left="840" w:right="80" w:hanging="413"/>
        <w:spacing w:after="0" w:line="265"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6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50" w:name="page51"/>
    <w:bookmarkEnd w:id="50"/>
    <w:p>
      <w:pPr>
        <w:ind w:right="180" w:firstLine="416"/>
        <w:spacing w:after="0" w:line="260"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20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While we would not be manufacturing the products ourselves, we will still be responsible for the ultimate quality of any product or product candidate that we put into distribution.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the need to repeat clinical or preclinical trials,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6"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209" w:lineRule="exact"/>
        <w:rPr>
          <w:sz w:val="20"/>
          <w:szCs w:val="20"/>
          <w:color w:val="auto"/>
        </w:rPr>
      </w:pPr>
    </w:p>
    <w:p>
      <w:pPr>
        <w:ind w:right="120" w:firstLine="416"/>
        <w:spacing w:after="0" w:line="265"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204"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12"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 in Ukraine, or public health epidemics such as the COVID-19 pandemic. If our current third-party manufacturers cannot perform as agreed, we may be required to replace such manufacturers and we may be unable to replace them on a timely basis or at all.</w:t>
      </w:r>
    </w:p>
    <w:p>
      <w:pPr>
        <w:spacing w:after="0" w:line="216" w:lineRule="exact"/>
        <w:rPr>
          <w:sz w:val="20"/>
          <w:szCs w:val="20"/>
          <w:color w:val="auto"/>
        </w:rPr>
      </w:pPr>
    </w:p>
    <w:p>
      <w:pPr>
        <w:ind w:right="80" w:firstLine="416"/>
        <w:spacing w:after="0" w:line="28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51" w:name="page52"/>
    <w:bookmarkEnd w:id="51"/>
    <w:p>
      <w:pPr>
        <w:spacing w:after="0" w:line="13" w:lineRule="exact"/>
        <w:rPr>
          <w:sz w:val="20"/>
          <w:szCs w:val="20"/>
          <w:color w:val="auto"/>
        </w:rPr>
      </w:pPr>
    </w:p>
    <w:p>
      <w:pPr>
        <w:ind w:left="4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further development and commercialization of our product candidates. If those collaborations are not successful, we may not be able to capitalize on the market potential of these product candidates.</w:t>
      </w:r>
    </w:p>
    <w:p>
      <w:pPr>
        <w:spacing w:after="0" w:line="6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the further development and commercialization of some of our product candidates on a select basis. Our likely collaborators for any future collaboration arrangements include large and mid-size pharmaceutical companies and biotechnology companies. We face significant competition in seeking appropriate collaborators and may not be able to secure an appropriate collaborator.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209"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87" w:lineRule="exact"/>
        <w:rPr>
          <w:sz w:val="20"/>
          <w:szCs w:val="20"/>
          <w:color w:val="auto"/>
        </w:rPr>
      </w:pPr>
    </w:p>
    <w:p>
      <w:pPr>
        <w:ind w:left="840" w:right="54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41" w:lineRule="exact"/>
        <w:rPr>
          <w:rFonts w:ascii="Times New Roman" w:cs="Times New Roman" w:eastAsia="Times New Roman" w:hAnsi="Times New Roman"/>
          <w:sz w:val="18"/>
          <w:szCs w:val="18"/>
          <w:color w:val="auto"/>
        </w:rPr>
      </w:pPr>
    </w:p>
    <w:p>
      <w:pPr>
        <w:ind w:left="840" w:right="200" w:hanging="413"/>
        <w:spacing w:after="0" w:line="260"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3" w:lineRule="exact"/>
        <w:rPr>
          <w:rFonts w:ascii="Times New Roman" w:cs="Times New Roman" w:eastAsia="Times New Roman" w:hAnsi="Times New Roman"/>
          <w:sz w:val="18"/>
          <w:szCs w:val="18"/>
          <w:color w:val="auto"/>
        </w:rPr>
      </w:pPr>
    </w:p>
    <w:p>
      <w:pPr>
        <w:ind w:left="840" w:right="62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1" w:lineRule="exact"/>
        <w:rPr>
          <w:rFonts w:ascii="Times New Roman" w:cs="Times New Roman" w:eastAsia="Times New Roman" w:hAnsi="Times New Roman"/>
          <w:sz w:val="18"/>
          <w:szCs w:val="18"/>
          <w:color w:val="auto"/>
        </w:rPr>
      </w:pPr>
    </w:p>
    <w:p>
      <w:pPr>
        <w:ind w:left="840" w:right="20" w:hanging="413"/>
        <w:spacing w:after="0" w:line="265"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55" w:lineRule="exact"/>
        <w:rPr>
          <w:rFonts w:ascii="Times New Roman" w:cs="Times New Roman" w:eastAsia="Times New Roman" w:hAnsi="Times New Roman"/>
          <w:sz w:val="18"/>
          <w:szCs w:val="18"/>
          <w:color w:val="auto"/>
        </w:rPr>
      </w:pPr>
    </w:p>
    <w:p>
      <w:pPr>
        <w:ind w:left="840" w:right="4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4" w:lineRule="exact"/>
        <w:rPr>
          <w:rFonts w:ascii="Times New Roman" w:cs="Times New Roman" w:eastAsia="Times New Roman" w:hAnsi="Times New Roman"/>
          <w:sz w:val="18"/>
          <w:szCs w:val="18"/>
          <w:color w:val="auto"/>
        </w:rPr>
      </w:pPr>
    </w:p>
    <w:p>
      <w:pPr>
        <w:ind w:left="840" w:hanging="413"/>
        <w:spacing w:after="0" w:line="265"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5"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1" w:lineRule="exact"/>
        <w:rPr>
          <w:rFonts w:ascii="Times New Roman" w:cs="Times New Roman" w:eastAsia="Times New Roman" w:hAnsi="Times New Roman"/>
          <w:sz w:val="18"/>
          <w:szCs w:val="18"/>
          <w:color w:val="auto"/>
        </w:rPr>
      </w:pPr>
    </w:p>
    <w:p>
      <w:pPr>
        <w:ind w:left="840" w:right="114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03"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63" w:lineRule="exact"/>
        <w:rPr>
          <w:sz w:val="20"/>
          <w:szCs w:val="20"/>
          <w:color w:val="auto"/>
        </w:rPr>
      </w:pPr>
    </w:p>
    <w:p>
      <w:pPr>
        <w:ind w:right="380" w:firstLine="416"/>
        <w:spacing w:after="0" w:line="281"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7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total addressable market opportunity for any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16"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77" w:lineRule="exact"/>
        <w:rPr>
          <w:sz w:val="20"/>
          <w:szCs w:val="20"/>
          <w:color w:val="auto"/>
        </w:rPr>
      </w:pPr>
    </w:p>
    <w:p>
      <w:pPr>
        <w:ind w:right="30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8" w:lineRule="exact"/>
        <w:rPr>
          <w:sz w:val="20"/>
          <w:szCs w:val="20"/>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69" w:lineRule="exact"/>
        <w:rPr>
          <w:sz w:val="20"/>
          <w:szCs w:val="20"/>
          <w:color w:val="auto"/>
        </w:rPr>
      </w:pPr>
    </w:p>
    <w:p>
      <w:pPr>
        <w:jc w:val="both"/>
        <w:ind w:left="4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79" w:lineRule="exact"/>
        <w:rPr>
          <w:sz w:val="20"/>
          <w:szCs w:val="20"/>
          <w:color w:val="auto"/>
        </w:rPr>
      </w:pPr>
    </w:p>
    <w:p>
      <w:pPr>
        <w:ind w:right="200" w:firstLine="416"/>
        <w:spacing w:after="0" w:line="281"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need to establish sales, marketing and distribution capabilities, either ourselves or through collaboration or other arrangements with third parties.</w:t>
      </w:r>
    </w:p>
    <w:p>
      <w:pPr>
        <w:spacing w:after="0" w:line="225" w:lineRule="exact"/>
        <w:rPr>
          <w:sz w:val="20"/>
          <w:szCs w:val="20"/>
          <w:color w:val="auto"/>
        </w:rPr>
      </w:pPr>
    </w:p>
    <w:p>
      <w:pPr>
        <w:ind w:right="20" w:firstLine="416"/>
        <w:spacing w:after="0" w:line="260"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44" w:lineRule="exact"/>
        <w:rPr>
          <w:sz w:val="20"/>
          <w:szCs w:val="20"/>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1"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33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0"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(53albociclib), G1 Therapeutics (G1T38), and Fochon Pharmaceuticals (FCN-437) 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212"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213"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16"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330"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ind w:right="260" w:firstLine="416"/>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to cover the costs of research, development, manufacture, sale and distribution.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213"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20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2"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4" w:lineRule="exact"/>
        <w:rPr>
          <w:sz w:val="20"/>
          <w:szCs w:val="20"/>
          <w:color w:val="auto"/>
        </w:rPr>
      </w:pPr>
    </w:p>
    <w:p>
      <w:pPr>
        <w:ind w:right="340" w:firstLine="416"/>
        <w:spacing w:after="0" w:line="288"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5" w:lineRule="exact"/>
        <w:rPr>
          <w:sz w:val="20"/>
          <w:szCs w:val="20"/>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6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44"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64"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20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Additionally, companies are more willing to hire remote workers following the COVID-19 pandemic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336"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As of December 31, 2023, we had 128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200" w:lineRule="exact"/>
        <w:rPr>
          <w:sz w:val="20"/>
          <w:szCs w:val="20"/>
          <w:color w:val="auto"/>
        </w:rPr>
      </w:pPr>
    </w:p>
    <w:p>
      <w:pPr>
        <w:ind w:right="40" w:firstLine="416"/>
        <w:spacing w:after="0" w:line="265"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manufacturing of any of our product candidates. We cannot assure you that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7" w:name="page58"/>
    <w:bookmarkEnd w:id="57"/>
    <w:p>
      <w:pPr>
        <w:ind w:right="120"/>
        <w:spacing w:after="0" w:line="258" w:lineRule="auto"/>
        <w:rPr>
          <w:sz w:val="20"/>
          <w:szCs w:val="20"/>
          <w:color w:val="auto"/>
        </w:rPr>
      </w:pPr>
      <w:r>
        <w:rPr>
          <w:rFonts w:ascii="Times New Roman" w:cs="Times New Roman" w:eastAsia="Times New Roman" w:hAnsi="Times New Roman"/>
          <w:sz w:val="18"/>
          <w:szCs w:val="18"/>
          <w:color w:val="auto"/>
        </w:rPr>
        <w:t>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any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82" w:lineRule="exact"/>
        <w:rPr>
          <w:sz w:val="20"/>
          <w:szCs w:val="20"/>
          <w:color w:val="auto"/>
        </w:rPr>
      </w:pPr>
    </w:p>
    <w:p>
      <w:pPr>
        <w:ind w:right="280" w:firstLine="416"/>
        <w:spacing w:after="0" w:line="312" w:lineRule="auto"/>
        <w:rPr>
          <w:sz w:val="20"/>
          <w:szCs w:val="20"/>
          <w:color w:val="auto"/>
        </w:rPr>
      </w:pPr>
      <w:r>
        <w:rPr>
          <w:rFonts w:ascii="Times New Roman" w:cs="Times New Roman" w:eastAsia="Times New Roman" w:hAnsi="Times New Roman"/>
          <w:sz w:val="17"/>
          <w:szCs w:val="17"/>
          <w:color w:val="auto"/>
        </w:rPr>
        <w:t>If we are not able to effectively manage growth and expand our organization, we may not be able to successfully implement the tasks necessary to further develop and commercialize our product candidates and, accordingly, may not achieve our research, development and commercialization goals.</w:t>
      </w:r>
    </w:p>
    <w:p>
      <w:pPr>
        <w:spacing w:after="0" w:line="243"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laws,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89"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consultants, vendors and other potential commercial partners,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an alleged failure to comply with these laws or regulations. If any such actions are instituted against us, and we are not successful in defending ourselves or asserting our rights, those actions could have a significant impact on our business, including the imposition of significant civil and administrative penalties and damages, criminal fines and confinement, disgorgement, exclusion from participation in government funded healthcare programs, such as Medicare, Medicaid and other federal healthcare programs, suspension and debarment from government procurement and non-procurement programs, refusal of orders under existing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336" w:lineRule="exact"/>
        <w:rPr>
          <w:sz w:val="20"/>
          <w:szCs w:val="20"/>
          <w:color w:val="auto"/>
        </w:rPr>
      </w:pPr>
    </w:p>
    <w:p>
      <w:pPr>
        <w:ind w:left="4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85"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8" w:name="page59"/>
    <w:bookmarkEnd w:id="58"/>
    <w:p>
      <w:pPr>
        <w:ind w:firstLine="416"/>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(collectively, “Third Parties”) are potentially vulnerable to breakdown or other damage or interruption from service interruptions, system malfunction, accidents by our employees or third party service providers, natural disasters, terrorism, war and telecommunication and electrical failures. Our systems, and those of Third Parties, may also experience security breaches from inadvertent or intentional actions by our employees, or from cyber-attacks by malicious third parties including the deployment of harmful malware, ransomware, denial-of-service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If a disruption or security breach were to result in a loss of, or damage to, our data or applications, or those of our Third Parties, or inappropriate disclosure of confidential or proprietary information, we could incur liability and reputational damage and the further development and commercialization of our product candidates could be delayed. Any breach, loss or compromise of clinical trial participant personal data may also subject us to civil damages and penalties, under HIPAA and other relevant state and federal privacy laws. The costs related to significant security breaches or disruptions could be material and exceed the limits of the cybersecurity insurance we maintain against such risks. If the information technology systems of our Third Parties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such incident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0" w:lineRule="exact"/>
        <w:rPr>
          <w:sz w:val="20"/>
          <w:szCs w:val="20"/>
          <w:color w:val="auto"/>
        </w:rPr>
      </w:pPr>
    </w:p>
    <w:p>
      <w:pPr>
        <w:spacing w:after="0" w:line="278"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3"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state consumer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data protection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6" w:lineRule="exact"/>
        <w:rPr>
          <w:sz w:val="20"/>
          <w:szCs w:val="20"/>
          <w:color w:val="auto"/>
        </w:rPr>
      </w:pPr>
    </w:p>
    <w:p>
      <w:pPr>
        <w:ind w:firstLine="419"/>
        <w:spacing w:after="0" w:line="271" w:lineRule="auto"/>
        <w:rPr>
          <w:sz w:val="20"/>
          <w:szCs w:val="20"/>
          <w:color w:val="auto"/>
        </w:rPr>
      </w:pPr>
      <w:r>
        <w:rPr>
          <w:rFonts w:ascii="Times New Roman" w:cs="Times New Roman" w:eastAsia="Times New Roman" w:hAnsi="Times New Roman"/>
          <w:sz w:val="17"/>
          <w:szCs w:val="17"/>
          <w:color w:val="auto"/>
        </w:rPr>
        <w:t>International data protection laws, including Regulation 2016/679, known as the General Data Protection Regulation, or GDPR, may also apply to health-related and other personal information obtained outside of the United States.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internal privacy governance obligations and obligations to honor expanded rights of individuals in relation to their personal information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right to access, correct and delete their data). In addition, the GDPR includes restrictions on cross-border data transfer, which may require ongoing changes to our business operations, implementation of revised legal mechanisms, and other challenges. The GDPR features potential fines for noncompliant companies of up to the greater of €20 million or 4% of annual global revenue. The GDPR and other international data protection laws will increase our responsibility and liability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relation to personal data that we process, and we may be required to put in place additional mechanisms to ensure compliance.</w:t>
      </w:r>
    </w:p>
    <w:p>
      <w:pPr>
        <w:spacing w:after="0" w:line="225"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In addition, data protection requirements and risk are increasing in the United States. The state of California enacted the California Consumer Privacy Act, or CCPA, which creates new individual privacy rights for California consumers (as defined in the CCPA), including the rights to access, correction, and deletion and places increased privacy and security obligations on entities handling certain personal data of consumers or households. The CCPA requires covered companies to provide detailed disclosures to consumers about such companies’ data collection, use and sharing practices, provide such consumers new ways to opt-out of certain sales or transfers of personal information, and provide consumers with additional causes of action. Following California’s lead, other states have adopted similar comprehensive consumer privacy laws, all of which may impact our business activities and exemplifies the vulnerability of our business to the evolving regulatory environment related to personal data and protected health information. The CCPA and other state privacy laws provide for significant civil penalties for violations, and California now provides for a private right of action for data breaches that is expected to increase data breach litigation. These regulatory changes may increase our compliance costs and potential liability, particularly in the event of a data breach.</w:t>
      </w:r>
    </w:p>
    <w:p>
      <w:pPr>
        <w:spacing w:after="0" w:line="218" w:lineRule="exact"/>
        <w:rPr>
          <w:sz w:val="20"/>
          <w:szCs w:val="20"/>
          <w:color w:val="auto"/>
        </w:rPr>
      </w:pPr>
    </w:p>
    <w:p>
      <w:pPr>
        <w:ind w:right="120" w:firstLine="41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34" w:lineRule="exact"/>
        <w:rPr>
          <w:sz w:val="20"/>
          <w:szCs w:val="20"/>
          <w:color w:val="auto"/>
        </w:rPr>
      </w:pPr>
    </w:p>
    <w:p>
      <w:pPr>
        <w:ind w:left="4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4"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37" w:lineRule="exact"/>
        <w:rPr>
          <w:sz w:val="20"/>
          <w:szCs w:val="20"/>
          <w:color w:val="auto"/>
        </w:rPr>
      </w:pPr>
    </w:p>
    <w:p>
      <w:pPr>
        <w:ind w:left="420" w:right="4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the SEC and other government agencies caused by funding shortages or government shutdowns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ind w:right="100" w:firstLine="419"/>
        <w:spacing w:after="0" w:line="26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74"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w:t>
      </w:r>
    </w:p>
    <w:p>
      <w:pPr>
        <w:spacing w:after="0" w:line="232" w:lineRule="exact"/>
        <w:rPr>
          <w:sz w:val="20"/>
          <w:szCs w:val="20"/>
          <w:color w:val="auto"/>
        </w:rPr>
      </w:pPr>
    </w:p>
    <w:p>
      <w:pPr>
        <w:ind w:left="4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34" w:lineRule="exact"/>
        <w:rPr>
          <w:sz w:val="20"/>
          <w:szCs w:val="20"/>
          <w:color w:val="auto"/>
        </w:rPr>
      </w:pPr>
    </w:p>
    <w:p>
      <w:pPr>
        <w:ind w:firstLine="419"/>
        <w:spacing w:after="0" w:line="267" w:lineRule="auto"/>
        <w:rPr>
          <w:sz w:val="20"/>
          <w:szCs w:val="20"/>
          <w:color w:val="auto"/>
        </w:rPr>
      </w:pPr>
      <w:r>
        <w:rPr>
          <w:rFonts w:ascii="Times New Roman" w:cs="Times New Roman" w:eastAsia="Times New Roman" w:hAnsi="Times New Roman"/>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61" w:name="page62"/>
    <w:bookmarkEnd w:id="61"/>
    <w:p>
      <w:pPr>
        <w:ind w:left="4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0"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1" w:lineRule="exact"/>
        <w:rPr>
          <w:sz w:val="20"/>
          <w:szCs w:val="20"/>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6"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or bank deposits may be subject to market, interest and credit risk that may reduce in value.</w:t>
      </w:r>
    </w:p>
    <w:p>
      <w:pPr>
        <w:spacing w:after="0" w:line="148"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Furthermore, a possible recession, rising inflation, and the ongoing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4" w:lineRule="exact"/>
        <w:rPr>
          <w:sz w:val="20"/>
          <w:szCs w:val="20"/>
          <w:color w:val="auto"/>
        </w:rPr>
      </w:pPr>
    </w:p>
    <w:p>
      <w:pPr>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212" w:lineRule="exact"/>
        <w:rPr>
          <w:sz w:val="20"/>
          <w:szCs w:val="20"/>
          <w:color w:val="auto"/>
        </w:rPr>
      </w:pPr>
    </w:p>
    <w:p>
      <w:pPr>
        <w:jc w:val="both"/>
        <w:ind w:right="100" w:firstLine="416"/>
        <w:spacing w:after="0" w:line="288" w:lineRule="auto"/>
        <w:rPr>
          <w:sz w:val="20"/>
          <w:szCs w:val="20"/>
          <w:color w:val="auto"/>
        </w:rPr>
      </w:pPr>
      <w:r>
        <w:rPr>
          <w:rFonts w:ascii="Times New Roman" w:cs="Times New Roman" w:eastAsia="Times New Roman" w:hAnsi="Times New Roman"/>
          <w:sz w:val="17"/>
          <w:szCs w:val="17"/>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our product candidates.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2" w:name="page63"/>
    <w:bookmarkEnd w:id="62"/>
    <w:p>
      <w:pPr>
        <w:ind w:firstLine="416"/>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213"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We do not yet have issued patents on all of our product candidates.</w:t>
      </w:r>
    </w:p>
    <w:p>
      <w:pPr>
        <w:spacing w:after="0" w:line="213"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222" w:lineRule="exact"/>
        <w:rPr>
          <w:sz w:val="20"/>
          <w:szCs w:val="20"/>
          <w:color w:val="auto"/>
        </w:rPr>
      </w:pPr>
    </w:p>
    <w:p>
      <w:pPr>
        <w:ind w:right="220" w:firstLine="416"/>
        <w:spacing w:after="0" w:line="281"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3" w:name="page64"/>
    <w:bookmarkEnd w:id="63"/>
    <w:p>
      <w:pPr>
        <w:ind w:right="100"/>
        <w:spacing w:after="0" w:line="256" w:lineRule="auto"/>
        <w:rPr>
          <w:sz w:val="20"/>
          <w:szCs w:val="20"/>
          <w:color w:val="auto"/>
        </w:rPr>
      </w:pPr>
      <w:r>
        <w:rPr>
          <w:rFonts w:ascii="Times New Roman" w:cs="Times New Roman" w:eastAsia="Times New Roman" w:hAnsi="Times New Roman"/>
          <w:sz w:val="18"/>
          <w:szCs w:val="18"/>
          <w:color w:val="auto"/>
        </w:rPr>
        <w:t>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12"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209"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2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82"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3"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4" w:name="page65"/>
    <w:bookmarkEnd w:id="64"/>
    <w:p>
      <w:pPr>
        <w:ind w:right="80"/>
        <w:spacing w:after="0" w:line="253" w:lineRule="auto"/>
        <w:rPr>
          <w:sz w:val="20"/>
          <w:szCs w:val="20"/>
          <w:color w:val="auto"/>
        </w:rPr>
      </w:pPr>
      <w:r>
        <w:rPr>
          <w:rFonts w:ascii="Times New Roman" w:cs="Times New Roman" w:eastAsia="Times New Roman" w:hAnsi="Times New Roman"/>
          <w:sz w:val="18"/>
          <w:szCs w:val="18"/>
          <w:color w:val="auto"/>
        </w:rPr>
        <w:t>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91"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66" w:lineRule="exact"/>
        <w:rPr>
          <w:sz w:val="20"/>
          <w:szCs w:val="20"/>
          <w:color w:val="auto"/>
        </w:rPr>
      </w:pPr>
    </w:p>
    <w:p>
      <w:pPr>
        <w:ind w:left="4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209" w:lineRule="exact"/>
        <w:rPr>
          <w:sz w:val="20"/>
          <w:szCs w:val="20"/>
          <w:color w:val="auto"/>
        </w:rPr>
      </w:pPr>
    </w:p>
    <w:p>
      <w:pPr>
        <w:ind w:right="34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20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65" w:name="page66"/>
    <w:bookmarkEnd w:id="65"/>
    <w:p>
      <w:pPr>
        <w:ind w:firstLine="416"/>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6"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4"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13"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66" w:name="page67"/>
    <w:bookmarkEnd w:id="66"/>
    <w:p>
      <w:pPr>
        <w:ind w:right="200"/>
        <w:spacing w:after="0" w:line="254" w:lineRule="auto"/>
        <w:rPr>
          <w:sz w:val="20"/>
          <w:szCs w:val="20"/>
          <w:color w:val="auto"/>
        </w:rPr>
      </w:pPr>
      <w:r>
        <w:rPr>
          <w:rFonts w:ascii="Times New Roman" w:cs="Times New Roman" w:eastAsia="Times New Roman" w:hAnsi="Times New Roman"/>
          <w:sz w:val="18"/>
          <w:szCs w:val="18"/>
          <w:color w:val="auto"/>
        </w:rPr>
        <w:t>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89"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Further, the complexity and uncertainty of European patent laws have increased in recent years. In Europe, a new unitary patent system was introduced in early 2023, which could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could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39"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64" w:lineRule="exact"/>
        <w:rPr>
          <w:sz w:val="20"/>
          <w:szCs w:val="20"/>
          <w:color w:val="auto"/>
        </w:rPr>
      </w:pPr>
    </w:p>
    <w:p>
      <w:pPr>
        <w:ind w:right="80" w:firstLine="416"/>
        <w:spacing w:after="0" w:line="276"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16" w:lineRule="exact"/>
        <w:rPr>
          <w:sz w:val="20"/>
          <w:szCs w:val="20"/>
          <w:color w:val="auto"/>
        </w:rPr>
      </w:pPr>
    </w:p>
    <w:p>
      <w:pPr>
        <w:ind w:right="60" w:firstLine="416"/>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7" w:name="page68"/>
    <w:bookmarkEnd w:id="67"/>
    <w:p>
      <w:pPr>
        <w:ind w:right="160"/>
        <w:spacing w:after="0" w:line="258" w:lineRule="auto"/>
        <w:rPr>
          <w:sz w:val="20"/>
          <w:szCs w:val="20"/>
          <w:color w:val="auto"/>
        </w:rPr>
      </w:pPr>
      <w:r>
        <w:rPr>
          <w:rFonts w:ascii="Times New Roman" w:cs="Times New Roman" w:eastAsia="Times New Roman" w:hAnsi="Times New Roman"/>
          <w:sz w:val="18"/>
          <w:szCs w:val="18"/>
          <w:color w:val="auto"/>
        </w:rPr>
        <w:t>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209"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36"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218"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8" w:name="page69"/>
    <w:bookmarkEnd w:id="6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48"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48"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331" w:lineRule="exact"/>
        <w:rPr>
          <w:sz w:val="20"/>
          <w:szCs w:val="20"/>
          <w:color w:val="auto"/>
        </w:rPr>
      </w:pPr>
    </w:p>
    <w:p>
      <w:pPr>
        <w:ind w:left="4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9" w:lineRule="exact"/>
        <w:rPr>
          <w:sz w:val="20"/>
          <w:szCs w:val="20"/>
          <w:color w:val="auto"/>
        </w:rPr>
      </w:pPr>
    </w:p>
    <w:p>
      <w:pPr>
        <w:ind w:right="240" w:firstLine="416"/>
        <w:spacing w:after="0" w:line="25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9" w:name="page70"/>
    <w:bookmarkEnd w:id="69"/>
    <w:p>
      <w:pPr>
        <w:spacing w:after="0" w:line="258" w:lineRule="auto"/>
        <w:rPr>
          <w:sz w:val="20"/>
          <w:szCs w:val="20"/>
          <w:color w:val="auto"/>
        </w:rPr>
      </w:pPr>
      <w:r>
        <w:rPr>
          <w:rFonts w:ascii="Times New Roman" w:cs="Times New Roman" w:eastAsia="Times New Roman" w:hAnsi="Times New Roman"/>
          <w:sz w:val="18"/>
          <w:szCs w:val="18"/>
          <w:color w:val="auto"/>
        </w:rPr>
        <w:t>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326"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0" w:lineRule="exact"/>
        <w:rPr>
          <w:sz w:val="20"/>
          <w:szCs w:val="20"/>
          <w:color w:val="auto"/>
        </w:rPr>
      </w:pPr>
    </w:p>
    <w:p>
      <w:pPr>
        <w:ind w:right="20" w:firstLine="419"/>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ind w:right="120" w:firstLine="416"/>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840" w:right="36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4" w:lineRule="exact"/>
        <w:rPr>
          <w:rFonts w:ascii="Times New Roman" w:cs="Times New Roman" w:eastAsia="Times New Roman" w:hAnsi="Times New Roman"/>
          <w:sz w:val="18"/>
          <w:szCs w:val="18"/>
          <w:color w:val="auto"/>
        </w:rPr>
      </w:pPr>
    </w:p>
    <w:p>
      <w:pPr>
        <w:ind w:left="840" w:right="14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4" w:lineRule="exact"/>
        <w:rPr>
          <w:rFonts w:ascii="Times New Roman" w:cs="Times New Roman" w:eastAsia="Times New Roman" w:hAnsi="Times New Roman"/>
          <w:sz w:val="18"/>
          <w:szCs w:val="18"/>
          <w:color w:val="auto"/>
        </w:rPr>
      </w:pPr>
    </w:p>
    <w:p>
      <w:pPr>
        <w:ind w:left="840" w:right="14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4"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6" w:lineRule="exact"/>
        <w:rPr>
          <w:rFonts w:ascii="Times New Roman" w:cs="Times New Roman" w:eastAsia="Times New Roman" w:hAnsi="Times New Roman"/>
          <w:sz w:val="18"/>
          <w:szCs w:val="18"/>
          <w:color w:val="auto"/>
        </w:rPr>
      </w:pPr>
    </w:p>
    <w:p>
      <w:pPr>
        <w:ind w:left="840" w:right="12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4" w:lineRule="exact"/>
        <w:rPr>
          <w:rFonts w:ascii="Times New Roman" w:cs="Times New Roman" w:eastAsia="Times New Roman" w:hAnsi="Times New Roman"/>
          <w:sz w:val="18"/>
          <w:szCs w:val="18"/>
          <w:color w:val="auto"/>
        </w:rPr>
      </w:pPr>
    </w:p>
    <w:p>
      <w:pPr>
        <w:ind w:left="840" w:right="260" w:hanging="413"/>
        <w:spacing w:after="0" w:line="281"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70" w:name="page71"/>
    <w:bookmarkEnd w:id="70"/>
    <w:p>
      <w:pPr>
        <w:ind w:left="840" w:right="460" w:hanging="413"/>
        <w:spacing w:after="0" w:line="281"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4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158" w:lineRule="exact"/>
        <w:rPr>
          <w:sz w:val="20"/>
          <w:szCs w:val="20"/>
          <w:color w:val="auto"/>
        </w:rPr>
      </w:pPr>
    </w:p>
    <w:p>
      <w:pPr>
        <w:ind w:right="180" w:firstLine="416"/>
        <w:spacing w:after="0" w:line="288" w:lineRule="auto"/>
        <w:rPr>
          <w:sz w:val="20"/>
          <w:szCs w:val="20"/>
          <w:color w:val="auto"/>
        </w:rPr>
      </w:pPr>
      <w:r>
        <w:rPr>
          <w:rFonts w:ascii="Times New Roman" w:cs="Times New Roman" w:eastAsia="Times New Roman" w:hAnsi="Times New Roman"/>
          <w:sz w:val="17"/>
          <w:szCs w:val="17"/>
          <w:color w:val="auto"/>
        </w:rPr>
        <w:t>As of December 31, 2023, our executive officers, directors, beneficial owners of 5% or more of our capital stock and their respective affiliates beneficially owned approximately 45% of our common stock and securities convertible into shares of our common stock. The voting power of this group may increase to the extent they convert shares of non-voting common stock or pre-funded warrants that they hold into shares of our common stock.</w:t>
      </w:r>
    </w:p>
    <w:p>
      <w:pPr>
        <w:spacing w:after="0" w:line="15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This concentration of control creates a number of risks. This group of stockholders has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and other stockholders may find it difficult to replace members of management should they disagree with the manner in which the Company is operated.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7" w:lineRule="exact"/>
        <w:rPr>
          <w:sz w:val="20"/>
          <w:szCs w:val="20"/>
          <w:color w:val="auto"/>
        </w:rPr>
      </w:pPr>
    </w:p>
    <w:p>
      <w:pPr>
        <w:ind w:left="420" w:right="5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ind w:right="140" w:firstLine="416"/>
        <w:spacing w:after="0" w:line="252"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97"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7" w:lineRule="exact"/>
        <w:rPr>
          <w:sz w:val="20"/>
          <w:szCs w:val="20"/>
          <w:color w:val="auto"/>
        </w:rPr>
      </w:pPr>
    </w:p>
    <w:p>
      <w:pPr>
        <w:ind w:right="140" w:firstLine="416"/>
        <w:spacing w:after="0" w:line="281"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5" w:lineRule="exact"/>
        <w:rPr>
          <w:sz w:val="20"/>
          <w:szCs w:val="20"/>
          <w:color w:val="auto"/>
        </w:rPr>
      </w:pPr>
    </w:p>
    <w:p>
      <w:pPr>
        <w:ind w:left="840" w:right="180" w:hanging="413"/>
        <w:spacing w:after="0" w:line="281"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54"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54" w:lineRule="exact"/>
        <w:rPr>
          <w:rFonts w:ascii="Times New Roman" w:cs="Times New Roman" w:eastAsia="Times New Roman" w:hAnsi="Times New Roman"/>
          <w:sz w:val="18"/>
          <w:szCs w:val="18"/>
          <w:color w:val="auto"/>
        </w:rPr>
      </w:pPr>
    </w:p>
    <w:p>
      <w:pPr>
        <w:ind w:left="840" w:right="260" w:hanging="413"/>
        <w:spacing w:after="0" w:line="281"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6" w:lineRule="exact"/>
        <w:rPr>
          <w:rFonts w:ascii="Times New Roman" w:cs="Times New Roman" w:eastAsia="Times New Roman" w:hAnsi="Times New Roman"/>
          <w:sz w:val="18"/>
          <w:szCs w:val="18"/>
          <w:color w:val="auto"/>
        </w:rPr>
      </w:pPr>
    </w:p>
    <w:p>
      <w:pPr>
        <w:ind w:left="840" w:right="380" w:hanging="413"/>
        <w:spacing w:after="0" w:line="281"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71" w:name="page72"/>
    <w:bookmarkEnd w:id="71"/>
    <w:p>
      <w:pPr>
        <w:ind w:left="840" w:right="180" w:hanging="413"/>
        <w:spacing w:after="0" w:line="281"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6" w:lineRule="exact"/>
        <w:rPr>
          <w:rFonts w:ascii="Times New Roman" w:cs="Times New Roman" w:eastAsia="Times New Roman" w:hAnsi="Times New Roman"/>
          <w:sz w:val="18"/>
          <w:szCs w:val="18"/>
          <w:color w:val="auto"/>
        </w:rPr>
      </w:pPr>
    </w:p>
    <w:p>
      <w:pPr>
        <w:ind w:left="840" w:right="400" w:hanging="413"/>
        <w:spacing w:after="0" w:line="281"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and general macroeconomic conditions, including but not limited to the ongoing conflict in Ukraine, supply chain disruptions, rising interest rates, rising inflation rates, a potential recession or the ongoing COVID-19 pandemic.</w:t>
      </w:r>
    </w:p>
    <w:p>
      <w:pPr>
        <w:spacing w:after="0" w:line="230" w:lineRule="exact"/>
        <w:rPr>
          <w:sz w:val="20"/>
          <w:szCs w:val="20"/>
          <w:color w:val="auto"/>
        </w:rPr>
      </w:pPr>
    </w:p>
    <w:p>
      <w:pPr>
        <w:ind w:right="200" w:firstLine="416"/>
        <w:spacing w:after="0" w:line="260"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80"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be, highly volatile, which could result in substantial losses for purchasers of our common stock.</w:t>
      </w:r>
    </w:p>
    <w:p>
      <w:pPr>
        <w:spacing w:after="0" w:line="7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From January 1, 2023 to December 31, 2023, the closing price of common stock on the Nasdaq Global Select Market ranged from $1.69 to $8.12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101" w:lineRule="exact"/>
        <w:rPr>
          <w:sz w:val="20"/>
          <w:szCs w:val="20"/>
          <w:color w:val="auto"/>
        </w:rPr>
      </w:pPr>
    </w:p>
    <w:p>
      <w:pPr>
        <w:ind w:left="840" w:right="56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product candidates;</w:t>
      </w:r>
    </w:p>
    <w:p>
      <w:pPr>
        <w:spacing w:after="0" w:line="116"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840" w:right="36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840" w:right="36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stock by us, insiders or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including but not limited to a potential recession, rising interest rates, rising inflation, and the recent COVID-19 pandemic.</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72" w:name="page73"/>
    <w:bookmarkEnd w:id="72"/>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353"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4"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as well as our pre-funded warrants, may be converted at any time into one share of our common stock at the option of its holder by providing written notice to us, subject to the limitations provided for in our restated certificate of incorporation. Consequently, if holders of our non-voting common stock and pre-funded warrants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on February 9, 2024, the common stock will have 100% of the voting power, but if the holders of non-voting common stock or pre-funded warrants were to convert all of their shares or pre-funded warrants into common stock, the prior common stock would have 55.5% of the voting power, and the former non-voting common stock and holders of pre-funded warrants would represent 44.5 of the voting power. Additionally, stockholders who hold, in the aggregate, more than 10% of our common stock, non-voting common stock and pre-funded warrants,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339" w:lineRule="exact"/>
        <w:rPr>
          <w:sz w:val="20"/>
          <w:szCs w:val="20"/>
          <w:color w:val="auto"/>
        </w:rPr>
      </w:pPr>
    </w:p>
    <w:p>
      <w:pPr>
        <w:ind w:left="480"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7"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Annual Report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Annual Report on Form 10-K.</w:t>
      </w:r>
    </w:p>
    <w:p>
      <w:pPr>
        <w:spacing w:after="0" w:line="79"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Annual Report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5" w:right="399" w:bottom="1440" w:gutter="0" w:footer="0" w:header="0"/>
        </w:sectPr>
      </w:pPr>
    </w:p>
    <w:bookmarkStart w:id="73" w:name="page74"/>
    <w:bookmarkEnd w:id="73"/>
    <w:p>
      <w:pPr>
        <w:ind w:firstLine="47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78"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41" w:lineRule="exact"/>
        <w:rPr>
          <w:sz w:val="20"/>
          <w:szCs w:val="20"/>
          <w:color w:val="auto"/>
        </w:rPr>
      </w:pPr>
    </w:p>
    <w:p>
      <w:pPr>
        <w:ind w:left="4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4" w:lineRule="exact"/>
        <w:rPr>
          <w:sz w:val="20"/>
          <w:szCs w:val="20"/>
          <w:color w:val="auto"/>
        </w:rPr>
      </w:pPr>
    </w:p>
    <w:p>
      <w:pPr>
        <w:ind w:right="60" w:firstLine="416"/>
        <w:spacing w:after="0" w:line="265"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3" w:lineRule="exact"/>
        <w:rPr>
          <w:sz w:val="20"/>
          <w:szCs w:val="20"/>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6"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76" w:lineRule="exact"/>
        <w:rPr>
          <w:sz w:val="20"/>
          <w:szCs w:val="20"/>
          <w:color w:val="auto"/>
        </w:rPr>
      </w:pPr>
    </w:p>
    <w:p>
      <w:pPr>
        <w:jc w:val="both"/>
        <w:ind w:right="120" w:firstLine="416"/>
        <w:spacing w:after="0" w:line="26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4" w:name="page75"/>
    <w:bookmarkEnd w:id="74"/>
    <w:p>
      <w:pPr>
        <w:ind w:left="420"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27"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74"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4"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81"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17"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72" w:lineRule="exact"/>
        <w:rPr>
          <w:sz w:val="20"/>
          <w:szCs w:val="20"/>
          <w:color w:val="auto"/>
        </w:rPr>
      </w:pPr>
    </w:p>
    <w:p>
      <w:pPr>
        <w:ind w:left="48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0"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5" w:name="page76"/>
    <w:bookmarkEnd w:id="75"/>
    <w:p>
      <w:pPr>
        <w:ind w:right="540"/>
        <w:spacing w:after="0" w:line="281" w:lineRule="auto"/>
        <w:rPr>
          <w:sz w:val="20"/>
          <w:szCs w:val="20"/>
          <w:color w:val="auto"/>
        </w:rPr>
      </w:pPr>
      <w:r>
        <w:rPr>
          <w:rFonts w:ascii="Times New Roman" w:cs="Times New Roman" w:eastAsia="Times New Roman" w:hAnsi="Times New Roman"/>
          <w:sz w:val="18"/>
          <w:szCs w:val="18"/>
          <w:color w:val="auto"/>
        </w:rPr>
        <w:t>regulatory and governing bodies. This could result in continuing uncertainty regarding compliance matters and higher costs necessitated by ongoing revisions to disclosure and governance practices.</w:t>
      </w:r>
    </w:p>
    <w:p>
      <w:pPr>
        <w:spacing w:after="0" w:line="159"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20" w:firstLine="479"/>
        <w:spacing w:after="0" w:line="26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30" w:lineRule="exact"/>
        <w:rPr>
          <w:sz w:val="20"/>
          <w:szCs w:val="20"/>
          <w:color w:val="auto"/>
        </w:rPr>
      </w:pPr>
    </w:p>
    <w:p>
      <w:pPr>
        <w:ind w:left="4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0" w:lineRule="exact"/>
        <w:rPr>
          <w:sz w:val="20"/>
          <w:szCs w:val="20"/>
          <w:color w:val="auto"/>
        </w:rPr>
      </w:pPr>
    </w:p>
    <w:p>
      <w:pPr>
        <w:ind w:right="140" w:firstLine="479"/>
        <w:spacing w:after="0" w:line="26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7"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2" w:lineRule="exact"/>
        <w:rPr>
          <w:sz w:val="20"/>
          <w:szCs w:val="20"/>
          <w:color w:val="auto"/>
        </w:rPr>
      </w:pPr>
    </w:p>
    <w:p>
      <w:pPr>
        <w:jc w:val="both"/>
        <w:ind w:right="220" w:firstLine="479"/>
        <w:spacing w:after="0" w:line="260"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2" w:lineRule="exact"/>
        <w:rPr>
          <w:sz w:val="20"/>
          <w:szCs w:val="20"/>
          <w:color w:val="auto"/>
        </w:rPr>
      </w:pPr>
    </w:p>
    <w:p>
      <w:pPr>
        <w:ind w:right="180" w:firstLine="479"/>
        <w:spacing w:after="0" w:line="26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These systems are connected to and/or accessed from the Internet and, as a result, are susceptible to cyber-attacks.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material cyber-attack on our systems, or any other third-party partners or vendors and their key operating systems, may interrupt our ability to operate our business, damage our reputation, or result in monetary damages.</w:t>
      </w:r>
    </w:p>
    <w:p>
      <w:pPr>
        <w:spacing w:after="0" w:line="78"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Prelude has established an Information Security Policy ("IS Policy") in order to establish the high-level direction for properly managing the use, privacy, security, retention, and disposal of Prelude’s information and its assets. The IS Policy was prepared using relevant guidance issued and technology standards that are used across various industries. The IS policy applies to all entities who are using Prelude’s equipment and resources, including but not limited to: employees, contractors, temporary workers, any third parties with access to the Prelude's resources, and cloud IT providers. Prelude's Head of Information Technology ("IT") also serves as our Information Security Officer and is primarily responsible for implementing and overseeing the IS Policy and identifying, measuring, monitoring, and reporting on key enterprise-wide risks, including cybersecurity risks.</w:t>
      </w:r>
    </w:p>
    <w:p>
      <w:pPr>
        <w:spacing w:after="0" w:line="78" w:lineRule="exact"/>
        <w:rPr>
          <w:sz w:val="20"/>
          <w:szCs w:val="20"/>
          <w:color w:val="auto"/>
        </w:rPr>
      </w:pPr>
    </w:p>
    <w:p>
      <w:pPr>
        <w:ind w:right="20" w:firstLine="479"/>
        <w:spacing w:after="0" w:line="265" w:lineRule="auto"/>
        <w:rPr>
          <w:sz w:val="20"/>
          <w:szCs w:val="20"/>
          <w:color w:val="auto"/>
        </w:rPr>
      </w:pPr>
      <w:r>
        <w:rPr>
          <w:rFonts w:ascii="Times New Roman" w:cs="Times New Roman" w:eastAsia="Times New Roman" w:hAnsi="Times New Roman"/>
          <w:sz w:val="18"/>
          <w:szCs w:val="18"/>
          <w:color w:val="auto"/>
        </w:rPr>
        <w:t>Prelude has also established an Incident Response Policy which includes reporting thresholds and follows standardized identification and authentication practices. If an incident is identified, it is documented by Prelude's Head of IT, who in turn, will report the incident to necessary management members.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Board Governance and Management</w:t>
      </w:r>
    </w:p>
    <w:p>
      <w:pPr>
        <w:spacing w:after="0" w:line="22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Prelude’s Information Security Officer provides updates on information technology risks, controls and procedure, including Prelude’s plans to mitigate cybersecurity risks and respond to data breaches to Prelude's executive leadership team. Our Information Security Officer has over 20 years of experience in information security and possesses the requisite education, skills, experience, and industry certifications expected of an individual assigned to these duties. The Chief Financial Officer and the Chief Legal Officer report to the Chair of the Audit Committee prompt and timely information regarding any significant cybersecurity incident. The significant incident will be reported to the remaining Audit Committee members, as well as ongoing updates regarding any such incident until it has been addressed. Such incidents, as warranted, will be reviewed by the Board of Directors.</w:t>
      </w:r>
    </w:p>
    <w:p>
      <w:pPr>
        <w:spacing w:after="0" w:line="186" w:lineRule="exact"/>
        <w:rPr>
          <w:sz w:val="20"/>
          <w:szCs w:val="20"/>
          <w:color w:val="auto"/>
        </w:rPr>
      </w:pPr>
    </w:p>
    <w:p>
      <w:pPr>
        <w:ind w:right="180" w:firstLine="524"/>
        <w:spacing w:after="0" w:line="258" w:lineRule="auto"/>
        <w:rPr>
          <w:sz w:val="20"/>
          <w:szCs w:val="20"/>
          <w:color w:val="auto"/>
        </w:rPr>
      </w:pPr>
      <w:r>
        <w:rPr>
          <w:rFonts w:ascii="Times New Roman" w:cs="Times New Roman" w:eastAsia="Times New Roman" w:hAnsi="Times New Roman"/>
          <w:sz w:val="18"/>
          <w:szCs w:val="18"/>
          <w:color w:val="auto"/>
        </w:rPr>
        <w:t>The Board of Directors has delegated responsibility for cybersecurity risk oversight to the Audit Committee, which is responsible for (i) regularly reviewing with management significant cybersecurity, privacy, and IT risks or exposures, and the Company’s policies and processes with respect to risk assessment and risk management of the same; (ii) regularly reviewing with management an assessment of the steps management has taken to monitor and control such risks; and (iii) regularly reporting to the full Board of Directors on such matters. The Chair of the Audit Committee has expertise in risk management which includes IT and cybersecurity.</w:t>
      </w:r>
    </w:p>
    <w:p>
      <w:pPr>
        <w:spacing w:after="0" w:line="182" w:lineRule="exact"/>
        <w:rPr>
          <w:sz w:val="20"/>
          <w:szCs w:val="20"/>
          <w:color w:val="auto"/>
        </w:rPr>
      </w:pPr>
    </w:p>
    <w:p>
      <w:pPr>
        <w:ind w:right="380" w:firstLine="479"/>
        <w:spacing w:after="0" w:line="281" w:lineRule="auto"/>
        <w:rPr>
          <w:sz w:val="20"/>
          <w:szCs w:val="20"/>
          <w:color w:val="auto"/>
        </w:rPr>
      </w:pPr>
      <w:r>
        <w:rPr>
          <w:rFonts w:ascii="Times New Roman" w:cs="Times New Roman" w:eastAsia="Times New Roman" w:hAnsi="Times New Roman"/>
          <w:sz w:val="18"/>
          <w:szCs w:val="18"/>
          <w:color w:val="auto"/>
        </w:rPr>
        <w:t>Notwithstanding the approach we take to cybersecurity, we may not be successful in preventing or mitigating a cybersecurity incident that could have a material adverse effect on us. See Item 1A. “Risk Factors” for a discussion of cybersecurity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479"/>
        <w:spacing w:after="0" w:line="265" w:lineRule="auto"/>
        <w:rPr>
          <w:sz w:val="20"/>
          <w:szCs w:val="20"/>
          <w:color w:val="auto"/>
        </w:rPr>
      </w:pPr>
      <w:r>
        <w:rPr>
          <w:rFonts w:ascii="Times New Roman" w:cs="Times New Roman" w:eastAsia="Times New Roman" w:hAnsi="Times New Roman"/>
          <w:sz w:val="18"/>
          <w:szCs w:val="18"/>
          <w:color w:val="auto"/>
        </w:rPr>
        <w:t>In December 2023, we relocated our principal executive offices to Chestnut Run Plaza in Wilmington, Delaware. The facility has approximately 81,000 square feet of office and laboratory space that we use for administrative, research and development and other activities. The Chestnut Run Lease has an initial term of 162 months with three five-year extension options and certain expansion rights.</w:t>
      </w:r>
    </w:p>
    <w:p>
      <w:pPr>
        <w:spacing w:after="0" w:line="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suitable additional space will be available as and when needed.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2" w:right="49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left="480" w:right="1940" w:hanging="478"/>
        <w:spacing w:after="0" w:line="41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3" w:lineRule="exact"/>
        <w:rPr>
          <w:sz w:val="20"/>
          <w:szCs w:val="20"/>
          <w:color w:val="auto"/>
        </w:rPr>
      </w:pPr>
    </w:p>
    <w:p>
      <w:pPr>
        <w:ind w:right="280" w:firstLine="479"/>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“PRLD” since September 25, 2020. Prior to that there was no public trading market for our common stock.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8" w:lineRule="exact"/>
        <w:rPr>
          <w:sz w:val="20"/>
          <w:szCs w:val="20"/>
          <w:color w:val="auto"/>
        </w:rPr>
      </w:pPr>
    </w:p>
    <w:p>
      <w:pPr>
        <w:ind w:right="60" w:firstLine="479"/>
        <w:spacing w:after="0" w:line="265" w:lineRule="auto"/>
        <w:rPr>
          <w:sz w:val="20"/>
          <w:szCs w:val="20"/>
          <w:color w:val="auto"/>
        </w:rPr>
      </w:pPr>
      <w:r>
        <w:rPr>
          <w:rFonts w:ascii="Times New Roman" w:cs="Times New Roman" w:eastAsia="Times New Roman" w:hAnsi="Times New Roman"/>
          <w:sz w:val="18"/>
          <w:szCs w:val="18"/>
          <w:color w:val="auto"/>
        </w:rPr>
        <w:t>As of February 9, 2024, there were approximately 17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8"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2"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we did not issue or sell any unregistered securities not previously disclosed in a Quarterly Report on Form 10-Q or in a Current Report on Form 8-K.</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4"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wholly-owned, internally developed pipeline. We also began work with our partner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78"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4"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 with a potentially superior safety profile over first-generation CDK9 inhibitors. Our next generation CDK4/6 inhibitor is specifically designed to be brain and tissue penetrant.</w:t>
      </w:r>
    </w:p>
    <w:p>
      <w:pPr>
        <w:spacing w:after="0" w:line="74"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also announced a global partnership with AbCellera Biologics Incorporated ("AbCellera") that will allow us to combine our small molecules and degraders expertise with their antibody expertise to develop precision antibody drug conjugates. We also intend to explore continued clinical development with external partners for our CDK4/6.</w:t>
      </w:r>
    </w:p>
    <w:p>
      <w:pPr>
        <w:spacing w:after="0" w:line="74" w:lineRule="exact"/>
        <w:rPr>
          <w:sz w:val="20"/>
          <w:szCs w:val="20"/>
          <w:color w:val="auto"/>
        </w:rPr>
      </w:pPr>
    </w:p>
    <w:p>
      <w:pPr>
        <w:ind w:right="200" w:firstLine="524"/>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78" w:lineRule="exact"/>
        <w:rPr>
          <w:sz w:val="20"/>
          <w:szCs w:val="20"/>
          <w:color w:val="auto"/>
        </w:rPr>
      </w:pPr>
    </w:p>
    <w:p>
      <w:pPr>
        <w:ind w:right="120" w:firstLine="524"/>
        <w:spacing w:after="0" w:line="312" w:lineRule="auto"/>
        <w:rPr>
          <w:sz w:val="20"/>
          <w:szCs w:val="20"/>
          <w:color w:val="auto"/>
        </w:rPr>
      </w:pPr>
      <w:r>
        <w:rPr>
          <w:rFonts w:ascii="Times New Roman" w:cs="Times New Roman" w:eastAsia="Times New Roman" w:hAnsi="Times New Roman"/>
          <w:sz w:val="17"/>
          <w:szCs w:val="17"/>
          <w:color w:val="auto"/>
        </w:rPr>
        <w:t>Patients with SMARCA4 mutations or deletions have poor clinical outcomes and limited treatment options. Therefore, mutated or deleted SMARCA4 cancers provide a potential biomarker to select those patients most likely to respond to treatment with a highly selective SMARCA2 degrader.</w:t>
      </w:r>
    </w:p>
    <w:p>
      <w:pPr>
        <w:spacing w:after="0" w:line="31"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completed the fifth dose escalation cohort and demonstrated selective, potent and dose dependent degradation of SMARCA2 with an acceptable safety profile. Based on PK/PD and safety data to date, the Company expects to conclude monotherapy dose escalation in the middle of 2024 and identify recommended phase 2 doses. In addition, enrollment of patients into back-fill cohorts enriched for NSCLC and SMARCA4 loss-of-function mutations has been initiated. Objectives for this first Phase 1 clinical trial are to establish the safety and tolerability profile of PRT3789 as both monotherapy and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80" w:name="page81"/>
    <w:bookmarkEnd w:id="80"/>
    <w:p>
      <w:pPr>
        <w:ind w:right="140"/>
        <w:spacing w:after="0" w:line="312" w:lineRule="auto"/>
        <w:rPr>
          <w:sz w:val="20"/>
          <w:szCs w:val="20"/>
          <w:color w:val="auto"/>
        </w:rPr>
      </w:pPr>
      <w:r>
        <w:rPr>
          <w:rFonts w:ascii="Times New Roman" w:cs="Times New Roman" w:eastAsia="Times New Roman" w:hAnsi="Times New Roman"/>
          <w:sz w:val="17"/>
          <w:szCs w:val="17"/>
          <w:color w:val="auto"/>
        </w:rPr>
        <w:t>combination with docetaxel, evaluate efficacy, pharmacokinetics and pharmacodynamics and determine a dose and potential indications for advancement into a registrational clinical trial. We expect to present initial data in the second half of 2024 from patients currently enrolled in the Phase 1 trial.</w:t>
      </w:r>
    </w:p>
    <w:p>
      <w:pPr>
        <w:spacing w:after="0" w:line="31" w:lineRule="exact"/>
        <w:rPr>
          <w:sz w:val="20"/>
          <w:szCs w:val="20"/>
          <w:color w:val="auto"/>
        </w:rPr>
      </w:pPr>
    </w:p>
    <w:p>
      <w:pPr>
        <w:ind w:right="260" w:firstLine="479"/>
        <w:spacing w:after="0" w:line="288" w:lineRule="auto"/>
        <w:rPr>
          <w:sz w:val="20"/>
          <w:szCs w:val="20"/>
          <w:color w:val="auto"/>
        </w:rPr>
      </w:pPr>
      <w:r>
        <w:rPr>
          <w:rFonts w:ascii="Times New Roman" w:cs="Times New Roman" w:eastAsia="Times New Roman" w:hAnsi="Times New Roman"/>
          <w:sz w:val="17"/>
          <w:szCs w:val="17"/>
          <w:color w:val="auto"/>
        </w:rPr>
        <w:t>Our discovery team has identified a series of highly selective and orally bioavailable SMARCA2 degraders. The lead oral molecule, PRT7732, is currently in IND enabling studies and on track to enter Phase 1 clinical development in the second half of 2024. PRT7732 is structurally distinct from PRT3789 and in addition, may provide clinically meaningful differences, more patient-friendly dosing and may have utility in earlier lines of therapy.</w:t>
      </w:r>
    </w:p>
    <w:p>
      <w:pPr>
        <w:spacing w:after="0" w:line="51" w:lineRule="exact"/>
        <w:rPr>
          <w:sz w:val="20"/>
          <w:szCs w:val="20"/>
          <w:color w:val="auto"/>
        </w:rPr>
      </w:pPr>
    </w:p>
    <w:p>
      <w:pPr>
        <w:ind w:right="20" w:firstLine="479"/>
        <w:spacing w:after="0" w:line="260" w:lineRule="auto"/>
        <w:rPr>
          <w:sz w:val="20"/>
          <w:szCs w:val="20"/>
          <w:color w:val="auto"/>
        </w:rPr>
      </w:pPr>
      <w:r>
        <w:rPr>
          <w:rFonts w:ascii="Times New Roman" w:cs="Times New Roman" w:eastAsia="Times New Roman" w:hAnsi="Times New Roman"/>
          <w:sz w:val="18"/>
          <w:szCs w:val="18"/>
          <w:color w:val="auto"/>
        </w:rPr>
        <w:t>As one of our first precision ADC programs Prelude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Prelude and AbCellera will jointly discover, develop, and commercialize products emerging from the collaboration. AbCellera will lead manufacturing activities and Prelude will lead clinical development and global commercialization, subject to AbCellera’s option to co-promote any resulting commercial products in the United States.</w:t>
      </w:r>
    </w:p>
    <w:p>
      <w:pPr>
        <w:spacing w:after="0" w:line="183" w:lineRule="exact"/>
        <w:rPr>
          <w:sz w:val="20"/>
          <w:szCs w:val="20"/>
          <w:color w:val="auto"/>
        </w:rPr>
      </w:pPr>
    </w:p>
    <w:p>
      <w:pPr>
        <w:ind w:right="160" w:firstLine="479"/>
        <w:spacing w:after="0" w:line="281"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163" w:lineRule="exact"/>
        <w:rPr>
          <w:sz w:val="20"/>
          <w:szCs w:val="20"/>
          <w:color w:val="auto"/>
        </w:rPr>
      </w:pPr>
    </w:p>
    <w:p>
      <w:pPr>
        <w:jc w:val="both"/>
        <w:ind w:right="80" w:firstLine="524"/>
        <w:spacing w:after="0" w:line="265"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77"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w:t>
      </w:r>
    </w:p>
    <w:p>
      <w:pPr>
        <w:spacing w:after="0" w:line="182" w:lineRule="exact"/>
        <w:rPr>
          <w:sz w:val="20"/>
          <w:szCs w:val="20"/>
          <w:color w:val="auto"/>
        </w:rPr>
      </w:pPr>
    </w:p>
    <w:p>
      <w:pPr>
        <w:ind w:right="100" w:firstLine="479"/>
        <w:spacing w:after="0" w:line="265" w:lineRule="auto"/>
        <w:rPr>
          <w:sz w:val="20"/>
          <w:szCs w:val="20"/>
          <w:color w:val="auto"/>
        </w:rPr>
      </w:pPr>
      <w:r>
        <w:rPr>
          <w:rFonts w:ascii="Times New Roman" w:cs="Times New Roman" w:eastAsia="Times New Roman" w:hAnsi="Times New Roman"/>
          <w:sz w:val="18"/>
          <w:szCs w:val="18"/>
          <w:color w:val="auto"/>
        </w:rPr>
        <w:t>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177"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 study supports further development of PRT2527 in hematologic malignancies (NCT05665530). In this study, PRT2527 is advancing in monotherapy hematological indications, such as B-cell malignancies and acute myeloid leukemia (AML), and it has initiated the combination with zanubrutinib in B-cell malignancies. We expect to complete the monotherapy dose escalation in B-cell malignancies in the middle of 2024. A second cohort of patients with AML is expected to initiate in the first half of 2024 in monotherapy.</w:t>
      </w:r>
    </w:p>
    <w:p>
      <w:pPr>
        <w:spacing w:after="0" w:line="187" w:lineRule="exact"/>
        <w:rPr>
          <w:sz w:val="20"/>
          <w:szCs w:val="20"/>
          <w:color w:val="auto"/>
        </w:rPr>
      </w:pPr>
    </w:p>
    <w:p>
      <w:pPr>
        <w:ind w:right="300" w:firstLine="479"/>
        <w:spacing w:after="0" w:line="260" w:lineRule="auto"/>
        <w:rPr>
          <w:sz w:val="20"/>
          <w:szCs w:val="20"/>
          <w:color w:val="auto"/>
        </w:rPr>
      </w:pPr>
      <w:r>
        <w:rPr>
          <w:rFonts w:ascii="Times New Roman" w:cs="Times New Roman" w:eastAsia="Times New Roman" w:hAnsi="Times New Roman"/>
          <w:sz w:val="18"/>
          <w:szCs w:val="18"/>
          <w:color w:val="auto"/>
        </w:rPr>
        <w:t>Our MCL1 candidate, PRT1419, was designed to be a potent and selective inhibitor of the anti-apoptotic protein, MCL1. We concluded Phase 1 development of PRT1419 and established a confirmation dose in hematological malignancies. Based on the potential to address the intended patient population with the CDK9 inhibitor which potently inhibits MCL-1, we decided to prioritize our CDK9 inhibitor, PRT2527, and to discontinue development of PRT1419.</w:t>
      </w:r>
    </w:p>
    <w:p>
      <w:pPr>
        <w:spacing w:after="0" w:line="18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is underway with the objective of establishing a biologically active dose confirmation.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We intend to complete the dose escalation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portion of the Phase 1 clinical trial of PRT3645 this year and following its completion, to explore continued clinical development with external partners.</w:t>
      </w:r>
    </w:p>
    <w:p>
      <w:pPr>
        <w:spacing w:after="0" w:line="117"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$121.8 million and $115.4 million for the years ended December 31, 2023 and 2022, respectively. As of December 31, 2023, we had an accumulated deficit of $456.4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86"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79" w:lineRule="exact"/>
        <w:rPr>
          <w:sz w:val="20"/>
          <w:szCs w:val="20"/>
          <w:color w:val="auto"/>
        </w:rPr>
      </w:pPr>
    </w:p>
    <w:p>
      <w:pPr>
        <w:ind w:right="80" w:firstLine="479"/>
        <w:spacing w:after="0" w:line="281" w:lineRule="auto"/>
        <w:rPr>
          <w:sz w:val="20"/>
          <w:szCs w:val="20"/>
          <w:color w:val="auto"/>
        </w:rPr>
      </w:pPr>
      <w:r>
        <w:rPr>
          <w:rFonts w:ascii="Times New Roman" w:cs="Times New Roman" w:eastAsia="Times New Roman" w:hAnsi="Times New Roman"/>
          <w:sz w:val="18"/>
          <w:szCs w:val="18"/>
          <w:color w:val="auto"/>
        </w:rPr>
        <w:t>As of December 31, 2023, we had $232.9 million in cash, cash equivalents, and marketable securities. We expect our existing cash, cash equivalents and marketable securities will enable us to fund our operating expense and capital expenditures into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8" w:lineRule="exact"/>
        <w:rPr>
          <w:sz w:val="20"/>
          <w:szCs w:val="20"/>
          <w:color w:val="auto"/>
        </w:rPr>
      </w:pPr>
    </w:p>
    <w:p>
      <w:pPr>
        <w:ind w:left="960" w:right="20" w:hanging="474"/>
        <w:spacing w:after="0" w:line="281"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4" w:lineRule="exact"/>
        <w:rPr>
          <w:rFonts w:ascii="Times New Roman" w:cs="Times New Roman" w:eastAsia="Times New Roman" w:hAnsi="Times New Roman"/>
          <w:sz w:val="18"/>
          <w:szCs w:val="18"/>
          <w:color w:val="auto"/>
        </w:rPr>
      </w:pPr>
    </w:p>
    <w:p>
      <w:pPr>
        <w:ind w:left="960" w:right="880" w:hanging="474"/>
        <w:spacing w:after="0" w:line="281"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2" w:name="page83"/>
    <w:bookmarkEnd w:id="82"/>
    <w:p>
      <w:pPr>
        <w:ind w:left="960" w:right="380" w:hanging="474"/>
        <w:spacing w:after="0" w:line="281"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4" w:lineRule="exact"/>
        <w:rPr>
          <w:rFonts w:ascii="Times New Roman" w:cs="Times New Roman" w:eastAsia="Times New Roman" w:hAnsi="Times New Roman"/>
          <w:sz w:val="18"/>
          <w:szCs w:val="18"/>
          <w:color w:val="auto"/>
        </w:rPr>
      </w:pPr>
    </w:p>
    <w:p>
      <w:pPr>
        <w:ind w:left="960" w:right="20" w:hanging="474"/>
        <w:spacing w:after="0" w:line="281"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2"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478"/>
        <w:spacing w:after="0" w:line="28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6" w:lineRule="exact"/>
        <w:rPr>
          <w:sz w:val="20"/>
          <w:szCs w:val="20"/>
          <w:color w:val="auto"/>
        </w:rPr>
      </w:pPr>
    </w:p>
    <w:p>
      <w:pPr>
        <w:ind w:right="140" w:firstLine="478"/>
        <w:spacing w:after="0" w:line="274" w:lineRule="auto"/>
        <w:rPr>
          <w:sz w:val="20"/>
          <w:szCs w:val="20"/>
          <w:color w:val="auto"/>
        </w:rPr>
      </w:pPr>
      <w:r>
        <w:rPr>
          <w:rFonts w:ascii="Times New Roman" w:cs="Times New Roman" w:eastAsia="Times New Roman" w:hAnsi="Times New Roman"/>
          <w:sz w:val="17"/>
          <w:szCs w:val="17"/>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478"/>
        <w:spacing w:after="0" w:line="265"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sale of common stock.</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5"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Pr>
          <w:p>
            <w:pPr>
              <w:spacing w:after="0"/>
              <w:rPr>
                <w:sz w:val="20"/>
                <w:szCs w:val="20"/>
                <w:color w:val="auto"/>
              </w:rPr>
            </w:pPr>
          </w:p>
        </w:tc>
      </w:tr>
      <w:tr>
        <w:trPr>
          <w:trHeight w:val="243"/>
        </w:trPr>
        <w:tc>
          <w:tcPr>
            <w:tcW w:w="6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(1,767 )</w:t>
            </w:r>
          </w:p>
        </w:tc>
      </w:tr>
      <w:tr>
        <w:trPr>
          <w:trHeight w:val="236"/>
        </w:trPr>
        <w:tc>
          <w:tcPr>
            <w:tcW w:w="666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Borders>
              <w:top w:val="single" w:sz="8" w:color="CFF0FC"/>
            </w:tcBorders>
          </w:tcPr>
          <w:p>
            <w:pPr>
              <w:spacing w:after="0"/>
              <w:rPr>
                <w:sz w:val="20"/>
                <w:szCs w:val="20"/>
                <w:color w:val="auto"/>
              </w:rPr>
            </w:pPr>
          </w:p>
        </w:tc>
      </w:tr>
      <w:tr>
        <w:trPr>
          <w:trHeight w:val="240"/>
        </w:trPr>
        <w:tc>
          <w:tcPr>
            <w:tcW w:w="6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(132,277 )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(123,540 )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(8,737 )</w:t>
            </w: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0"/>
                <w:szCs w:val="20"/>
                <w:color w:val="auto"/>
              </w:rPr>
            </w:pPr>
          </w:p>
        </w:tc>
      </w:tr>
      <w:tr>
        <w:trPr>
          <w:trHeight w:val="25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(121,832 )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(115,438 )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(6,394 )</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-667385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-667385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47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$10.5 million to $103.4 million for the year ended December 31, 2023 from $92.9 million for the year ended December 31, 2022. Included in research and development expenses for the year ended December 31, 2023, was $12.6 million of non-cash expense related to stock-based compensation expense, including employee stock options, compared to $11.5 million for the year ended December 31, 2022. The increase in research and development expense was due to the timing of our clinical development programs along with an increase in non-cash stock-based compensation expense. Research and development expenses may fluctuate from period to period depending upon the stage of certain projects and the level of preclinical and clinical trial-related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PRT1419 (Oral and IV)</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PRT3645</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PRMT5 (PRT543 and PRT811)</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decreased by $1.8 million to $28.9 million for the year ended December 31, 2023 from $30.7 million for the year ended December 31, 2022. Included in the general and administrative expenses for the year ended December 31, 2023, was $13.0 million of non-cash expense related to stock-based compensation expense, including employee stock options, as compared to $13.6 million for the same period in 2022. The decrease in general and administrative expense was primarily due to our continued management of general and administrative expenses.</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140" w:firstLine="478"/>
        <w:spacing w:after="0" w:line="265" w:lineRule="auto"/>
        <w:rPr>
          <w:sz w:val="20"/>
          <w:szCs w:val="20"/>
          <w:color w:val="auto"/>
        </w:rPr>
      </w:pPr>
      <w:r>
        <w:rPr>
          <w:rFonts w:ascii="Times New Roman" w:cs="Times New Roman" w:eastAsia="Times New Roman" w:hAnsi="Times New Roman"/>
          <w:sz w:val="18"/>
          <w:szCs w:val="18"/>
          <w:color w:val="auto"/>
        </w:rPr>
        <w:t>Other income, net increased by $2.3 million to $10.4 million for the year ended December 31, 2023 from $8.1 million for the year ended December 31, 2022, primarily due to interest earned on the investment of our cash proceeds as a result of higher interest rates and higher investment balances as well as the receipt and recognition of research and development tax credits from the State of Delaware during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60" w:firstLine="478"/>
        <w:spacing w:after="0" w:line="281"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4" w:name="page85"/>
    <w:bookmarkEnd w:id="84"/>
    <w:p>
      <w:pPr>
        <w:ind w:right="60"/>
        <w:spacing w:after="0" w:line="258" w:lineRule="auto"/>
        <w:rPr>
          <w:sz w:val="20"/>
          <w:szCs w:val="20"/>
          <w:color w:val="auto"/>
        </w:rPr>
      </w:pPr>
      <w:r>
        <w:rPr>
          <w:rFonts w:ascii="Times New Roman" w:cs="Times New Roman" w:eastAsia="Times New Roman" w:hAnsi="Times New Roman"/>
          <w:sz w:val="18"/>
          <w:szCs w:val="18"/>
          <w:color w:val="auto"/>
        </w:rPr>
        <w:t>any products for several years, if at all. Since our inception, we have funded our operations through the sale of convertible preferred stock and common stock. As of December 31, 2023, we had $232.9 million in cash, cash equivalents, and marketable securities and had an accumulated deficit of $456.4 million. We expect our existing cash, cash equivalents, and marketable securities will enable us to fund our operating expense and capital expenditures into 2026. We have based these estimates on assumptions that may prove to be imprecise, and we could utilize our available capital resources sooner than we expect.</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second quarter of 2023, we sold 6,761,200 shares of common stock which comprised of (i) 5,312,978 shares of voting common stock and</w:t>
      </w:r>
    </w:p>
    <w:p>
      <w:pPr>
        <w:spacing w:after="0" w:line="27" w:lineRule="exact"/>
        <w:rPr>
          <w:sz w:val="20"/>
          <w:szCs w:val="20"/>
          <w:color w:val="auto"/>
        </w:rPr>
      </w:pPr>
    </w:p>
    <w:p>
      <w:pPr>
        <w:ind w:firstLine="8"/>
        <w:spacing w:after="0" w:line="252"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80" w:lineRule="exact"/>
        <w:rPr>
          <w:sz w:val="20"/>
          <w:szCs w:val="20"/>
          <w:color w:val="auto"/>
        </w:rPr>
      </w:pPr>
    </w:p>
    <w:p>
      <w:pPr>
        <w:ind w:right="320" w:firstLine="479"/>
        <w:spacing w:after="0" w:line="281" w:lineRule="auto"/>
        <w:rPr>
          <w:sz w:val="20"/>
          <w:szCs w:val="20"/>
          <w:color w:val="auto"/>
        </w:rPr>
      </w:pPr>
      <w:r>
        <w:rPr>
          <w:rFonts w:ascii="Times New Roman" w:cs="Times New Roman" w:eastAsia="Times New Roman" w:hAnsi="Times New Roman"/>
          <w:sz w:val="18"/>
          <w:szCs w:val="18"/>
          <w:color w:val="auto"/>
        </w:rPr>
        <w:t>During the fourth quarter of 2023, we sold in a private placement pre-funded warrants to purchase 7,936,759 shares of voting common stock at a price of $3.1499 per pre-funded warrant, resulting in net proceeds of $24.8 million after deducting offering costs of $0.2 million.</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40" w:firstLine="478"/>
        <w:spacing w:after="0" w:line="265"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7" w:lineRule="exact"/>
        <w:rPr>
          <w:sz w:val="20"/>
          <w:szCs w:val="20"/>
          <w:color w:val="auto"/>
        </w:rPr>
      </w:pPr>
    </w:p>
    <w:p>
      <w:pPr>
        <w:ind w:right="40" w:firstLine="478"/>
        <w:spacing w:after="0" w:line="26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9" w:lineRule="exact"/>
        <w:rPr>
          <w:sz w:val="20"/>
          <w:szCs w:val="20"/>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6" w:lineRule="exact"/>
        <w:rPr>
          <w:rFonts w:ascii="Times New Roman" w:cs="Times New Roman" w:eastAsia="Times New Roman" w:hAnsi="Times New Roman"/>
          <w:sz w:val="18"/>
          <w:szCs w:val="18"/>
          <w:color w:val="auto"/>
        </w:rPr>
      </w:pPr>
    </w:p>
    <w:p>
      <w:pPr>
        <w:ind w:left="960" w:right="360" w:hanging="474"/>
        <w:spacing w:after="0" w:line="281"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4" w:lineRule="exact"/>
        <w:rPr>
          <w:rFonts w:ascii="Times New Roman" w:cs="Times New Roman" w:eastAsia="Times New Roman" w:hAnsi="Times New Roman"/>
          <w:sz w:val="18"/>
          <w:szCs w:val="18"/>
          <w:color w:val="auto"/>
        </w:rPr>
      </w:pPr>
    </w:p>
    <w:p>
      <w:pPr>
        <w:ind w:left="960" w:right="340" w:hanging="474"/>
        <w:spacing w:after="0" w:line="281"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6" w:lineRule="exact"/>
        <w:rPr>
          <w:rFonts w:ascii="Times New Roman" w:cs="Times New Roman" w:eastAsia="Times New Roman" w:hAnsi="Times New Roman"/>
          <w:sz w:val="18"/>
          <w:szCs w:val="18"/>
          <w:color w:val="auto"/>
        </w:rPr>
      </w:pPr>
    </w:p>
    <w:p>
      <w:pPr>
        <w:ind w:left="960" w:right="40" w:hanging="474"/>
        <w:spacing w:after="0" w:line="281"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40" w:firstLine="478"/>
        <w:spacing w:after="0" w:line="260"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85" w:name="page86"/>
    <w:bookmarkEnd w:id="85"/>
    <w:p>
      <w:pPr>
        <w:ind w:firstLine="479"/>
        <w:spacing w:after="0" w:line="254" w:lineRule="auto"/>
        <w:rPr>
          <w:sz w:val="20"/>
          <w:szCs w:val="20"/>
          <w:color w:val="auto"/>
        </w:rPr>
      </w:pPr>
      <w:r>
        <w:rPr>
          <w:rFonts w:ascii="Times New Roman" w:cs="Times New Roman" w:eastAsia="Times New Roman" w:hAnsi="Times New Roman"/>
          <w:sz w:val="18"/>
          <w:szCs w:val="18"/>
          <w:color w:val="auto"/>
        </w:rPr>
        <w:t>In March 2023, we filed a prospectus supplement to our existing shelf registration statement on Form S-3, or the Shelf Registration Statement. The Shelf Registration Statement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In March 2023, in connecting with filing a prospectus supplement to our Shelf Registration Statement, we entered into an Open Market Sales Agreement</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or the Sales Agreement, with Jefferies LLC, as the sales agent, pursuant to which we may offer and sell shares of our common stock having an aggregate offering amount of up to $75.0 million. The $75.0 million of common stock that may be issued and sold pursuant to the Sales Agreement is included in the $400.0 million of securities that may be issued and sold pursuant to the Shelf Registration Statement. We will pay Jefferies LLC a commission rate of up to 3.0% of the gross proceeds from the sale of any shares of common stock pursuant to the Sales Agreement. We have $75.0 million remaining under the Sales Agreement.</w:t>
      </w:r>
    </w:p>
    <w:p>
      <w:pPr>
        <w:spacing w:after="0" w:line="186"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(107,063 )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(83,729 )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(34,646 )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we used $107.1 million of cash in operating activities. Cash used in operating activities reflected our net loss of $121.8 million along with a $10.5 million net increase in our operating assets and liabilities offset by noncash charges of $25.2 million, which consisted of $25.6 million in stock-based compensation. The primary use of cash was to fund our operations related to the development of our product candidates.</w:t>
      </w:r>
    </w:p>
    <w:p>
      <w:pPr>
        <w:spacing w:after="0" w:line="74" w:lineRule="exact"/>
        <w:rPr>
          <w:sz w:val="20"/>
          <w:szCs w:val="20"/>
          <w:color w:val="auto"/>
        </w:rPr>
      </w:pPr>
    </w:p>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we used $83.7 million of cash in operating activities. Cash used in operating activities reflected our net loss of $115.4 million, offset by a $0.9 million net decrease in our operating assets and liabilities and noncash charges of $30.8 million, which consisted of $25.1 million in stock-based compensation, $2.6 million in amortization of premiums and discounts on marketable securities, $1.7 million noncash lease expense, and $1.3 million in depreciation. The primary use of cash was to fund our operations related to the development of our product candidates.</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20" w:firstLine="478"/>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we used $34.6 million of cash in investing activities primarily due to net purchases of marketable securities of $31.1 million. During the year ended December 31, 2022 investing activities provided $81.7 million of cash primarily due to net maturities of marketable securities of $84.7 million.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6" w:name="page87"/>
    <w:bookmarkEnd w:id="86"/>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478"/>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$136.4 million which was primarily the result of $135.7 million in proceeds received from the sale of common stock and pre-funded warrants, net of issuance costs. During the year ended December 31, 2022, financing activities provided $0.8 million due to the exercise of stock options and purchases of stock under the Employee Stock Purchase Plan.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one operating lease for office and lab space. Our leased facility includes approximately 81,000 rentable square feet and has an initial term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 months with 3 five-year extension options and certain expansion rights. The gross obligation for our operating lease over the next twelve months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and we expect to make the total lease payments of $43.2 million through May 2037. See Note 8 to our financial statements included elsewhere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10-K for additional information.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periods. On an ongoing basis, management evaluates its estimates and judgments.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regard an accounting estimate or assumption underlying our financial statements as a “critical accounting estimate” if:</w:t>
      </w:r>
    </w:p>
    <w:p>
      <w:pPr>
        <w:spacing w:after="0" w:line="117" w:lineRule="exact"/>
        <w:rPr>
          <w:sz w:val="20"/>
          <w:szCs w:val="20"/>
          <w:color w:val="auto"/>
        </w:rPr>
      </w:pPr>
    </w:p>
    <w:p>
      <w:pPr>
        <w:ind w:left="1020" w:right="28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estimate or assumption is material due to the level of subjectivity and judgment necessary to account for highly uncertain matters or the susceptibility of such matters to change;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estimates and assumptions on financial condition or operating performance is material.</w:t>
      </w:r>
    </w:p>
    <w:p>
      <w:pPr>
        <w:spacing w:after="0" w:line="225" w:lineRule="exact"/>
        <w:rPr>
          <w:sz w:val="20"/>
          <w:szCs w:val="20"/>
          <w:color w:val="auto"/>
        </w:rPr>
      </w:pPr>
    </w:p>
    <w:p>
      <w:pPr>
        <w:ind w:right="460" w:firstLine="478"/>
        <w:spacing w:after="0" w:line="28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(Summary of Significant Accounting Policies) to our audited financial statements included elsewhere in this Annual Report on Form 10-K, we believe the following accounting policies are the most critical to the judgments and estimates used in the preparation of our financial statements.</w:t>
      </w:r>
    </w:p>
    <w:p>
      <w:pPr>
        <w:spacing w:after="0" w:line="2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80" w:firstLine="478"/>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We expense research and development costs as incurred.</w:t>
      </w:r>
    </w:p>
    <w:p>
      <w:pPr>
        <w:spacing w:after="0" w:line="163"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We accrue an expense for preclinical studies and clinical trial activities performed by our CROs and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2" w:lineRule="exact"/>
        <w:rPr>
          <w:sz w:val="20"/>
          <w:szCs w:val="20"/>
          <w:color w:val="auto"/>
        </w:rPr>
      </w:pPr>
    </w:p>
    <w:p>
      <w:pPr>
        <w:ind w:right="80" w:firstLine="478"/>
        <w:spacing w:after="0" w:line="258"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7" w:name="page88"/>
    <w:bookmarkEnd w:id="8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34"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of stock options,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82" w:lineRule="exact"/>
        <w:rPr>
          <w:sz w:val="20"/>
          <w:szCs w:val="20"/>
          <w:color w:val="auto"/>
        </w:rPr>
      </w:pPr>
    </w:p>
    <w:p>
      <w:pPr>
        <w:ind w:right="160" w:firstLine="478"/>
        <w:spacing w:after="0" w:line="258"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223" w:lineRule="exact"/>
        <w:rPr>
          <w:sz w:val="20"/>
          <w:szCs w:val="20"/>
          <w:color w:val="auto"/>
        </w:rPr>
      </w:pPr>
    </w:p>
    <w:p>
      <w:pPr>
        <w:ind w:right="100" w:firstLine="478"/>
        <w:spacing w:after="0" w:line="277" w:lineRule="auto"/>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—Prior to becoming a public company in 2020, we did not have any trading history for our common stock; accordingly,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 As a public company we have computed the historical volatility of our own stock price and will continue to use the average volatility for comparable publicly traded biotechnology companies until we have ample trading history of our own stock commensurate with the estimated expected term of our options.</w:t>
      </w:r>
    </w:p>
    <w:p>
      <w:pPr>
        <w:spacing w:after="0" w:line="166" w:lineRule="exact"/>
        <w:rPr>
          <w:sz w:val="20"/>
          <w:szCs w:val="20"/>
          <w:color w:val="auto"/>
        </w:rPr>
      </w:pPr>
    </w:p>
    <w:p>
      <w:pPr>
        <w:jc w:val="both"/>
        <w:ind w:right="360"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 The expected term represents the period that stock-based awards are expected to be outstanding. The expected term for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is determined using the simplified method. The simplified method deems the expected term to be the midpoint between the vesting date and the contractual life of the stock-based awards.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7" w:lineRule="exact"/>
        <w:rPr>
          <w:sz w:val="20"/>
          <w:szCs w:val="20"/>
          <w:color w:val="auto"/>
        </w:rPr>
      </w:pPr>
    </w:p>
    <w:p>
      <w:pPr>
        <w:ind w:right="80" w:firstLine="479"/>
        <w:spacing w:after="0" w:line="260"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ind w:right="40" w:firstLine="479"/>
        <w:spacing w:after="0" w:line="239"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160" w:firstLine="479"/>
        <w:spacing w:after="0" w:line="281" w:lineRule="auto"/>
        <w:rPr>
          <w:sz w:val="20"/>
          <w:szCs w:val="20"/>
          <w:color w:val="auto"/>
        </w:rPr>
      </w:pPr>
      <w:r>
        <w:rPr>
          <w:rFonts w:ascii="Times New Roman" w:cs="Times New Roman" w:eastAsia="Times New Roman" w:hAnsi="Times New Roman"/>
          <w:sz w:val="18"/>
          <w:szCs w:val="18"/>
          <w:color w:val="auto"/>
        </w:rPr>
        <w:t>See Note 3 to our financial statements included elsewhere in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88" w:name="page89"/>
    <w:bookmarkEnd w:id="88"/>
    <w:p>
      <w:pPr>
        <w:ind w:right="100"/>
        <w:spacing w:after="0" w:line="260" w:lineRule="auto"/>
        <w:rPr>
          <w:sz w:val="20"/>
          <w:szCs w:val="20"/>
          <w:color w:val="auto"/>
        </w:rPr>
      </w:pPr>
      <w:r>
        <w:rPr>
          <w:rFonts w:ascii="Times New Roman" w:cs="Times New Roman" w:eastAsia="Times New Roman" w:hAnsi="Times New Roman"/>
          <w:sz w:val="18"/>
          <w:szCs w:val="18"/>
          <w:color w:val="auto"/>
        </w:rPr>
        <w:t>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ind w:firstLine="479"/>
        <w:spacing w:after="0" w:line="270" w:lineRule="auto"/>
        <w:rPr>
          <w:sz w:val="20"/>
          <w:szCs w:val="20"/>
          <w:color w:val="auto"/>
        </w:rPr>
      </w:pPr>
      <w:r>
        <w:rPr>
          <w:rFonts w:ascii="Times New Roman" w:cs="Times New Roman" w:eastAsia="Times New Roman" w:hAnsi="Times New Roman"/>
          <w:sz w:val="17"/>
          <w:szCs w:val="17"/>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w:t>
      </w:r>
    </w:p>
    <w:p>
      <w:pPr>
        <w:spacing w:after="0" w:line="2" w:lineRule="exact"/>
        <w:rPr>
          <w:sz w:val="20"/>
          <w:szCs w:val="20"/>
          <w:color w:val="auto"/>
        </w:rPr>
      </w:pPr>
    </w:p>
    <w:p>
      <w:pPr>
        <w:ind w:right="40" w:firstLine="8"/>
        <w:spacing w:after="0" w:line="255" w:lineRule="auto"/>
        <w:tabs>
          <w:tab w:leader="none" w:pos="3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5" w:lineRule="exact"/>
        <w:rPr>
          <w:sz w:val="20"/>
          <w:szCs w:val="20"/>
          <w:color w:val="auto"/>
        </w:rPr>
      </w:pPr>
    </w:p>
    <w:p>
      <w:pPr>
        <w:ind w:firstLine="478"/>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w:t>
      </w:r>
    </w:p>
    <w:p>
      <w:pPr>
        <w:ind w:right="80" w:firstLine="8"/>
        <w:spacing w:after="0" w:line="252" w:lineRule="auto"/>
        <w:tabs>
          <w:tab w:leader="none" w:pos="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60" w:firstLine="479"/>
        <w:spacing w:after="0" w:line="281"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9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44"/>
        </w:trPr>
        <w:tc>
          <w:tcPr>
            <w:tcW w:w="20" w:type="dxa"/>
            <w:vAlign w:val="bottom"/>
          </w:tcPr>
          <w:p>
            <w:pPr>
              <w:spacing w:after="0"/>
              <w:rPr>
                <w:sz w:val="24"/>
                <w:szCs w:val="24"/>
                <w:color w:val="auto"/>
              </w:rPr>
            </w:pPr>
          </w:p>
        </w:tc>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Balance Sheets as of December 31, 2023 and 2022</w:t>
            </w:r>
          </w:p>
        </w:tc>
        <w:tc>
          <w:tcPr>
            <w:tcW w:w="502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 for the Years ended December 31, 2023 and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44"/>
        </w:trPr>
        <w:tc>
          <w:tcPr>
            <w:tcW w:w="20" w:type="dxa"/>
            <w:vAlign w:val="bottom"/>
          </w:tcPr>
          <w:p>
            <w:pPr>
              <w:spacing w:after="0"/>
              <w:rPr>
                <w:sz w:val="24"/>
                <w:szCs w:val="24"/>
                <w:color w:val="auto"/>
              </w:rPr>
            </w:pPr>
          </w:p>
        </w:tc>
        <w:tc>
          <w:tcPr>
            <w:tcW w:w="7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Changes in Stockholders’ Equity for the Years ended December 31, 2023 and 2022</w:t>
            </w:r>
          </w:p>
        </w:tc>
        <w:tc>
          <w:tcPr>
            <w:tcW w:w="19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44"/>
        </w:trPr>
        <w:tc>
          <w:tcPr>
            <w:tcW w:w="20" w:type="dxa"/>
            <w:vAlign w:val="bottom"/>
          </w:tcPr>
          <w:p>
            <w:pPr>
              <w:spacing w:after="0"/>
              <w:rPr>
                <w:sz w:val="24"/>
                <w:szCs w:val="24"/>
                <w:color w:val="auto"/>
              </w:rPr>
            </w:pPr>
          </w:p>
        </w:tc>
        <w:tc>
          <w:tcPr>
            <w:tcW w:w="5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Cash Flows for the Years ended December 31, 2023 and 2022</w:t>
            </w:r>
          </w:p>
        </w:tc>
        <w:tc>
          <w:tcPr>
            <w:tcW w:w="1520" w:type="dxa"/>
            <w:vAlign w:val="bottom"/>
            <w:tcBorders>
              <w:top w:val="single" w:sz="8" w:color="0000FF"/>
            </w:tcBorders>
          </w:tcPr>
          <w:p>
            <w:pPr>
              <w:spacing w:after="0"/>
              <w:rPr>
                <w:sz w:val="24"/>
                <w:szCs w:val="24"/>
                <w:color w:val="auto"/>
              </w:rPr>
            </w:pPr>
          </w:p>
        </w:tc>
        <w:tc>
          <w:tcPr>
            <w:tcW w:w="224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44"/>
        </w:trPr>
        <w:tc>
          <w:tcPr>
            <w:tcW w:w="20" w:type="dxa"/>
            <w:vAlign w:val="bottom"/>
          </w:tcPr>
          <w:p>
            <w:pPr>
              <w:spacing w:after="0"/>
              <w:rPr>
                <w:sz w:val="24"/>
                <w:szCs w:val="24"/>
                <w:color w:val="auto"/>
              </w:rPr>
            </w:pPr>
          </w:p>
        </w:tc>
        <w:tc>
          <w:tcPr>
            <w:tcW w:w="2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08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681"/>
        </w:trPr>
        <w:tc>
          <w:tcPr>
            <w:tcW w:w="7020" w:type="dxa"/>
            <w:vAlign w:val="bottom"/>
            <w:gridSpan w:val="6"/>
          </w:tcPr>
          <w:p>
            <w:pPr>
              <w:jc w:val="right"/>
              <w:ind w:right="130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0" w:name="page91"/>
    <w:bookmarkEnd w:id="90"/>
    <w:p>
      <w:pPr>
        <w:ind w:right="2540" w:firstLine="2539"/>
        <w:spacing w:after="0" w:line="47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Prelude Therapeutics Incorporated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Prelude Therapeutics Incorporated (the Company) as of December 31, 2023 and 2022, the related statements of operations and comprehensive loss, changes in stockholders’ equity and cash flows for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Calibri" w:cs="Calibri" w:eastAsia="Calibri" w:hAnsi="Calibri"/>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42,063,995 and</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36,496,994 shares issued and outstanding at December 31, 2023 and 2022,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11,402,037 shares issued and outstanding at December 31, 2023 and 2022,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531,682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(1,692 )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(456,390 )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(334,558 )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-4083685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-3141980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-3124835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-3141980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-3124835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-1874520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(132,277 )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(123,540 )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(121,832 )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(115,438 )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60,357,052</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47,371,589</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(121,832 )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(115,438 )</w:t>
            </w:r>
          </w:p>
        </w:tc>
      </w:tr>
      <w:tr>
        <w:trPr>
          <w:trHeight w:val="243"/>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(981 )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(119,917 )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(116,419 )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-1831975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-1189355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-1172210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-855345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-838200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30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980" w:type="dxa"/>
            <w:vAlign w:val="bottom"/>
          </w:tcPr>
          <w:p>
            <w:pPr>
              <w:spacing w:after="0"/>
              <w:rPr>
                <w:sz w:val="19"/>
                <w:szCs w:val="19"/>
                <w:color w:val="auto"/>
              </w:rPr>
            </w:pPr>
          </w:p>
        </w:tc>
        <w:tc>
          <w:tcPr>
            <w:tcW w:w="2040" w:type="dxa"/>
            <w:vAlign w:val="bottom"/>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240" w:type="dxa"/>
            <w:vAlign w:val="bottom"/>
            <w:gridSpan w:val="2"/>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29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2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86"/>
              </w:rPr>
              <w:t>Amoun</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36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2980" w:type="dxa"/>
            <w:vAlign w:val="bottom"/>
            <w:tcBorders>
              <w:right w:val="single" w:sz="8" w:color="CFF0FC"/>
            </w:tcBorders>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531,68</w:t>
            </w: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FF0FC"/>
          </w:tcPr>
          <w:p>
            <w:pPr>
              <w:spacing w:after="0"/>
              <w:rPr>
                <w:sz w:val="17"/>
                <w:szCs w:val="17"/>
                <w:color w:val="auto"/>
              </w:rPr>
            </w:pPr>
          </w:p>
        </w:tc>
      </w:tr>
      <w:tr>
        <w:trPr>
          <w:trHeight w:val="248"/>
        </w:trPr>
        <w:tc>
          <w:tcPr>
            <w:tcW w:w="2980" w:type="dxa"/>
            <w:vAlign w:val="bottom"/>
            <w:tcBorders>
              <w:right w:val="single" w:sz="8" w:color="CFF0FC"/>
            </w:tcBorders>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36,496,994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left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(1,692 )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(334,558 )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and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 net of issuance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$2.8 million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5,312,978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1,448,222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1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net of 3,983 shares withheld</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r>
      <w:tr>
        <w:trPr>
          <w:trHeight w:val="21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forfeitures of restricted stock</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0"/>
                <w:szCs w:val="20"/>
                <w:color w:val="auto"/>
              </w:rPr>
            </w:pPr>
          </w:p>
        </w:tc>
      </w:tr>
      <w:tr>
        <w:trPr>
          <w:trHeight w:val="21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shd w:val="clear" w:color="auto" w:fill="CFF0FC"/>
          </w:tcPr>
          <w:p>
            <w:pPr>
              <w:spacing w:after="0"/>
              <w:rPr>
                <w:sz w:val="18"/>
                <w:szCs w:val="18"/>
                <w:color w:val="auto"/>
              </w:rPr>
            </w:pPr>
          </w:p>
        </w:tc>
      </w:tr>
      <w:tr>
        <w:trPr>
          <w:trHeight w:val="241"/>
        </w:trPr>
        <w:tc>
          <w:tcPr>
            <w:tcW w:w="2980" w:type="dxa"/>
            <w:vAlign w:val="bottom"/>
            <w:tcBorders>
              <w:right w:val="single" w:sz="8" w:color="CFF0FC"/>
            </w:tcBorders>
            <w:shd w:val="clear" w:color="auto" w:fill="CFF0FC"/>
          </w:tcPr>
          <w:p>
            <w:pPr>
              <w:spacing w:after="0"/>
              <w:rPr>
                <w:sz w:val="20"/>
                <w:szCs w:val="20"/>
                <w:color w:val="auto"/>
              </w:rPr>
            </w:pP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(121,832 )</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1"/>
        </w:trPr>
        <w:tc>
          <w:tcPr>
            <w:tcW w:w="2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00" w:type="dxa"/>
            <w:vAlign w:val="bottom"/>
            <w:tcBorders>
              <w:top w:val="single" w:sz="8" w:color="CFF0FC"/>
            </w:tcBorders>
          </w:tcPr>
          <w:p>
            <w:pPr>
              <w:spacing w:after="0"/>
              <w:rPr>
                <w:sz w:val="18"/>
                <w:szCs w:val="18"/>
                <w:color w:val="auto"/>
              </w:rPr>
            </w:pPr>
          </w:p>
        </w:tc>
      </w:tr>
      <w:tr>
        <w:trPr>
          <w:trHeight w:val="241"/>
        </w:trPr>
        <w:tc>
          <w:tcPr>
            <w:tcW w:w="2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42,063,995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12,850,259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(456,390 )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29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2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Additiona</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88"/>
              </w:rPr>
              <w:t>l</w:t>
            </w:r>
          </w:p>
        </w:tc>
        <w:tc>
          <w:tcPr>
            <w:tcW w:w="300" w:type="dxa"/>
            <w:vAlign w:val="bottom"/>
          </w:tcPr>
          <w:p>
            <w:pPr>
              <w:spacing w:after="0"/>
              <w:rPr>
                <w:sz w:val="17"/>
                <w:szCs w:val="17"/>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3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10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shares)</w:t>
            </w:r>
          </w:p>
        </w:tc>
        <w:tc>
          <w:tcPr>
            <w:tcW w:w="204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240" w:type="dxa"/>
            <w:vAlign w:val="bottom"/>
            <w:gridSpan w:val="2"/>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3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20"/>
                <w:szCs w:val="20"/>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29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w:t>
            </w:r>
          </w:p>
        </w:tc>
        <w:tc>
          <w:tcPr>
            <w:tcW w:w="2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298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nt</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8"/>
              </w:rPr>
              <w:t>nt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36,200,299</w:t>
            </w: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lef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$ 505,723</w:t>
            </w:r>
          </w:p>
        </w:tc>
        <w:tc>
          <w:tcPr>
            <w:tcW w:w="460" w:type="dxa"/>
            <w:vAlign w:val="bottom"/>
            <w:tcBorders>
              <w:left w:val="single" w:sz="8" w:color="CFF0FC"/>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(711 )</w:t>
            </w:r>
          </w:p>
        </w:tc>
        <w:tc>
          <w:tcPr>
            <w:tcW w:w="11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7"/>
              </w:rPr>
              <w:t>$ (219,120 )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285,897</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222,905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1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97,206</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(981 )</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(981 )</w:t>
            </w:r>
          </w:p>
        </w:tc>
      </w:tr>
      <w:tr>
        <w:trPr>
          <w:trHeight w:val="21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forfeitures of restricted stock</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(23,416 )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30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18"/>
                <w:szCs w:val="18"/>
                <w:color w:val="auto"/>
              </w:rPr>
            </w:pPr>
          </w:p>
        </w:tc>
      </w:tr>
      <w:tr>
        <w:trPr>
          <w:trHeight w:val="241"/>
        </w:trPr>
        <w:tc>
          <w:tcPr>
            <w:tcW w:w="29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(115,438 )</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2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29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36,496,994</w:t>
            </w:r>
          </w:p>
        </w:tc>
        <w:tc>
          <w:tcPr>
            <w:tcW w:w="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left w:val="single" w:sz="8" w:color="CFF0FC"/>
              <w:right w:val="single" w:sz="8" w:color="CFF0FC"/>
            </w:tcBorders>
            <w:shd w:val="clear" w:color="auto" w:fill="CFF0FC"/>
          </w:tcPr>
          <w:p>
            <w:pPr>
              <w:spacing w:after="0"/>
              <w:rPr>
                <w:sz w:val="22"/>
                <w:szCs w:val="22"/>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$ 531,682</w:t>
            </w:r>
          </w:p>
        </w:tc>
        <w:tc>
          <w:tcPr>
            <w:tcW w:w="300" w:type="dxa"/>
            <w:vAlign w:val="bottom"/>
            <w:tcBorders>
              <w:left w:val="single" w:sz="8" w:color="CFF0FC"/>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(1,692 )</w:t>
            </w:r>
          </w:p>
        </w:tc>
        <w:tc>
          <w:tcPr>
            <w:tcW w:w="11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7"/>
              </w:rPr>
              <w:t>$ (334,558 )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195,437</w:t>
            </w:r>
          </w:p>
        </w:tc>
        <w:tc>
          <w:tcPr>
            <w:tcW w:w="100" w:type="dxa"/>
            <w:vAlign w:val="bottom"/>
            <w:shd w:val="clear" w:color="auto" w:fill="CFF0FC"/>
          </w:tcPr>
          <w:p>
            <w:pPr>
              <w:spacing w:after="0"/>
              <w:rPr>
                <w:sz w:val="22"/>
                <w:szCs w:val="22"/>
                <w:color w:val="auto"/>
              </w:rPr>
            </w:pPr>
          </w:p>
        </w:tc>
      </w:tr>
      <w:tr>
        <w:trPr>
          <w:trHeight w:val="20"/>
        </w:trPr>
        <w:tc>
          <w:tcPr>
            <w:tcW w:w="29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-3509645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-3509645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-3509645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-3509645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-3509645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-3509645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-3509645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-3509645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(121,832 )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(115,438 )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(3,473 )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(3,843 )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(8,810 )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(1,711 )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(107,063 )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(83,729 )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(221,633 )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(119,223 )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(3,019 )</w:t>
            </w:r>
          </w:p>
        </w:tc>
      </w:tr>
      <w:tr>
        <w:trPr>
          <w:trHeight w:val="20"/>
        </w:trPr>
        <w:tc>
          <w:tcPr>
            <w:tcW w:w="7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(34,646 )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offering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135,731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exercise of 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136,395</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(5,314 )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 in accrued expenses and other current liabilities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740" w:type="dxa"/>
            <w:vAlign w:val="bottom"/>
            <w:tcBorders>
              <w:top w:val="single" w:sz="8" w:color="CFF0FC"/>
            </w:tcBorders>
          </w:tcPr>
          <w:p>
            <w:pPr>
              <w:ind w:left="3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413"/>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7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-4177665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-4177665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-3227705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-2285365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-1968500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-1292225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-1275080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-932815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-915670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21"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91" w:lineRule="exact"/>
        <w:rPr>
          <w:sz w:val="20"/>
          <w:szCs w:val="20"/>
          <w:color w:val="auto"/>
        </w:rPr>
      </w:pPr>
    </w:p>
    <w:p>
      <w:pPr>
        <w:ind w:right="60" w:firstLine="478"/>
        <w:spacing w:after="0" w:line="265"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$456.4 million at December 31, 2023.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77" w:lineRule="exact"/>
        <w:rPr>
          <w:sz w:val="20"/>
          <w:szCs w:val="20"/>
          <w:color w:val="auto"/>
        </w:rPr>
      </w:pPr>
    </w:p>
    <w:p>
      <w:pPr>
        <w:ind w:right="400" w:firstLine="478"/>
        <w:spacing w:after="0" w:line="281"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December 31, 2023 will be sufficient to fund its operating expenses and capital expenditure requirements into 2026.</w:t>
      </w:r>
    </w:p>
    <w:p>
      <w:pPr>
        <w:spacing w:after="0" w:line="163"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ind w:left="480" w:right="7680" w:hanging="472"/>
        <w:spacing w:after="0" w:line="377" w:lineRule="auto"/>
        <w:tabs>
          <w:tab w:leader="none" w:pos="18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160" w:firstLine="478"/>
        <w:spacing w:after="0" w:line="265"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(“GAAP”). Any reference in these notes to applicable guidance is meant to refer to GAAP as found in the Accounting Standards Codification (“ASC”) and Accounting Standards Updates (“ASU”) promulgated by the Financial Accounting Standards Board (“FASB”).</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7" w:lineRule="exact"/>
        <w:rPr>
          <w:sz w:val="20"/>
          <w:szCs w:val="20"/>
          <w:color w:val="auto"/>
        </w:rPr>
      </w:pPr>
    </w:p>
    <w:p>
      <w:pPr>
        <w:ind w:right="260" w:firstLine="478"/>
        <w:spacing w:after="0" w:line="281"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60" w:firstLine="478"/>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including cash, restricted cash, accounts payable, and accrued expenses, approximate fair value due to the short-term nature of these instruments.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20" w:firstLine="478"/>
        <w:spacing w:after="0" w:line="281"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5" w:lineRule="exact"/>
        <w:rPr>
          <w:sz w:val="20"/>
          <w:szCs w:val="20"/>
          <w:color w:val="auto"/>
        </w:rPr>
      </w:pPr>
    </w:p>
    <w:p>
      <w:pPr>
        <w:ind w:right="420" w:firstLine="478"/>
        <w:spacing w:after="0" w:line="281" w:lineRule="auto"/>
        <w:rPr>
          <w:sz w:val="20"/>
          <w:szCs w:val="20"/>
          <w:color w:val="auto"/>
        </w:rPr>
      </w:pPr>
      <w:r>
        <w:rPr>
          <w:rFonts w:ascii="Times New Roman" w:cs="Times New Roman" w:eastAsia="Times New Roman" w:hAnsi="Times New Roman"/>
          <w:sz w:val="18"/>
          <w:szCs w:val="18"/>
          <w:color w:val="auto"/>
        </w:rPr>
        <w:t>Restricted cash comprises a letter of credit with Silicon Valley Bank for the benefit of the landlord in connection with the Company’s new lease facility. See Note 8 (Commitments) for further details.</w:t>
      </w:r>
    </w:p>
    <w:p>
      <w:pPr>
        <w:spacing w:after="0" w:line="55"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shd w:val="clear" w:color="auto" w:fill="CFF0FC"/>
          </w:tcPr>
          <w:p>
            <w:pPr>
              <w:spacing w:after="0"/>
              <w:rPr>
                <w:sz w:val="20"/>
                <w:szCs w:val="20"/>
                <w:color w:val="auto"/>
              </w:rPr>
            </w:pPr>
          </w:p>
        </w:tc>
      </w:tr>
      <w:tr>
        <w:trPr>
          <w:trHeight w:val="647"/>
        </w:trPr>
        <w:tc>
          <w:tcPr>
            <w:tcW w:w="8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8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United States, or U.S., government debt securities, and agency securities that are classified as available-for-sale. The securities are carried at fair value with the unrealized gains and losses, net of tax, included in accumulated other comprehensive income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firstLine="478"/>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Fixed Asset Type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estimated useful life of the assets or the remaining lease term.</w:t>
      </w:r>
    </w:p>
    <w:p>
      <w:pPr>
        <w:spacing w:after="0" w:line="225"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77"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80" w:firstLine="47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Company's lease for office and laboratory space located in Wilmington, DE is classified as an operating lease. The lease results in an operating right-of-use (ROU) asset, a current operating lease liability, and a non-current operating lease liability in the balance sheet and has a remaining lease term of 162 months. The Company does not have any financing leases. Leases with a term of 12 months or less are considered short-term and a ROU asset and lease obligation are not recognized.</w:t>
      </w:r>
    </w:p>
    <w:p>
      <w:pPr>
        <w:spacing w:after="0" w:line="180" w:lineRule="exact"/>
        <w:rPr>
          <w:sz w:val="20"/>
          <w:szCs w:val="20"/>
          <w:color w:val="auto"/>
        </w:rPr>
      </w:pPr>
    </w:p>
    <w:p>
      <w:pPr>
        <w:ind w:right="140" w:firstLine="478"/>
        <w:spacing w:after="0" w:line="260"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the lease liabilities represent an obligation to make lease payments arising from the lease, measured at the present value of the lease payments not yet paid discounted using the discount rate for the lease established at the lease commencement date. The operating lease ROU asset also includes any prepaid lease payments made. Lease expense is recognized over the expected lease term on a straight-line basis.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479"/>
        <w:spacing w:after="0" w:line="281"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equity that are excluded from net loss. The Company’s comprehensive loss for the years ended December 31, 2023 and 2022 comprised net loss and unrealized gain or loss on marketable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firstLine="479"/>
        <w:spacing w:after="0" w:line="281"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vesting period of the awards.</w:t>
      </w:r>
    </w:p>
    <w:p>
      <w:pPr>
        <w:spacing w:after="0" w:line="55"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82"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its own historical volatility along with comparable public companies as a basis for its expected volatility to calculate the fair value of option grants. The risk-free rate is based on the U.S. Treasury yield curve commensurate with the expected life of the option.</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Grant Income and Research and Development Tax Credits</w:t>
      </w:r>
    </w:p>
    <w:p>
      <w:pPr>
        <w:spacing w:after="0" w:line="121" w:lineRule="exact"/>
        <w:rPr>
          <w:sz w:val="20"/>
          <w:szCs w:val="20"/>
          <w:color w:val="auto"/>
        </w:rPr>
      </w:pPr>
    </w:p>
    <w:p>
      <w:pPr>
        <w:ind w:right="140" w:firstLine="478"/>
        <w:spacing w:after="0" w:line="280" w:lineRule="auto"/>
        <w:rPr>
          <w:sz w:val="20"/>
          <w:szCs w:val="20"/>
          <w:color w:val="auto"/>
        </w:rPr>
      </w:pPr>
      <w:r>
        <w:rPr>
          <w:rFonts w:ascii="Times New Roman" w:cs="Times New Roman" w:eastAsia="Times New Roman" w:hAnsi="Times New Roman"/>
          <w:sz w:val="17"/>
          <w:szCs w:val="17"/>
          <w:color w:val="auto"/>
        </w:rPr>
        <w:t>The Company recognizes grants related to income and Delaware research and development tax credits in other income, net in the statements of operations when the necessary qualifying conditions, as stated in the agreements, are met and all contingencies have been resolved. For the years ended December 31, 2023 and 2022, the Company recorded other income of $1.5 million and $6.1 million, respectively. The Company recognizes grants related to assets as deferred income on the balance sheet. The deferred income is then recognized as grant income over the useful life of the related assets.</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2"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asset-and-liability method as required by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87" w:lineRule="exact"/>
        <w:rPr>
          <w:sz w:val="20"/>
          <w:szCs w:val="20"/>
          <w:color w:val="auto"/>
        </w:rPr>
      </w:pPr>
    </w:p>
    <w:p>
      <w:pPr>
        <w:ind w:right="240" w:firstLine="479"/>
        <w:spacing w:after="0" w:line="271" w:lineRule="auto"/>
        <w:rPr>
          <w:sz w:val="20"/>
          <w:szCs w:val="20"/>
          <w:color w:val="auto"/>
        </w:rPr>
      </w:pPr>
      <w:r>
        <w:rPr>
          <w:rFonts w:ascii="Times New Roman" w:cs="Times New Roman" w:eastAsia="Times New Roman" w:hAnsi="Times New Roman"/>
          <w:sz w:val="18"/>
          <w:szCs w:val="18"/>
          <w:color w:val="auto"/>
        </w:rPr>
        <w:t xml:space="preserve">FASB ASC Subtopic 740-10, </w:t>
      </w:r>
      <w:r>
        <w:rPr>
          <w:rFonts w:ascii="Times New Roman" w:cs="Times New Roman" w:eastAsia="Times New Roman" w:hAnsi="Times New Roman"/>
          <w:sz w:val="18"/>
          <w:szCs w:val="18"/>
          <w:i w:val="1"/>
          <w:iCs w:val="1"/>
          <w:color w:val="auto"/>
        </w:rPr>
        <w:t>Accounting for Uncertainty of Income Taxes</w:t>
      </w:r>
      <w:r>
        <w:rPr>
          <w:rFonts w:ascii="Times New Roman" w:cs="Times New Roman" w:eastAsia="Times New Roman" w:hAnsi="Times New Roman"/>
          <w:sz w:val="18"/>
          <w:szCs w:val="18"/>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a component of income tax expense.</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that were issued in a financing transaction in 2023 (Note 9).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91" w:lineRule="exact"/>
        <w:rPr>
          <w:sz w:val="20"/>
          <w:szCs w:val="20"/>
          <w:color w:val="auto"/>
        </w:rPr>
      </w:pPr>
    </w:p>
    <w:p>
      <w:pPr>
        <w:ind w:right="680" w:firstLine="478"/>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12,029,204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9,757,646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right="180" w:firstLine="478"/>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will remain an emerging growth company until the earliest of (i) the last day of the Company's first fiscal year (a) in which the Company has total annual gross revenues of at least $1.235 billion, or (b) in which the Company is deemed to be a large accelerated filer, which means the market value of the Company's common stock that is held by non-affiliates exceeds $700.0 million as of the prior June 30, (ii) the date on which the Company has issued more than $1.0 billion in non-convertible debt securities during the prior three-year period and (iii) December 31, 2025. As a result, these financial statements may not be comparable to companies that comply with the new or revised accounting pronouncements as of public company effective dates.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ind w:right="240" w:firstLine="478"/>
        <w:spacing w:after="0" w:line="261" w:lineRule="auto"/>
        <w:rPr>
          <w:sz w:val="20"/>
          <w:szCs w:val="20"/>
          <w:color w:val="auto"/>
        </w:rPr>
      </w:pPr>
      <w:r>
        <w:rPr>
          <w:rFonts w:ascii="Times New Roman" w:cs="Times New Roman" w:eastAsia="Times New Roman" w:hAnsi="Times New Roman"/>
          <w:sz w:val="18"/>
          <w:szCs w:val="18"/>
          <w:color w:val="auto"/>
        </w:rPr>
        <w:t xml:space="preserve">In August 2020, the FASB issued ASU Update No. 2020-06, </w:t>
      </w:r>
      <w:r>
        <w:rPr>
          <w:rFonts w:ascii="Times New Roman" w:cs="Times New Roman" w:eastAsia="Times New Roman" w:hAnsi="Times New Roman"/>
          <w:sz w:val="18"/>
          <w:szCs w:val="18"/>
          <w:i w:val="1"/>
          <w:iCs w:val="1"/>
          <w:color w:val="auto"/>
        </w:rPr>
        <w:t>Debt — Debt with Conversion and Other Options (Subtopic 470-20) and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 Contracts in Entity’s Own Equity (Subtopic 815-40): Accounting for Convertible Instruments and Contracts in an Entity’s Own Equity (ASU 2020-06) </w:t>
      </w:r>
      <w:r>
        <w:rPr>
          <w:rFonts w:ascii="Times New Roman" w:cs="Times New Roman" w:eastAsia="Times New Roman" w:hAnsi="Times New Roman"/>
          <w:sz w:val="18"/>
          <w:szCs w:val="18"/>
          <w:color w:val="auto"/>
        </w:rPr>
        <w:t>(“ASU 2020-06”). ASU 2020-06 eliminated the beneficial conversion and cash conversion accounting models in ASC 470-20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separate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accounting for embedded conversion features and simplified the settlement assessment to determine whether an instrument qualifies for equity classification. The Company early adopted the new standard on January 1, 2023. The adoption did not have a material impact on the financial statement</w:t>
      </w:r>
      <w:r>
        <w:rPr>
          <w:rFonts w:ascii="Times New Roman" w:cs="Times New Roman" w:eastAsia="Times New Roman" w:hAnsi="Times New Roman"/>
          <w:sz w:val="13"/>
          <w:szCs w:val="13"/>
          <w:color w:val="auto"/>
        </w:rPr>
        <w:t>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1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Updated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ASU 2023-09 requires enhanced income tax disclosures related to the rate reconciliation and income taxes paid information. For public business entities, the amendments in this Update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 as of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shd w:val="clear" w:color="auto" w:fill="CFF0FC"/>
          </w:tcPr>
          <w:p>
            <w:pPr>
              <w:spacing w:after="0"/>
              <w:rPr>
                <w:sz w:val="21"/>
                <w:szCs w:val="21"/>
                <w:color w:val="auto"/>
              </w:rPr>
            </w:pPr>
          </w:p>
        </w:tc>
      </w:tr>
      <w:tr>
        <w:trPr>
          <w:trHeight w:val="238"/>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00" w:type="dxa"/>
            <w:vAlign w:val="bottom"/>
          </w:tcPr>
          <w:p>
            <w:pPr>
              <w:spacing w:after="0"/>
              <w:rPr>
                <w:sz w:val="20"/>
                <w:szCs w:val="20"/>
                <w:color w:val="auto"/>
              </w:rPr>
            </w:pPr>
          </w:p>
        </w:tc>
      </w:tr>
      <w:tr>
        <w:trPr>
          <w:trHeight w:val="243"/>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00" w:type="dxa"/>
            <w:vAlign w:val="bottom"/>
            <w:shd w:val="clear" w:color="auto" w:fill="CFF0FC"/>
          </w:tcPr>
          <w:p>
            <w:pPr>
              <w:spacing w:after="0"/>
              <w:rPr>
                <w:sz w:val="21"/>
                <w:szCs w:val="2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207,421</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163,208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(1,672 )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100" w:type="dxa"/>
            <w:vAlign w:val="bottom"/>
            <w:shd w:val="clear" w:color="auto" w:fill="CFF0FC"/>
          </w:tcPr>
          <w:p>
            <w:pPr>
              <w:spacing w:after="0"/>
              <w:rPr>
                <w:sz w:val="21"/>
                <w:szCs w:val="21"/>
                <w:color w:val="auto"/>
              </w:rPr>
            </w:pPr>
          </w:p>
        </w:tc>
      </w:tr>
      <w:tr>
        <w:trPr>
          <w:trHeight w:val="238"/>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172,815</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(1,699 )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100" w:type="dxa"/>
            <w:vAlign w:val="bottom"/>
            <w:shd w:val="clear" w:color="auto" w:fill="CFF0FC"/>
          </w:tcPr>
          <w:p>
            <w:pPr>
              <w:spacing w:after="0"/>
              <w:rPr>
                <w:sz w:val="22"/>
                <w:szCs w:val="22"/>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-992505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-992505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-992505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464"/>
        <w:spacing w:after="0" w:line="260"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21 months or less. As of December 31, 2023, the Company had 19 securities with a total fair market value of $75.6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debt securities to maturity.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6" w:lineRule="exact"/>
        <w:rPr>
          <w:sz w:val="20"/>
          <w:szCs w:val="20"/>
          <w:color w:val="auto"/>
        </w:rPr>
      </w:pPr>
    </w:p>
    <w:p>
      <w:pPr>
        <w:ind w:left="960" w:hanging="47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6" w:lineRule="exact"/>
        <w:rPr>
          <w:rFonts w:ascii="Times New Roman" w:cs="Times New Roman" w:eastAsia="Times New Roman" w:hAnsi="Times New Roman"/>
          <w:sz w:val="18"/>
          <w:szCs w:val="18"/>
          <w:color w:val="auto"/>
        </w:rPr>
      </w:pPr>
    </w:p>
    <w:p>
      <w:pPr>
        <w:ind w:left="960" w:right="20" w:hanging="474"/>
        <w:spacing w:after="0" w:line="283"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1" w:lineRule="exact"/>
        <w:rPr>
          <w:rFonts w:ascii="Times New Roman" w:cs="Times New Roman" w:eastAsia="Times New Roman" w:hAnsi="Times New Roman"/>
          <w:sz w:val="18"/>
          <w:szCs w:val="18"/>
          <w:color w:val="auto"/>
        </w:rPr>
      </w:pPr>
    </w:p>
    <w:p>
      <w:pPr>
        <w:ind w:left="960" w:right="520" w:hanging="474"/>
        <w:spacing w:after="0" w:line="283"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1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6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6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8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(3,566 )</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(3,319 )</w:t>
            </w:r>
          </w:p>
        </w:tc>
        <w:tc>
          <w:tcPr>
            <w:tcW w:w="0" w:type="dxa"/>
            <w:vAlign w:val="bottom"/>
          </w:tcPr>
          <w:p>
            <w:pPr>
              <w:spacing w:after="0"/>
              <w:rPr>
                <w:sz w:val="1"/>
                <w:szCs w:val="1"/>
                <w:color w:val="auto"/>
              </w:rPr>
            </w:pPr>
          </w:p>
        </w:tc>
      </w:tr>
      <w:tr>
        <w:trPr>
          <w:trHeight w:val="234"/>
        </w:trPr>
        <w:tc>
          <w:tcPr>
            <w:tcW w:w="6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CFF0FC"/>
            </w:tcBorders>
          </w:tcPr>
          <w:p>
            <w:pPr>
              <w:spacing w:after="0"/>
              <w:rPr>
                <w:sz w:val="20"/>
                <w:szCs w:val="20"/>
                <w:color w:val="auto"/>
              </w:rPr>
            </w:pPr>
          </w:p>
        </w:tc>
        <w:tc>
          <w:tcPr>
            <w:tcW w:w="900" w:type="dxa"/>
            <w:vAlign w:val="bottom"/>
            <w:tcBorders>
              <w:top w:val="single" w:sz="8" w:color="CFF0FC"/>
            </w:tcBorders>
            <w:gridSpan w:val="2"/>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6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-5436235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-5436235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-5436235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-4169410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-4169410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-4169410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-2251075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-1934210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479"/>
        <w:spacing w:after="0" w:line="265" w:lineRule="auto"/>
        <w:rPr>
          <w:sz w:val="20"/>
          <w:szCs w:val="20"/>
          <w:color w:val="auto"/>
        </w:rPr>
      </w:pPr>
      <w:r>
        <w:rPr>
          <w:rFonts w:ascii="Times New Roman" w:cs="Times New Roman" w:eastAsia="Times New Roman" w:hAnsi="Times New Roman"/>
          <w:sz w:val="18"/>
          <w:szCs w:val="18"/>
          <w:color w:val="auto"/>
        </w:rPr>
        <w:t>The Company leased office and laboratory space in Wilmington, Delaware under a noncancelable lease (the “Lease”) for which the lease term ended on December 31, 2023. The discount rate used to account for the Company’s operating lease under ASC 842, Leases, was the Company’s estimated incremental borrowing rate of 9.5%.</w:t>
      </w:r>
    </w:p>
    <w:p>
      <w:pPr>
        <w:spacing w:after="0" w:line="177"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In 2021, the Company entered into a lease agreement for office and lab space at Chestnut Run Plaza in Wilmington, Delaware (the “Chestnut Run Lease”). The premises includes approximately 81,000 rentable square feet and has an initial term of 162 months with 3 five-year extension options and certain expansion rights. Neither the option to extend nor the expansion rights were recognized as part of the Company's measurement of the ROU asset and operating lease liability as of December 31, 2023.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have been treated as prepaid rent and increased the right-of-use asset on the commencement date. The Chestnut Run Lease commenced for accounting purposes in December 2023 when the Company took control of the leased space. On the commencement date, the Company recorded approximately $30.6 million and $16.7 million of right-of-use asset and lease liability, respectively. The right-of-use asset includes approximately $13.9 million related to prepaid rent which was reclassified from long-term prepaid assets. The discount rate used to account for the Company’s operating lease under ASC 842, Leases, is the Company’s estimated incremental borrowing rate of 15.0%. The Company's incremental borrowing rate reflects a collateralized borrowing with a similar term and amount as the Chestnut Run Lease.</w:t>
      </w:r>
    </w:p>
    <w:p>
      <w:pPr>
        <w:spacing w:after="0" w:line="186"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Lease cost for the year ended December 31, 2023 was $2.5 million, including $0.2 million of short-term lease cost. Lease cost for the year ended December 31, 2022 was $2.1 million, including $0.3 million of short-term lease cost. Cash paid for amounts included in the measurement of operating lease liabilities for the years ended December 31, 2023 and 2022 was $1.9 million and $1.8 million, respectively.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estimated rent payments related to the Chestnut Run Lease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3"/>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20" w:type="dxa"/>
            <w:vAlign w:val="bottom"/>
            <w:shd w:val="clear" w:color="auto" w:fill="CFF0FC"/>
          </w:tcPr>
          <w:p>
            <w:pPr>
              <w:spacing w:after="0"/>
              <w:rPr>
                <w:sz w:val="21"/>
                <w:szCs w:val="21"/>
                <w:color w:val="auto"/>
              </w:rPr>
            </w:pPr>
          </w:p>
        </w:tc>
        <w:tc>
          <w:tcPr>
            <w:tcW w:w="49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2,746</w:t>
            </w:r>
          </w:p>
        </w:tc>
      </w:tr>
      <w:tr>
        <w:trPr>
          <w:trHeight w:val="247"/>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shd w:val="clear" w:color="auto" w:fill="CFF0FC"/>
          </w:tcPr>
          <w:p>
            <w:pPr>
              <w:spacing w:after="0"/>
              <w:rPr>
                <w:sz w:val="21"/>
                <w:szCs w:val="21"/>
                <w:color w:val="auto"/>
              </w:rPr>
            </w:pPr>
          </w:p>
        </w:tc>
        <w:tc>
          <w:tcPr>
            <w:tcW w:w="49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2,979</w:t>
            </w:r>
          </w:p>
        </w:tc>
      </w:t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3,054</w:t>
            </w:r>
          </w:p>
        </w:tc>
      </w:tr>
      <w:tr>
        <w:trPr>
          <w:trHeight w:val="247"/>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20" w:type="dxa"/>
            <w:vAlign w:val="bottom"/>
            <w:shd w:val="clear" w:color="auto" w:fill="CFF0FC"/>
          </w:tcPr>
          <w:p>
            <w:pPr>
              <w:spacing w:after="0"/>
              <w:rPr>
                <w:sz w:val="21"/>
                <w:szCs w:val="21"/>
                <w:color w:val="auto"/>
              </w:rPr>
            </w:pPr>
          </w:p>
        </w:tc>
        <w:tc>
          <w:tcPr>
            <w:tcW w:w="49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3,130</w:t>
            </w:r>
          </w:p>
        </w:tc>
      </w:tr>
      <w:tr>
        <w:trPr>
          <w:trHeight w:val="234"/>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29,635</w:t>
            </w:r>
          </w:p>
        </w:tc>
      </w:tr>
    </w:tbl>
    <w:p>
      <w:pPr>
        <w:spacing w:after="0" w:line="98" w:lineRule="exact"/>
        <w:rPr>
          <w:sz w:val="20"/>
          <w:szCs w:val="20"/>
          <w:color w:val="auto"/>
        </w:rPr>
      </w:pPr>
    </w:p>
    <w:p>
      <w:pPr>
        <w:ind w:right="120" w:firstLine="479"/>
        <w:spacing w:after="0" w:line="265" w:lineRule="auto"/>
        <w:rPr>
          <w:sz w:val="20"/>
          <w:szCs w:val="20"/>
          <w:color w:val="auto"/>
        </w:rPr>
      </w:pPr>
      <w:r>
        <w:rPr>
          <w:rFonts w:ascii="Times New Roman" w:cs="Times New Roman" w:eastAsia="Times New Roman" w:hAnsi="Times New Roman"/>
          <w:sz w:val="18"/>
          <w:szCs w:val="18"/>
          <w:color w:val="auto"/>
        </w:rPr>
        <w:t>The Company paid a security deposit in the form of a letter of credit with Silicon Valley Bank of $4.0 million which is included in the balance sheet as restricted cash as of December 31, 2023 and 2022. The security deposit may be reduced to $0.5 million over time in accordance with the terms of the Chestnut Run Lease.</w:t>
      </w:r>
    </w:p>
    <w:p>
      <w:pPr>
        <w:spacing w:after="0" w:line="6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met the minimum requirements stated in the grant agreement in order to not be required to pay back any portion of the $3.4 million disbursed. The Company has deferred the recognition of these grant funds as they relate to capitalized costs and has classified them as long-term liabilities on the balance sheet. In December 2023, the Company began to recognize the grant funds in other income and will continue to do so over the useful life of the related assets. If the Company leaves the State of Delaware within five years of the disbursement, the Company is required to return an amount equal to the amount of grant funds disbursed on a pro-rated basis.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80" w:lineRule="exact"/>
        <w:rPr>
          <w:sz w:val="20"/>
          <w:szCs w:val="20"/>
          <w:color w:val="auto"/>
        </w:rPr>
      </w:pPr>
    </w:p>
    <w:p>
      <w:pPr>
        <w:ind w:right="48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with a maximum amount of 3% of the participant’s compensation. During the years ended December 31, 2023 and 2022 the Company made matching contributions of $0.7 million and $0.6 million, respectively.</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2023, the Company entered into a multi-year, multi-program agreement with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as both parties will actively participate in joint operating activities and are exposed to significant risks and rewards. Under ASC 808, certain transactions between collaborative arrangement participants should follow the accounting for revenue under ASC 606 when the collaborative arrangement participant is a customer for a distinct good or service. The Company determined that co-development arrangement as defined in our agreement with AbCellera does not meet the definition of a customer as defined by ASC 606. As a result, these activities will be accounted for as research and development costs. Costs related to the AbCellera collaboration were not material for the year ended December 31, 2023.</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360" w:firstLine="478"/>
        <w:spacing w:after="0" w:line="281"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2023 financings</w:t>
      </w:r>
    </w:p>
    <w:p>
      <w:pPr>
        <w:spacing w:after="0" w:line="121"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to the Company of $113.0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6" w:lineRule="exact"/>
        <w:rPr>
          <w:sz w:val="20"/>
          <w:szCs w:val="20"/>
          <w:color w:val="auto"/>
        </w:rPr>
      </w:pPr>
    </w:p>
    <w:p>
      <w:pPr>
        <w:ind w:right="20" w:firstLine="45"/>
        <w:spacing w:after="0" w:line="265" w:lineRule="auto"/>
        <w:rPr>
          <w:sz w:val="20"/>
          <w:szCs w:val="20"/>
          <w:color w:val="auto"/>
        </w:rPr>
      </w:pPr>
      <w:r>
        <w:rPr>
          <w:rFonts w:ascii="Times New Roman" w:cs="Times New Roman" w:eastAsia="Times New Roman" w:hAnsi="Times New Roman"/>
          <w:sz w:val="18"/>
          <w:szCs w:val="18"/>
          <w:color w:val="auto"/>
        </w:rPr>
        <w:t>million. Of the voting common stock issued, 2,264,456 shares were purchased by the Company’s underwriters in connection with a 30-day option at a price of $5.75 per share. Offering costs of $2.6 million, of which $0.3 million were previously paid and deferred, were recorded to additional paid-in capital in the accompanying balance sheets, resulting in net proceeds of $110.4 million.</w:t>
      </w:r>
    </w:p>
    <w:p>
      <w:pPr>
        <w:spacing w:after="0" w:line="69" w:lineRule="exact"/>
        <w:rPr>
          <w:sz w:val="20"/>
          <w:szCs w:val="20"/>
          <w:color w:val="auto"/>
        </w:rPr>
      </w:pPr>
    </w:p>
    <w:p>
      <w:pPr>
        <w:ind w:right="320" w:firstLine="479"/>
        <w:spacing w:after="0" w:line="281" w:lineRule="auto"/>
        <w:rPr>
          <w:sz w:val="20"/>
          <w:szCs w:val="20"/>
          <w:color w:val="auto"/>
        </w:rPr>
      </w:pPr>
      <w:r>
        <w:rPr>
          <w:rFonts w:ascii="Times New Roman" w:cs="Times New Roman" w:eastAsia="Times New Roman" w:hAnsi="Times New Roman"/>
          <w:sz w:val="18"/>
          <w:szCs w:val="18"/>
          <w:color w:val="auto"/>
        </w:rPr>
        <w:t>During the fourth quarter of 2023, the Company sold in a private placement pre-funded warrants to purchase 7,936,759 shares of voting common stock at a price of $3.1499 per pre-funded warrant, resulting in net proceeds of $24.8 million after deducting offering costs of $0.2 million.</w:t>
      </w:r>
    </w:p>
    <w:p>
      <w:pPr>
        <w:spacing w:after="0" w:line="55" w:lineRule="exact"/>
        <w:rPr>
          <w:sz w:val="20"/>
          <w:szCs w:val="20"/>
          <w:color w:val="auto"/>
        </w:rPr>
      </w:pPr>
    </w:p>
    <w:p>
      <w:pPr>
        <w:ind w:right="200" w:firstLine="479"/>
        <w:spacing w:after="0" w:line="281"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represents the per share offering price for the common stock, minus the $0.0001 per share exercise price of such pre-funded warrant. As of December 31, 2023, no pre-funded warrants had been exercised.</w:t>
      </w:r>
    </w:p>
    <w:p>
      <w:pPr>
        <w:spacing w:after="0" w:line="55"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which was increased on January 1, 2021 and will automatically increase on January 1st of each year,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At December 31, 2023, 4,999,564 shares were available for future grants and on January 1, 2024, 2,745,712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6" w:lineRule="exact"/>
        <w:rPr>
          <w:sz w:val="20"/>
          <w:szCs w:val="20"/>
          <w:color w:val="auto"/>
        </w:rPr>
      </w:pPr>
    </w:p>
    <w:p>
      <w:pPr>
        <w:ind w:right="120" w:firstLine="478"/>
        <w:spacing w:after="0" w:line="265"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7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shd w:val="clear" w:color="auto" w:fill="CFF0FC"/>
          </w:tcPr>
          <w:p>
            <w:pPr>
              <w:spacing w:after="0"/>
              <w:rPr>
                <w:sz w:val="20"/>
                <w:szCs w:val="20"/>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tcPr>
          <w:p>
            <w:pPr>
              <w:spacing w:after="0"/>
              <w:rPr>
                <w:sz w:val="20"/>
                <w:szCs w:val="20"/>
                <w:color w:val="auto"/>
              </w:rPr>
            </w:pPr>
          </w:p>
        </w:tc>
      </w:tr>
      <w:tr>
        <w:trPr>
          <w:trHeight w:val="276"/>
        </w:trPr>
        <w:tc>
          <w:tcPr>
            <w:tcW w:w="3720" w:type="dxa"/>
            <w:vAlign w:val="bottom"/>
            <w:shd w:val="clear" w:color="auto" w:fill="CFF0FC"/>
          </w:tcPr>
          <w:p>
            <w:pPr>
              <w:spacing w:after="0"/>
              <w:rPr>
                <w:sz w:val="24"/>
                <w:szCs w:val="24"/>
                <w:color w:val="auto"/>
              </w:rPr>
            </w:pPr>
          </w:p>
        </w:tc>
        <w:tc>
          <w:tcPr>
            <w:tcW w:w="4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shd w:val="clear" w:color="auto" w:fill="CFF0FC"/>
          </w:tcPr>
          <w:p>
            <w:pPr>
              <w:spacing w:after="0"/>
              <w:rPr>
                <w:sz w:val="24"/>
                <w:szCs w:val="24"/>
                <w:color w:val="auto"/>
              </w:rPr>
            </w:pPr>
          </w:p>
        </w:tc>
      </w:tr>
      <w:tr>
        <w:trPr>
          <w:trHeight w:val="632"/>
        </w:trPr>
        <w:tc>
          <w:tcPr>
            <w:tcW w:w="372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37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-932815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-915670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5" w:name="page106"/>
    <w:bookmarkEnd w:id="10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 in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13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3,884,429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(217,905 )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(1,455,076 )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3,238,898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(26,899 )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(704,483 )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6,084,483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-855345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-838200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-205105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ind w:right="680" w:firstLine="478"/>
        <w:spacing w:after="0" w:line="265" w:lineRule="auto"/>
        <w:rPr>
          <w:sz w:val="20"/>
          <w:szCs w:val="20"/>
          <w:color w:val="auto"/>
        </w:rPr>
      </w:pPr>
      <w:r>
        <w:rPr>
          <w:rFonts w:ascii="Times New Roman" w:cs="Times New Roman" w:eastAsia="Times New Roman" w:hAnsi="Times New Roman"/>
          <w:sz w:val="18"/>
          <w:szCs w:val="18"/>
          <w:color w:val="auto"/>
        </w:rPr>
        <w:t>The aggregate intrinsic value of options exercised was $0.1 million and $1.1 million during the year ended December 31, 2023 and 2022, respectively. At December 31, 2023, the aggregate intrinsic value of outstanding options and exercisable options was $4.9 million and $4.7 million, respectively.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2023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2"/>
                <w:szCs w:val="12"/>
                <w:color w:val="auto"/>
              </w:rPr>
            </w:pPr>
          </w:p>
        </w:tc>
        <w:tc>
          <w:tcPr>
            <w:tcW w:w="1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0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5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$4.88</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3,061,004</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2,400,106</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$4.89</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$7.50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3,905,574</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366,158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$7.51</w:t>
            </w:r>
          </w:p>
        </w:tc>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$13.04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3,141,601</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2,149,353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$13.05 - $88.98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1,790,267</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30.51</w:t>
            </w:r>
          </w:p>
        </w:tc>
        <w:tc>
          <w:tcPr>
            <w:tcW w:w="2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1,168,866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0" w:type="dxa"/>
            <w:vAlign w:val="bottom"/>
            <w:tcBorders>
              <w:bottom w:val="single" w:sz="8" w:color="CFF0FC"/>
            </w:tcBorders>
            <w:shd w:val="clear" w:color="auto" w:fill="CFF0FC"/>
          </w:tcPr>
          <w:p>
            <w:pPr>
              <w:spacing w:after="0"/>
              <w:rPr>
                <w:sz w:val="23"/>
                <w:szCs w:val="23"/>
                <w:color w:val="auto"/>
              </w:rPr>
            </w:pPr>
          </w:p>
        </w:tc>
        <w:tc>
          <w:tcPr>
            <w:tcW w:w="226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2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6,084,483</w:t>
            </w:r>
          </w:p>
        </w:tc>
        <w:tc>
          <w:tcPr>
            <w:tcW w:w="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-24765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-7620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380" w:firstLine="478"/>
        <w:spacing w:after="0" w:line="26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$4.87 and $5.49 per share for the years ended December 31, 2023 and 2022, respectively. The Company recorded stock-based compensation expense of $24.6 million and $23.9 million for the years ended December 31, 2023 and 2022, respectively, related to stock options. As of December 31, 2023, the total unrecognized compensation expense related to unvested stock option awards was $36.4 million, which the Company expects to recognize over a weighted-average period of 2.03 years.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83.57 %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84.67 %</w:t>
            </w:r>
          </w:p>
        </w:tc>
      </w:tr>
      <w:tr>
        <w:trPr>
          <w:trHeight w:val="24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49"/>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21" w:lineRule="exact"/>
        <w:rPr>
          <w:sz w:val="20"/>
          <w:szCs w:val="20"/>
          <w:color w:val="auto"/>
        </w:rPr>
      </w:pPr>
    </w:p>
    <w:p>
      <w:pPr>
        <w:jc w:val="both"/>
        <w:ind w:right="240" w:firstLine="478"/>
        <w:spacing w:after="0" w:line="265"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9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(386,476 )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(23,416 )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(174,708 )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-530225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ind w:right="120" w:firstLine="478"/>
        <w:spacing w:after="0" w:line="265" w:lineRule="auto"/>
        <w:rPr>
          <w:sz w:val="20"/>
          <w:szCs w:val="20"/>
          <w:color w:val="auto"/>
        </w:rPr>
      </w:pPr>
      <w:r>
        <w:rPr>
          <w:rFonts w:ascii="Times New Roman" w:cs="Times New Roman" w:eastAsia="Times New Roman" w:hAnsi="Times New Roman"/>
          <w:sz w:val="18"/>
          <w:szCs w:val="18"/>
          <w:color w:val="auto"/>
        </w:rPr>
        <w:t>The Company recorded stock-based compensation expense of $0.5 million and $0.8 million for the years ended December 31, 2023 and 2022, respectively, related to RSAs. As of December 31, 2023, the total unrecognized expense related to all RSAs was $0.1 million, which the Company expects to recognize over a weighted-average period of 0.24 years.</w:t>
      </w:r>
    </w:p>
    <w:p>
      <w:pPr>
        <w:spacing w:after="0" w:line="69" w:lineRule="exact"/>
        <w:rPr>
          <w:sz w:val="20"/>
          <w:szCs w:val="20"/>
          <w:color w:val="auto"/>
        </w:rPr>
      </w:pPr>
    </w:p>
    <w:p>
      <w:pPr>
        <w:ind w:right="80" w:firstLine="478"/>
        <w:spacing w:after="0" w:line="281" w:lineRule="auto"/>
        <w:rPr>
          <w:sz w:val="20"/>
          <w:szCs w:val="20"/>
          <w:color w:val="auto"/>
        </w:rPr>
      </w:pPr>
      <w:r>
        <w:rPr>
          <w:rFonts w:ascii="Times New Roman" w:cs="Times New Roman" w:eastAsia="Times New Roman" w:hAnsi="Times New Roman"/>
          <w:sz w:val="18"/>
          <w:szCs w:val="18"/>
          <w:color w:val="auto"/>
        </w:rPr>
        <w:t>The Company issues restricted stock units (“RSU”) to employees that generally vest over a four-year period with 25% of awards vesting after 1 year and then quarterly thereafter. Any unvested shares will be forfeited upon termination of services.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9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(5,000 )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(61,250 )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-530225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ind w:right="160" w:firstLine="478"/>
        <w:spacing w:after="0" w:line="265" w:lineRule="auto"/>
        <w:rPr>
          <w:sz w:val="20"/>
          <w:szCs w:val="20"/>
          <w:color w:val="auto"/>
        </w:rPr>
      </w:pPr>
      <w:r>
        <w:rPr>
          <w:rFonts w:ascii="Times New Roman" w:cs="Times New Roman" w:eastAsia="Times New Roman" w:hAnsi="Times New Roman"/>
          <w:sz w:val="18"/>
          <w:szCs w:val="18"/>
          <w:color w:val="auto"/>
        </w:rPr>
        <w:t>The Company recorded stock-based compensation expense of $0.3 million and $0.2 million for the years ended December 31, 2023 and 2022, respectively, related to RSUs. At December 31, 2023 the total unrecognized expense related to the RSUs was $0.6 million, which the Company expects to recognize over 2.12 years.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December 31, 2023 had 1,619,292 shares of common stock reserved for future issuance. The Company issued 169,857 shares under the ESPP in 2023.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As such, on January 1, 2024, 549,142 shares were added to the ESPP.</w:t>
      </w:r>
    </w:p>
    <w:p>
      <w:pPr>
        <w:spacing w:after="0" w:line="186" w:lineRule="exact"/>
        <w:rPr>
          <w:sz w:val="20"/>
          <w:szCs w:val="20"/>
          <w:color w:val="auto"/>
        </w:rPr>
      </w:pPr>
    </w:p>
    <w:p>
      <w:pPr>
        <w:ind w:right="160" w:firstLine="479"/>
        <w:spacing w:after="0" w:line="265"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w:t>
      </w:r>
    </w:p>
    <w:p>
      <w:pPr>
        <w:sectPr>
          <w:pgSz w:w="11900" w:h="16838" w:orient="portrait"/>
          <w:cols w:equalWidth="0" w:num="1">
            <w:col w:w="11240"/>
          </w:cols>
          <w:pgMar w:left="320" w:top="764"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39" w:lineRule="exact"/>
        <w:rPr>
          <w:sz w:val="20"/>
          <w:szCs w:val="20"/>
          <w:color w:val="auto"/>
        </w:rPr>
      </w:pPr>
    </w:p>
    <w:p>
      <w:pPr>
        <w:ind w:right="80" w:firstLine="479"/>
        <w:spacing w:after="0" w:line="288" w:lineRule="auto"/>
        <w:rPr>
          <w:sz w:val="20"/>
          <w:szCs w:val="20"/>
          <w:color w:val="auto"/>
        </w:rPr>
      </w:pPr>
      <w:r>
        <w:rPr>
          <w:rFonts w:ascii="Times New Roman" w:cs="Times New Roman" w:eastAsia="Times New Roman" w:hAnsi="Times New Roman"/>
          <w:sz w:val="17"/>
          <w:szCs w:val="17"/>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$0.3 million for both years ended December 31, 2023 and 2022 related to the ESPP.</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(147,616 )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(111,053 )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(4,641 )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(372 )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(5,013 )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-1292225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The deferred tax assets as of December 31, 2023 and 2022, includes capitalized research and development expenses of $39.9 million and $19.9 million, respectively. The Tax Cuts and Jobs Act passed in 2017 included a provision which requires taxpayers to capitalize and amortize U.S. based research development expenses over a period of five years and non-U.S. based research and development expenses over a period of 15 years effective for tax years beginning after December 31, 2021. 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2023 and December 31, 2022. The valuation allowance increased by $36.6 million and $35.7 million during the years ended December 31, 2023 and 2022,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8" w:name="page109"/>
    <w:bookmarkEnd w:id="10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w:t>
      </w:r>
    </w:p>
    <w:p>
      <w:pPr>
        <w:spacing w:after="0" w:line="259"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0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and state net operating losses (“NOL”) and research tax credits: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NOL carryforwards - Federal</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257,976</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236,898</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 carryforwards - State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credits - Federal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 - State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The NOL carryforwards begin expiring in 2036 for federal and Delaware state income tax purposes, however; all federal, Delaware state, and Kansas state NOL carryforwards generated subsequent to January 1, 2018, are able to be carried forward indefinitely. The NOL carryforwards begin expiring in 2037 and 2042 for Tennessee and Massachusetts, respectively. As of December 31, 2023, the Company also had federal and Delaware research and development tax credit carryforwards of $20.5 million and $43 thousand, respectively, that will begin to expire in 2039 and 2031, respectively, unless previously utilized.</w:t>
      </w:r>
    </w:p>
    <w:p>
      <w:pPr>
        <w:spacing w:after="0" w:line="182"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87" w:lineRule="exact"/>
        <w:rPr>
          <w:sz w:val="20"/>
          <w:szCs w:val="20"/>
          <w:color w:val="auto"/>
        </w:rPr>
      </w:pPr>
    </w:p>
    <w:p>
      <w:pPr>
        <w:ind w:right="200" w:firstLine="478"/>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had no accrued interest or penalties related to uncertain tax positions and no amounts have been recognized in the Company’s statement of operations. Due to NOL and tax credit carry-forwards that remain unutilized, income tax returns for all tax years remain subject to examination by the taxing jurisdictions. The NOL carryforwards remain subject to review until utilized.</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 and 15d-15(e) under the Exchange Act)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87" w:lineRule="exact"/>
        <w:rPr>
          <w:sz w:val="20"/>
          <w:szCs w:val="20"/>
          <w:color w:val="auto"/>
        </w:rPr>
      </w:pPr>
    </w:p>
    <w:p>
      <w:pPr>
        <w:jc w:val="both"/>
        <w:ind w:right="560" w:firstLine="479"/>
        <w:spacing w:after="0" w:line="265" w:lineRule="auto"/>
        <w:rPr>
          <w:sz w:val="20"/>
          <w:szCs w:val="20"/>
          <w:color w:val="auto"/>
        </w:rPr>
      </w:pPr>
      <w:r>
        <w:rPr>
          <w:rFonts w:ascii="Times New Roman" w:cs="Times New Roman" w:eastAsia="Times New Roman" w:hAnsi="Times New Roman"/>
          <w:sz w:val="18"/>
          <w:szCs w:val="18"/>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3" w:lineRule="exact"/>
        <w:rPr>
          <w:sz w:val="20"/>
          <w:szCs w:val="20"/>
          <w:color w:val="auto"/>
        </w:rPr>
      </w:pPr>
    </w:p>
    <w:p>
      <w:pPr>
        <w:ind w:right="200" w:firstLine="479"/>
        <w:spacing w:after="0" w:line="235"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2023 that have materially affected, or are reasonably likely to materially affect, our internal controls over financial reporting.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110" w:name="page111"/>
    <w:bookmarkEnd w:id="110"/>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spacing w:after="0" w:line="1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8" w:right="91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840" w:hanging="368"/>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600" w:firstLine="479"/>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161" w:lineRule="exact"/>
        <w:rPr>
          <w:sz w:val="20"/>
          <w:szCs w:val="20"/>
          <w:color w:val="auto"/>
        </w:rPr>
      </w:pPr>
    </w:p>
    <w:p>
      <w:pPr>
        <w:ind w:left="840" w:hanging="368"/>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380" w:firstLine="479"/>
        <w:spacing w:after="0" w:line="281"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ectPr>
          <w:pgSz w:w="11900" w:h="16838" w:orient="portrait"/>
          <w:cols w:equalWidth="0" w:num="1">
            <w:col w:w="11240"/>
          </w:cols>
          <w:pgMar w:left="320" w:top="1088" w:right="339" w:bottom="1440" w:gutter="0" w:footer="0" w:header="0"/>
        </w:sectPr>
      </w:pPr>
    </w:p>
    <w:p>
      <w:pPr>
        <w:spacing w:after="0" w:line="161" w:lineRule="exact"/>
        <w:rPr>
          <w:sz w:val="20"/>
          <w:szCs w:val="20"/>
          <w:color w:val="auto"/>
        </w:rPr>
      </w:pPr>
    </w:p>
    <w:p>
      <w:pPr>
        <w:ind w:left="840" w:hanging="368"/>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20"/>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Restated Certificate of Incorporation of Prelude Therapeutics</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Incorporated.</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Amended and Restated Bylaws of Prelude Therapeutics</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Incorporated.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Amended and Restated Investors’ Rights Agreement, dated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August 21, 2020, by and among Prelude Therapeutics</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Incorporated and certain of its stockholders</w:t>
              </w:r>
            </w:hyperlink>
          </w:p>
        </w:tc>
        <w:tc>
          <w:tcPr>
            <w:tcW w:w="20" w:type="dxa"/>
            <w:vAlign w:val="bottom"/>
            <w:tcBorders>
              <w:top w:val="single" w:sz="8" w:color="0000FF"/>
              <w:bottom w:val="single" w:sz="8" w:color="0000EE"/>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Form of Registration Rights Agreement, by and among Prelude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8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Therapeutics Incorporated and certain of its stockholders</w:t>
              </w:r>
              <w:r>
                <w:rPr>
                  <w:rFonts w:ascii="Times New Roman" w:cs="Times New Roman" w:eastAsia="Times New Roman" w:hAnsi="Times New Roman"/>
                  <w:sz w:val="14"/>
                  <w:szCs w:val="14"/>
                  <w:u w:val="single" w:color="auto"/>
                  <w:color w:val="0563C1"/>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Form of Amended and Restated Registration Rights Agreement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24"/>
          </w:tcPr>
          <w:p>
            <w:pPr>
              <w:spacing w:after="0" w:line="155" w:lineRule="exact"/>
              <w:rPr>
                <w:sz w:val="20"/>
                <w:szCs w:val="20"/>
                <w:color w:val="auto"/>
              </w:rPr>
            </w:pPr>
            <w:r>
              <w:rPr>
                <w:rFonts w:ascii="Times New Roman" w:cs="Times New Roman" w:eastAsia="Times New Roman" w:hAnsi="Times New Roman"/>
                <w:sz w:val="14"/>
                <w:szCs w:val="14"/>
                <w:color w:val="0000FF"/>
              </w:rPr>
              <w:t>by and among Prelude Therapeutics Incorporated and certain</w:t>
            </w: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8"/>
              </w:rPr>
              <w:t>Investors.</w:t>
            </w:r>
          </w:p>
        </w:tc>
        <w:tc>
          <w:tcPr>
            <w:tcW w:w="20" w:type="dxa"/>
            <w:vAlign w:val="bottom"/>
            <w:tcBorders>
              <w:top w:val="single" w:sz="8" w:color="0000FF"/>
              <w:bottom w:val="single" w:sz="8" w:color="0000EE"/>
            </w:tcBorders>
          </w:tcPr>
          <w:p>
            <w:pPr>
              <w:spacing w:after="0"/>
              <w:rPr>
                <w:sz w:val="11"/>
                <w:szCs w:val="11"/>
                <w:color w:val="auto"/>
              </w:rPr>
            </w:pPr>
          </w:p>
        </w:tc>
        <w:tc>
          <w:tcPr>
            <w:tcW w:w="2960" w:type="dxa"/>
            <w:vAlign w:val="bottom"/>
            <w:tcBorders>
              <w:top w:val="single" w:sz="8" w:color="0000FF"/>
            </w:tcBorders>
            <w:gridSpan w:val="16"/>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Description of Voting Common Stock Registered Under Section</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4"/>
                <w:szCs w:val="14"/>
                <w:color w:val="0000FF"/>
              </w:rPr>
              <w:t>12 of the Securities Exchange Act of 1943, as amended</w:t>
            </w:r>
            <w:r>
              <w:rPr>
                <w:rFonts w:ascii="Times New Roman" w:cs="Times New Roman" w:eastAsia="Times New Roman" w:hAnsi="Times New Roman"/>
                <w:sz w:val="17"/>
                <w:szCs w:val="17"/>
                <w:color w:val="0000FF"/>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2"/>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Form of Pre-Funded Warrant</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Form of Pre-Funded Warrant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Form of Indemnification Agreement with directors and officers</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21"/>
          </w:tcPr>
          <w:p>
            <w:pPr>
              <w:spacing w:after="0"/>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2016 Stock Incentive Plan, as amended, and forms of award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0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2020 Equity Incentive Plan and forms of award agreements</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2020 Employee Stock Purchase Plan and forms of award</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0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80" w:type="dxa"/>
            <w:vAlign w:val="bottom"/>
            <w:gridSpan w:val="3"/>
          </w:tcPr>
          <w:p>
            <w:pPr>
              <w:spacing w:after="0"/>
              <w:rPr>
                <w:sz w:val="11"/>
                <w:szCs w:val="11"/>
                <w:color w:val="auto"/>
              </w:rPr>
            </w:pPr>
          </w:p>
        </w:tc>
        <w:tc>
          <w:tcPr>
            <w:tcW w:w="14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280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4"/>
          </w:tcPr>
          <w:p>
            <w:pPr>
              <w:spacing w:after="0"/>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Second Amended and Restated Entrepreneur Client License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w w:val="99"/>
              </w:rPr>
            </w:pPr>
            <w:hyperlink r:id="rId278">
              <w:r>
                <w:rPr>
                  <w:rFonts w:ascii="Times New Roman" w:cs="Times New Roman" w:eastAsia="Times New Roman" w:hAnsi="Times New Roman"/>
                  <w:sz w:val="14"/>
                  <w:szCs w:val="14"/>
                  <w:color w:val="0000FF"/>
                  <w:w w:val="99"/>
                </w:rPr>
                <w:t>Agreement, dated November 1, 2020, by and between Prelude</w:t>
              </w:r>
            </w:hyperlink>
          </w:p>
        </w:tc>
        <w:tc>
          <w:tcPr>
            <w:tcW w:w="140" w:type="dxa"/>
            <w:vAlign w:val="bottom"/>
            <w:tcBorders>
              <w:bottom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gridSpan w:val="24"/>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Therapeutics Incorporated and Delaware Innovation Space, Inc.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6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Pr>
          <w:p>
            <w:pPr>
              <w:spacing w:after="0"/>
              <w:rPr>
                <w:sz w:val="13"/>
                <w:szCs w:val="13"/>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Exhibit</w:t>
            </w:r>
          </w:p>
        </w:tc>
        <w:tc>
          <w:tcPr>
            <w:tcW w:w="1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Filing Date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August 3, 2023</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23, 2023</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16, 2020</w:t>
            </w: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4.2</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16, 2020</w:t>
            </w:r>
          </w:p>
        </w:tc>
        <w:tc>
          <w:tcPr>
            <w:tcW w:w="0" w:type="dxa"/>
            <w:vAlign w:val="bottom"/>
          </w:tcPr>
          <w:p>
            <w:pPr>
              <w:spacing w:after="0"/>
              <w:rPr>
                <w:sz w:val="1"/>
                <w:szCs w:val="1"/>
                <w:color w:val="auto"/>
              </w:rPr>
            </w:pPr>
          </w:p>
        </w:tc>
      </w:tr>
      <w:tr>
        <w:trPr>
          <w:trHeight w:val="63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333-251874</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4.3</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499"/>
        </w:trPr>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7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May 19, 2023</w:t>
            </w:r>
          </w:p>
        </w:tc>
      </w:tr>
      <w:tr>
        <w:trPr>
          <w:trHeight w:val="351"/>
        </w:trPr>
        <w:tc>
          <w:tcPr>
            <w:tcW w:w="7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51"/>
        </w:trPr>
        <w:tc>
          <w:tcPr>
            <w:tcW w:w="74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4, 2020</w:t>
            </w:r>
          </w:p>
        </w:tc>
      </w:tr>
      <w:tr>
        <w:trPr>
          <w:trHeight w:val="351"/>
        </w:trPr>
        <w:tc>
          <w:tcPr>
            <w:tcW w:w="74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4, 2020</w:t>
            </w:r>
          </w:p>
        </w:tc>
      </w:tr>
      <w:tr>
        <w:trPr>
          <w:trHeight w:val="485"/>
        </w:trPr>
        <w:tc>
          <w:tcPr>
            <w:tcW w:w="7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September 21, 2020</w:t>
            </w:r>
          </w:p>
        </w:tc>
      </w:tr>
      <w:tr>
        <w:trPr>
          <w:trHeight w:val="351"/>
        </w:trPr>
        <w:tc>
          <w:tcPr>
            <w:tcW w:w="7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September 21, 2020</w:t>
            </w:r>
          </w:p>
        </w:tc>
      </w:tr>
      <w:tr>
        <w:trPr>
          <w:trHeight w:val="485"/>
        </w:trPr>
        <w:tc>
          <w:tcPr>
            <w:tcW w:w="7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November 4, 2020</w:t>
            </w:r>
          </w:p>
        </w:tc>
      </w:tr>
    </w:tbl>
    <w:p>
      <w:pPr>
        <w:spacing w:after="0" w:line="468" w:lineRule="exact"/>
        <w:rPr>
          <w:sz w:val="20"/>
          <w:szCs w:val="20"/>
          <w:color w:val="auto"/>
        </w:rPr>
      </w:pPr>
    </w:p>
    <w:p>
      <w:pPr>
        <w:sectPr>
          <w:pgSz w:w="11900" w:h="16838" w:orient="portrait"/>
          <w:cols w:equalWidth="0" w:num="2">
            <w:col w:w="4680" w:space="0"/>
            <w:col w:w="6560"/>
          </w:cols>
          <w:pgMar w:left="320" w:top="1088" w:right="3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12" w:name="page113"/>
    <w:bookmarkEnd w:id="112"/>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80" w:type="dxa"/>
            <w:vAlign w:val="bottom"/>
            <w:gridSpan w:val="3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8"/>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3840" w:type="dxa"/>
            <w:vAlign w:val="bottom"/>
            <w:tcBorders>
              <w:bottom w:val="single" w:sz="8" w:color="0000FF"/>
            </w:tcBorders>
            <w:gridSpan w:val="39"/>
          </w:tcPr>
          <w:p>
            <w:pPr>
              <w:spacing w:after="0"/>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Executive Employment Agreement, dated December 30, 2020, by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40" w:type="dxa"/>
            <w:vAlign w:val="bottom"/>
            <w:gridSpan w:val="39"/>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and between the Prelude Therapeutics Incorporated and Krishna</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6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Vaddi.</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Executive Employment Agreement, dated January 30, 2023, by</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40" w:type="dxa"/>
            <w:vAlign w:val="bottom"/>
            <w:tcBorders>
              <w:top w:val="single" w:sz="8" w:color="0000FF"/>
              <w:bottom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and between the Registrant and Bryant Lim.</w:t>
            </w:r>
          </w:p>
        </w:tc>
        <w:tc>
          <w:tcPr>
            <w:tcW w:w="20" w:type="dxa"/>
            <w:vAlign w:val="bottom"/>
            <w:tcBorders>
              <w:top w:val="single" w:sz="8" w:color="0000FF"/>
              <w:bottom w:val="single" w:sz="8" w:color="0000EE"/>
            </w:tcBorders>
          </w:tcPr>
          <w:p>
            <w:pPr>
              <w:spacing w:after="0"/>
              <w:rPr>
                <w:sz w:val="11"/>
                <w:szCs w:val="11"/>
                <w:color w:val="auto"/>
              </w:rPr>
            </w:pPr>
          </w:p>
        </w:tc>
        <w:tc>
          <w:tcPr>
            <w:tcW w:w="1120" w:type="dxa"/>
            <w:vAlign w:val="bottom"/>
            <w:tcBorders>
              <w:top w:val="single" w:sz="8" w:color="0000FF"/>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3840" w:type="dxa"/>
            <w:vAlign w:val="bottom"/>
            <w:gridSpan w:val="39"/>
          </w:tcPr>
          <w:p>
            <w:pPr>
              <w:spacing w:after="0"/>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Executive Employment Agreement, dated January 21, 2022, by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and between Registrant and Jane Huang.</w:t>
              </w:r>
            </w:hyperlink>
          </w:p>
        </w:tc>
        <w:tc>
          <w:tcPr>
            <w:tcW w:w="20" w:type="dxa"/>
            <w:vAlign w:val="bottom"/>
            <w:tcBorders>
              <w:top w:val="single" w:sz="8" w:color="0000FF"/>
              <w:bottom w:val="single" w:sz="8" w:color="0000EE"/>
            </w:tcBorders>
          </w:tcPr>
          <w:p>
            <w:pPr>
              <w:spacing w:after="0"/>
              <w:rPr>
                <w:sz w:val="11"/>
                <w:szCs w:val="11"/>
                <w:color w:val="auto"/>
              </w:rPr>
            </w:pPr>
          </w:p>
        </w:tc>
        <w:tc>
          <w:tcPr>
            <w:tcW w:w="1320" w:type="dxa"/>
            <w:vAlign w:val="bottom"/>
            <w:tcBorders>
              <w:top w:val="single" w:sz="8" w:color="0000FF"/>
            </w:tcBorders>
            <w:gridSpan w:val="18"/>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3840" w:type="dxa"/>
            <w:vAlign w:val="bottom"/>
            <w:gridSpan w:val="39"/>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Single-Tenant Triple Net Lease, dated November 30, 2021, by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and between the Registrant and Crisp Partners, LLC.</w:t>
              </w:r>
            </w:hyperlink>
          </w:p>
        </w:tc>
        <w:tc>
          <w:tcPr>
            <w:tcW w:w="58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340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First Amendment to Single-Tenant Triple Net Lease, dated</w:t>
              </w:r>
            </w:hyperlink>
          </w:p>
        </w:tc>
        <w:tc>
          <w:tcPr>
            <w:tcW w:w="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40" w:type="dxa"/>
            <w:vAlign w:val="bottom"/>
            <w:gridSpan w:val="39"/>
          </w:tcPr>
          <w:p>
            <w:pPr>
              <w:spacing w:after="0" w:line="129"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November 30, 2021, by and between the Registrant and Crisp</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Partners, LLC.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3840" w:type="dxa"/>
            <w:vAlign w:val="bottom"/>
            <w:gridSpan w:val="39"/>
          </w:tcPr>
          <w:p>
            <w:pPr>
              <w:spacing w:after="0"/>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Second Amendment to Single-Tenant Triple Net Lease, dated</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5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August 8, 2022, by and between Prelude Therapeutics</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26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Incorporated and CRISP Partners LLC.</w:t>
              </w:r>
            </w:hyperlink>
          </w:p>
        </w:tc>
        <w:tc>
          <w:tcPr>
            <w:tcW w:w="880" w:type="dxa"/>
            <w:vAlign w:val="bottom"/>
            <w:tcBorders>
              <w:top w:val="single" w:sz="8" w:color="0000FF"/>
            </w:tcBorders>
            <w:gridSpan w:val="10"/>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10.12</w:t>
            </w:r>
          </w:p>
        </w:tc>
        <w:tc>
          <w:tcPr>
            <w:tcW w:w="1760" w:type="dxa"/>
            <w:vAlign w:val="bottom"/>
            <w:gridSpan w:val="10"/>
            <w:vMerge w:val="restart"/>
          </w:tcPr>
          <w:p>
            <w:pPr>
              <w:spacing w:after="0"/>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Open Market Sale Agreement</w:t>
              </w:r>
            </w:hyperlink>
          </w:p>
        </w:tc>
        <w:tc>
          <w:tcPr>
            <w:tcW w:w="140" w:type="dxa"/>
            <w:vAlign w:val="bottom"/>
            <w:tcBorders>
              <w:bottom w:val="single" w:sz="8" w:color="0000FF"/>
            </w:tcBorders>
          </w:tcPr>
          <w:p>
            <w:pPr>
              <w:spacing w:after="0"/>
              <w:rPr>
                <w:rFonts w:ascii="Times New Roman" w:cs="Times New Roman" w:eastAsia="Times New Roman" w:hAnsi="Times New Roman"/>
                <w:sz w:val="10"/>
                <w:szCs w:val="10"/>
                <w:color w:val="0000FF"/>
                <w:w w:val="82"/>
              </w:rPr>
            </w:pPr>
            <w:hyperlink r:id="rId285">
              <w:r>
                <w:rPr>
                  <w:rFonts w:ascii="Times New Roman" w:cs="Times New Roman" w:eastAsia="Times New Roman" w:hAnsi="Times New Roman"/>
                  <w:sz w:val="10"/>
                  <w:szCs w:val="10"/>
                  <w:color w:val="0000FF"/>
                  <w:w w:val="82"/>
                </w:rPr>
                <w:t>SM</w:t>
              </w:r>
            </w:hyperlink>
          </w:p>
        </w:tc>
        <w:tc>
          <w:tcPr>
            <w:tcW w:w="1940" w:type="dxa"/>
            <w:vAlign w:val="bottom"/>
            <w:gridSpan w:val="28"/>
            <w:vMerge w:val="restart"/>
          </w:tcPr>
          <w:p>
            <w:pPr>
              <w:spacing w:after="0"/>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 dated March 15, 2023, by and</w:t>
              </w:r>
            </w:hyperlink>
          </w:p>
        </w:tc>
        <w:tc>
          <w:tcPr>
            <w:tcW w:w="0" w:type="dxa"/>
            <w:vAlign w:val="bottom"/>
          </w:tcPr>
          <w:p>
            <w:pPr>
              <w:spacing w:after="0"/>
              <w:rPr>
                <w:sz w:val="1"/>
                <w:szCs w:val="1"/>
                <w:color w:val="auto"/>
              </w:rPr>
            </w:pPr>
          </w:p>
        </w:tc>
      </w:tr>
      <w:tr>
        <w:trPr>
          <w:trHeight w:val="47"/>
        </w:trPr>
        <w:tc>
          <w:tcPr>
            <w:tcW w:w="840" w:type="dxa"/>
            <w:vAlign w:val="bottom"/>
            <w:vMerge w:val="continue"/>
          </w:tcPr>
          <w:p>
            <w:pPr>
              <w:spacing w:after="0"/>
              <w:rPr>
                <w:sz w:val="4"/>
                <w:szCs w:val="4"/>
                <w:color w:val="auto"/>
              </w:rPr>
            </w:pPr>
          </w:p>
        </w:tc>
        <w:tc>
          <w:tcPr>
            <w:tcW w:w="176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760" w:type="dxa"/>
            <w:vAlign w:val="bottom"/>
            <w:tcBorders>
              <w:top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between Prelude Therapeutics</w:t>
              </w:r>
            </w:hyperlink>
          </w:p>
        </w:tc>
        <w:tc>
          <w:tcPr>
            <w:tcW w:w="140" w:type="dxa"/>
            <w:vAlign w:val="bottom"/>
          </w:tcPr>
          <w:p>
            <w:pPr>
              <w:spacing w:after="0"/>
              <w:rPr>
                <w:sz w:val="11"/>
                <w:szCs w:val="11"/>
                <w:color w:val="auto"/>
              </w:rPr>
            </w:pPr>
          </w:p>
        </w:tc>
        <w:tc>
          <w:tcPr>
            <w:tcW w:w="182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Incorporated and Jefferies LLC.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Form of Securities Purchase Agreement by and among Prelude</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Therapeutics Incorporated and certain Investors.</w:t>
            </w:r>
          </w:p>
        </w:tc>
        <w:tc>
          <w:tcPr>
            <w:tcW w:w="20" w:type="dxa"/>
            <w:vAlign w:val="bottom"/>
            <w:tcBorders>
              <w:top w:val="single" w:sz="8" w:color="0000FF"/>
              <w:bottom w:val="single" w:sz="8" w:color="0000EE"/>
            </w:tcBorders>
          </w:tcPr>
          <w:p>
            <w:pPr>
              <w:spacing w:after="0"/>
              <w:rPr>
                <w:sz w:val="11"/>
                <w:szCs w:val="11"/>
                <w:color w:val="auto"/>
              </w:rPr>
            </w:pPr>
          </w:p>
        </w:tc>
        <w:tc>
          <w:tcPr>
            <w:tcW w:w="860" w:type="dxa"/>
            <w:vAlign w:val="bottom"/>
            <w:tcBorders>
              <w:top w:val="single" w:sz="8" w:color="0000FF"/>
            </w:tcBorders>
            <w:gridSpan w:val="1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2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Subsidiaries of Prelude Therapeutics Incorporated.</w:t>
            </w:r>
          </w:p>
        </w:tc>
        <w:tc>
          <w:tcPr>
            <w:tcW w:w="20" w:type="dxa"/>
            <w:vAlign w:val="bottom"/>
            <w:tcBorders>
              <w:bottom w:val="single" w:sz="8" w:color="0000EE"/>
            </w:tcBorders>
          </w:tcPr>
          <w:p>
            <w:pPr>
              <w:spacing w:after="0"/>
              <w:rPr>
                <w:sz w:val="24"/>
                <w:szCs w:val="24"/>
                <w:color w:val="auto"/>
              </w:rPr>
            </w:pPr>
          </w:p>
        </w:tc>
        <w:tc>
          <w:tcPr>
            <w:tcW w:w="9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80" w:type="dxa"/>
            <w:vAlign w:val="bottom"/>
            <w:tcBorders>
              <w:top w:val="single" w:sz="8" w:color="0000FF"/>
            </w:tcBorders>
            <w:gridSpan w:val="26"/>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w:t>
            </w: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00" w:type="dxa"/>
            <w:vAlign w:val="bottom"/>
            <w:tcBorders>
              <w:top w:val="single" w:sz="8" w:color="0000FF"/>
              <w:bottom w:val="single" w:sz="8" w:color="0000FF"/>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0" w:type="dxa"/>
            <w:vAlign w:val="bottom"/>
            <w:tcBorders>
              <w:bottom w:val="single" w:sz="8" w:color="0000FF"/>
            </w:tcBorders>
            <w:gridSpan w:val="2"/>
          </w:tcPr>
          <w:p>
            <w:pPr>
              <w:spacing w:after="0"/>
              <w:rPr>
                <w:sz w:val="11"/>
                <w:szCs w:val="11"/>
                <w:color w:val="auto"/>
              </w:rPr>
            </w:pPr>
          </w:p>
        </w:tc>
        <w:tc>
          <w:tcPr>
            <w:tcW w:w="1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40" w:type="dxa"/>
            <w:vAlign w:val="bottom"/>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1934, as Adopted Pursuant to Section 302 of the Sarbanes-Oxley</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72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w w:val="99"/>
              </w:rPr>
              <w:t>Act of 2002.</w:t>
            </w:r>
          </w:p>
        </w:tc>
        <w:tc>
          <w:tcPr>
            <w:tcW w:w="306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40" w:type="dxa"/>
            <w:vAlign w:val="bottom"/>
            <w:tcBorders>
              <w:top w:val="single" w:sz="8" w:color="0000FF"/>
              <w:bottom w:val="single" w:sz="8" w:color="0000FF"/>
            </w:tcBorders>
            <w:gridSpan w:val="34"/>
          </w:tcPr>
          <w:p>
            <w:pPr>
              <w:spacing w:after="0" w:line="129" w:lineRule="exact"/>
              <w:rPr>
                <w:sz w:val="20"/>
                <w:szCs w:val="20"/>
                <w:color w:val="auto"/>
              </w:rPr>
            </w:pPr>
            <w:r>
              <w:rPr>
                <w:rFonts w:ascii="Times New Roman" w:cs="Times New Roman" w:eastAsia="Times New Roman" w:hAnsi="Times New Roman"/>
                <w:sz w:val="14"/>
                <w:szCs w:val="14"/>
                <w:color w:val="0000FF"/>
              </w:rPr>
              <w:t>14(a) and 15d-14(a) under the Securities Exchange Act of 1934,</w:t>
            </w:r>
          </w:p>
        </w:tc>
        <w:tc>
          <w:tcPr>
            <w:tcW w:w="8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40" w:type="dxa"/>
            <w:vAlign w:val="bottom"/>
            <w:tcBorders>
              <w:bottom w:val="single" w:sz="8" w:color="0000FF"/>
            </w:tcBorders>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2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80" w:type="dxa"/>
            <w:vAlign w:val="bottom"/>
            <w:tcBorders>
              <w:bottom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8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40" w:type="dxa"/>
            <w:vAlign w:val="bottom"/>
            <w:gridSpan w:val="39"/>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580" w:type="dxa"/>
            <w:vAlign w:val="bottom"/>
            <w:tcBorders>
              <w:top w:val="single" w:sz="8" w:color="0000FF"/>
            </w:tcBorders>
            <w:gridSpan w:val="15"/>
          </w:tcPr>
          <w:p>
            <w:pPr>
              <w:spacing w:after="0"/>
              <w:rPr>
                <w:sz w:val="11"/>
                <w:szCs w:val="11"/>
                <w:color w:val="auto"/>
              </w:rPr>
            </w:pPr>
          </w:p>
        </w:tc>
        <w:tc>
          <w:tcPr>
            <w:tcW w:w="520" w:type="dxa"/>
            <w:vAlign w:val="bottom"/>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00" w:type="dxa"/>
            <w:vAlign w:val="bottom"/>
            <w:tcBorders>
              <w:top w:val="single" w:sz="8" w:color="0000FF"/>
            </w:tcBorders>
            <w:gridSpan w:val="3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580" w:type="dxa"/>
            <w:vAlign w:val="bottom"/>
            <w:tcBorders>
              <w:top w:val="single" w:sz="8" w:color="0000FF"/>
            </w:tcBorders>
            <w:gridSpan w:val="15"/>
          </w:tcPr>
          <w:p>
            <w:pPr>
              <w:spacing w:after="0"/>
              <w:rPr>
                <w:sz w:val="11"/>
                <w:szCs w:val="11"/>
                <w:color w:val="auto"/>
              </w:rPr>
            </w:pPr>
          </w:p>
        </w:tc>
        <w:tc>
          <w:tcPr>
            <w:tcW w:w="560" w:type="dxa"/>
            <w:vAlign w:val="bottom"/>
            <w:gridSpan w:val="15"/>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0000FF"/>
              </w:rPr>
              <w:t>Compensation Recovery Policy of Prelude Therapeutics</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74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Incorporated</w:t>
            </w:r>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18"/>
          </w:tcPr>
          <w:p>
            <w:pPr>
              <w:spacing w:after="0"/>
              <w:rPr>
                <w:sz w:val="11"/>
                <w:szCs w:val="11"/>
                <w:color w:val="auto"/>
              </w:rPr>
            </w:pPr>
          </w:p>
        </w:tc>
        <w:tc>
          <w:tcPr>
            <w:tcW w:w="580" w:type="dxa"/>
            <w:vAlign w:val="bottom"/>
            <w:gridSpan w:val="16"/>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840" w:type="dxa"/>
            <w:vAlign w:val="bottom"/>
            <w:gridSpan w:val="39"/>
          </w:tcPr>
          <w:p>
            <w:pPr>
              <w:spacing w:after="0" w:line="149" w:lineRule="exact"/>
              <w:rPr>
                <w:sz w:val="20"/>
                <w:szCs w:val="20"/>
                <w:color w:val="auto"/>
              </w:rPr>
            </w:pPr>
            <w:r>
              <w:rPr>
                <w:rFonts w:ascii="Times New Roman" w:cs="Times New Roman" w:eastAsia="Times New Roman" w:hAnsi="Times New Roman"/>
                <w:sz w:val="14"/>
                <w:szCs w:val="14"/>
                <w:color w:val="auto"/>
              </w:rPr>
              <w:t>not appear in the Interactive Data File as its XBRL tags are</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840" w:type="dxa"/>
            <w:vAlign w:val="bottom"/>
            <w:gridSpan w:val="39"/>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6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4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Exhibit</w:t>
            </w:r>
          </w:p>
        </w:tc>
        <w:tc>
          <w:tcPr>
            <w:tcW w:w="1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Filing Date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333-251874</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10.6</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634"/>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485"/>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May 10, 2022</w:t>
            </w:r>
          </w:p>
        </w:tc>
        <w:tc>
          <w:tcPr>
            <w:tcW w:w="0" w:type="dxa"/>
            <w:vAlign w:val="bottom"/>
          </w:tcPr>
          <w:p>
            <w:pPr>
              <w:spacing w:after="0"/>
              <w:rPr>
                <w:sz w:val="1"/>
                <w:szCs w:val="1"/>
                <w:color w:val="auto"/>
              </w:rPr>
            </w:pPr>
          </w:p>
        </w:tc>
      </w:tr>
      <w:tr>
        <w:trPr>
          <w:trHeight w:val="539"/>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539"/>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10.12</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688"/>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November 14, 2022</w:t>
            </w:r>
          </w:p>
        </w:tc>
        <w:tc>
          <w:tcPr>
            <w:tcW w:w="0" w:type="dxa"/>
            <w:vAlign w:val="bottom"/>
          </w:tcPr>
          <w:p>
            <w:pPr>
              <w:spacing w:after="0"/>
              <w:rPr>
                <w:sz w:val="1"/>
                <w:szCs w:val="1"/>
                <w:color w:val="auto"/>
              </w:rPr>
            </w:pPr>
          </w:p>
        </w:tc>
      </w:tr>
      <w:tr>
        <w:trPr>
          <w:trHeight w:val="63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15, 2023</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4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40" w:space="20"/>
            <w:col w:w="6560"/>
          </w:cols>
          <w:pgMar w:left="340" w:top="1087" w:right="33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8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69"/>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4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w:t>
            </w:r>
          </w:p>
        </w:tc>
        <w:tc>
          <w:tcPr>
            <w:tcW w:w="1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26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Filing Date</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1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86"/>
        </w:trPr>
        <w:tc>
          <w:tcPr>
            <w:tcW w:w="72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Linkbase Documents.</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86"/>
        </w:trPr>
        <w:tc>
          <w:tcPr>
            <w:tcW w:w="72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contained in Exhibit 101).</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9505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19" w:lineRule="exact"/>
        <w:rPr>
          <w:sz w:val="20"/>
          <w:szCs w:val="20"/>
          <w:color w:val="auto"/>
        </w:rPr>
      </w:pPr>
    </w:p>
    <w:p>
      <w:pPr>
        <w:ind w:left="140" w:hanging="131"/>
        <w:spacing w:after="0"/>
        <w:tabs>
          <w:tab w:leader="none" w:pos="1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Indicates a management contract or compensatory plan, contract or arrangement.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registrant has omitted portions of the exhibit as permitted under Item 601(b)(10) of Regulation S-K.</w:t>
      </w:r>
    </w:p>
    <w:p>
      <w:pPr>
        <w:spacing w:after="0" w:line="26" w:lineRule="exact"/>
        <w:rPr>
          <w:sz w:val="20"/>
          <w:szCs w:val="20"/>
          <w:color w:val="auto"/>
        </w:rPr>
      </w:pPr>
    </w:p>
    <w:p>
      <w:pPr>
        <w:ind w:right="100" w:firstLine="8"/>
        <w:spacing w:after="0" w:line="273" w:lineRule="auto"/>
        <w:tabs>
          <w:tab w:leader="none" w:pos="1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Certain of the exhibits and schedules to these exhibits have been omitted in accordance with Regulation S-K Item 601(a)(5). The registrant agrees to furnish a copy of all omitted exhibits and schedules to the SEC upon its request.</w:t>
      </w:r>
    </w:p>
    <w:p>
      <w:pPr>
        <w:spacing w:after="0" w:line="18" w:lineRule="exact"/>
        <w:rPr>
          <w:sz w:val="20"/>
          <w:szCs w:val="20"/>
          <w:color w:val="auto"/>
        </w:rPr>
      </w:pPr>
    </w:p>
    <w:p>
      <w:pPr>
        <w:ind w:left="480" w:right="60" w:hanging="471"/>
        <w:spacing w:after="0" w:line="267" w:lineRule="auto"/>
        <w:tabs>
          <w:tab w:leader="none" w:pos="1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140" w:firstLine="47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ectPr>
          <w:pgSz w:w="11900" w:h="16838" w:orient="portrait"/>
          <w:cols w:equalWidth="0" w:num="1">
            <w:col w:w="11240"/>
          </w:cols>
          <w:pgMar w:left="320" w:top="1088" w:right="339" w:bottom="1440" w:gutter="0" w:footer="0" w:header="0"/>
        </w:sect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15, 2024</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33020</wp:posOffset>
            </wp:positionV>
            <wp:extent cx="32791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20" w:space="720"/>
            <w:col w:w="1680" w:space="720"/>
            <w:col w:w="3200"/>
          </w:cols>
          <w:pgMar w:left="320" w:top="1088" w:right="33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0" w:lineRule="exact"/>
        <w:rPr>
          <w:sz w:val="20"/>
          <w:szCs w:val="20"/>
          <w:color w:val="auto"/>
        </w:rPr>
      </w:pPr>
    </w:p>
    <w:p>
      <w:pPr>
        <w:ind w:right="280" w:firstLine="47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6"/>
                <w:szCs w:val="16"/>
                <w:color w:val="auto"/>
              </w:rPr>
            </w:pPr>
          </w:p>
        </w:tc>
        <w:tc>
          <w:tcPr>
            <w:tcW w:w="18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r>
      <w:tr>
        <w:trPr>
          <w:trHeight w:val="46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Krishna Vaddi, Ph.D.</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2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2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Friedman, M.D.</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Babler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Babler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Julian Baker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Julian Baker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Bonita</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Bonita, M.D.</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Mardi C. Dier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Mardi C. Dier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Victor Sandor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 Sandor, M.D.C.M.</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4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15" w:name="page116"/>
    <w:bookmarkEnd w:id="115"/>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REGISTRATION RIGHTS AGREEMENT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Amended and Restated Registration Rights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December 11, 2023, by and between Prelude Therapeutics Incorporated,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the persons listed on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who are signatories to this Agreement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xml:space="preserve">”). Unless otherwise defined herein, capitalized terms used in this Agreement have the respective meanings ascribed to them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Investors previously entered into that certain Registration Rights Agreement,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20, 2020 (the “</w:t>
      </w:r>
      <w:r>
        <w:rPr>
          <w:rFonts w:ascii="Times New Roman" w:cs="Times New Roman" w:eastAsia="Times New Roman" w:hAnsi="Times New Roman"/>
          <w:sz w:val="22"/>
          <w:szCs w:val="22"/>
          <w:u w:val="single" w:color="auto"/>
          <w:color w:val="auto"/>
        </w:rPr>
        <w:t>Original Registration Rights Agreement</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Investors are entering into a Securities Purchase Agreement, dated as of the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pursuant to which the Company will issue and sell to the Investors pre-funded warrants to purchase Pre-Funded Warrant Shares (as defined below).</w:t>
      </w:r>
    </w:p>
    <w:p>
      <w:pPr>
        <w:spacing w:after="0" w:line="1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entering into the Securities Purchase Agreement, the Company and the Investors wish to amend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arrangements with respect to the Original Registration Rights Agreement.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promises and covenants set forth herein, and other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adequacy of which are hereby acknowledged, the parties hereto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u w:val="single" w:color="auto"/>
          <w:color w:val="000000"/>
        </w:rPr>
        <w:t>Certain Definitions</w:t>
      </w:r>
      <w:r>
        <w:rPr>
          <w:rFonts w:ascii="Times New Roman" w:cs="Times New Roman" w:eastAsia="Times New Roman" w:hAnsi="Times New Roman"/>
          <w:sz w:val="22"/>
          <w:szCs w:val="22"/>
          <w:color w:val="000000"/>
        </w:rPr>
        <w:t>. In addition to the terms defined elsewhere in this Agreement, as used in this Agreement, the following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terms have the respective meanings set forth below:</w:t>
      </w:r>
    </w:p>
    <w:p>
      <w:pPr>
        <w:spacing w:after="0" w:line="15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5"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Securities and Exchange Commission or any other federal agency at the time administering the Securities Act.</w:t>
      </w:r>
    </w:p>
    <w:p>
      <w:pPr>
        <w:spacing w:after="0" w:line="157"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voting common stock of the Company, par value $0.0001 per share.</w:t>
      </w:r>
    </w:p>
    <w:p>
      <w:pPr>
        <w:spacing w:after="0" w:line="205"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or any similar successor federal statute and the rules and regulations thereunder, all as the same shall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3" w:lineRule="exact"/>
        <w:rPr>
          <w:sz w:val="20"/>
          <w:szCs w:val="20"/>
          <w:color w:val="auto"/>
        </w:rPr>
      </w:pPr>
    </w:p>
    <w:p>
      <w:pPr>
        <w:ind w:firstLine="8"/>
        <w:spacing w:after="0" w:line="258"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Investors’ Rights Agreement</w:t>
      </w:r>
      <w:r>
        <w:rPr>
          <w:rFonts w:ascii="Times New Roman" w:cs="Times New Roman" w:eastAsia="Times New Roman" w:hAnsi="Times New Roman"/>
          <w:sz w:val="22"/>
          <w:szCs w:val="22"/>
          <w:color w:val="auto"/>
        </w:rPr>
        <w:t>” shall mean the Amended and Restated Investors’ Right Agreement, dated as of August 21, 2020, by and among the Company and the investors named therein.</w:t>
      </w:r>
    </w:p>
    <w:p>
      <w:pPr>
        <w:spacing w:after="0" w:line="157" w:lineRule="exact"/>
        <w:rPr>
          <w:rFonts w:ascii="Times New Roman" w:cs="Times New Roman" w:eastAsia="Times New Roman" w:hAnsi="Times New Roman"/>
          <w:sz w:val="22"/>
          <w:szCs w:val="22"/>
          <w:color w:val="010000"/>
        </w:rPr>
      </w:pPr>
    </w:p>
    <w:p>
      <w:pPr>
        <w:jc w:val="both"/>
        <w:ind w:firstLine="8"/>
        <w:spacing w:after="0" w:line="244" w:lineRule="auto"/>
        <w:tabs>
          <w:tab w:leader="none" w:pos="577"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Investors</w:t>
      </w:r>
      <w:r>
        <w:rPr>
          <w:rFonts w:ascii="Times New Roman" w:cs="Times New Roman" w:eastAsia="Times New Roman" w:hAnsi="Times New Roman"/>
          <w:sz w:val="22"/>
          <w:szCs w:val="22"/>
          <w:color w:val="auto"/>
        </w:rPr>
        <w:t>” shall mean the “Investors”, as defined in those certain Registration Rights Agreements, dated as of [ ], 2020, entered into by and between the Company and each of [ ] (collectively, and without taking into account any amendments thereto after the date hereof, the “</w:t>
      </w:r>
      <w:r>
        <w:rPr>
          <w:rFonts w:ascii="Times New Roman" w:cs="Times New Roman" w:eastAsia="Times New Roman" w:hAnsi="Times New Roman"/>
          <w:sz w:val="22"/>
          <w:szCs w:val="22"/>
          <w:u w:val="single" w:color="auto"/>
          <w:color w:val="auto"/>
        </w:rPr>
        <w:t>Other RRAs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Investors’ Registrable Securities</w:t>
      </w:r>
      <w:r>
        <w:rPr>
          <w:rFonts w:ascii="Times New Roman" w:cs="Times New Roman" w:eastAsia="Times New Roman" w:hAnsi="Times New Roman"/>
          <w:sz w:val="22"/>
          <w:szCs w:val="22"/>
          <w:color w:val="auto"/>
        </w:rPr>
        <w:t>” means the Registrable Securities (as defined in each of the Other RRAs) of the Other Investors.</w:t>
      </w:r>
    </w:p>
    <w:p>
      <w:pPr>
        <w:spacing w:after="0" w:line="157" w:lineRule="exact"/>
        <w:rPr>
          <w:rFonts w:ascii="Times New Roman" w:cs="Times New Roman" w:eastAsia="Times New Roman" w:hAnsi="Times New Roman"/>
          <w:sz w:val="22"/>
          <w:szCs w:val="22"/>
          <w:color w:val="010000"/>
        </w:rPr>
      </w:pPr>
    </w:p>
    <w:p>
      <w:pPr>
        <w:ind w:firstLine="8"/>
        <w:spacing w:after="0" w:line="258" w:lineRule="auto"/>
        <w:tabs>
          <w:tab w:leader="none" w:pos="617"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shall mean securities of the Company, other than Registrable Securities or the Other Investors’ Registrable Securities.</w:t>
      </w:r>
    </w:p>
    <w:p>
      <w:pPr>
        <w:spacing w:after="0" w:line="157"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2"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Pre-Funded Warrant Shares</w:t>
      </w:r>
      <w:r>
        <w:rPr>
          <w:rFonts w:ascii="Times New Roman" w:cs="Times New Roman" w:eastAsia="Times New Roman" w:hAnsi="Times New Roman"/>
          <w:sz w:val="22"/>
          <w:szCs w:val="22"/>
          <w:color w:val="auto"/>
        </w:rPr>
        <w:t>” shall mean shares of the Common Stock underlying the Pre-Funded Warrants issued to the Investors pursuant to the Securities Purchase Agreement.</w:t>
      </w:r>
    </w:p>
    <w:p>
      <w:pPr>
        <w:spacing w:after="0" w:line="157" w:lineRule="exact"/>
        <w:rPr>
          <w:rFonts w:ascii="Times New Roman" w:cs="Times New Roman" w:eastAsia="Times New Roman" w:hAnsi="Times New Roman"/>
          <w:sz w:val="22"/>
          <w:szCs w:val="22"/>
          <w:color w:val="010000"/>
        </w:rPr>
      </w:pPr>
    </w:p>
    <w:p>
      <w:pPr>
        <w:jc w:val="both"/>
        <w:ind w:firstLine="8"/>
        <w:spacing w:after="0" w:line="233"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shall mean the shares of Common Stock, the Pre-Funded Warrant Shares and any Common Stock issued or issuable upon the exercise or conversion of any other securities (whether equity, debt or otherwise) of the Company now owned or hereafter acquired by any of the Investors. Registrable Securities held by any of the Investors shall cease to be Registrable Securities of the Investors upon the earliest to occur of the following events: (i) such Registrable Securities have been sold pursuant to an effective Registration Statement; (ii) such Registrable Securities have been sold by the Investors pursuant to Rule 144 (or other similar rule), (iii) such Registrable Securities may be resold by the Investor holding such Registrable Securities without limitations as to volume or manner of sale pursuant to Rule 144; or (iv) (A) with respect to Registrable Securities owned immediately prior to the Securities Purchase Agreement, December 20, 2030 and (B) with respect to all other Registrable Securities, including the Pre-Funded Warrant Shares,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 without regard to any limitations on conversion applicable thereto.</w:t>
      </w:r>
    </w:p>
    <w:p>
      <w:pPr>
        <w:spacing w:after="0" w:line="178"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shall refer to a registration effected by preparing and filing a Registration Statement in compliance with the Securities Act, and such Registration Statement becoming effective under the Securities Act.</w:t>
      </w:r>
    </w:p>
    <w:p>
      <w:pPr>
        <w:spacing w:after="0" w:line="172"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up to $50,000 of reasonable legal expenses of one special counsel for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-5463540</wp:posOffset>
            </wp:positionV>
            <wp:extent cx="469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46990"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22"/>
          <w:szCs w:val="22"/>
          <w:color w:val="auto"/>
        </w:rPr>
        <w:t>(if different from the Company’s counsel and if such counsel is reasonably approved by the Company) in connection with the preparation and filing of each of the Resale Registration Shelf and the Pre-Funded Warrant Shares Shelf Registration Statement, and up to $50,000 of reasonable legal expenses of one special counsel for Investors (if different from the Company’s counsel and if such counsel is reasonably approved by the Company) per underwritten public offering, blue sky fees and expenses, and expenses of any regular or special audits incident to or required by any such registration, but shall not include Selling Expenses.</w:t>
      </w:r>
    </w:p>
    <w:p>
      <w:pPr>
        <w:spacing w:after="0" w:line="179" w:lineRule="exact"/>
        <w:rPr>
          <w:sz w:val="20"/>
          <w:szCs w:val="20"/>
          <w:color w:val="auto"/>
        </w:rPr>
      </w:pPr>
    </w:p>
    <w:p>
      <w:pPr>
        <w:jc w:val="both"/>
        <w:ind w:firstLine="8"/>
        <w:spacing w:after="0" w:line="237" w:lineRule="auto"/>
        <w:tabs>
          <w:tab w:leader="none" w:pos="50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80"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shall mean Rule 144 as promulgated by the Commission under the Securities Act, as such rule may be amended from time to time, or any similar successor rule that may be promulgated by the Commission.</w:t>
      </w:r>
    </w:p>
    <w:p>
      <w:pPr>
        <w:spacing w:after="0" w:line="157"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 or any similar successor federal statute and the rules and regulations thereunder, all as the same shall be in effect from time to time.</w:t>
      </w:r>
    </w:p>
    <w:p>
      <w:pPr>
        <w:spacing w:after="0" w:line="157"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shall mean all underwriting discounts and selling commissions applicable to the sale of Registrable Securities, the fees and expenses of any legal counsel (except as provided in the definition of “Registration Expenses”) and any other advisors any of the Investors engage and all similar fees and commissions relating to the Investors’ disposition of the Registrable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Resale Registration Rights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0"/>
          <w:szCs w:val="20"/>
          <w:u w:val="single" w:color="auto"/>
          <w:color w:val="auto"/>
        </w:rPr>
        <w:t>Resale Registration Rights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8"/>
        <w:spacing w:after="0" w:line="234" w:lineRule="auto"/>
        <w:tabs>
          <w:tab w:leader="none" w:pos="50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demand by any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Times New Roman" w:cs="Times New Roman" w:eastAsia="Times New Roman" w:hAnsi="Times New Roman"/>
          <w:sz w:val="22"/>
          <w:szCs w:val="22"/>
          <w:u w:val="single" w:color="auto"/>
          <w:color w:val="auto"/>
        </w:rPr>
        <w:t>Resale Registration Shelf</w:t>
      </w:r>
      <w:r>
        <w:rPr>
          <w:rFonts w:ascii="Times New Roman" w:cs="Times New Roman" w:eastAsia="Times New Roman" w:hAnsi="Times New Roman"/>
          <w:sz w:val="22"/>
          <w:szCs w:val="22"/>
          <w:color w:val="auto"/>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Section 2.7. Notwithstanding the foregoing, before filing the Resale Registration Shelf, the Company shall furnish to the Investors a copy of the Resale Registration Shelf and afford the Investors an opportunity to review and comment on the Resale Registration Shelf. The Company’s obligation pursuant to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is conditioned upon the Investors providing the information contemplated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3" w:lineRule="exact"/>
        <w:rPr>
          <w:sz w:val="20"/>
          <w:szCs w:val="20"/>
          <w:color w:val="auto"/>
        </w:rPr>
      </w:pPr>
    </w:p>
    <w:p>
      <w:pPr>
        <w:jc w:val="both"/>
        <w:ind w:firstLine="8"/>
        <w:spacing w:after="0" w:line="233" w:lineRule="auto"/>
        <w:tabs>
          <w:tab w:leader="none" w:pos="50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Promptly following the Closing Date (as defined in the Securities Purchase Agreement) but no later than thirty (30) days after the Closing Date, the Company shall prepare and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all of the Pre-Funded Warrant Shares (“</w:t>
      </w:r>
      <w:r>
        <w:rPr>
          <w:rFonts w:ascii="Times New Roman" w:cs="Times New Roman" w:eastAsia="Times New Roman" w:hAnsi="Times New Roman"/>
          <w:sz w:val="22"/>
          <w:szCs w:val="22"/>
          <w:u w:val="single" w:color="auto"/>
          <w:color w:val="auto"/>
        </w:rPr>
        <w:t>Pre-Funded Warrant Shares Shelf Registration Statement</w:t>
      </w:r>
      <w:r>
        <w:rPr>
          <w:rFonts w:ascii="Times New Roman" w:cs="Times New Roman" w:eastAsia="Times New Roman" w:hAnsi="Times New Roman"/>
          <w:sz w:val="22"/>
          <w:szCs w:val="22"/>
          <w:color w:val="auto"/>
        </w:rPr>
        <w:t xml:space="preserve">”). Such Pre-Funded Warrant Shares Shelf Registration Statement shall include a “final” prospectus, including the information required by Item 507 of Regulation S-K of the Securities Act, as provided by the Investors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Notwithstanding the foregoing, before filing the Pre-Funded Warrant Shares Shelf Registration Statement, the Company shall furnish to the Investors a copy of the Pre-Funded Warrant Shares Shelf Registration Statement and afford the Investors a reasonable opportunity to review and comment on the Pre-Funded Warrant Shares Shelf Registration Statement. The Company’s obligation pursuant to this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is conditioned upon the Investors providing the information contemplated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010000"/>
        </w:rPr>
      </w:pPr>
    </w:p>
    <w:p>
      <w:pPr>
        <w:jc w:val="both"/>
        <w:ind w:firstLine="8"/>
        <w:spacing w:after="0" w:line="234" w:lineRule="auto"/>
        <w:tabs>
          <w:tab w:leader="none" w:pos="50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use its reasonable best efforts to cause the Resale Registration Shelf, the Pre-Funded Warrant Shares Shelf Registration Statement and related prospectuses, as applicable, to become effective as promptly as practicable after filing. The Company shall use its reasonable best efforts to cause such Registration Statements to remain effective under the Securities Act until the earlier of the date (i) all Registrable Securities covered by the Resale Registration Shelf and the Pre-Funded Warrant Shares Shelf Registration Statement, as applicable, have been sold or (ii) all Registrable Securities covered by the Resale Registration Shelf and the Pre-Funded Warrant Shares Shelf Registration Statement, as applicable, otherwise cease to be Registrable Securities. The Company shall promptly, and within two (2) business days after the Company confirms effectiveness of the Resale Registration Shelf or the Pre-Funded Warrant Shares Shelf Registration Statement, as applicable, with the Commission, notify the Investors of the effectiveness of the Resale Registration Shelf or the Pre-Funded Warrant Shares Shelf Registration Statement, as applicable.</w:t>
      </w:r>
    </w:p>
    <w:p>
      <w:pPr>
        <w:spacing w:after="0" w:line="176"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contained herein to the contrary, the Company shall not be obligated to effect, or to take any action to effect, a registration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8"/>
        <w:spacing w:after="0" w:line="258" w:lineRule="auto"/>
        <w:tabs>
          <w:tab w:leader="none" w:pos="509"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has and maintains an effective Registration Statement on Form S-3ASR that provides for the resale of an unlimited number of securities by selling stockholders (a “</w:t>
      </w:r>
      <w:r>
        <w:rPr>
          <w:rFonts w:ascii="Times New Roman" w:cs="Times New Roman" w:eastAsia="Times New Roman" w:hAnsi="Times New Roman"/>
          <w:sz w:val="22"/>
          <w:szCs w:val="22"/>
          <w:u w:val="single" w:color="auto"/>
          <w:color w:val="auto"/>
        </w:rPr>
        <w:t>Company Registration Shelf</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right="20" w:firstLine="8"/>
        <w:spacing w:after="0" w:line="258" w:lineRule="auto"/>
        <w:tabs>
          <w:tab w:leader="none" w:pos="509"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period forty-five (45) days prior to the Company’s good faith estimate of the date of filing of a Company Registration Shelf; or</w:t>
      </w:r>
    </w:p>
    <w:p>
      <w:pPr>
        <w:spacing w:after="0" w:line="157"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has caused a Registration Statement to become effective (A)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(B) Section 2.1 of any of the Other RRAs (and complied with its obligations under </w:t>
      </w:r>
      <w:r>
        <w:rPr>
          <w:rFonts w:ascii="Times New Roman" w:cs="Times New Roman" w:eastAsia="Times New Roman" w:hAnsi="Times New Roman"/>
          <w:sz w:val="22"/>
          <w:szCs w:val="22"/>
          <w:u w:val="single" w:color="auto"/>
          <w:color w:val="auto"/>
        </w:rPr>
        <w:t>Section 2.1(g)</w:t>
      </w:r>
      <w:r>
        <w:rPr>
          <w:rFonts w:ascii="Times New Roman" w:cs="Times New Roman" w:eastAsia="Times New Roman" w:hAnsi="Times New Roman"/>
          <w:sz w:val="22"/>
          <w:szCs w:val="22"/>
          <w:color w:val="auto"/>
        </w:rPr>
        <w:t>, below, in connection therewith) during the prior twelve (12) month period.</w:t>
      </w:r>
    </w:p>
    <w:p>
      <w:pPr>
        <w:spacing w:after="0" w:line="172" w:lineRule="exact"/>
        <w:rPr>
          <w:sz w:val="20"/>
          <w:szCs w:val="20"/>
          <w:color w:val="auto"/>
        </w:rPr>
      </w:pPr>
    </w:p>
    <w:p>
      <w:pPr>
        <w:jc w:val="both"/>
        <w:ind w:firstLine="8"/>
        <w:spacing w:after="0" w:line="244" w:lineRule="auto"/>
        <w:tabs>
          <w:tab w:leader="none" w:pos="509"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has a Company Registration Shelf in place at any time in which the Investors make a demand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the Company shall file with the Commission, as promptly as practicable, and in any event within fifteen (15) business days after such demand,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3"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a “final” prospectus supplement to its Company Registration Shelf covering the resale of the Registrable Securities by the Investors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shall not be obligated to file more than one Prospectus pursuant to this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 xml:space="preserve"> 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Notwithstanding the foregoing, before filing the Prospectus, the Company shall furnish to the Investors a copy of the Prospectus and afford the Investors an opportunity to review and comment on the Prospectus.</w:t>
      </w:r>
    </w:p>
    <w:p>
      <w:pPr>
        <w:spacing w:after="0" w:line="184" w:lineRule="exact"/>
        <w:rPr>
          <w:sz w:val="20"/>
          <w:szCs w:val="20"/>
          <w:color w:val="auto"/>
        </w:rPr>
      </w:pPr>
    </w:p>
    <w:p>
      <w:pPr>
        <w:jc w:val="both"/>
        <w:ind w:firstLine="8"/>
        <w:spacing w:after="0" w:line="255" w:lineRule="auto"/>
        <w:tabs>
          <w:tab w:leader="none" w:pos="509"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Deferral and Suspension</w:t>
      </w:r>
      <w:r>
        <w:rPr>
          <w:rFonts w:ascii="Times New Roman" w:cs="Times New Roman" w:eastAsia="Times New Roman" w:hAnsi="Times New Roman"/>
          <w:sz w:val="20"/>
          <w:szCs w:val="20"/>
          <w:color w:val="auto"/>
        </w:rPr>
        <w:t xml:space="preserve">. At any time after being obligated to file a Resale Registration Shelf, the Pre-Funded Warrant Shares Shelf Registration Statement or Prospectus, or after any Resale Registration Shelf or Pre-Funded Warrant Shares Shelf Registration Statement has become effective or a Prospectus is filed with the Commission (in each case, including pursuant to an Other RRA), the Company may defer the filing of or suspend the use of any such Resale Registration Shelf, Pre-Funded Warrant Shares Shelf Registration Statement or Prospectus, upon giving written notice of such action to the Investors with a certificate signed by the Principal Executive Officer of the Company stating that in the good faith judgment of the Board, the filing or use of any such Resale Registration Shelf, Pre-Funded Warrant Shares Shelf Registration Statement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Pre-Funded Warrant Shares Shelf Registration Statement or Prospectus at such time. The Company shall have the right to defer the filing of or suspend the use of such Resale Registration Shelf, Pre-Funded Warrant Shares Shelf Registration Statement or Prospectus for a period of not more than one hundred twenty (120) days from the date the Company notifies the Investors of such deferral or suspension;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exercise the right contained in this </w:t>
      </w:r>
      <w:r>
        <w:rPr>
          <w:rFonts w:ascii="Times New Roman" w:cs="Times New Roman" w:eastAsia="Times New Roman" w:hAnsi="Times New Roman"/>
          <w:sz w:val="20"/>
          <w:szCs w:val="20"/>
          <w:u w:val="single" w:color="auto"/>
          <w:color w:val="auto"/>
        </w:rPr>
        <w:t>Section 2.1(f)</w:t>
      </w:r>
      <w:r>
        <w:rPr>
          <w:rFonts w:ascii="Times New Roman" w:cs="Times New Roman" w:eastAsia="Times New Roman" w:hAnsi="Times New Roman"/>
          <w:sz w:val="20"/>
          <w:szCs w:val="20"/>
          <w:color w:val="auto"/>
        </w:rPr>
        <w:t xml:space="preserve"> more than once in any twelve month period. In the case of the suspension of use of any effective Resale Registration Shelf, Pre-Funded Warrant Shares Shelf Registration Statement or Prospectus, the Investors, immediately upon receipt of notice thereof from the Company, shall discontinue any offers or sales of Registrable Securities pursuant to such Resale Registration Shelf, Pre-Funded Warrant Shares Shelf Registration Statement or Prospectus until advised in writing by the Company that the use of such Resale Registration Shelf, Pre-Funded Warrant Shares Shelf Registration Statement or Prospectus may be resumed. In the case of a deferred Prospectus or Resale Registration Shelf filing or Pre-Funded Warrant Shares Shelf Registration Statement, the Company shall provide prompt written notice to the Investors of (i) the Company’s decision to file or seek effectiveness of the Prospectus or Resale Registration Shelf or Pre-Funded Warrant Shares Shelf Registration Statement, as the case may be, following such deferral and (ii) in the case of a Resale Registration Shelf or Pre-Funded Warrant Shares Shelf Registration Statement, the effectiveness of such Resale Registration Shelf or Pre-Funded Warrant Shares Shelf Registration Statement. In the case of either a suspension of use of, or deferred filing of, any Resale Registration Shelf, Pre-Funded Warrant Shares Shelf Registration Statement or Prospectus, the Company shall not, during the pendency of such suspension or deferral, be required to take any action hereunder (including any action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with respect to the registration or sale of any Registrable Securities pursuant to any such Resale Registration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Pre-Funded Warrant Shares Shelf Registration Statement, Company Registration Shelf or Prospectus.</w:t>
      </w:r>
    </w:p>
    <w:p>
      <w:pPr>
        <w:spacing w:after="0" w:line="205" w:lineRule="exact"/>
        <w:rPr>
          <w:sz w:val="20"/>
          <w:szCs w:val="20"/>
          <w:color w:val="auto"/>
        </w:rPr>
      </w:pPr>
    </w:p>
    <w:p>
      <w:pPr>
        <w:jc w:val="both"/>
        <w:ind w:firstLine="8"/>
        <w:spacing w:after="0" w:line="235" w:lineRule="auto"/>
        <w:tabs>
          <w:tab w:leader="none" w:pos="509"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Piggy-Back Rights</w:t>
      </w:r>
      <w:r>
        <w:rPr>
          <w:rFonts w:ascii="Times New Roman" w:cs="Times New Roman" w:eastAsia="Times New Roman" w:hAnsi="Times New Roman"/>
          <w:sz w:val="22"/>
          <w:szCs w:val="22"/>
          <w:color w:val="auto"/>
        </w:rPr>
        <w:t xml:space="preserve">. The Company must provide the Investors with ten (10) days’ notice before filing any Resale Registration Shelf, Pre-Funded Warrant Shares Shelf Registration Statement or Prospectus pursuant to a request by the Other Investors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of the Other RRAs, and, upon the Investors’ written request, include the Investors as one or more selling stockholders in such Resale Registration Shelf, Pre-Funded Warrant Shares Shelf Registration Statement or Prospectus. </w:t>
      </w:r>
      <w:r>
        <w:rPr>
          <w:rFonts w:ascii="Times New Roman" w:cs="Times New Roman" w:eastAsia="Times New Roman" w:hAnsi="Times New Roman"/>
          <w:sz w:val="22"/>
          <w:szCs w:val="22"/>
          <w:u w:val="single" w:color="auto"/>
          <w:color w:val="auto"/>
        </w:rPr>
        <w:t>Section 2.1(h)</w:t>
      </w:r>
      <w:r>
        <w:rPr>
          <w:rFonts w:ascii="Times New Roman" w:cs="Times New Roman" w:eastAsia="Times New Roman" w:hAnsi="Times New Roman"/>
          <w:sz w:val="22"/>
          <w:szCs w:val="22"/>
          <w:color w:val="auto"/>
        </w:rPr>
        <w:t xml:space="preserve"> of the Other RRAs notwithstanding, the securities of the Investors and the Other Investors will be excluded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from such Registration Statement if any such exclusion is deemed necessary in order to comply with any applicable laws or request from the Commission, Nasdaq or any applicable listing agency.</w:t>
      </w:r>
    </w:p>
    <w:p>
      <w:pPr>
        <w:spacing w:after="0" w:line="180"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xml:space="preserve">. Any Resale Registration Shelf, Pre-Funded Warrant Shares Shelf Registration Statement or Prospectus may include Other Investors’ Registrable Securities, Other Securities, and may include securities of the Company being sold for the account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such Other Investors’ Registrable Securities are treated in a manner consistent with </w:t>
      </w:r>
      <w:r>
        <w:rPr>
          <w:rFonts w:ascii="Times New Roman" w:cs="Times New Roman" w:eastAsia="Times New Roman" w:hAnsi="Times New Roman"/>
          <w:sz w:val="22"/>
          <w:szCs w:val="22"/>
          <w:u w:val="single" w:color="auto"/>
          <w:color w:val="auto"/>
        </w:rPr>
        <w:t>Section 2.1(g)</w:t>
      </w:r>
      <w:r>
        <w:rPr>
          <w:rFonts w:ascii="Times New Roman" w:cs="Times New Roman" w:eastAsia="Times New Roman" w:hAnsi="Times New Roman"/>
          <w:sz w:val="22"/>
          <w:szCs w:val="22"/>
          <w:color w:val="auto"/>
        </w:rPr>
        <w:t xml:space="preserve"> of the Other RRAs and (ii) such Other Securities are excluded first from such Registration Statement in order to comply with any applicable laws or request from the Commission, Nasdaq or any applicable listing agency. For the avoidance of doubt, no Other Securities may be included in an underwritten offering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without the consent of the Investors except as expressly set forth herein.</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20"/>
          <w:szCs w:val="20"/>
          <w:u w:val="single" w:color="auto"/>
          <w:color w:val="auto"/>
        </w:rPr>
        <w:t>Sales and Underwritten Offerings of the Registrable Securities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8"/>
        <w:spacing w:after="0" w:line="237" w:lineRule="auto"/>
        <w:tabs>
          <w:tab w:leader="none" w:pos="509"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contained herein to the contrary, the Investors, collectively, shall and subject to the limitations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be entitled to demand up to two underwritten public offerings to effect the sale or distribution of Registrable Securities during the term of this Agreement; provided that the Investors and the Other Investors shall be entitled to not more than an aggregate of two underwritten public offerings per calendar year pursuant to this Section 2.2 or Section 2.2 of the Other RRAs.</w:t>
      </w:r>
    </w:p>
    <w:p>
      <w:pPr>
        <w:spacing w:after="0" w:line="180" w:lineRule="exact"/>
        <w:rPr>
          <w:rFonts w:ascii="Times New Roman" w:cs="Times New Roman" w:eastAsia="Times New Roman" w:hAnsi="Times New Roman"/>
          <w:sz w:val="22"/>
          <w:szCs w:val="22"/>
          <w:color w:val="010000"/>
        </w:rPr>
      </w:pPr>
    </w:p>
    <w:p>
      <w:pPr>
        <w:jc w:val="both"/>
        <w:ind w:firstLine="8"/>
        <w:spacing w:after="0" w:line="237" w:lineRule="auto"/>
        <w:tabs>
          <w:tab w:leader="none" w:pos="509"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Investors intend to effect an underwritten public offering pursuant to a Resale Registration Shelf, Pre-Funded Warrant Shares Shelf Registration Statement or Company Registration Shelf to sell or otherwise distribute Registrable Securities, they shall so advise the Company and provide as much notice to the Company as reasonably practicable (and in any event not less than fifteen (15) business days prior to the Investors’ request that the Company file a prospectus supplement to a Resale Registration Shelf, Pre-Funded Warrant Shares Shelf Registration Statement or Company Registration Shelf).</w:t>
      </w:r>
    </w:p>
    <w:p>
      <w:pPr>
        <w:spacing w:after="0" w:line="180"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any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underwriting of shares of Registrable Securities, the Investors shall be entitled to select the underwriter or underwriters for such offering, subject to the consent of the Company, such consent not to be unreasonably withheld, conditioned or delayed.</w:t>
      </w:r>
    </w:p>
    <w:p>
      <w:pPr>
        <w:spacing w:after="0" w:line="172" w:lineRule="exact"/>
        <w:rPr>
          <w:rFonts w:ascii="Times New Roman" w:cs="Times New Roman" w:eastAsia="Times New Roman" w:hAnsi="Times New Roman"/>
          <w:sz w:val="22"/>
          <w:szCs w:val="22"/>
          <w:color w:val="010000"/>
        </w:rPr>
      </w:pPr>
    </w:p>
    <w:p>
      <w:pPr>
        <w:ind w:right="20" w:firstLine="8"/>
        <w:spacing w:after="0" w:line="258" w:lineRule="auto"/>
        <w:tabs>
          <w:tab w:leader="none" w:pos="509"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any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underwriting of shares of Registrable Securities, the Company shall not be required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20"/>
          <w:szCs w:val="20"/>
          <w:color w:val="auto"/>
        </w:rPr>
        <w:t>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 (iii) complete and execute all questionnaires, powers of attorney, custody agreements, indemnities and other documents as may be requested by such underwriter or underwriters. Further, the Company shall not be required to include any of the Registrable Securities in such underwriting if (Y) the underwriting agreement proposed by the underwriter or underwriters contains representations, warranties or conditions that are not reasonable in light of the Company’s then-current business or (Z) the underwriter, underwriters or the Investors require the Company to participate in any marketing, road show or comparable activity that may be required to complete the orderly sale of shares by the underwriter or underwriters.</w:t>
      </w:r>
    </w:p>
    <w:p>
      <w:pPr>
        <w:spacing w:after="0" w:line="158" w:lineRule="exact"/>
        <w:rPr>
          <w:sz w:val="20"/>
          <w:szCs w:val="20"/>
          <w:color w:val="auto"/>
        </w:rPr>
      </w:pPr>
    </w:p>
    <w:p>
      <w:pPr>
        <w:jc w:val="both"/>
        <w:ind w:firstLine="8"/>
        <w:spacing w:after="0" w:line="239" w:lineRule="auto"/>
        <w:tabs>
          <w:tab w:leader="none" w:pos="50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below, the Company must provide the Investors with not less than ten (10) business days’ notice before effecting an underwritten public offering of Other Investors’ Registrable Securities (including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Other RRAs) and Other Securities, and, upon the Investor’s written request, include the Registrable Securities requested by Investor in such underwritten public offering.</w:t>
      </w:r>
    </w:p>
    <w:p>
      <w:pPr>
        <w:spacing w:after="0" w:line="178" w:lineRule="exact"/>
        <w:rPr>
          <w:rFonts w:ascii="Times New Roman" w:cs="Times New Roman" w:eastAsia="Times New Roman" w:hAnsi="Times New Roman"/>
          <w:sz w:val="22"/>
          <w:szCs w:val="22"/>
          <w:color w:val="010000"/>
        </w:rPr>
      </w:pPr>
    </w:p>
    <w:p>
      <w:pPr>
        <w:jc w:val="both"/>
        <w:ind w:firstLine="8"/>
        <w:spacing w:after="0" w:line="233" w:lineRule="auto"/>
        <w:tabs>
          <w:tab w:leader="none" w:pos="509"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total amount of securities to be sold in any underwritten public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or any underwritten public offering initiated by the Other Investors pursuant to their registration rights,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 xml:space="preserve">), that the underwriters and the Company determine in their sole discretion shall not jeopardize the success of the offering. If the underwritten public offering has been requested pursuant to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of this Agreement or the Other RRAs, the number of shares that are entitled to be included in the registration and underwriting shall be allocated in the following manner: (a)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shares of Company equity securities that the Company desires to include in such registration shall be excluded and (b)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Registrable Securities requested to be included in such registration by the Investors and the Other Investors shall be excluded,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To facilitate the allocation of shares in accordance with the above provisions, the Company or the underwriters may round down the number of shares allocated to any of the Investors or the Other Investors to the nearest 100 shares.</w:t>
      </w:r>
    </w:p>
    <w:p>
      <w:pPr>
        <w:sectPr>
          <w:pgSz w:w="11900" w:h="16838" w:orient="portrait"/>
          <w:cols w:equalWidth="0" w:num="1">
            <w:col w:w="11240"/>
          </w:cols>
          <w:pgMar w:left="320" w:top="1440" w:right="339" w:bottom="1440" w:gutter="0" w:footer="0" w:header="0"/>
        </w:sectPr>
      </w:pP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2.3.</w:t>
      </w:r>
      <w:r>
        <w:rPr>
          <w:sz w:val="20"/>
          <w:szCs w:val="20"/>
          <w:color w:val="auto"/>
        </w:rPr>
        <w:tab/>
      </w: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borne by the Company.</w:t>
      </w: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66"/>
        <w:spacing w:after="0" w:line="307" w:lineRule="auto"/>
        <w:rPr>
          <w:sz w:val="20"/>
          <w:szCs w:val="20"/>
          <w:color w:val="auto"/>
        </w:rPr>
      </w:pPr>
      <w:r>
        <w:rPr>
          <w:rFonts w:ascii="Times New Roman" w:cs="Times New Roman" w:eastAsia="Times New Roman" w:hAnsi="Times New Roman"/>
          <w:sz w:val="20"/>
          <w:szCs w:val="20"/>
          <w:color w:val="auto"/>
        </w:rPr>
        <w:t>All Registration Expenses incurred in connection with registrations pursuant to this Agreement shall be All Selling Expenses relating to securities registered on behalf of the Investors shall be borne by the</w:t>
      </w:r>
    </w:p>
    <w:p>
      <w:pPr>
        <w:spacing w:after="0" w:line="355" w:lineRule="exact"/>
        <w:rPr>
          <w:sz w:val="20"/>
          <w:szCs w:val="20"/>
          <w:color w:val="auto"/>
        </w:rPr>
      </w:pPr>
    </w:p>
    <w:p>
      <w:pPr>
        <w:sectPr>
          <w:pgSz w:w="11900" w:h="16838" w:orient="portrait"/>
          <w:cols w:equalWidth="0" w:num="2">
            <w:col w:w="2200" w:space="40"/>
            <w:col w:w="9000"/>
          </w:cols>
          <w:pgMar w:left="320" w:top="1440" w:right="339" w:bottom="1440" w:gutter="0" w:footer="0" w:header="0"/>
          <w:type w:val="continuous"/>
        </w:sect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u w:val="single" w:color="auto"/>
          <w:color w:val="000000"/>
        </w:rPr>
        <w:t>Registration Procedures</w:t>
      </w:r>
      <w:r>
        <w:rPr>
          <w:rFonts w:ascii="Times New Roman" w:cs="Times New Roman" w:eastAsia="Times New Roman" w:hAnsi="Times New Roman"/>
          <w:sz w:val="22"/>
          <w:szCs w:val="22"/>
          <w:color w:val="000000"/>
        </w:rPr>
        <w:t>. In the case of each registration of Registrable Securities effected by the Company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2.1</w:t>
      </w:r>
      <w:r>
        <w:rPr>
          <w:rFonts w:ascii="Times New Roman" w:cs="Times New Roman" w:eastAsia="Times New Roman" w:hAnsi="Times New Roman"/>
          <w:sz w:val="22"/>
          <w:szCs w:val="22"/>
          <w:color w:val="000000"/>
        </w:rPr>
        <w:t xml:space="preserve"> hereof (including, for the avoidance of doubt, </w:t>
      </w:r>
      <w:r>
        <w:rPr>
          <w:rFonts w:ascii="Times New Roman" w:cs="Times New Roman" w:eastAsia="Times New Roman" w:hAnsi="Times New Roman"/>
          <w:sz w:val="22"/>
          <w:szCs w:val="22"/>
          <w:u w:val="single" w:color="auto"/>
          <w:color w:val="000000"/>
        </w:rPr>
        <w:t>Section 2.1(g)</w:t>
      </w:r>
      <w:r>
        <w:rPr>
          <w:rFonts w:ascii="Times New Roman" w:cs="Times New Roman" w:eastAsia="Times New Roman" w:hAnsi="Times New Roman"/>
          <w:sz w:val="22"/>
          <w:szCs w:val="22"/>
          <w:color w:val="000000"/>
        </w:rPr>
        <w:t xml:space="preserve">), the Company shall keep the Investors advised as to the initiation of each such registration and as to the status thereof. The Company shall use its reasonable best efforts, within the limits set forth in this </w:t>
      </w:r>
      <w:r>
        <w:rPr>
          <w:rFonts w:ascii="Times New Roman" w:cs="Times New Roman" w:eastAsia="Times New Roman" w:hAnsi="Times New Roman"/>
          <w:sz w:val="22"/>
          <w:szCs w:val="22"/>
          <w:u w:val="single" w:color="auto"/>
          <w:color w:val="000000"/>
        </w:rPr>
        <w:t>Section 2.4</w:t>
      </w:r>
      <w:r>
        <w:rPr>
          <w:rFonts w:ascii="Times New Roman" w:cs="Times New Roman" w:eastAsia="Times New Roman" w:hAnsi="Times New Roman"/>
          <w:sz w:val="22"/>
          <w:szCs w:val="22"/>
          <w:color w:val="000000"/>
        </w:rPr>
        <w:t>, to:</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spacing w:after="0" w:line="183" w:lineRule="exact"/>
        <w:rPr>
          <w:sz w:val="20"/>
          <w:szCs w:val="20"/>
          <w:color w:val="auto"/>
        </w:rPr>
      </w:pPr>
    </w:p>
    <w:p>
      <w:pPr>
        <w:jc w:val="both"/>
        <w:ind w:firstLine="8"/>
        <w:spacing w:after="0" w:line="239"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78"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spacing w:after="0" w:line="172"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use its reasonable best efforts to register and qualify the Registrable Securities covered by such Registration Statement under such other securities or blue sky laws of such jurisdictions in the United States as shall be reasonably requested by the Investors, provided that the Company shall not be required in connection therewith or as a condition thereto to qualify to do business or to file a general consent to service of process in any such states or jurisdictions;</w:t>
      </w:r>
    </w:p>
    <w:p>
      <w:pPr>
        <w:spacing w:after="0" w:line="178"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any underwritten public offering, and subject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xml:space="preserve"> enter into and perform its obligations under an underwriting agreement, in usual and customary form (including any “lock-ups” on behalf of the Company and its directors and officers), with the managing underwriter of such offering and take such other usual and customary action as the Investors may reasonably request in order to facilitate the disposition of such Registrable Securities;</w:t>
      </w:r>
    </w:p>
    <w:p>
      <w:pPr>
        <w:spacing w:after="0" w:line="178"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80" w:lineRule="exact"/>
        <w:rPr>
          <w:rFonts w:ascii="Times New Roman" w:cs="Times New Roman" w:eastAsia="Times New Roman" w:hAnsi="Times New Roman"/>
          <w:sz w:val="22"/>
          <w:szCs w:val="22"/>
          <w:color w:val="010000"/>
        </w:rPr>
      </w:pPr>
    </w:p>
    <w:p>
      <w:pPr>
        <w:ind w:firstLine="8"/>
        <w:spacing w:after="0" w:line="307" w:lineRule="auto"/>
        <w:tabs>
          <w:tab w:leader="none" w:pos="509"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12" w:lineRule="exact"/>
        <w:rPr>
          <w:rFonts w:ascii="Times New Roman" w:cs="Times New Roman" w:eastAsia="Times New Roman" w:hAnsi="Times New Roman"/>
          <w:sz w:val="20"/>
          <w:szCs w:val="20"/>
          <w:color w:val="010000"/>
        </w:rPr>
      </w:pPr>
    </w:p>
    <w:p>
      <w:pPr>
        <w:ind w:right="20" w:firstLine="8"/>
        <w:spacing w:after="0" w:line="258"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requested by an Investor, use reasonable best efforts to cause the Company’s transfer agent to remove any restrictive legend from any Registrable Securities, within two business days following such request;</w:t>
      </w:r>
    </w:p>
    <w:p>
      <w:pPr>
        <w:spacing w:after="0" w:line="157"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to be furnished, at the request of the Investors, on the date that Registrable Securities are delivered to underwriters for sale in connection with an underwritten offering pursuant to this Agreement, (i) an opinion, dated such date, of the counsel representing the Company for the purposes of such registration, in form and substance as is customarily given to underwriters in an underwritten public offering, addressed to the underwriters, and (ii) a letter or letters from the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22"/>
          <w:szCs w:val="22"/>
          <w:color w:val="auto"/>
        </w:rPr>
        <w:t>independent certified public accountants of the Company, in form and substance as is customarily given by independent certified public accountants to underwriters in an underwritten public offering, addressed to the underwriters; and</w:t>
      </w:r>
    </w:p>
    <w:p>
      <w:pPr>
        <w:spacing w:after="0" w:line="157" w:lineRule="exact"/>
        <w:rPr>
          <w:sz w:val="20"/>
          <w:szCs w:val="20"/>
          <w:color w:val="auto"/>
        </w:rPr>
      </w:pPr>
    </w:p>
    <w:p>
      <w:pPr>
        <w:ind w:firstLine="8"/>
        <w:spacing w:after="0" w:line="258" w:lineRule="auto"/>
        <w:tabs>
          <w:tab w:leader="none" w:pos="509"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all such Registrable Securities included in a Registration Statement pursuant to this Agreement to be listed on each securities exchange or other securities trading markets on which Common Stock is then listed.</w:t>
      </w:r>
    </w:p>
    <w:p>
      <w:pPr>
        <w:spacing w:after="0" w:line="15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2.5.</w:t>
      </w:r>
      <w:r>
        <w:rPr>
          <w:sz w:val="20"/>
          <w:szCs w:val="20"/>
          <w:color w:val="auto"/>
        </w:rPr>
        <w:tab/>
      </w:r>
      <w:r>
        <w:rPr>
          <w:rFonts w:ascii="Times New Roman" w:cs="Times New Roman" w:eastAsia="Times New Roman" w:hAnsi="Times New Roman"/>
          <w:sz w:val="20"/>
          <w:szCs w:val="20"/>
          <w:u w:val="single" w:color="auto"/>
          <w:color w:val="auto"/>
        </w:rPr>
        <w:t>The Investors Obligations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8"/>
        <w:spacing w:after="0" w:line="236" w:lineRule="auto"/>
        <w:tabs>
          <w:tab w:leader="none" w:pos="509"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Discontinuance of Distribution</w:t>
      </w:r>
      <w:r>
        <w:rPr>
          <w:rFonts w:ascii="Times New Roman" w:cs="Times New Roman" w:eastAsia="Times New Roman" w:hAnsi="Times New Roman"/>
          <w:sz w:val="22"/>
          <w:szCs w:val="22"/>
          <w:color w:val="auto"/>
        </w:rPr>
        <w:t xml:space="preserve">. The Investors agree that, upon receipt of any notice from the Company of the occurrence of any event of the kind described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the Investors shall immediately discontinue disposition of Registrable Securities pursuant to any Registration Statement covering such Registrable Securities until the Investors’ receipt of the copies of the supplemented or amended prospectus contemplated by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or receipt of notice that no supplement or amendment is required and that the Investors’ disposition of the Registrable Securities may be resumed. The Company may provide appropriate stop orders to enforce the provisions of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Compliance with Prospectus Delivery Requirements</w:t>
      </w:r>
      <w:r>
        <w:rPr>
          <w:rFonts w:ascii="Times New Roman" w:cs="Times New Roman" w:eastAsia="Times New Roman" w:hAnsi="Times New Roman"/>
          <w:sz w:val="22"/>
          <w:szCs w:val="22"/>
          <w:color w:val="auto"/>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72"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Notification of Sale of Registrable Securities</w:t>
      </w:r>
      <w:r>
        <w:rPr>
          <w:rFonts w:ascii="Times New Roman" w:cs="Times New Roman" w:eastAsia="Times New Roman" w:hAnsi="Times New Roman"/>
          <w:sz w:val="22"/>
          <w:szCs w:val="22"/>
          <w:color w:val="auto"/>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2.6.</w:t>
      </w:r>
      <w:r>
        <w:rPr>
          <w:sz w:val="20"/>
          <w:szCs w:val="20"/>
          <w:color w:val="auto"/>
        </w:rPr>
        <w:tab/>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8"/>
        <w:spacing w:after="0" w:line="258" w:lineRule="auto"/>
        <w:tabs>
          <w:tab w:leader="none" w:pos="509"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3"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 xml:space="preserve">each Person who controls the Investors or underwriter, any legal and any other expenses reasonably incurred in connection with investigating or defending any such claim, loss, damage, liability, or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contained in this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shall not apply to amounts paid in settlement of any such claim, loss, damage, liability, or action if settlement is effected without the consent of the Company (which consent shall not unreasonably be withheld); and provided, further, that the Company shall not be liable in any such case to the extent that any such claim, loss, damage, liability, or expense arises out of or is based upon any violation by such Investor of the obligations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or any untrue statement or omission contained in such prospectus or other document based upon written information furnished to the Company by the Investors, such underwriter, or such controlling Person and stated to be for use therein.</w:t>
      </w:r>
    </w:p>
    <w:p>
      <w:pPr>
        <w:spacing w:after="0" w:line="184" w:lineRule="exact"/>
        <w:rPr>
          <w:sz w:val="20"/>
          <w:szCs w:val="20"/>
          <w:color w:val="auto"/>
        </w:rPr>
      </w:pPr>
    </w:p>
    <w:p>
      <w:pPr>
        <w:jc w:val="both"/>
        <w:ind w:firstLine="8"/>
        <w:spacing w:after="0" w:line="256" w:lineRule="auto"/>
        <w:tabs>
          <w:tab w:leader="none" w:pos="509"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indemnity contained in this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xml:space="preserve"> shall not apply to amounts paid in settlement of any such claim, loss, damage, liability, or action if settlement is effected without the consent of such Investor (which consent shall not unreasonably be withheld); provided, further, that such Investor’s liability under this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xml:space="preserve"> (when combined with any amounts such Investor is liable for under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shall not exceed such Investor’s net proceeds from the offering of securities made in connection with such registration.</w:t>
      </w:r>
    </w:p>
    <w:p>
      <w:pPr>
        <w:spacing w:after="0" w:line="200" w:lineRule="exact"/>
        <w:rPr>
          <w:rFonts w:ascii="Times New Roman" w:cs="Times New Roman" w:eastAsia="Times New Roman" w:hAnsi="Times New Roman"/>
          <w:sz w:val="20"/>
          <w:szCs w:val="20"/>
          <w:color w:val="010000"/>
        </w:rPr>
      </w:pPr>
    </w:p>
    <w:p>
      <w:pPr>
        <w:spacing w:after="0" w:line="209" w:lineRule="exact"/>
        <w:rPr>
          <w:rFonts w:ascii="Times New Roman" w:cs="Times New Roman" w:eastAsia="Times New Roman" w:hAnsi="Times New Roman"/>
          <w:sz w:val="20"/>
          <w:szCs w:val="20"/>
          <w:color w:val="010000"/>
        </w:rPr>
      </w:pPr>
    </w:p>
    <w:p>
      <w:pPr>
        <w:jc w:val="both"/>
        <w:ind w:firstLine="8"/>
        <w:spacing w:after="0" w:line="236" w:lineRule="auto"/>
        <w:tabs>
          <w:tab w:leader="none" w:pos="509"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Promptly after receipt by an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notice of the commencement of any action, such indemnified party shall, if a claim in respect thereof is to be made against an indemnifying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notify the indemnifying party in writing of the commencement thereof and generally summarize such action. The indemnifying party shall have the right to participate in and to assume the defense of such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indemnifying party shall be entitled to select counsel for the defense of such claim with the approval of any parties entitled to indemnification, which approval shall not be unreasonably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3"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 xml:space="preserve">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but the omission so to notify the indemnifying party shall not relieve such party of any liability that such party may have to any indemnified party otherwise than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8"/>
        <w:spacing w:after="0" w:line="257" w:lineRule="auto"/>
        <w:tabs>
          <w:tab w:leader="none" w:pos="509"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the indemnification provided for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200" w:lineRule="exact"/>
        <w:rPr>
          <w:rFonts w:ascii="Times New Roman" w:cs="Times New Roman" w:eastAsia="Times New Roman" w:hAnsi="Times New Roman"/>
          <w:sz w:val="20"/>
          <w:szCs w:val="20"/>
          <w:color w:val="010000"/>
        </w:rPr>
      </w:pPr>
    </w:p>
    <w:p>
      <w:pPr>
        <w:spacing w:after="0" w:line="215" w:lineRule="exact"/>
        <w:rPr>
          <w:rFonts w:ascii="Times New Roman" w:cs="Times New Roman" w:eastAsia="Times New Roman" w:hAnsi="Times New Roman"/>
          <w:sz w:val="20"/>
          <w:szCs w:val="20"/>
          <w:color w:val="010000"/>
        </w:rPr>
      </w:pPr>
    </w:p>
    <w:p>
      <w:pPr>
        <w:jc w:val="both"/>
        <w:ind w:firstLine="8"/>
        <w:spacing w:after="0" w:line="237" w:lineRule="auto"/>
        <w:tabs>
          <w:tab w:leader="none" w:pos="509"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underwriting agreement to provide for or address a matter provided for or addressed by the foregoing provisions shall not be a conflict between the underwriting agreement and the foregoing provisions.</w:t>
      </w:r>
    </w:p>
    <w:p>
      <w:pPr>
        <w:spacing w:after="0" w:line="180"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obligations of the Company and the Investors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completion of any offering of Registrable Securities in a Registration Statement under this Agreement or otherwise.</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u w:val="single" w:color="auto"/>
          <w:color w:val="000000"/>
        </w:rPr>
        <w:t>Information</w:t>
      </w:r>
      <w:r>
        <w:rPr>
          <w:rFonts w:ascii="Times New Roman" w:cs="Times New Roman" w:eastAsia="Times New Roman" w:hAnsi="Times New Roman"/>
          <w:sz w:val="22"/>
          <w:szCs w:val="22"/>
          <w:color w:val="000000"/>
        </w:rPr>
        <w:t>. The Investors shall furnish to the Company such information regarding the Investors and the distribution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 pursuant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3"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and the contents thereof, except as required pursuant to applicable law. Notwithstanding anything to the contrary herein, the Company shall be under no obligation to name the Investors in any Registration Statement if the Investors have not provided the information required by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the Investors as a selling securityholder in such Registration Statement or any related prospectus.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u w:val="single" w:color="auto"/>
          <w:color w:val="000000"/>
        </w:rPr>
        <w:t>Rule 144 Requirements</w:t>
      </w:r>
      <w:r>
        <w:rPr>
          <w:rFonts w:ascii="Times New Roman" w:cs="Times New Roman" w:eastAsia="Times New Roman" w:hAnsi="Times New Roman"/>
          <w:sz w:val="22"/>
          <w:szCs w:val="22"/>
          <w:color w:val="000000"/>
        </w:rPr>
        <w:t>. With a view to making available to the Investors the benefits of Rule 144 and any other rule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regulation of the Commission that may at any time permit the Investors to sell Registrable Securities to the public without registration, the Company agrees to use its reasonable best efforts to:</w:t>
      </w:r>
    </w:p>
    <w:p>
      <w:pPr>
        <w:spacing w:after="0" w:line="172" w:lineRule="exact"/>
        <w:rPr>
          <w:sz w:val="20"/>
          <w:szCs w:val="20"/>
          <w:color w:val="auto"/>
        </w:rPr>
      </w:pPr>
    </w:p>
    <w:p>
      <w:pPr>
        <w:ind w:right="20" w:firstLine="8"/>
        <w:spacing w:after="0" w:line="258" w:lineRule="auto"/>
        <w:tabs>
          <w:tab w:leader="none" w:pos="50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and keep public information available, as those terms are understood and defined in Rule 144 at all times after the date hereof;</w:t>
      </w:r>
    </w:p>
    <w:p>
      <w:pPr>
        <w:spacing w:after="0" w:line="157"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file with the Commission in a timely manner all reports and other documents required of the Company under the Securities Act and the Exchange Act;</w:t>
      </w:r>
    </w:p>
    <w:p>
      <w:pPr>
        <w:spacing w:after="0" w:line="122" w:lineRule="exact"/>
        <w:rPr>
          <w:rFonts w:ascii="Times New Roman" w:cs="Times New Roman" w:eastAsia="Times New Roman" w:hAnsi="Times New Roman"/>
          <w:sz w:val="22"/>
          <w:szCs w:val="22"/>
          <w:color w:val="010000"/>
        </w:rPr>
      </w:pPr>
    </w:p>
    <w:p>
      <w:pPr>
        <w:jc w:val="both"/>
        <w:ind w:firstLine="8"/>
        <w:spacing w:after="0" w:line="271" w:lineRule="exact"/>
        <w:tabs>
          <w:tab w:leader="none" w:pos="50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the filing of a Registration Statement or any amendment thereto (whether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and prior to the filing of any prospectus or prospectus supplement related thereto, to provide the Investors with copies of all of the pages thereof (if any) that reference the Investors; and</w:t>
      </w:r>
    </w:p>
    <w:p>
      <w:pPr>
        <w:spacing w:after="0" w:line="179" w:lineRule="exact"/>
        <w:rPr>
          <w:rFonts w:ascii="Times New Roman" w:cs="Times New Roman" w:eastAsia="Times New Roman" w:hAnsi="Times New Roman"/>
          <w:sz w:val="22"/>
          <w:szCs w:val="22"/>
          <w:color w:val="010000"/>
        </w:rPr>
      </w:pPr>
    </w:p>
    <w:p>
      <w:pPr>
        <w:jc w:val="both"/>
        <w:ind w:firstLine="8"/>
        <w:spacing w:after="0" w:line="237" w:lineRule="auto"/>
        <w:tabs>
          <w:tab w:leader="none" w:pos="509"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010000"/>
        </w:rPr>
        <w:t xml:space="preserve">2.9. </w:t>
      </w:r>
      <w:r>
        <w:rPr>
          <w:rFonts w:ascii="Times New Roman" w:cs="Times New Roman" w:eastAsia="Times New Roman" w:hAnsi="Times New Roman"/>
          <w:sz w:val="22"/>
          <w:szCs w:val="22"/>
          <w:u w:val="single" w:color="auto"/>
          <w:color w:val="000000"/>
        </w:rPr>
        <w:t>Limitations on Subsequent Registration Rights</w:t>
      </w:r>
      <w:r>
        <w:rPr>
          <w:rFonts w:ascii="Times New Roman" w:cs="Times New Roman" w:eastAsia="Times New Roman" w:hAnsi="Times New Roman"/>
          <w:sz w:val="22"/>
          <w:szCs w:val="22"/>
          <w:color w:val="000000"/>
        </w:rPr>
        <w:t>. From and after the date of this Agreement, the Company shall not, without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prior written consent of the Investors, (a) enter into any agreement with any holder or prospective holder of any securities of the Company that would provide to such holder rights with respect to the registration of such securities under the Securities Act or the Exchange Act that would conflict with or adversely affect any of the rights provided to the Investors in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or (b) amend the registration rights provisions of the Investors’ Rights Agreement or any of the Other RRAs in any manner that would conflict with or adversely affect any of the rights provided to the Investors in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(and, in the case of any such amendment, the Company shall notify the Investors in advance of such amendment for it to determine whether such amendment would conflict with or adversely affects their rights in this Section 2); it being understood and agreed that any subsequent agreement of the Company with any holder or prospective holder of any securities of the Company of the same class (or convertible into or exchange for securities of the same class) as the Registrable Securities that grants rights equivalent to the rights of the Investors under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will not be prohibited by the terms of this </w:t>
      </w:r>
      <w:r>
        <w:rPr>
          <w:rFonts w:ascii="Times New Roman" w:cs="Times New Roman" w:eastAsia="Times New Roman" w:hAnsi="Times New Roman"/>
          <w:sz w:val="22"/>
          <w:szCs w:val="22"/>
          <w:u w:val="single" w:color="auto"/>
          <w:color w:val="000000"/>
        </w:rPr>
        <w:t>Section 2.9</w:t>
      </w:r>
      <w:r>
        <w:rPr>
          <w:rFonts w:ascii="Times New Roman" w:cs="Times New Roman" w:eastAsia="Times New Roman" w:hAnsi="Times New Roman"/>
          <w:sz w:val="22"/>
          <w:szCs w:val="22"/>
          <w:color w:val="000000"/>
        </w:rPr>
        <w:t xml:space="preserve"> so long as the inclusion of such holder or prospective holder’s securities will not reduce the number of the Registrable Securities of the Holders that are included in any registration hereunder or thereunder.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Amendment</w:t>
      </w:r>
      <w:r>
        <w:rPr>
          <w:rFonts w:ascii="Times New Roman" w:cs="Times New Roman" w:eastAsia="Times New Roman" w:hAnsi="Times New Roman"/>
          <w:sz w:val="22"/>
          <w:szCs w:val="22"/>
          <w:color w:val="000000"/>
        </w:rPr>
        <w:t>. No amendment, alteration or modification of any of the provisions of this Agreement shall be binding unless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made in writing and signed by each of the Company and the Investors.</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Injunctive Relief</w:t>
      </w:r>
      <w:r>
        <w:rPr>
          <w:rFonts w:ascii="Times New Roman" w:cs="Times New Roman" w:eastAsia="Times New Roman" w:hAnsi="Times New Roman"/>
          <w:sz w:val="22"/>
          <w:szCs w:val="22"/>
          <w:color w:val="000000"/>
        </w:rPr>
        <w:t>. It is hereby agreed and acknowledged that it shall be impossible to measure in money the damages that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010000"/>
        </w:rPr>
        <w:t xml:space="preserve">3.3.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All notices required or permitted under this Agreement must be in writing and sent to the address or facsimile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number identified below. Notices must be given: (a) by personal delivery, with receipt acknowledged; (b) by email followed by hard copy delivered by the methods under </w:t>
      </w:r>
      <w:r>
        <w:rPr>
          <w:rFonts w:ascii="Times New Roman" w:cs="Times New Roman" w:eastAsia="Times New Roman" w:hAnsi="Times New Roman"/>
          <w:sz w:val="20"/>
          <w:szCs w:val="20"/>
          <w:u w:val="single" w:color="auto"/>
          <w:color w:val="000000"/>
        </w:rPr>
        <w:t>clause (c)</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(d)</w:t>
      </w:r>
      <w:r>
        <w:rPr>
          <w:rFonts w:ascii="Times New Roman" w:cs="Times New Roman" w:eastAsia="Times New Roman" w:hAnsi="Times New Roman"/>
          <w:sz w:val="20"/>
          <w:szCs w:val="20"/>
          <w:color w:val="000000"/>
        </w:rPr>
        <w:t>; (c) by prepaid certified or registered mail, return receipt requested; or</w:t>
      </w:r>
    </w:p>
    <w:p>
      <w:pPr>
        <w:spacing w:after="0" w:line="2" w:lineRule="exact"/>
        <w:rPr>
          <w:sz w:val="20"/>
          <w:szCs w:val="20"/>
          <w:color w:val="auto"/>
        </w:rPr>
      </w:pPr>
    </w:p>
    <w:p>
      <w:pPr>
        <w:ind w:firstLine="8"/>
        <w:spacing w:after="0" w:line="237" w:lineRule="auto"/>
        <w:tabs>
          <w:tab w:leader="none" w:pos="3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prepaid reputable overnight delivery service. Notices shall be effective upon receipt. Either party may change its notice address by providing the other party written notice of such change. Notices shall be delivered as follows: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If to the Investors:</w:t>
            </w:r>
          </w:p>
        </w:tc>
        <w:tc>
          <w:tcPr>
            <w:tcW w:w="612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At such Investor’s address as set forth on Schedule A hereto</w:t>
            </w:r>
          </w:p>
        </w:tc>
        <w:tc>
          <w:tcPr>
            <w:tcW w:w="0" w:type="dxa"/>
            <w:vAlign w:val="bottom"/>
          </w:tcPr>
          <w:p>
            <w:pPr>
              <w:spacing w:after="0"/>
              <w:rPr>
                <w:sz w:val="1"/>
                <w:szCs w:val="1"/>
                <w:color w:val="auto"/>
              </w:rPr>
            </w:pPr>
          </w:p>
        </w:tc>
      </w:tr>
      <w:tr>
        <w:trPr>
          <w:trHeight w:val="44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w:t>
            </w:r>
          </w:p>
        </w:tc>
        <w:tc>
          <w:tcPr>
            <w:tcW w:w="61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175 Innovation Boulevard</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61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Wilmington, DE 19803</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61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Attention: Chief Legal Officer</w:t>
            </w:r>
          </w:p>
        </w:tc>
        <w:tc>
          <w:tcPr>
            <w:tcW w:w="0" w:type="dxa"/>
            <w:vAlign w:val="bottom"/>
          </w:tcPr>
          <w:p>
            <w:pPr>
              <w:spacing w:after="0"/>
              <w:rPr>
                <w:sz w:val="1"/>
                <w:szCs w:val="1"/>
                <w:color w:val="auto"/>
              </w:rPr>
            </w:pPr>
          </w:p>
        </w:tc>
      </w:tr>
      <w:tr>
        <w:trPr>
          <w:trHeight w:val="282"/>
        </w:trPr>
        <w:tc>
          <w:tcPr>
            <w:tcW w:w="2540" w:type="dxa"/>
            <w:vAlign w:val="bottom"/>
          </w:tcPr>
          <w:p>
            <w:pPr>
              <w:spacing w:after="0"/>
              <w:rPr>
                <w:sz w:val="24"/>
                <w:szCs w:val="24"/>
                <w:color w:val="auto"/>
              </w:rPr>
            </w:pPr>
          </w:p>
        </w:tc>
        <w:tc>
          <w:tcPr>
            <w:tcW w:w="61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Email:</w:t>
            </w:r>
          </w:p>
        </w:tc>
        <w:tc>
          <w:tcPr>
            <w:tcW w:w="0" w:type="dxa"/>
            <w:vAlign w:val="bottom"/>
          </w:tcPr>
          <w:p>
            <w:pPr>
              <w:spacing w:after="0"/>
              <w:rPr>
                <w:sz w:val="1"/>
                <w:szCs w:val="1"/>
                <w:color w:val="auto"/>
              </w:rPr>
            </w:pPr>
          </w:p>
        </w:tc>
      </w:tr>
      <w:tr>
        <w:trPr>
          <w:trHeight w:val="47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61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Fenwick &amp; West LLP</w:t>
            </w:r>
          </w:p>
        </w:tc>
        <w:tc>
          <w:tcPr>
            <w:tcW w:w="0" w:type="dxa"/>
            <w:vAlign w:val="bottom"/>
          </w:tcPr>
          <w:p>
            <w:pPr>
              <w:spacing w:after="0"/>
              <w:rPr>
                <w:sz w:val="1"/>
                <w:szCs w:val="1"/>
                <w:color w:val="auto"/>
              </w:rPr>
            </w:pPr>
          </w:p>
        </w:tc>
      </w:tr>
      <w:tr>
        <w:trPr>
          <w:trHeight w:val="220"/>
        </w:trPr>
        <w:tc>
          <w:tcPr>
            <w:tcW w:w="2540" w:type="dxa"/>
            <w:vAlign w:val="bottom"/>
            <w:vMerge w:val="continue"/>
          </w:tcPr>
          <w:p>
            <w:pPr>
              <w:spacing w:after="0"/>
              <w:rPr>
                <w:sz w:val="19"/>
                <w:szCs w:val="19"/>
                <w:color w:val="auto"/>
              </w:rPr>
            </w:pPr>
          </w:p>
        </w:tc>
        <w:tc>
          <w:tcPr>
            <w:tcW w:w="6120" w:type="dxa"/>
            <w:vAlign w:val="bottom"/>
          </w:tcPr>
          <w:p>
            <w:pPr>
              <w:ind w:left="920"/>
              <w:spacing w:after="0" w:line="220" w:lineRule="exact"/>
              <w:rPr>
                <w:sz w:val="20"/>
                <w:szCs w:val="20"/>
                <w:color w:val="auto"/>
              </w:rPr>
            </w:pPr>
            <w:r>
              <w:rPr>
                <w:rFonts w:ascii="Times New Roman" w:cs="Times New Roman" w:eastAsia="Times New Roman" w:hAnsi="Times New Roman"/>
                <w:sz w:val="22"/>
                <w:szCs w:val="22"/>
                <w:color w:val="auto"/>
              </w:rPr>
              <w:t>Attention: Robert A. Freedman; Julia Forbess</w:t>
            </w:r>
          </w:p>
        </w:tc>
        <w:tc>
          <w:tcPr>
            <w:tcW w:w="0" w:type="dxa"/>
            <w:vAlign w:val="bottom"/>
          </w:tcPr>
          <w:p>
            <w:pPr>
              <w:spacing w:after="0"/>
              <w:rPr>
                <w:sz w:val="1"/>
                <w:szCs w:val="1"/>
                <w:color w:val="auto"/>
              </w:rPr>
            </w:pPr>
          </w:p>
        </w:tc>
      </w:tr>
      <w:tr>
        <w:trPr>
          <w:trHeight w:val="266"/>
        </w:trPr>
        <w:tc>
          <w:tcPr>
            <w:tcW w:w="2540" w:type="dxa"/>
            <w:vAlign w:val="bottom"/>
          </w:tcPr>
          <w:p>
            <w:pPr>
              <w:spacing w:after="0"/>
              <w:rPr>
                <w:sz w:val="23"/>
                <w:szCs w:val="23"/>
                <w:color w:val="auto"/>
              </w:rPr>
            </w:pPr>
          </w:p>
        </w:tc>
        <w:tc>
          <w:tcPr>
            <w:tcW w:w="6120" w:type="dxa"/>
            <w:vAlign w:val="bottom"/>
          </w:tcPr>
          <w:p>
            <w:pPr>
              <w:ind w:left="920"/>
              <w:spacing w:after="0" w:line="266" w:lineRule="exact"/>
              <w:rPr>
                <w:sz w:val="20"/>
                <w:szCs w:val="20"/>
                <w:color w:val="auto"/>
              </w:rPr>
            </w:pPr>
            <w:r>
              <w:rPr>
                <w:rFonts w:ascii="Times New Roman" w:cs="Times New Roman" w:eastAsia="Times New Roman" w:hAnsi="Times New Roman"/>
                <w:sz w:val="22"/>
                <w:szCs w:val="22"/>
                <w:color w:val="auto"/>
              </w:rPr>
              <w:t>401 Union Street,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612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Seattle, WA 98101</w:t>
            </w:r>
          </w:p>
        </w:tc>
        <w:tc>
          <w:tcPr>
            <w:tcW w:w="0" w:type="dxa"/>
            <w:vAlign w:val="bottom"/>
          </w:tcPr>
          <w:p>
            <w:pPr>
              <w:spacing w:after="0"/>
              <w:rPr>
                <w:sz w:val="1"/>
                <w:szCs w:val="1"/>
                <w:color w:val="auto"/>
              </w:rPr>
            </w:pPr>
          </w:p>
        </w:tc>
      </w:tr>
      <w:tr>
        <w:trPr>
          <w:trHeight w:val="282"/>
        </w:trPr>
        <w:tc>
          <w:tcPr>
            <w:tcW w:w="2540" w:type="dxa"/>
            <w:vAlign w:val="bottom"/>
          </w:tcPr>
          <w:p>
            <w:pPr>
              <w:spacing w:after="0"/>
              <w:rPr>
                <w:sz w:val="24"/>
                <w:szCs w:val="24"/>
                <w:color w:val="auto"/>
              </w:rPr>
            </w:pPr>
          </w:p>
        </w:tc>
        <w:tc>
          <w:tcPr>
            <w:tcW w:w="61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Email: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0"/>
          <w:szCs w:val="20"/>
          <w:u w:val="single" w:color="auto"/>
          <w:color w:val="auto"/>
        </w:rPr>
        <w:t>Governing Law; Jurisdiction; Venue; Jury Trial</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8"/>
        <w:spacing w:after="0" w:line="244" w:lineRule="auto"/>
        <w:tabs>
          <w:tab w:leader="none" w:pos="509"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72"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the Investors irrevocably and unconditionally submits, for itself and its property, to the nonexclusive jurisdiction of the courts of the State of New York sitting in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3"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81" w:lineRule="exact"/>
        <w:rPr>
          <w:sz w:val="20"/>
          <w:szCs w:val="20"/>
          <w:color w:val="auto"/>
        </w:rPr>
      </w:pPr>
    </w:p>
    <w:p>
      <w:pPr>
        <w:jc w:val="both"/>
        <w:ind w:firstLine="8"/>
        <w:spacing w:after="0" w:line="237" w:lineRule="auto"/>
        <w:tabs>
          <w:tab w:leader="none" w:pos="50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(b) hereof. Each of the Company and the Investors hereby irrevocably waives, to the fullest extent permitted by applicable law, the defense of an inconvenient forum to the maintenance of such action or proceeding in any such court.</w:t>
      </w:r>
    </w:p>
    <w:p>
      <w:pPr>
        <w:spacing w:after="0" w:line="180" w:lineRule="exact"/>
        <w:rPr>
          <w:rFonts w:ascii="Times New Roman" w:cs="Times New Roman" w:eastAsia="Times New Roman" w:hAnsi="Times New Roman"/>
          <w:sz w:val="22"/>
          <w:szCs w:val="22"/>
          <w:color w:val="010000"/>
        </w:rPr>
      </w:pPr>
    </w:p>
    <w:p>
      <w:pPr>
        <w:jc w:val="both"/>
        <w:ind w:firstLine="8"/>
        <w:spacing w:after="0" w:line="234" w:lineRule="auto"/>
        <w:tabs>
          <w:tab w:leader="none" w:pos="509"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spacing w:after="0" w:line="1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Successors, Assigns and Transferees</w:t>
      </w:r>
      <w:r>
        <w:rPr>
          <w:rFonts w:ascii="Times New Roman" w:cs="Times New Roman" w:eastAsia="Times New Roman" w:hAnsi="Times New Roman"/>
          <w:sz w:val="22"/>
          <w:szCs w:val="22"/>
          <w:color w:val="000000"/>
        </w:rPr>
        <w:t>. Any and all rights, duties and obligations hereunder shall not be assigned,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transferred, delegated or sublicensed by any party hereto without the prior written consent of the other party;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Times New Roman" w:cs="Times New Roman" w:eastAsia="Times New Roman" w:hAnsi="Times New Roman"/>
          <w:sz w:val="22"/>
          <w:szCs w:val="22"/>
          <w:u w:val="single" w:color="auto"/>
          <w:color w:val="000000"/>
        </w:rPr>
        <w:t>Section 3.5</w:t>
      </w:r>
      <w:r>
        <w:rPr>
          <w:rFonts w:ascii="Times New Roman" w:cs="Times New Roman" w:eastAsia="Times New Roman" w:hAnsi="Times New Roman"/>
          <w:sz w:val="22"/>
          <w:szCs w:val="22"/>
          <w:color w:val="000000"/>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Times New Roman" w:cs="Times New Roman" w:eastAsia="Times New Roman" w:hAnsi="Times New Roman"/>
          <w:sz w:val="22"/>
          <w:szCs w:val="22"/>
          <w:u w:val="single" w:color="auto"/>
          <w:color w:val="000000"/>
        </w:rPr>
        <w:t>Other Equity</w:t>
      </w:r>
      <w:r>
        <w:rPr>
          <w:rFonts w:ascii="Times New Roman" w:cs="Times New Roman" w:eastAsia="Times New Roman" w:hAnsi="Times New Roman"/>
          <w:sz w:val="22"/>
          <w:szCs w:val="22"/>
          <w:color w:val="000000"/>
        </w:rPr>
        <w:t>”) in any other entity (the “</w:t>
      </w:r>
      <w:r>
        <w:rPr>
          <w:rFonts w:ascii="Times New Roman" w:cs="Times New Roman" w:eastAsia="Times New Roman" w:hAnsi="Times New Roman"/>
          <w:sz w:val="22"/>
          <w:szCs w:val="22"/>
          <w:u w:val="single" w:color="auto"/>
          <w:color w:val="000000"/>
        </w:rPr>
        <w:t>Other Entity</w:t>
      </w:r>
      <w:r>
        <w:rPr>
          <w:rFonts w:ascii="Times New Roman" w:cs="Times New Roman" w:eastAsia="Times New Roman" w:hAnsi="Times New Roman"/>
          <w:sz w:val="22"/>
          <w:szCs w:val="22"/>
          <w:color w:val="000000"/>
        </w:rPr>
        <w:t>”) with respect to Registrable Securities hereunder, unless prior to the consummation thereof, the Other Entity assumes, by written instrument, the obligations under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this Agreement with respect to such Other Equity as if such Other Equity were Registrable Securities hereunder.</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together with any exhibits hereto, constitute the entire agreement between the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relating to the subject matter hereof and all previous agreements or arrangements between the parties, written or oral, relating to the subject matter hereof are superseded. To the extent there is any conflict between the terms of this Agreement and the terms of the Investors’ Rights Agreement, the terms of this Agreement shall govern.</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u w:val="single" w:color="auto"/>
          <w:color w:val="000000"/>
        </w:rPr>
        <w:t>Waiver</w:t>
      </w:r>
      <w:r>
        <w:rPr>
          <w:rFonts w:ascii="Times New Roman" w:cs="Times New Roman" w:eastAsia="Times New Roman" w:hAnsi="Times New Roman"/>
          <w:sz w:val="22"/>
          <w:szCs w:val="22"/>
          <w:color w:val="000000"/>
        </w:rPr>
        <w:t>. No failure on the part of either party hereto to exercise any power, right, privilege or remedy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part of this Agreement is declared invalid or unenforceable by any court of competent jurisdiction,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declaration shall not affect the remainder of the Agreement and the invalidated provision shall be revised in a manner that shall render such provision valid while preserving the parties’ original intent to the maximum extent possible.</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u w:val="single" w:color="auto"/>
          <w:color w:val="000000"/>
        </w:rPr>
        <w:t>Titles and Subtitles</w:t>
      </w:r>
      <w:r>
        <w:rPr>
          <w:rFonts w:ascii="Times New Roman" w:cs="Times New Roman" w:eastAsia="Times New Roman" w:hAnsi="Times New Roman"/>
          <w:sz w:val="22"/>
          <w:szCs w:val="22"/>
          <w:color w:val="000000"/>
        </w:rPr>
        <w:t>. The titles and subtitles used in this Agreement are used for convenience only and are not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considered in construing or interpreting this Agreement. All references in this Agreement to sections, paragraphs and exhibits shall, unless otherwise provided, refer to sections and paragraphs hereof and exhibits attached hereto. References to any section in an Other RRA shall be deemed to refer to the equivalent section in the event of any amendment thereto.</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3.10.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executed in any number of counterparts, each of which shall be enforceable against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that execute such counterparts (including by facsimile or other electronic means), and all of which together shall constitute one instrument.</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u w:val="single" w:color="auto"/>
          <w:color w:val="000000"/>
        </w:rPr>
        <w:t>Term and Termination</w:t>
      </w:r>
      <w:r>
        <w:rPr>
          <w:rFonts w:ascii="Times New Roman" w:cs="Times New Roman" w:eastAsia="Times New Roman" w:hAnsi="Times New Roman"/>
          <w:sz w:val="22"/>
          <w:szCs w:val="22"/>
          <w:color w:val="000000"/>
        </w:rPr>
        <w:t>. The Investors’ rights to demand the registration of the Registrable Securities under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as well as the Company’s obligations hereunder other than pursuant to </w:t>
      </w:r>
      <w:r>
        <w:rPr>
          <w:rFonts w:ascii="Times New Roman" w:cs="Times New Roman" w:eastAsia="Times New Roman" w:hAnsi="Times New Roman"/>
          <w:sz w:val="22"/>
          <w:szCs w:val="22"/>
          <w:u w:val="single" w:color="auto"/>
          <w:color w:val="000000"/>
        </w:rPr>
        <w:t>Section 2.6</w:t>
      </w:r>
      <w:r>
        <w:rPr>
          <w:rFonts w:ascii="Times New Roman" w:cs="Times New Roman" w:eastAsia="Times New Roman" w:hAnsi="Times New Roman"/>
          <w:sz w:val="22"/>
          <w:szCs w:val="22"/>
          <w:color w:val="000000"/>
        </w:rPr>
        <w:t xml:space="preserve"> hereof, shall terminate automatically once all Registrable Securities cease to be Registrable Securities pursuant to the terms of this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5060"/>
        <w:spacing w:after="0"/>
        <w:tabs>
          <w:tab w:leader="none" w:pos="5900" w:val="left"/>
        </w:tabs>
        <w:rPr>
          <w:sz w:val="20"/>
          <w:szCs w:val="20"/>
          <w:color w:val="auto"/>
        </w:rPr>
      </w:pPr>
      <w:r>
        <w:rPr>
          <w:rFonts w:ascii="Times New Roman" w:cs="Times New Roman" w:eastAsia="Times New Roman" w:hAnsi="Times New Roman"/>
          <w:sz w:val="22"/>
          <w:szCs w:val="22"/>
          <w:color w:val="auto"/>
        </w:rPr>
        <w:t>Name:</w:t>
        <w:tab/>
        <w:t>Krishna Vaddi</w:t>
      </w:r>
    </w:p>
    <w:p>
      <w:pPr>
        <w:ind w:left="5060"/>
        <w:spacing w:after="0"/>
        <w:tabs>
          <w:tab w:leader="none" w:pos="5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Registration Rights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w:t>
      </w:r>
    </w:p>
    <w:p>
      <w:pPr>
        <w:ind w:left="50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w:t>
      </w:r>
    </w:p>
    <w:p>
      <w:pPr>
        <w:ind w:left="50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Registration Rights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9"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5"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20"/>
          <w:szCs w:val="20"/>
          <w:b w:val="1"/>
          <w:bCs w:val="1"/>
          <w:u w:val="single" w:color="auto"/>
          <w:color w:val="auto"/>
        </w:rPr>
        <w:t>The Investors</w:t>
      </w:r>
    </w:p>
    <w:p>
      <w:pPr>
        <w:spacing w:after="0" w:line="41" w:lineRule="exact"/>
        <w:rPr>
          <w:sz w:val="20"/>
          <w:szCs w:val="20"/>
          <w:color w:val="auto"/>
        </w:rPr>
      </w:pPr>
    </w:p>
    <w:p>
      <w:pPr>
        <w:ind w:left="432" w:hanging="432"/>
        <w:spacing w:after="0"/>
        <w:tabs>
          <w:tab w:leader="none" w:pos="4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873760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-29210</wp:posOffset>
            </wp:positionV>
            <wp:extent cx="2286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0131"/>
          </w:cols>
          <w:pgMar w:left="328" w:top="1440"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ind w:left="35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As of December 31, 2023, Prelude Therapeutics Incorporated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had one class of securities registered under Section 12 of the Securities Exchange Act of 1934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our common stock, $0.0001 par value per share. Our non-voting common stock are not registered under Section 12 of the Exchange Act. The following summary describes the material terms of our capital stock. The description of capital stock is qualified by reference to our restated certificate of incorporation, our amended and restated bylaws, our investors rights agreement (the “</w:t>
      </w:r>
      <w:r>
        <w:rPr>
          <w:rFonts w:ascii="Times New Roman" w:cs="Times New Roman" w:eastAsia="Times New Roman" w:hAnsi="Times New Roman"/>
          <w:sz w:val="20"/>
          <w:szCs w:val="20"/>
          <w:b w:val="1"/>
          <w:bCs w:val="1"/>
          <w:i w:val="1"/>
          <w:iCs w:val="1"/>
          <w:color w:val="auto"/>
        </w:rPr>
        <w:t>IRA</w:t>
      </w:r>
      <w:r>
        <w:rPr>
          <w:rFonts w:ascii="Times New Roman" w:cs="Times New Roman" w:eastAsia="Times New Roman" w:hAnsi="Times New Roman"/>
          <w:sz w:val="20"/>
          <w:szCs w:val="20"/>
          <w:color w:val="auto"/>
        </w:rPr>
        <w:t>”), our registration rights agreements (the “</w:t>
      </w:r>
      <w:r>
        <w:rPr>
          <w:rFonts w:ascii="Times New Roman" w:cs="Times New Roman" w:eastAsia="Times New Roman" w:hAnsi="Times New Roman"/>
          <w:sz w:val="20"/>
          <w:szCs w:val="20"/>
          <w:b w:val="1"/>
          <w:bCs w:val="1"/>
          <w:i w:val="1"/>
          <w:iCs w:val="1"/>
          <w:color w:val="auto"/>
        </w:rPr>
        <w:t>Post-IPO RRAs</w:t>
      </w:r>
      <w:r>
        <w:rPr>
          <w:rFonts w:ascii="Times New Roman" w:cs="Times New Roman" w:eastAsia="Times New Roman" w:hAnsi="Times New Roman"/>
          <w:sz w:val="20"/>
          <w:szCs w:val="20"/>
          <w:color w:val="auto"/>
        </w:rPr>
        <w:t>”) with certain of our stockholders (the “</w:t>
      </w:r>
      <w:r>
        <w:rPr>
          <w:rFonts w:ascii="Times New Roman" w:cs="Times New Roman" w:eastAsia="Times New Roman" w:hAnsi="Times New Roman"/>
          <w:sz w:val="20"/>
          <w:szCs w:val="20"/>
          <w:b w:val="1"/>
          <w:bCs w:val="1"/>
          <w:i w:val="1"/>
          <w:iCs w:val="1"/>
          <w:color w:val="auto"/>
        </w:rPr>
        <w:t>RRA Investors</w:t>
      </w:r>
      <w:r>
        <w:rPr>
          <w:rFonts w:ascii="Times New Roman" w:cs="Times New Roman" w:eastAsia="Times New Roman" w:hAnsi="Times New Roman"/>
          <w:sz w:val="20"/>
          <w:szCs w:val="20"/>
          <w:color w:val="auto"/>
        </w:rPr>
        <w:t>”), which are included as exhibits to our most recent Annual Report on Form 10-K and to the applicable provisions of the Delaware General Corporation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 and Non-Voting Common Stock</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i w:val="1"/>
          <w:iCs w:val="1"/>
          <w:color w:val="auto"/>
        </w:rPr>
        <w:t>No Preemptive or Similar Rights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Neither our common stock nor our non-voting common stock is entitled to preemptive rights, and neither is subject to conversion, redemption or sinking fund provisions.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 to Receive Liquidation Distributions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Upon our liquidation, dissolution or winding-up, the assets legally available for distribution to our stockholders would be distributable ratably among the holders of our common stock and our non-voting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May 2023 Pre-Funded Warrants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May 18, 2023, we entered into an underwriting agreement with Morgan Stanley &amp; Co. LLC as representative of the underwriters named therein pursuant to which we issued and sold in a public offering, among other securities, pre-funded warrants to purchase 12,895,256 shares of our common stock at a price of $5.7499 per pre-funded warrant with an exercise price of $0.0001 per share.</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Each pre-funded warrant is immediately exercisable and will not expire. Under the terms of the pre-funded warrants, we may not effect the exercise of any such pre-funded warrant, and a holder will not be entitled to exercise any portion of any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4.99% of the number of shares of common stock outstanding immediately after giving effect to the exercise (the “</w:t>
      </w:r>
      <w:r>
        <w:rPr>
          <w:rFonts w:ascii="Times New Roman" w:cs="Times New Roman" w:eastAsia="Times New Roman" w:hAnsi="Times New Roman"/>
          <w:sz w:val="22"/>
          <w:szCs w:val="22"/>
          <w:b w:val="1"/>
          <w:bCs w:val="1"/>
          <w:i w:val="1"/>
          <w:iCs w:val="1"/>
          <w:color w:val="auto"/>
        </w:rPr>
        <w:t>Maximum Percentage</w:t>
      </w:r>
      <w:r>
        <w:rPr>
          <w:rFonts w:ascii="Times New Roman" w:cs="Times New Roman" w:eastAsia="Times New Roman" w:hAnsi="Times New Roman"/>
          <w:sz w:val="22"/>
          <w:szCs w:val="22"/>
          <w:color w:val="auto"/>
        </w:rPr>
        <w:t>”), as such percentage ownership is calculated in accordance with Section 13(d) of the Exchange Act and the applicable regulations of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 holder may reset the Maximum Percentage to a higher percentage (not to exceed 19.99%), effective 61 days after written notice to us, or a lower percentage, effective immediately upon written notice to us. Any such increase or decrease will apply only to that holder and not to any other holder of the pre-funded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December 2023 Pre-Funded Warrants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December 11, 2023, we entered into a securities purchase agreement with certain institutional accredited investors, pursuant to which we agreed to issue and sell to in a private placement pre-funded warrants to purchase up to 7,936,759 shares of the our common stock at a price of $3.1499 per pre-funded warrant with an exercise price of $0.0001 per share.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pre-funded warrant is immediately exercisable and will not expire. Under the terms of the pre-funded warrants, we may not effect the exercise of any such pre-funded warrant, and a holder</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5" w:name="page136"/>
    <w:bookmarkEnd w:id="135"/>
    <w:p>
      <w:pPr>
        <w:jc w:val="both"/>
        <w:spacing w:after="0" w:line="234" w:lineRule="auto"/>
        <w:rPr>
          <w:sz w:val="20"/>
          <w:szCs w:val="20"/>
          <w:color w:val="auto"/>
        </w:rPr>
      </w:pPr>
      <w:r>
        <w:rPr>
          <w:rFonts w:ascii="Times New Roman" w:cs="Times New Roman" w:eastAsia="Times New Roman" w:hAnsi="Times New Roman"/>
          <w:sz w:val="22"/>
          <w:szCs w:val="22"/>
          <w:color w:val="auto"/>
        </w:rPr>
        <w:t>will not be entitled to exercise any portion of any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the Maximum Percentage, as such percentage ownership is calculated in accordance with Section 13(d) of the Exchange Act and the applicable regulations of the SEC. A holder may reset the Maximum Percentage to a higher percentage (not to exceed 19.99%), effective 61 days after written notice to us, or a lower percentage, effective immediately upon written notice to us. Any such increase or decrease will apply only to that holder and not to any other holder of the pre-funded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Certain holders of shares of our common stock, non-voting common stock and pre-funded warrants are entitled to rights with respect to the registration of our common stock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our IPO and under the terms of the Post-IPO RRAs between us and the RRA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Demand Registration Rights</w:t>
      </w:r>
    </w:p>
    <w:p>
      <w:pPr>
        <w:spacing w:after="0" w:line="2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Beginning from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w:t>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6" w:name="page137"/>
    <w:bookmarkEnd w:id="136"/>
    <w:p>
      <w:pPr>
        <w:jc w:val="both"/>
        <w:spacing w:after="0" w:line="244" w:lineRule="auto"/>
        <w:rPr>
          <w:sz w:val="20"/>
          <w:szCs w:val="20"/>
          <w:color w:val="auto"/>
        </w:rPr>
      </w:pPr>
      <w:r>
        <w:rPr>
          <w:rFonts w:ascii="Times New Roman" w:cs="Times New Roman" w:eastAsia="Times New Roman" w:hAnsi="Times New Roman"/>
          <w:sz w:val="22"/>
          <w:szCs w:val="22"/>
          <w:color w:val="auto"/>
        </w:rPr>
        <w:t>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Piggyback Registration Rights</w:t>
      </w:r>
    </w:p>
    <w:p>
      <w:pPr>
        <w:spacing w:after="0" w:line="2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 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Expenses of Registration Rights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Expiration of Registration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registration rights described above will expire, with respect to any particular holder of these rights, on the earliest to occur of</w:t>
      </w:r>
    </w:p>
    <w:p>
      <w:pPr>
        <w:spacing w:after="0" w:line="37" w:lineRule="exact"/>
        <w:rPr>
          <w:sz w:val="20"/>
          <w:szCs w:val="20"/>
          <w:color w:val="auto"/>
        </w:rPr>
      </w:pPr>
    </w:p>
    <w:p>
      <w:pPr>
        <w:ind w:firstLine="8"/>
        <w:spacing w:after="0" w:line="237" w:lineRule="auto"/>
        <w:tabs>
          <w:tab w:leader="none" w:pos="31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that all of the holder’s registrable securities can be sold without limitation in any three-month period without registration in compliance with Rule</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22"/>
          <w:szCs w:val="22"/>
          <w:color w:val="auto"/>
        </w:rPr>
        <w:t>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Registration Rights Agreements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Pursuant to the Post-IPO RRAs between us and each of certain Institutional Investors and its affiliates, OrbiMed and its affiliates and Kris Vaddi, the RRA Investors are entitled to rights with respect to the registration of their shares under the Securities Act that supplement such rights as described above held by the RRA Investors under the IRA. These registration rights include the right to demand that we file with the SEC a 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RRAs,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RRAs require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Amended and Restated Registration Rights Agreement</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our issuance of the December 2023 Pre-Funded Warrants, we amended and restated our registration rights agreement with certain Institutional Investors and its affiliates, pursuant to which we granted certain Institutional Investors and its affiliates certain demand, piggyback and resale shelf registration rights with respect to the shares of our common stock underlying the pre-funded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provisions of Delaware General Corporation Law, or DGCL, our restated certificate of incorporation and our amended and restated bylaws could have the effect of delaying, deferring or discouraging another person from acquiring control of the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b w:val="1"/>
          <w:bCs w:val="1"/>
          <w:i w:val="1"/>
          <w:iCs w:val="1"/>
          <w:color w:val="auto"/>
        </w:rPr>
        <w:t>Delaware Law</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72" w:lineRule="exact"/>
        <w:rPr>
          <w:sz w:val="20"/>
          <w:szCs w:val="20"/>
          <w:color w:val="auto"/>
        </w:rPr>
      </w:pPr>
    </w:p>
    <w:p>
      <w:pPr>
        <w:ind w:left="380" w:right="20" w:hanging="372"/>
        <w:spacing w:after="0" w:line="258" w:lineRule="auto"/>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date of the transaction, the board of directors of the corporation approved either the business combination or the transaction which resulted in the stockholder becoming an interested stockholder;</w:t>
      </w:r>
    </w:p>
    <w:p>
      <w:pPr>
        <w:spacing w:after="0" w:line="157" w:lineRule="exact"/>
        <w:rPr>
          <w:rFonts w:ascii="Times New Roman" w:cs="Times New Roman" w:eastAsia="Times New Roman" w:hAnsi="Times New Roman"/>
          <w:sz w:val="22"/>
          <w:szCs w:val="22"/>
          <w:color w:val="auto"/>
        </w:rPr>
      </w:pPr>
    </w:p>
    <w:p>
      <w:pPr>
        <w:jc w:val="both"/>
        <w:ind w:left="380" w:hanging="372"/>
        <w:spacing w:after="0" w:line="237" w:lineRule="auto"/>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80" w:lineRule="exact"/>
        <w:rPr>
          <w:rFonts w:ascii="Times New Roman" w:cs="Times New Roman" w:eastAsia="Times New Roman" w:hAnsi="Times New Roman"/>
          <w:sz w:val="22"/>
          <w:szCs w:val="22"/>
          <w:color w:val="auto"/>
        </w:rPr>
      </w:pPr>
    </w:p>
    <w:p>
      <w:pPr>
        <w:jc w:val="both"/>
        <w:ind w:left="380" w:hanging="372"/>
        <w:spacing w:after="0" w:line="244" w:lineRule="auto"/>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Effects of Certain Provisions of Our Restated Certificate of Incorporation and Amended and Restated Bylaws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restated certificate of incorporation and our amended and restated bylaws include a number of provisions that could deter hostile takeovers or delay or prevent changes in control of the Company, including the following:</w:t>
      </w:r>
    </w:p>
    <w:p>
      <w:pPr>
        <w:spacing w:after="0" w:line="153" w:lineRule="exact"/>
        <w:rPr>
          <w:sz w:val="20"/>
          <w:szCs w:val="20"/>
          <w:color w:val="auto"/>
        </w:rPr>
      </w:pPr>
    </w:p>
    <w:p>
      <w:pPr>
        <w:jc w:val="both"/>
        <w:ind w:left="380" w:hanging="372"/>
        <w:spacing w:after="0" w:line="238" w:lineRule="auto"/>
        <w:tabs>
          <w:tab w:leader="none" w:pos="3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Board of Directors Vacancies</w:t>
      </w:r>
      <w:r>
        <w:rPr>
          <w:rFonts w:ascii="Times New Roman" w:cs="Times New Roman" w:eastAsia="Times New Roman" w:hAnsi="Times New Roman"/>
          <w:sz w:val="22"/>
          <w:szCs w:val="22"/>
          <w:color w:val="auto"/>
        </w:rPr>
        <w:t>. Our restated certificate of incorporation and amended and restated bylaws authorizes only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9" w:name="page140"/>
    <w:bookmarkEnd w:id="139"/>
    <w:p>
      <w:pPr>
        <w:ind w:left="372"/>
        <w:spacing w:after="0" w:line="258" w:lineRule="auto"/>
        <w:rPr>
          <w:sz w:val="20"/>
          <w:szCs w:val="20"/>
          <w:color w:val="auto"/>
        </w:rPr>
      </w:pPr>
      <w:r>
        <w:rPr>
          <w:rFonts w:ascii="Times New Roman" w:cs="Times New Roman" w:eastAsia="Times New Roman" w:hAnsi="Times New Roman"/>
          <w:sz w:val="22"/>
          <w:szCs w:val="22"/>
          <w:color w:val="auto"/>
        </w:rPr>
        <w:t>with its own nominees. This makes it more difficult to change the composition of our board of directors but promotes continuity of management.</w:t>
      </w:r>
    </w:p>
    <w:p>
      <w:pPr>
        <w:spacing w:after="0" w:line="153" w:lineRule="exact"/>
        <w:rPr>
          <w:sz w:val="20"/>
          <w:szCs w:val="20"/>
          <w:color w:val="auto"/>
        </w:rPr>
      </w:pPr>
    </w:p>
    <w:p>
      <w:pPr>
        <w:jc w:val="both"/>
        <w:ind w:left="372" w:hanging="372"/>
        <w:spacing w:after="0"/>
        <w:tabs>
          <w:tab w:leader="none" w:pos="3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Classified Board</w:t>
      </w:r>
      <w:r>
        <w:rPr>
          <w:rFonts w:ascii="Times New Roman" w:cs="Times New Roman" w:eastAsia="Times New Roman" w:hAnsi="Times New Roman"/>
          <w:sz w:val="22"/>
          <w:szCs w:val="22"/>
          <w:color w:val="auto"/>
        </w:rPr>
        <w:t>. Our restated certificate of incorporation and amended and restated bylaws provide that our board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4" w:lineRule="exact"/>
        <w:rPr>
          <w:rFonts w:ascii="Times New Roman" w:cs="Times New Roman" w:eastAsia="Times New Roman" w:hAnsi="Times New Roman"/>
          <w:sz w:val="22"/>
          <w:szCs w:val="22"/>
          <w:color w:val="auto"/>
        </w:rPr>
      </w:pPr>
    </w:p>
    <w:p>
      <w:pPr>
        <w:jc w:val="both"/>
        <w:ind w:left="372" w:hanging="372"/>
        <w:spacing w:after="0" w:line="237" w:lineRule="auto"/>
        <w:tabs>
          <w:tab w:leader="none" w:pos="3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Action; Special Meetings of Stockholders</w:t>
      </w:r>
      <w:r>
        <w:rPr>
          <w:rFonts w:ascii="Times New Roman" w:cs="Times New Roman" w:eastAsia="Times New Roman" w:hAnsi="Times New Roman"/>
          <w:sz w:val="22"/>
          <w:szCs w:val="22"/>
          <w:color w:val="auto"/>
        </w:rPr>
        <w:t>. Our restated certificate of incorporation provide that our stockholders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special meetings of our stockholders may be called only by a majority of our board of directors, the chairman of our board of directors, our Chief Executive Officer or</w:t>
      </w:r>
    </w:p>
    <w:p>
      <w:pPr>
        <w:spacing w:after="0" w:line="173" w:lineRule="exact"/>
        <w:rPr>
          <w:rFonts w:ascii="Times New Roman" w:cs="Times New Roman" w:eastAsia="Times New Roman" w:hAnsi="Times New Roman"/>
          <w:sz w:val="22"/>
          <w:szCs w:val="22"/>
          <w:color w:val="auto"/>
        </w:rPr>
      </w:pPr>
    </w:p>
    <w:p>
      <w:pPr>
        <w:jc w:val="both"/>
        <w:ind w:left="372" w:hanging="372"/>
        <w:spacing w:after="0" w:line="234" w:lineRule="auto"/>
        <w:tabs>
          <w:tab w:leader="none" w:pos="3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Action; Special Meetings of Stockholders</w:t>
      </w:r>
      <w:r>
        <w:rPr>
          <w:rFonts w:ascii="Times New Roman" w:cs="Times New Roman" w:eastAsia="Times New Roman" w:hAnsi="Times New Roman"/>
          <w:sz w:val="22"/>
          <w:szCs w:val="22"/>
          <w:color w:val="auto"/>
        </w:rPr>
        <w:t>. Our restated certificate of incorporation provide that our stockholders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0" w:lineRule="exact"/>
        <w:rPr>
          <w:rFonts w:ascii="Times New Roman" w:cs="Times New Roman" w:eastAsia="Times New Roman" w:hAnsi="Times New Roman"/>
          <w:sz w:val="22"/>
          <w:szCs w:val="22"/>
          <w:color w:val="auto"/>
        </w:rPr>
      </w:pPr>
    </w:p>
    <w:p>
      <w:pPr>
        <w:jc w:val="both"/>
        <w:ind w:left="372" w:hanging="372"/>
        <w:spacing w:after="0" w:line="235" w:lineRule="auto"/>
        <w:tabs>
          <w:tab w:leader="none" w:pos="3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Advance Notice Requirements for Stockholder Proposals and Director Nominations</w:t>
      </w:r>
      <w:r>
        <w:rPr>
          <w:rFonts w:ascii="Times New Roman" w:cs="Times New Roman" w:eastAsia="Times New Roman" w:hAnsi="Times New Roman"/>
          <w:sz w:val="22"/>
          <w:szCs w:val="22"/>
          <w:color w:val="auto"/>
        </w:rPr>
        <w:t>. Our amended and restated bylaws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the Company.</w:t>
      </w:r>
    </w:p>
    <w:p>
      <w:pPr>
        <w:spacing w:after="0" w:line="175" w:lineRule="exact"/>
        <w:rPr>
          <w:rFonts w:ascii="Times New Roman" w:cs="Times New Roman" w:eastAsia="Times New Roman" w:hAnsi="Times New Roman"/>
          <w:sz w:val="22"/>
          <w:szCs w:val="22"/>
          <w:color w:val="auto"/>
        </w:rPr>
      </w:pPr>
    </w:p>
    <w:p>
      <w:pPr>
        <w:jc w:val="both"/>
        <w:ind w:left="372" w:hanging="372"/>
        <w:spacing w:after="0" w:line="246" w:lineRule="auto"/>
        <w:tabs>
          <w:tab w:leader="none" w:pos="3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Cumulative Voting</w:t>
      </w:r>
      <w:r>
        <w:rPr>
          <w:rFonts w:ascii="Times New Roman" w:cs="Times New Roman" w:eastAsia="Times New Roman" w:hAnsi="Times New Roman"/>
          <w:sz w:val="22"/>
          <w:szCs w:val="22"/>
          <w:color w:val="auto"/>
        </w:rPr>
        <w:t>. The DGCL provides that stockholders are not entitled to the right to cumulate votes in the election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unless a corporation’s certificate of incorporation provides otherwise. Our restated certificate of incorporation and amended and restated bylaws do not provide for cumulative voting.</w:t>
      </w:r>
    </w:p>
    <w:p>
      <w:pPr>
        <w:spacing w:after="0" w:line="200" w:lineRule="exact"/>
        <w:rPr>
          <w:sz w:val="20"/>
          <w:szCs w:val="20"/>
          <w:color w:val="auto"/>
        </w:rPr>
      </w:pPr>
    </w:p>
    <w:p>
      <w:pPr>
        <w:spacing w:after="0" w:line="375"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7" w:right="339" w:bottom="1440" w:gutter="0" w:footer="0" w:header="0"/>
        </w:sectPr>
      </w:pPr>
    </w:p>
    <w:bookmarkStart w:id="140" w:name="page141"/>
    <w:bookmarkEnd w:id="140"/>
    <w:p>
      <w:pPr>
        <w:ind w:left="372" w:hanging="372"/>
        <w:spacing w:after="0" w:line="311" w:lineRule="auto"/>
        <w:tabs>
          <w:tab w:leader="none" w:pos="3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Directors Removed Only for Cause</w:t>
      </w:r>
      <w:r>
        <w:rPr>
          <w:rFonts w:ascii="Times New Roman" w:cs="Times New Roman" w:eastAsia="Times New Roman" w:hAnsi="Times New Roman"/>
          <w:sz w:val="20"/>
          <w:szCs w:val="20"/>
          <w:color w:val="auto"/>
        </w:rPr>
        <w:t>. Our restated certificate of incorporation provides that stockholders may remove directors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for cause and only by the affirmative vote of the holders of at least two-thirds of our outstanding common stock.</w:t>
      </w:r>
    </w:p>
    <w:p>
      <w:pPr>
        <w:spacing w:after="0" w:line="105" w:lineRule="exact"/>
        <w:rPr>
          <w:rFonts w:ascii="Times New Roman" w:cs="Times New Roman" w:eastAsia="Times New Roman" w:hAnsi="Times New Roman"/>
          <w:sz w:val="20"/>
          <w:szCs w:val="20"/>
          <w:color w:val="auto"/>
        </w:rPr>
      </w:pPr>
    </w:p>
    <w:p>
      <w:pPr>
        <w:ind w:left="372" w:right="20" w:hanging="372"/>
        <w:spacing w:after="0" w:line="261" w:lineRule="auto"/>
        <w:tabs>
          <w:tab w:leader="none" w:pos="37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Charter Provisions</w:t>
      </w:r>
      <w:r>
        <w:rPr>
          <w:rFonts w:ascii="Times New Roman" w:cs="Times New Roman" w:eastAsia="Times New Roman" w:hAnsi="Times New Roman"/>
          <w:sz w:val="22"/>
          <w:szCs w:val="22"/>
          <w:color w:val="auto"/>
        </w:rPr>
        <w:t>. Any amendment of the above provisions in our restated certificate of incorporation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 approval by holders of at least two-thirds of our outstanding common stock.</w:t>
      </w:r>
    </w:p>
    <w:p>
      <w:pPr>
        <w:spacing w:after="0" w:line="150" w:lineRule="exact"/>
        <w:rPr>
          <w:rFonts w:ascii="Times New Roman" w:cs="Times New Roman" w:eastAsia="Times New Roman" w:hAnsi="Times New Roman"/>
          <w:sz w:val="22"/>
          <w:szCs w:val="22"/>
          <w:color w:val="auto"/>
        </w:rPr>
      </w:pPr>
    </w:p>
    <w:p>
      <w:pPr>
        <w:jc w:val="both"/>
        <w:ind w:left="372" w:hanging="372"/>
        <w:spacing w:after="0" w:line="238" w:lineRule="auto"/>
        <w:tabs>
          <w:tab w:leader="none" w:pos="37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Undesignated Preferred Stock</w:t>
      </w:r>
      <w:r>
        <w:rPr>
          <w:rFonts w:ascii="Times New Roman" w:cs="Times New Roman" w:eastAsia="Times New Roman" w:hAnsi="Times New Roman"/>
          <w:sz w:val="22"/>
          <w:szCs w:val="22"/>
          <w:color w:val="auto"/>
        </w:rPr>
        <w:t>. Our board of directors has the authority, without further action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to issue 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74" w:lineRule="exact"/>
        <w:rPr>
          <w:rFonts w:ascii="Times New Roman" w:cs="Times New Roman" w:eastAsia="Times New Roman" w:hAnsi="Times New Roman"/>
          <w:sz w:val="22"/>
          <w:szCs w:val="22"/>
          <w:color w:val="auto"/>
        </w:rPr>
      </w:pPr>
    </w:p>
    <w:p>
      <w:pPr>
        <w:jc w:val="both"/>
        <w:ind w:left="372" w:hanging="372"/>
        <w:spacing w:after="0" w:line="232" w:lineRule="auto"/>
        <w:tabs>
          <w:tab w:leader="none" w:pos="37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Choice of Forum</w:t>
      </w:r>
      <w:r>
        <w:rPr>
          <w:rFonts w:ascii="Times New Roman" w:cs="Times New Roman" w:eastAsia="Times New Roman" w:hAnsi="Times New Roman"/>
          <w:sz w:val="22"/>
          <w:szCs w:val="22"/>
          <w:color w:val="auto"/>
        </w:rPr>
        <w:t>. Our restated certificate of incorporation provides that, to the fullest extent permitted by law, the Court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382"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transfer agent and registrar for our common stock and non-voting common stock is Computershare Trust Company, N.A.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Nasdaq Global Select Market Listing</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common stock is listed on The Nasdaq Global Select Market under the symbol “PRLD.” The non-voting common stock is not listed for trading on any securities exchange and we do not plan to list the non-voting common stock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10.7</w:t>
      </w:r>
    </w:p>
    <w:p>
      <w:pPr>
        <w:spacing w:after="0" w:line="30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05" w:lineRule="exact"/>
        <w:rPr>
          <w:sz w:val="20"/>
          <w:szCs w:val="20"/>
          <w:color w:val="auto"/>
        </w:rPr>
      </w:pPr>
    </w:p>
    <w:p>
      <w:pPr>
        <w:jc w:val="both"/>
        <w:ind w:left="60" w:right="680" w:firstLine="747"/>
        <w:spacing w:after="0" w:line="246"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Prelude Therapeutics Incorporated,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Bryant Lim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is entered into as of January 30, 2023.</w:t>
      </w:r>
    </w:p>
    <w:p>
      <w:pPr>
        <w:spacing w:after="0" w:line="166" w:lineRule="exact"/>
        <w:rPr>
          <w:sz w:val="20"/>
          <w:szCs w:val="20"/>
          <w:color w:val="auto"/>
        </w:rPr>
      </w:pPr>
    </w:p>
    <w:p>
      <w:pPr>
        <w:jc w:val="both"/>
        <w:ind w:left="60" w:right="680" w:firstLine="747"/>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as the Company’s Chief Legal Counsel and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w:t>
      </w:r>
    </w:p>
    <w:p>
      <w:pPr>
        <w:spacing w:after="0" w:line="151" w:lineRule="exact"/>
        <w:rPr>
          <w:sz w:val="20"/>
          <w:szCs w:val="20"/>
          <w:color w:val="auto"/>
        </w:rPr>
      </w:pPr>
    </w:p>
    <w:p>
      <w:pPr>
        <w:jc w:val="both"/>
        <w:ind w:left="60" w:right="68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promises and covenants contained herein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is hereby acknowledged, the Parties hereto agree as follows:</w:t>
      </w:r>
    </w:p>
    <w:p>
      <w:pPr>
        <w:spacing w:after="0" w:line="166" w:lineRule="exact"/>
        <w:rPr>
          <w:sz w:val="20"/>
          <w:szCs w:val="20"/>
          <w:color w:val="auto"/>
        </w:rPr>
      </w:pPr>
    </w:p>
    <w:p>
      <w:pPr>
        <w:ind w:left="1560" w:hanging="758"/>
        <w:spacing w:after="0"/>
        <w:tabs>
          <w:tab w:leader="none" w:pos="15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p>
    <w:p>
      <w:pPr>
        <w:spacing w:after="0" w:line="205" w:lineRule="exact"/>
        <w:rPr>
          <w:sz w:val="20"/>
          <w:szCs w:val="20"/>
          <w:color w:val="auto"/>
        </w:rPr>
      </w:pPr>
    </w:p>
    <w:p>
      <w:pPr>
        <w:jc w:val="both"/>
        <w:ind w:left="60" w:right="68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Employment. </w:t>
      </w:r>
      <w:r>
        <w:rPr>
          <w:rFonts w:ascii="Times New Roman" w:cs="Times New Roman" w:eastAsia="Times New Roman" w:hAnsi="Times New Roman"/>
          <w:sz w:val="22"/>
          <w:szCs w:val="22"/>
          <w:color w:val="auto"/>
        </w:rPr>
        <w:t>This Agreement shall govern the terms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which shall commence as of February 27, 2023 or such other date as mutually determined by Executive and the Company (such date,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60" w:right="680" w:firstLine="1498"/>
        <w:spacing w:after="0"/>
        <w:rPr>
          <w:sz w:val="20"/>
          <w:szCs w:val="20"/>
          <w:color w:val="auto"/>
        </w:rPr>
      </w:pPr>
      <w:r>
        <w:rPr>
          <w:rFonts w:ascii="Times New Roman" w:cs="Times New Roman" w:eastAsia="Times New Roman" w:hAnsi="Times New Roman"/>
          <w:sz w:val="22"/>
          <w:szCs w:val="22"/>
          <w:b w:val="1"/>
          <w:bCs w:val="1"/>
          <w:color w:val="auto"/>
        </w:rPr>
        <w:t xml:space="preserve">1.2 Position. </w:t>
      </w:r>
      <w:r>
        <w:rPr>
          <w:rFonts w:ascii="Times New Roman" w:cs="Times New Roman" w:eastAsia="Times New Roman" w:hAnsi="Times New Roman"/>
          <w:sz w:val="22"/>
          <w:szCs w:val="22"/>
          <w:color w:val="auto"/>
        </w:rPr>
        <w:t>Executive shall serve as the Company’s Chief Legal Counsel and Corporate Secretary.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of Executive’s employment with the Company hereunder, Executive will devote Executive’s best efforts and substantially all of Executive’s business time and attention to the business of the Company, except as otherwise set forth in Section 11.1.</w:t>
      </w:r>
    </w:p>
    <w:p>
      <w:pPr>
        <w:spacing w:after="0" w:line="175" w:lineRule="exact"/>
        <w:rPr>
          <w:sz w:val="20"/>
          <w:szCs w:val="20"/>
          <w:color w:val="auto"/>
        </w:rPr>
      </w:pPr>
    </w:p>
    <w:p>
      <w:pPr>
        <w:jc w:val="both"/>
        <w:ind w:left="60" w:right="680" w:firstLine="1498"/>
        <w:spacing w:after="0"/>
        <w:rPr>
          <w:sz w:val="20"/>
          <w:szCs w:val="20"/>
          <w:color w:val="auto"/>
        </w:rPr>
      </w:pPr>
      <w:r>
        <w:rPr>
          <w:rFonts w:ascii="Times New Roman" w:cs="Times New Roman" w:eastAsia="Times New Roman" w:hAnsi="Times New Roman"/>
          <w:sz w:val="22"/>
          <w:szCs w:val="22"/>
          <w:b w:val="1"/>
          <w:bCs w:val="1"/>
          <w:color w:val="auto"/>
        </w:rPr>
        <w:t xml:space="preserve">1.3 Duties and Location. </w:t>
      </w:r>
      <w:r>
        <w:rPr>
          <w:rFonts w:ascii="Times New Roman" w:cs="Times New Roman" w:eastAsia="Times New Roman" w:hAnsi="Times New Roman"/>
          <w:sz w:val="22"/>
          <w:szCs w:val="22"/>
          <w:color w:val="auto"/>
        </w:rPr>
        <w:t>Executive shall perform such duties as are typically performed by a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and Corporate Secretary. Executive will report to the Company’s Chief Executive Officer. Executive’s primary office location shall be the Company’s office located in Wilmington, Delaware, subject to other travel from time to time as reasonably required in connection with the Executive’s duties.</w:t>
      </w:r>
    </w:p>
    <w:p>
      <w:pPr>
        <w:spacing w:after="0" w:line="175" w:lineRule="exact"/>
        <w:rPr>
          <w:sz w:val="20"/>
          <w:szCs w:val="20"/>
          <w:color w:val="auto"/>
        </w:rPr>
      </w:pPr>
    </w:p>
    <w:p>
      <w:pPr>
        <w:jc w:val="both"/>
        <w:ind w:left="60" w:right="70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 Policies and Procedures. </w:t>
      </w:r>
      <w:r>
        <w:rPr>
          <w:rFonts w:ascii="Times New Roman" w:cs="Times New Roman" w:eastAsia="Times New Roman" w:hAnsi="Times New Roman"/>
          <w:sz w:val="22"/>
          <w:szCs w:val="22"/>
          <w:color w:val="auto"/>
        </w:rPr>
        <w:t>The employment relationship between the Parties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166" w:lineRule="exact"/>
        <w:rPr>
          <w:sz w:val="20"/>
          <w:szCs w:val="20"/>
          <w:color w:val="auto"/>
        </w:rPr>
      </w:pPr>
    </w:p>
    <w:p>
      <w:pPr>
        <w:ind w:left="1560" w:hanging="758"/>
        <w:spacing w:after="0"/>
        <w:tabs>
          <w:tab w:leader="none" w:pos="15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5" w:lineRule="exact"/>
        <w:rPr>
          <w:sz w:val="20"/>
          <w:szCs w:val="20"/>
          <w:color w:val="auto"/>
        </w:rPr>
      </w:pPr>
    </w:p>
    <w:p>
      <w:pPr>
        <w:jc w:val="both"/>
        <w:ind w:left="60" w:right="68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 Salary. </w:t>
      </w:r>
      <w:r>
        <w:rPr>
          <w:rFonts w:ascii="Times New Roman" w:cs="Times New Roman" w:eastAsia="Times New Roman" w:hAnsi="Times New Roman"/>
          <w:sz w:val="22"/>
          <w:szCs w:val="22"/>
          <w:color w:val="auto"/>
        </w:rPr>
        <w:t>For services to be rendered hereunder, Executive shall receive a base salary at the rate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$415,000 per year (such base salary, as in effect from time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w:t>
      </w:r>
    </w:p>
    <w:p>
      <w:pPr>
        <w:spacing w:after="0" w:line="166" w:lineRule="exact"/>
        <w:rPr>
          <w:sz w:val="20"/>
          <w:szCs w:val="20"/>
          <w:color w:val="auto"/>
        </w:rPr>
      </w:pPr>
    </w:p>
    <w:p>
      <w:pPr>
        <w:jc w:val="both"/>
        <w:ind w:left="60" w:right="680" w:firstLine="149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 Annual Bonus. </w:t>
      </w:r>
      <w:r>
        <w:rPr>
          <w:rFonts w:ascii="Times New Roman" w:cs="Times New Roman" w:eastAsia="Times New Roman" w:hAnsi="Times New Roman"/>
          <w:sz w:val="22"/>
          <w:szCs w:val="22"/>
          <w:color w:val="auto"/>
        </w:rPr>
        <w:t>Executive will be eligible for an annual discretionary bonus with a target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equal to 40% of Executive’s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xml:space="preserve">”), which shall be prorated for Executive’s initial year of employment. Whether Executive receives an Annual Bonus for any given year, and the amount of any such Annual Bonus, will be determined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compensation committee thereof in 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6" w:lineRule="exact"/>
        <w:rPr>
          <w:sz w:val="20"/>
          <w:szCs w:val="20"/>
          <w:color w:val="auto"/>
        </w:rPr>
      </w:pPr>
    </w:p>
    <w:p>
      <w:pPr>
        <w:jc w:val="both"/>
        <w:ind w:left="60" w:right="680"/>
        <w:spacing w:after="0" w:line="239" w:lineRule="auto"/>
        <w:rPr>
          <w:sz w:val="20"/>
          <w:szCs w:val="20"/>
          <w:color w:val="auto"/>
        </w:rPr>
      </w:pPr>
      <w:r>
        <w:rPr>
          <w:rFonts w:ascii="Times New Roman" w:cs="Times New Roman" w:eastAsia="Times New Roman" w:hAnsi="Times New Roman"/>
          <w:sz w:val="22"/>
          <w:szCs w:val="22"/>
          <w:color w:val="auto"/>
        </w:rPr>
        <w:t>sole discretion based upon the Company’s and Executive’s achievement of objectives and milestones to be determined on an annual basis by the Board or the compensation committee thereof. Executive will not be eligible for, and will not earn, any Annual Bonus (including a prorated bonus) if Executive’s employment terminates for any reason before any Annual Bonus is paid.</w:t>
      </w:r>
    </w:p>
    <w:p>
      <w:pPr>
        <w:spacing w:after="0" w:line="175" w:lineRule="exact"/>
        <w:rPr>
          <w:sz w:val="20"/>
          <w:szCs w:val="20"/>
          <w:color w:val="auto"/>
        </w:rPr>
      </w:pPr>
    </w:p>
    <w:p>
      <w:pPr>
        <w:jc w:val="both"/>
        <w:ind w:left="60" w:right="680" w:firstLine="1498"/>
        <w:spacing w:after="0" w:line="233" w:lineRule="auto"/>
        <w:rPr>
          <w:sz w:val="20"/>
          <w:szCs w:val="20"/>
          <w:color w:val="auto"/>
        </w:rPr>
      </w:pPr>
      <w:r>
        <w:rPr>
          <w:rFonts w:ascii="Times New Roman" w:cs="Times New Roman" w:eastAsia="Times New Roman" w:hAnsi="Times New Roman"/>
          <w:sz w:val="22"/>
          <w:szCs w:val="22"/>
          <w:b w:val="1"/>
          <w:bCs w:val="1"/>
          <w:color w:val="auto"/>
        </w:rPr>
        <w:t>2.3 Equity</w:t>
      </w:r>
      <w:r>
        <w:rPr>
          <w:rFonts w:ascii="Times New Roman" w:cs="Times New Roman" w:eastAsia="Times New Roman" w:hAnsi="Times New Roman"/>
          <w:sz w:val="22"/>
          <w:szCs w:val="22"/>
          <w:color w:val="auto"/>
        </w:rPr>
        <w:t>. Subject to approval by the Board or the compensation committee thereof,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grant Executive an option to purchase 250,000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approval by the Board or the compensation committee thereof, the Option will be granted on the first business day of the month following the Start Date.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shares underlying the Option will vest and become exercisable on the first anniversary of the Start Date, and 1/48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shares underlying the Option will vest and become exercisable on a monthly basis thereafter, such that 100% of the shares underlying the Option will be vested and exercisable as of the four-year anniversary of the Start Date, in each case so long as Executive remains employed by the Company through each applicable vesting date. If the applicable vesting schedule results in a fractional share, such fractional share will not vest until the immediately following vesting date. The Option will be subject to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Executive upon approval of such grant by the Board.</w:t>
      </w:r>
    </w:p>
    <w:p>
      <w:pPr>
        <w:spacing w:after="0" w:line="172" w:lineRule="exact"/>
        <w:rPr>
          <w:sz w:val="20"/>
          <w:szCs w:val="20"/>
          <w:color w:val="auto"/>
        </w:rPr>
      </w:pPr>
    </w:p>
    <w:p>
      <w:pPr>
        <w:jc w:val="both"/>
        <w:ind w:left="60" w:right="7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3.Standard Company Benefits. </w:t>
      </w:r>
      <w:r>
        <w:rPr>
          <w:rFonts w:ascii="Times New Roman" w:cs="Times New Roman" w:eastAsia="Times New Roman" w:hAnsi="Times New Roman"/>
          <w:sz w:val="22"/>
          <w:szCs w:val="22"/>
          <w:color w:val="auto"/>
        </w:rPr>
        <w:t>Executive shall be entitled to participate in all employee benefit programs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Executive is eligible under the terms and conditions of the benefit plans that may be in effect from time to time and provided by the Company to its employees.</w:t>
      </w:r>
    </w:p>
    <w:p>
      <w:pPr>
        <w:spacing w:after="0" w:line="166" w:lineRule="exact"/>
        <w:rPr>
          <w:sz w:val="20"/>
          <w:szCs w:val="20"/>
          <w:color w:val="auto"/>
        </w:rPr>
      </w:pPr>
    </w:p>
    <w:p>
      <w:pPr>
        <w:jc w:val="both"/>
        <w:ind w:left="60" w:right="7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4.Expenses. </w:t>
      </w:r>
      <w:r>
        <w:rPr>
          <w:rFonts w:ascii="Times New Roman" w:cs="Times New Roman" w:eastAsia="Times New Roman" w:hAnsi="Times New Roman"/>
          <w:sz w:val="22"/>
          <w:szCs w:val="22"/>
          <w:color w:val="auto"/>
        </w:rPr>
        <w:t>The Company will reimburse Executive for reasonable travel, entertainment or other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79" w:lineRule="exact"/>
        <w:rPr>
          <w:sz w:val="20"/>
          <w:szCs w:val="20"/>
          <w:color w:val="auto"/>
        </w:rPr>
      </w:pPr>
    </w:p>
    <w:p>
      <w:pPr>
        <w:ind w:left="1560" w:hanging="758"/>
        <w:spacing w:after="0"/>
        <w:tabs>
          <w:tab w:leader="none" w:pos="15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p>
    <w:p>
      <w:pPr>
        <w:spacing w:after="0" w:line="192" w:lineRule="exact"/>
        <w:rPr>
          <w:sz w:val="20"/>
          <w:szCs w:val="20"/>
          <w:color w:val="auto"/>
        </w:rPr>
      </w:pPr>
    </w:p>
    <w:p>
      <w:pPr>
        <w:jc w:val="both"/>
        <w:ind w:left="60" w:right="680" w:firstLine="149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5.1 At-Will Employment. </w:t>
      </w:r>
      <w:r>
        <w:rPr>
          <w:rFonts w:ascii="Times New Roman" w:cs="Times New Roman" w:eastAsia="Times New Roman" w:hAnsi="Times New Roman"/>
          <w:sz w:val="22"/>
          <w:szCs w:val="22"/>
          <w:color w:val="auto"/>
        </w:rPr>
        <w:t>Executive’s employment relationship is at-will. Either Executive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6" w:lineRule="exact"/>
        <w:rPr>
          <w:sz w:val="20"/>
          <w:szCs w:val="20"/>
          <w:color w:val="auto"/>
        </w:rPr>
      </w:pPr>
    </w:p>
    <w:p>
      <w:pPr>
        <w:ind w:left="60" w:right="860"/>
        <w:spacing w:after="0" w:line="258" w:lineRule="auto"/>
        <w:rPr>
          <w:sz w:val="20"/>
          <w:szCs w:val="20"/>
          <w:color w:val="auto"/>
        </w:rPr>
      </w:pPr>
      <w:r>
        <w:rPr>
          <w:rFonts w:ascii="Times New Roman" w:cs="Times New Roman" w:eastAsia="Times New Roman" w:hAnsi="Times New Roman"/>
          <w:sz w:val="22"/>
          <w:szCs w:val="22"/>
          <w:color w:val="auto"/>
        </w:rPr>
        <w:t>terminate any relationships as an employee, advisor, officer or director with the Company and any of its affiliates, each effective on the date of termination.</w:t>
      </w:r>
    </w:p>
    <w:p>
      <w:pPr>
        <w:spacing w:after="0" w:line="153" w:lineRule="exact"/>
        <w:rPr>
          <w:sz w:val="20"/>
          <w:szCs w:val="20"/>
          <w:color w:val="auto"/>
        </w:rPr>
      </w:pPr>
    </w:p>
    <w:p>
      <w:pPr>
        <w:jc w:val="both"/>
        <w:ind w:left="60" w:right="700" w:firstLine="1498"/>
        <w:spacing w:after="0" w:line="238" w:lineRule="auto"/>
        <w:rPr>
          <w:sz w:val="20"/>
          <w:szCs w:val="20"/>
          <w:color w:val="auto"/>
        </w:rPr>
      </w:pPr>
      <w:r>
        <w:rPr>
          <w:rFonts w:ascii="Times New Roman" w:cs="Times New Roman" w:eastAsia="Times New Roman" w:hAnsi="Times New Roman"/>
          <w:sz w:val="22"/>
          <w:szCs w:val="22"/>
          <w:b w:val="1"/>
          <w:bCs w:val="1"/>
          <w:color w:val="auto"/>
        </w:rPr>
        <w:t>5.2 Severance Benefits for Termination Without Cause Unrelated to a Change of Control</w:t>
      </w:r>
      <w:r>
        <w:rPr>
          <w:rFonts w:ascii="Times New Roman" w:cs="Times New Roman" w:eastAsia="Times New Roman" w:hAnsi="Times New Roman"/>
          <w:sz w:val="22"/>
          <w:szCs w:val="22"/>
          <w:color w:val="auto"/>
        </w:rPr>
        <w: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79" w:lineRule="exact"/>
        <w:rPr>
          <w:sz w:val="20"/>
          <w:szCs w:val="20"/>
          <w:color w:val="auto"/>
        </w:rPr>
      </w:pPr>
    </w:p>
    <w:p>
      <w:pPr>
        <w:jc w:val="both"/>
        <w:ind w:left="60" w:right="680" w:firstLine="2246"/>
        <w:spacing w:after="0" w:line="237" w:lineRule="auto"/>
        <w:rPr>
          <w:sz w:val="20"/>
          <w:szCs w:val="20"/>
          <w:color w:val="auto"/>
        </w:rPr>
      </w:pPr>
      <w:r>
        <w:rPr>
          <w:rFonts w:ascii="Times New Roman" w:cs="Times New Roman" w:eastAsia="Times New Roman" w:hAnsi="Times New Roman"/>
          <w:sz w:val="22"/>
          <w:szCs w:val="22"/>
          <w:color w:val="auto"/>
        </w:rPr>
        <w:t>(i)The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80" w:lineRule="exact"/>
        <w:rPr>
          <w:sz w:val="20"/>
          <w:szCs w:val="20"/>
          <w:color w:val="auto"/>
        </w:rPr>
      </w:pPr>
    </w:p>
    <w:p>
      <w:pPr>
        <w:jc w:val="both"/>
        <w:ind w:left="60" w:right="680" w:firstLine="2246"/>
        <w:spacing w:after="0" w:line="233" w:lineRule="auto"/>
        <w:rPr>
          <w:sz w:val="20"/>
          <w:szCs w:val="20"/>
          <w:color w:val="auto"/>
        </w:rPr>
      </w:pPr>
      <w:r>
        <w:rPr>
          <w:rFonts w:ascii="Times New Roman" w:cs="Times New Roman" w:eastAsia="Times New Roman" w:hAnsi="Times New Roman"/>
          <w:sz w:val="22"/>
          <w:szCs w:val="22"/>
          <w:color w:val="auto"/>
        </w:rPr>
        <w:t>(ii)Provided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4" w:lineRule="exact"/>
        <w:rPr>
          <w:sz w:val="20"/>
          <w:szCs w:val="20"/>
          <w:color w:val="auto"/>
        </w:rPr>
      </w:pPr>
    </w:p>
    <w:p>
      <w:pPr>
        <w:jc w:val="both"/>
        <w:ind w:left="60" w:right="680" w:firstLine="1498"/>
        <w:spacing w:after="0" w:line="237" w:lineRule="auto"/>
        <w:rPr>
          <w:sz w:val="20"/>
          <w:szCs w:val="20"/>
          <w:color w:val="auto"/>
        </w:rPr>
      </w:pPr>
      <w:r>
        <w:rPr>
          <w:rFonts w:ascii="Times New Roman" w:cs="Times New Roman" w:eastAsia="Times New Roman" w:hAnsi="Times New Roman"/>
          <w:sz w:val="22"/>
          <w:szCs w:val="22"/>
          <w:b w:val="1"/>
          <w:bCs w:val="1"/>
          <w:color w:val="auto"/>
        </w:rPr>
        <w:t>5.3 Severance Benefits for Termination Without Cause or Resignation with Good Reason Related to a Change of Control</w:t>
      </w:r>
      <w:r>
        <w:rPr>
          <w:rFonts w:ascii="Times New Roman" w:cs="Times New Roman" w:eastAsia="Times New Roman" w:hAnsi="Times New Roman"/>
          <w:sz w:val="22"/>
          <w:szCs w:val="22"/>
          <w:color w:val="auto"/>
        </w:rPr>
        <w:t>. In the event Executive’s employment with the Company is terminated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without 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77" w:lineRule="exact"/>
        <w:rPr>
          <w:sz w:val="20"/>
          <w:szCs w:val="20"/>
          <w:color w:val="auto"/>
        </w:rPr>
      </w:pPr>
    </w:p>
    <w:p>
      <w:pPr>
        <w:jc w:val="both"/>
        <w:ind w:left="60" w:right="700" w:firstLine="2246"/>
        <w:spacing w:after="0" w:line="239" w:lineRule="auto"/>
        <w:rPr>
          <w:sz w:val="20"/>
          <w:szCs w:val="20"/>
          <w:color w:val="auto"/>
        </w:rPr>
      </w:pPr>
      <w:r>
        <w:rPr>
          <w:rFonts w:ascii="Times New Roman" w:cs="Times New Roman" w:eastAsia="Times New Roman" w:hAnsi="Times New Roman"/>
          <w:sz w:val="22"/>
          <w:szCs w:val="22"/>
          <w:color w:val="auto"/>
        </w:rPr>
        <w:t>(i)The Company shall pay Executive, as severance, the equivalent of twelve (12) months of Executive’s Base Salary as in effect as of the date of Executive’s employment termination (disregarding any change to Executive’s Base Salary giving rise to Good Reason). This severance will be paid in the form of salary continuation, payable on the Company’s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50" w:lineRule="exact"/>
        <w:rPr>
          <w:sz w:val="20"/>
          <w:szCs w:val="20"/>
          <w:color w:val="auto"/>
        </w:rPr>
      </w:pPr>
    </w:p>
    <w:p>
      <w:pPr>
        <w:jc w:val="both"/>
        <w:ind w:left="60" w:right="680"/>
        <w:spacing w:after="0" w:line="222" w:lineRule="auto"/>
        <w:rPr>
          <w:sz w:val="20"/>
          <w:szCs w:val="20"/>
          <w:color w:val="auto"/>
        </w:rPr>
      </w:pPr>
      <w:r>
        <w:rPr>
          <w:rFonts w:ascii="Times New Roman" w:cs="Times New Roman" w:eastAsia="Times New Roman" w:hAnsi="Times New Roman"/>
          <w:sz w:val="22"/>
          <w:szCs w:val="22"/>
          <w:color w:val="auto"/>
        </w:rPr>
        <w:t>regular payroll dates, subject to standard payroll deductions and withholdings, starting on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78" w:lineRule="exact"/>
        <w:rPr>
          <w:sz w:val="20"/>
          <w:szCs w:val="20"/>
          <w:color w:val="auto"/>
        </w:rPr>
      </w:pPr>
    </w:p>
    <w:p>
      <w:pPr>
        <w:jc w:val="both"/>
        <w:ind w:left="60" w:right="680" w:firstLine="2246"/>
        <w:spacing w:after="0" w:line="236" w:lineRule="auto"/>
        <w:rPr>
          <w:sz w:val="20"/>
          <w:szCs w:val="20"/>
          <w:color w:val="auto"/>
        </w:rPr>
      </w:pPr>
      <w:r>
        <w:rPr>
          <w:rFonts w:ascii="Times New Roman" w:cs="Times New Roman" w:eastAsia="Times New Roman" w:hAnsi="Times New Roman"/>
          <w:sz w:val="22"/>
          <w:szCs w:val="22"/>
          <w:color w:val="auto"/>
        </w:rPr>
        <w:t>(ii)In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79" w:lineRule="exact"/>
        <w:rPr>
          <w:sz w:val="20"/>
          <w:szCs w:val="20"/>
          <w:color w:val="auto"/>
        </w:rPr>
      </w:pPr>
    </w:p>
    <w:p>
      <w:pPr>
        <w:jc w:val="both"/>
        <w:ind w:left="60" w:right="680" w:firstLine="2246"/>
        <w:spacing w:after="0" w:line="234" w:lineRule="auto"/>
        <w:rPr>
          <w:sz w:val="20"/>
          <w:szCs w:val="20"/>
          <w:color w:val="auto"/>
        </w:rPr>
      </w:pPr>
      <w:r>
        <w:rPr>
          <w:rFonts w:ascii="Times New Roman" w:cs="Times New Roman" w:eastAsia="Times New Roman" w:hAnsi="Times New Roman"/>
          <w:sz w:val="22"/>
          <w:szCs w:val="22"/>
          <w:color w:val="auto"/>
        </w:rPr>
        <w:t>(iii)Provided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w:t>
      </w:r>
    </w:p>
    <w:p>
      <w:pPr>
        <w:jc w:val="both"/>
        <w:ind w:left="60" w:right="680" w:hanging="9"/>
        <w:spacing w:after="0" w:line="232" w:lineRule="auto"/>
        <w:tabs>
          <w:tab w:leader="none" w:pos="4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7" w:lineRule="exact"/>
        <w:rPr>
          <w:sz w:val="20"/>
          <w:szCs w:val="20"/>
          <w:color w:val="auto"/>
        </w:rPr>
      </w:pPr>
    </w:p>
    <w:p>
      <w:pPr>
        <w:jc w:val="both"/>
        <w:ind w:left="60" w:right="680" w:firstLine="2246"/>
        <w:spacing w:after="0" w:line="236" w:lineRule="auto"/>
        <w:rPr>
          <w:sz w:val="20"/>
          <w:szCs w:val="20"/>
          <w:color w:val="auto"/>
        </w:rPr>
      </w:pPr>
      <w:r>
        <w:rPr>
          <w:rFonts w:ascii="Times New Roman" w:cs="Times New Roman" w:eastAsia="Times New Roman" w:hAnsi="Times New Roman"/>
          <w:sz w:val="22"/>
          <w:szCs w:val="22"/>
          <w:color w:val="auto"/>
        </w:rPr>
        <w:t xml:space="preserve">(iv)The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in the case of stock options, exercisable;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the case of any unvested equity-based incentive compensation awards that are subject to performance- based vesting terms as of the date of such termination, the treatment of such performance-based vesting conditions shall be governed by the applicable equity plan and award agreement.</w:t>
      </w:r>
    </w:p>
    <w:p>
      <w:pPr>
        <w:spacing w:after="0" w:line="189" w:lineRule="exact"/>
        <w:rPr>
          <w:sz w:val="20"/>
          <w:szCs w:val="20"/>
          <w:color w:val="auto"/>
        </w:rPr>
      </w:pPr>
    </w:p>
    <w:p>
      <w:pPr>
        <w:ind w:left="1560"/>
        <w:spacing w:after="0"/>
        <w:tabs>
          <w:tab w:leader="none" w:pos="22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0"/>
          <w:szCs w:val="20"/>
          <w:b w:val="1"/>
          <w:bCs w:val="1"/>
          <w:color w:val="auto"/>
        </w:rPr>
        <w:t>Termination for Cause; Resignation Without Good Reason; Death or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Disability.</w:t>
      </w:r>
    </w:p>
    <w:p>
      <w:pPr>
        <w:spacing w:after="0" w:line="168" w:lineRule="exact"/>
        <w:rPr>
          <w:sz w:val="20"/>
          <w:szCs w:val="20"/>
          <w:color w:val="auto"/>
        </w:rPr>
      </w:pPr>
    </w:p>
    <w:p>
      <w:pPr>
        <w:ind w:left="3040" w:hanging="741"/>
        <w:spacing w:after="0"/>
        <w:tabs>
          <w:tab w:leader="none" w:pos="3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resigns for any reason prior to or more than twelve (12)</w:t>
      </w:r>
    </w:p>
    <w:p>
      <w:pPr>
        <w:spacing w:after="0" w:line="14" w:lineRule="exact"/>
        <w:rPr>
          <w:sz w:val="20"/>
          <w:szCs w:val="20"/>
          <w:color w:val="auto"/>
        </w:rPr>
      </w:pPr>
    </w:p>
    <w:p>
      <w:pPr>
        <w:jc w:val="both"/>
        <w:ind w:left="60" w:right="680"/>
        <w:spacing w:after="0" w:line="235" w:lineRule="auto"/>
        <w:rPr>
          <w:sz w:val="20"/>
          <w:szCs w:val="20"/>
          <w:color w:val="auto"/>
        </w:rPr>
      </w:pPr>
      <w:r>
        <w:rPr>
          <w:rFonts w:ascii="Times New Roman" w:cs="Times New Roman" w:eastAsia="Times New Roman" w:hAnsi="Times New Roman"/>
          <w:sz w:val="22"/>
          <w:szCs w:val="22"/>
          <w:color w:val="auto"/>
        </w:rPr>
        <w:t>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6" w:lineRule="exact"/>
        <w:rPr>
          <w:sz w:val="20"/>
          <w:szCs w:val="20"/>
          <w:color w:val="auto"/>
        </w:rPr>
      </w:pPr>
    </w:p>
    <w:p>
      <w:pPr>
        <w:jc w:val="both"/>
        <w:ind w:left="60" w:right="680" w:firstLine="2246"/>
        <w:spacing w:after="0" w:line="234" w:lineRule="auto"/>
        <w:rPr>
          <w:sz w:val="20"/>
          <w:szCs w:val="20"/>
          <w:color w:val="auto"/>
        </w:rPr>
      </w:pPr>
      <w:r>
        <w:rPr>
          <w:rFonts w:ascii="Times New Roman" w:cs="Times New Roman" w:eastAsia="Times New Roman" w:hAnsi="Times New Roman"/>
          <w:sz w:val="22"/>
          <w:szCs w:val="22"/>
          <w:color w:val="auto"/>
        </w:rPr>
        <w:t>(ii)Executive’s employment shall terminate automatically upon Executive’s death or Total Disability. “</w:t>
      </w:r>
      <w:r>
        <w:rPr>
          <w:rFonts w:ascii="Times New Roman" w:cs="Times New Roman" w:eastAsia="Times New Roman" w:hAnsi="Times New Roman"/>
          <w:sz w:val="22"/>
          <w:szCs w:val="22"/>
          <w:b w:val="1"/>
          <w:bCs w:val="1"/>
          <w:color w:val="auto"/>
        </w:rPr>
        <w:t>Total Disability</w:t>
      </w:r>
      <w:r>
        <w:rPr>
          <w:rFonts w:ascii="Times New Roman" w:cs="Times New Roman" w:eastAsia="Times New Roman" w:hAnsi="Times New Roman"/>
          <w:sz w:val="22"/>
          <w:szCs w:val="22"/>
          <w:color w:val="auto"/>
        </w:rPr>
        <w:t>” shall mean Executive's inability, with 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72" w:lineRule="exact"/>
        <w:rPr>
          <w:sz w:val="20"/>
          <w:szCs w:val="20"/>
          <w:color w:val="auto"/>
        </w:rPr>
      </w:pPr>
    </w:p>
    <w:p>
      <w:pPr>
        <w:jc w:val="both"/>
        <w:ind w:left="60" w:right="700" w:firstLine="749"/>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6.Conditions to Receipt of Severance Benefits. </w:t>
      </w:r>
      <w:r>
        <w:rPr>
          <w:rFonts w:ascii="Times New Roman" w:cs="Times New Roman" w:eastAsia="Times New Roman" w:hAnsi="Times New Roman"/>
          <w:sz w:val="20"/>
          <w:szCs w:val="20"/>
          <w:color w:val="auto"/>
        </w:rPr>
        <w:t>As a condition to receiving the payments and benefits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 (ii) Executive must not have revoked or breached the provisions of such 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62" w:lineRule="exact"/>
        <w:rPr>
          <w:sz w:val="20"/>
          <w:szCs w:val="20"/>
          <w:color w:val="auto"/>
        </w:rPr>
      </w:pPr>
    </w:p>
    <w:p>
      <w:pPr>
        <w:jc w:val="both"/>
        <w:ind w:left="60" w:right="68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7.Section 409A. </w:t>
      </w:r>
      <w:r>
        <w:rPr>
          <w:rFonts w:ascii="Times New Roman" w:cs="Times New Roman" w:eastAsia="Times New Roman" w:hAnsi="Times New Roman"/>
          <w:sz w:val="22"/>
          <w:szCs w:val="22"/>
          <w:color w:val="auto"/>
        </w:rPr>
        <w:t>It is intended that all of the severance benefits and other payments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satisfy, to the greatest extent possible, the exemptions from the application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409A(a)(2)(B)(i), and if any of the payments upon termination set forth herein and/or under any other agreement with the Company are deemed to be “deferred compensation”, then to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6" w:lineRule="exact"/>
        <w:rPr>
          <w:sz w:val="20"/>
          <w:szCs w:val="20"/>
          <w:color w:val="auto"/>
        </w:rPr>
      </w:pPr>
    </w:p>
    <w:p>
      <w:pPr>
        <w:jc w:val="both"/>
        <w:ind w:left="60" w:right="680"/>
        <w:spacing w:after="0" w:line="234" w:lineRule="auto"/>
        <w:rPr>
          <w:sz w:val="20"/>
          <w:szCs w:val="20"/>
          <w:color w:val="auto"/>
        </w:rPr>
      </w:pPr>
      <w:r>
        <w:rPr>
          <w:rFonts w:ascii="Times New Roman" w:cs="Times New Roman" w:eastAsia="Times New Roman" w:hAnsi="Times New Roman"/>
          <w:sz w:val="22"/>
          <w:szCs w:val="22"/>
          <w:color w:val="auto"/>
        </w:rPr>
        <w:t>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180" w:lineRule="exact"/>
        <w:rPr>
          <w:sz w:val="20"/>
          <w:szCs w:val="20"/>
          <w:color w:val="auto"/>
        </w:rPr>
      </w:pPr>
    </w:p>
    <w:p>
      <w:pPr>
        <w:jc w:val="both"/>
        <w:ind w:left="60" w:right="7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8.Section 280G</w:t>
      </w:r>
      <w:r>
        <w:rPr>
          <w:rFonts w:ascii="Times New Roman" w:cs="Times New Roman" w:eastAsia="Times New Roman" w:hAnsi="Times New Roman"/>
          <w:sz w:val="20"/>
          <w:szCs w:val="20"/>
          <w:color w:val="auto"/>
        </w:rPr>
        <w:t>. In the event that the severance and other benefits provided for in this Agreement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w:t>
      </w:r>
    </w:p>
    <w:p>
      <w:pPr>
        <w:spacing w:after="0" w:line="5" w:lineRule="exact"/>
        <w:rPr>
          <w:sz w:val="20"/>
          <w:szCs w:val="20"/>
          <w:color w:val="auto"/>
        </w:rPr>
      </w:pPr>
    </w:p>
    <w:p>
      <w:pPr>
        <w:jc w:val="both"/>
        <w:ind w:left="60" w:right="680" w:hanging="9"/>
        <w:spacing w:after="0" w:line="231" w:lineRule="auto"/>
        <w:tabs>
          <w:tab w:leader="none" w:pos="3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93" w:lineRule="exact"/>
        <w:rPr>
          <w:rFonts w:ascii="Times New Roman" w:cs="Times New Roman" w:eastAsia="Times New Roman" w:hAnsi="Times New Roman"/>
          <w:sz w:val="22"/>
          <w:szCs w:val="22"/>
          <w:color w:val="auto"/>
        </w:rPr>
      </w:pPr>
    </w:p>
    <w:p>
      <w:pPr>
        <w:ind w:left="1560" w:hanging="758"/>
        <w:spacing w:after="0"/>
        <w:tabs>
          <w:tab w:leader="none" w:pos="1560" w:val="left"/>
        </w:tabs>
        <w:numPr>
          <w:ilvl w:val="1"/>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92" w:lineRule="exact"/>
        <w:rPr>
          <w:sz w:val="20"/>
          <w:szCs w:val="20"/>
          <w:color w:val="auto"/>
        </w:rPr>
      </w:pPr>
    </w:p>
    <w:p>
      <w:pPr>
        <w:jc w:val="both"/>
        <w:ind w:left="60" w:right="680" w:firstLine="149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9.1 Cause. </w:t>
      </w:r>
      <w:r>
        <w:rPr>
          <w:rFonts w:ascii="Times New Roman" w:cs="Times New Roman" w:eastAsia="Times New Roman" w:hAnsi="Times New Roman"/>
          <w:sz w:val="20"/>
          <w:szCs w:val="20"/>
          <w:color w:val="auto"/>
        </w:rPr>
        <w:t>For purposes of this Agreement,</w:t>
      </w:r>
      <w:r>
        <w:rPr>
          <w:rFonts w:ascii="Times New Roman" w:cs="Times New Roman" w:eastAsia="Times New Roman" w:hAnsi="Times New Roman"/>
          <w:sz w:val="20"/>
          <w:szCs w:val="20"/>
          <w:b w:val="1"/>
          <w:bCs w:val="1"/>
          <w:color w:val="auto"/>
        </w:rPr>
        <w:t xml:space="preserve"> “Cause” </w:t>
      </w:r>
      <w:r>
        <w:rPr>
          <w:rFonts w:ascii="Times New Roman" w:cs="Times New Roman" w:eastAsia="Times New Roman" w:hAnsi="Times New Roman"/>
          <w:sz w:val="20"/>
          <w:szCs w:val="20"/>
          <w:color w:val="auto"/>
        </w:rPr>
        <w:t>for termination will mean: (i) a material breach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w:t>
      </w:r>
    </w:p>
    <w:p>
      <w:pPr>
        <w:spacing w:after="0" w:line="1" w:lineRule="exact"/>
        <w:rPr>
          <w:sz w:val="20"/>
          <w:szCs w:val="20"/>
          <w:color w:val="auto"/>
        </w:rPr>
      </w:pPr>
    </w:p>
    <w:p>
      <w:pPr>
        <w:jc w:val="both"/>
        <w:ind w:left="60" w:right="700" w:hanging="7"/>
        <w:spacing w:after="0" w:line="235" w:lineRule="auto"/>
        <w:tabs>
          <w:tab w:leader="none" w:pos="4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act or omission involving substantial dishonesty or fraud that harms or would reasonably be expected to harm the Company; or (v) commission of, conviction or indictment for, or plea of no contest to, any felony (or state law equivalent) or any crime involving moral turpitude.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2" w:lineRule="exact"/>
        <w:rPr>
          <w:sz w:val="20"/>
          <w:szCs w:val="20"/>
          <w:color w:val="auto"/>
        </w:rPr>
      </w:pPr>
    </w:p>
    <w:p>
      <w:pPr>
        <w:jc w:val="both"/>
        <w:ind w:left="60" w:right="680" w:firstLine="149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9.2 Good Reason.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any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taken by the Company without Executive’s prior written consent: (i) a material adverse change in Executive’s position, title, office or duties or assignment of any significant duties to Executive that are materially inconsistent with the position or offices held by Executive; (ii) a decrease in Executive’s base salary by more than 10% (other than in connection with a broad-based reduction in the base salaries of all other officers of the Company); or (iii)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72" w:lineRule="exact"/>
        <w:rPr>
          <w:sz w:val="20"/>
          <w:szCs w:val="20"/>
          <w:color w:val="auto"/>
        </w:rPr>
      </w:pPr>
    </w:p>
    <w:p>
      <w:pPr>
        <w:jc w:val="both"/>
        <w:ind w:left="60" w:right="680" w:firstLine="149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9.3 Change of Control.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“Change of Control” </w:t>
      </w:r>
      <w:r>
        <w:rPr>
          <w:rFonts w:ascii="Times New Roman" w:cs="Times New Roman" w:eastAsia="Times New Roman" w:hAnsi="Times New Roman"/>
          <w:sz w:val="22"/>
          <w:szCs w:val="22"/>
          <w:color w:val="auto"/>
        </w:rPr>
        <w:t>means the occurrence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177" w:lineRule="exact"/>
        <w:rPr>
          <w:sz w:val="20"/>
          <w:szCs w:val="20"/>
          <w:color w:val="auto"/>
        </w:rPr>
      </w:pPr>
    </w:p>
    <w:p>
      <w:pPr>
        <w:jc w:val="both"/>
        <w:ind w:left="60" w:right="700" w:firstLine="749"/>
        <w:spacing w:after="0"/>
        <w:rPr>
          <w:sz w:val="20"/>
          <w:szCs w:val="20"/>
          <w:color w:val="auto"/>
        </w:rPr>
      </w:pPr>
      <w:r>
        <w:rPr>
          <w:rFonts w:ascii="Times New Roman" w:cs="Times New Roman" w:eastAsia="Times New Roman" w:hAnsi="Times New Roman"/>
          <w:sz w:val="22"/>
          <w:szCs w:val="22"/>
          <w:b w:val="1"/>
          <w:bCs w:val="1"/>
          <w:color w:val="auto"/>
        </w:rPr>
        <w:t xml:space="preserve">10.Proprietary Information Obligations. </w:t>
      </w:r>
      <w:r>
        <w:rPr>
          <w:rFonts w:ascii="Times New Roman" w:cs="Times New Roman" w:eastAsia="Times New Roman" w:hAnsi="Times New Roman"/>
          <w:sz w:val="22"/>
          <w:szCs w:val="22"/>
          <w:color w:val="auto"/>
        </w:rPr>
        <w:t>As an employee of the Company, Executive will have access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confidential information of the Company and Executive may, during the course of Executive’s employment develop certain information or inventions that will be the property of the Company. To the protect the Company’s interests, as a condition of employment, Executive must execute and abide by the Employee Proprietary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2" w:lineRule="exact"/>
        <w:rPr>
          <w:sz w:val="20"/>
          <w:szCs w:val="20"/>
          <w:color w:val="auto"/>
        </w:rPr>
      </w:pPr>
    </w:p>
    <w:p>
      <w:pPr>
        <w:ind w:left="60" w:right="940"/>
        <w:spacing w:after="0" w:line="261" w:lineRule="auto"/>
        <w:rPr>
          <w:sz w:val="20"/>
          <w:szCs w:val="20"/>
          <w:color w:val="auto"/>
        </w:rPr>
      </w:pPr>
      <w:r>
        <w:rPr>
          <w:rFonts w:ascii="Times New Roman" w:cs="Times New Roman" w:eastAsia="Times New Roman" w:hAnsi="Times New Roman"/>
          <w:sz w:val="22"/>
          <w:szCs w:val="22"/>
          <w:color w:val="auto"/>
        </w:rPr>
        <w:t xml:space="preserve">Restrictive Covenant and Invention Assignment Agreement attached here 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Restrictive Covenant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1560" w:hanging="758"/>
        <w:spacing w:after="0"/>
        <w:tabs>
          <w:tab w:leader="none" w:pos="15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 During Employment.</w:t>
      </w:r>
    </w:p>
    <w:p>
      <w:pPr>
        <w:spacing w:after="0" w:line="205" w:lineRule="exact"/>
        <w:rPr>
          <w:sz w:val="20"/>
          <w:szCs w:val="20"/>
          <w:color w:val="auto"/>
        </w:rPr>
      </w:pPr>
    </w:p>
    <w:p>
      <w:pPr>
        <w:jc w:val="both"/>
        <w:ind w:left="60" w:right="700" w:firstLine="149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11.1 Non-Company Business. </w:t>
      </w:r>
      <w:r>
        <w:rPr>
          <w:rFonts w:ascii="Times New Roman" w:cs="Times New Roman" w:eastAsia="Times New Roman" w:hAnsi="Times New Roman"/>
          <w:sz w:val="22"/>
          <w:szCs w:val="22"/>
          <w:color w:val="auto"/>
        </w:rPr>
        <w:t>Except with the prior written consent of the Board or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Executive Officer, Executive will not 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73" w:lineRule="exact"/>
        <w:rPr>
          <w:sz w:val="20"/>
          <w:szCs w:val="20"/>
          <w:color w:val="auto"/>
        </w:rPr>
      </w:pPr>
    </w:p>
    <w:p>
      <w:pPr>
        <w:jc w:val="both"/>
        <w:ind w:left="60" w:right="70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11.2 No Adverse Interests. </w:t>
      </w:r>
      <w:r>
        <w:rPr>
          <w:rFonts w:ascii="Times New Roman" w:cs="Times New Roman" w:eastAsia="Times New Roman" w:hAnsi="Times New Roman"/>
          <w:sz w:val="22"/>
          <w:szCs w:val="22"/>
          <w:color w:val="auto"/>
        </w:rPr>
        <w:t>Executive agrees not to acquire, assume or participate in,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any position, investment or interest known to be adverse or antagonistic to the Company, its business or prospects, financial or otherwise.</w:t>
      </w:r>
    </w:p>
    <w:p>
      <w:pPr>
        <w:spacing w:after="0" w:line="166" w:lineRule="exact"/>
        <w:rPr>
          <w:sz w:val="20"/>
          <w:szCs w:val="20"/>
          <w:color w:val="auto"/>
        </w:rPr>
      </w:pPr>
    </w:p>
    <w:p>
      <w:pPr>
        <w:jc w:val="both"/>
        <w:ind w:left="60" w:right="68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12.Dispute Resolution. </w:t>
      </w:r>
      <w:r>
        <w:rPr>
          <w:rFonts w:ascii="Times New Roman" w:cs="Times New Roman" w:eastAsia="Times New Roman" w:hAnsi="Times New Roman"/>
          <w:sz w:val="20"/>
          <w:szCs w:val="20"/>
          <w:color w:val="auto"/>
        </w:rPr>
        <w:t>To ensure the timely and economical resolution of disputes that may arise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Wilmington, Delaware conducted by JAMS, Inc. (“</w:t>
      </w:r>
      <w:r>
        <w:rPr>
          <w:rFonts w:ascii="Times New Roman" w:cs="Times New Roman" w:eastAsia="Times New Roman" w:hAnsi="Times New Roman"/>
          <w:sz w:val="20"/>
          <w:szCs w:val="20"/>
          <w:b w:val="1"/>
          <w:bCs w:val="1"/>
          <w:color w:val="auto"/>
        </w:rPr>
        <w:t>JAMS</w:t>
      </w:r>
      <w:r>
        <w:rPr>
          <w:rFonts w:ascii="Times New Roman" w:cs="Times New Roman" w:eastAsia="Times New Roman" w:hAnsi="Times New Roman"/>
          <w:sz w:val="20"/>
          <w:szCs w:val="20"/>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228" w:lineRule="exact"/>
        <w:rPr>
          <w:sz w:val="20"/>
          <w:szCs w:val="20"/>
          <w:color w:val="auto"/>
        </w:rPr>
      </w:pPr>
    </w:p>
    <w:p>
      <w:pPr>
        <w:ind w:left="1560" w:hanging="758"/>
        <w:spacing w:after="0"/>
        <w:tabs>
          <w:tab w:leader="none" w:pos="15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192" w:lineRule="exact"/>
        <w:rPr>
          <w:sz w:val="20"/>
          <w:szCs w:val="20"/>
          <w:color w:val="auto"/>
        </w:rPr>
      </w:pPr>
    </w:p>
    <w:p>
      <w:pPr>
        <w:jc w:val="both"/>
        <w:ind w:left="60" w:right="70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13.1 Notices. </w:t>
      </w:r>
      <w:r>
        <w:rPr>
          <w:rFonts w:ascii="Times New Roman" w:cs="Times New Roman" w:eastAsia="Times New Roman" w:hAnsi="Times New Roman"/>
          <w:sz w:val="22"/>
          <w:szCs w:val="22"/>
          <w:color w:val="auto"/>
        </w:rPr>
        <w:t>Any notices provided must be in writing and will be deemed effective upon the earlier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45" w:lineRule="exact"/>
        <w:rPr>
          <w:sz w:val="20"/>
          <w:szCs w:val="20"/>
          <w:color w:val="auto"/>
        </w:rPr>
      </w:pPr>
    </w:p>
    <w:p>
      <w:pPr>
        <w:jc w:val="both"/>
        <w:ind w:left="60" w:right="700" w:firstLine="1498"/>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13.2 Severability. </w:t>
      </w:r>
      <w:r>
        <w:rPr>
          <w:rFonts w:ascii="Times New Roman" w:cs="Times New Roman" w:eastAsia="Times New Roman" w:hAnsi="Times New Roman"/>
          <w:sz w:val="22"/>
          <w:szCs w:val="22"/>
          <w:color w:val="auto"/>
        </w:rPr>
        <w:t>Whenever possible, each provision of this Agreement will be interpreted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as to be effective and valid under applicable law, but if any provision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Exhibit 10.7</w:t>
      </w:r>
    </w:p>
    <w:p>
      <w:pPr>
        <w:spacing w:after="0" w:line="336" w:lineRule="exact"/>
        <w:rPr>
          <w:sz w:val="20"/>
          <w:szCs w:val="20"/>
          <w:color w:val="auto"/>
        </w:rPr>
      </w:pPr>
    </w:p>
    <w:p>
      <w:pPr>
        <w:jc w:val="both"/>
        <w:ind w:left="60" w:right="680"/>
        <w:spacing w:after="0" w:line="239" w:lineRule="auto"/>
        <w:rPr>
          <w:sz w:val="20"/>
          <w:szCs w:val="20"/>
          <w:color w:val="auto"/>
        </w:rPr>
      </w:pPr>
      <w:r>
        <w:rPr>
          <w:rFonts w:ascii="Times New Roman" w:cs="Times New Roman" w:eastAsia="Times New Roman" w:hAnsi="Times New Roman"/>
          <w:sz w:val="22"/>
          <w:szCs w:val="22"/>
          <w:color w:val="auto"/>
        </w:rPr>
        <w:t>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5" w:lineRule="exact"/>
        <w:rPr>
          <w:sz w:val="20"/>
          <w:szCs w:val="20"/>
          <w:color w:val="auto"/>
        </w:rPr>
      </w:pPr>
    </w:p>
    <w:p>
      <w:pPr>
        <w:jc w:val="both"/>
        <w:ind w:left="60" w:right="70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13.3 Waiver. </w:t>
      </w:r>
      <w:r>
        <w:rPr>
          <w:rFonts w:ascii="Times New Roman" w:cs="Times New Roman" w:eastAsia="Times New Roman" w:hAnsi="Times New Roman"/>
          <w:sz w:val="22"/>
          <w:szCs w:val="22"/>
          <w:color w:val="auto"/>
        </w:rPr>
        <w:t>Any waiver of any breach of any provisions of this Agreement must be in writing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and it shall not thereby be deemed to have waived any preceding or succeeding breach of the same or any other provision of this Agreement.</w:t>
      </w:r>
    </w:p>
    <w:p>
      <w:pPr>
        <w:spacing w:after="0" w:line="166" w:lineRule="exact"/>
        <w:rPr>
          <w:sz w:val="20"/>
          <w:szCs w:val="20"/>
          <w:color w:val="auto"/>
        </w:rPr>
      </w:pPr>
    </w:p>
    <w:p>
      <w:pPr>
        <w:jc w:val="both"/>
        <w:ind w:left="60" w:right="680" w:firstLine="149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13.4 Complete Agreement. </w:t>
      </w:r>
      <w:r>
        <w:rPr>
          <w:rFonts w:ascii="Times New Roman" w:cs="Times New Roman" w:eastAsia="Times New Roman" w:hAnsi="Times New Roman"/>
          <w:sz w:val="22"/>
          <w:szCs w:val="22"/>
          <w:color w:val="auto"/>
        </w:rPr>
        <w:t>This Agreement, together with the Restrictive Covenant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6" w:lineRule="exact"/>
        <w:rPr>
          <w:sz w:val="20"/>
          <w:szCs w:val="20"/>
          <w:color w:val="auto"/>
        </w:rPr>
      </w:pPr>
    </w:p>
    <w:p>
      <w:pPr>
        <w:jc w:val="both"/>
        <w:ind w:left="60" w:right="700" w:firstLine="149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13.5 Counterparts. </w:t>
      </w:r>
      <w:r>
        <w:rPr>
          <w:rFonts w:ascii="Times New Roman" w:cs="Times New Roman" w:eastAsia="Times New Roman" w:hAnsi="Times New Roman"/>
          <w:sz w:val="22"/>
          <w:szCs w:val="22"/>
          <w:color w:val="auto"/>
        </w:rPr>
        <w:t>This Agreement may be executed in separate counterparts, any one of which need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contain signatures of more than one party, but all of which taken together will constitute one and the same Agreement.</w:t>
      </w:r>
    </w:p>
    <w:p>
      <w:pPr>
        <w:spacing w:after="0" w:line="166" w:lineRule="exact"/>
        <w:rPr>
          <w:sz w:val="20"/>
          <w:szCs w:val="20"/>
          <w:color w:val="auto"/>
        </w:rPr>
      </w:pPr>
    </w:p>
    <w:p>
      <w:pPr>
        <w:jc w:val="both"/>
        <w:ind w:left="60" w:right="700" w:firstLine="1498"/>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13.6 Headings. </w:t>
      </w:r>
      <w:r>
        <w:rPr>
          <w:rFonts w:ascii="Times New Roman" w:cs="Times New Roman" w:eastAsia="Times New Roman" w:hAnsi="Times New Roman"/>
          <w:sz w:val="22"/>
          <w:szCs w:val="22"/>
          <w:color w:val="auto"/>
        </w:rPr>
        <w:t>The headings of the paragraphs hereof are inserted for convenience only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constitute a part hereof nor to affect the meaning thereof.</w:t>
      </w:r>
    </w:p>
    <w:p>
      <w:pPr>
        <w:spacing w:after="0" w:line="151" w:lineRule="exact"/>
        <w:rPr>
          <w:sz w:val="20"/>
          <w:szCs w:val="20"/>
          <w:color w:val="auto"/>
        </w:rPr>
      </w:pPr>
    </w:p>
    <w:p>
      <w:pPr>
        <w:jc w:val="both"/>
        <w:ind w:left="60" w:right="700" w:firstLine="1498"/>
        <w:spacing w:after="0"/>
        <w:rPr>
          <w:sz w:val="20"/>
          <w:szCs w:val="20"/>
          <w:color w:val="auto"/>
        </w:rPr>
      </w:pPr>
      <w:r>
        <w:rPr>
          <w:rFonts w:ascii="Times New Roman" w:cs="Times New Roman" w:eastAsia="Times New Roman" w:hAnsi="Times New Roman"/>
          <w:sz w:val="22"/>
          <w:szCs w:val="22"/>
          <w:b w:val="1"/>
          <w:bCs w:val="1"/>
          <w:color w:val="auto"/>
        </w:rPr>
        <w:t xml:space="preserve">13.7 Successors and Assigns. </w:t>
      </w:r>
      <w:r>
        <w:rPr>
          <w:rFonts w:ascii="Times New Roman" w:cs="Times New Roman" w:eastAsia="Times New Roman" w:hAnsi="Times New Roman"/>
          <w:sz w:val="22"/>
          <w:szCs w:val="22"/>
          <w:color w:val="auto"/>
        </w:rPr>
        <w:t>This Agreement is intended to bind and inure to the benefit of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75" w:lineRule="exact"/>
        <w:rPr>
          <w:sz w:val="20"/>
          <w:szCs w:val="20"/>
          <w:color w:val="auto"/>
        </w:rPr>
      </w:pPr>
    </w:p>
    <w:p>
      <w:pPr>
        <w:jc w:val="both"/>
        <w:ind w:left="60" w:right="700" w:firstLine="149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13.8 Tax Withholding and Indemnification. </w:t>
      </w:r>
      <w:r>
        <w:rPr>
          <w:rFonts w:ascii="Times New Roman" w:cs="Times New Roman" w:eastAsia="Times New Roman" w:hAnsi="Times New Roman"/>
          <w:sz w:val="20"/>
          <w:szCs w:val="20"/>
          <w:color w:val="auto"/>
        </w:rPr>
        <w:t>All payments and awards contemplated or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48" w:lineRule="exact"/>
        <w:rPr>
          <w:sz w:val="20"/>
          <w:szCs w:val="20"/>
          <w:color w:val="auto"/>
        </w:rPr>
      </w:pPr>
    </w:p>
    <w:p>
      <w:pPr>
        <w:jc w:val="both"/>
        <w:ind w:left="60" w:right="700" w:firstLine="1498"/>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13.9 Choice of Law. </w:t>
      </w:r>
      <w:r>
        <w:rPr>
          <w:rFonts w:ascii="Times New Roman" w:cs="Times New Roman" w:eastAsia="Times New Roman" w:hAnsi="Times New Roman"/>
          <w:sz w:val="22"/>
          <w:szCs w:val="22"/>
          <w:color w:val="auto"/>
        </w:rPr>
        <w:t>All questions concerning the construction, validity and interpretation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governed by the laws of the State of Delaware.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10.7</w:t>
      </w:r>
    </w:p>
    <w:p>
      <w:pPr>
        <w:spacing w:after="0" w:line="30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 written above.</w:t>
      </w:r>
    </w:p>
    <w:p>
      <w:pPr>
        <w:sectPr>
          <w:pgSz w:w="11900" w:h="16838" w:orient="portrait"/>
          <w:cols w:equalWidth="0" w:num="1">
            <w:col w:w="9020"/>
          </w:cols>
          <w:pgMar w:left="1440" w:top="1389"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relude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Kris Vaddi</w:t>
      </w:r>
    </w:p>
    <w:p>
      <w:pPr>
        <w:spacing w:after="0" w:line="9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 xml:space="preserve">Title: </w:t>
      </w:r>
      <w:r>
        <w:rPr>
          <w:rFonts w:ascii="Arial" w:cs="Arial" w:eastAsia="Arial" w:hAnsi="Arial"/>
          <w:sz w:val="16"/>
          <w:szCs w:val="16"/>
          <w:u w:val="single" w:color="auto"/>
          <w:color w:val="auto"/>
        </w:rPr>
        <w:t>CEO and Founder, Pr</w:t>
      </w:r>
      <w:r>
        <w:rPr>
          <w:rFonts w:ascii="Arial" w:cs="Arial" w:eastAsia="Arial" w:hAnsi="Arial"/>
          <w:sz w:val="16"/>
          <w:szCs w:val="16"/>
          <w:color w:val="auto"/>
        </w:rPr>
        <w:t>elude Therapeutics, Inc.</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Bryant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1143000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389" w:right="1439" w:bottom="1440" w:gutter="0" w:footer="0" w:header="0"/>
          <w:type w:val="continuous"/>
        </w:sectPr>
      </w:pPr>
    </w:p>
    <w:bookmarkStart w:id="153" w:name="page154"/>
    <w:bookmarkEnd w:id="153"/>
    <w:p>
      <w:pPr>
        <w:spacing w:after="0" w:line="1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Employee Proprietary Information, Restrictive Covenant and Invention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246380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154" w:name="page155"/>
    <w:bookmarkEnd w:id="154"/>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11, 2023, by and among Prelude Therapeutics Incorporated,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Investors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757"/>
        <w:spacing w:after="0" w:line="281" w:lineRule="auto"/>
        <w:tabs>
          <w:tab w:leader="none" w:pos="11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Investors are executing and delivering this Agreement in reliance upon the exemption from securities registration afforded by the provisions of Section 4(a)(2) of the 1933 Act (as defined below);</w:t>
      </w:r>
    </w:p>
    <w:p>
      <w:pPr>
        <w:spacing w:after="0" w:line="162" w:lineRule="exact"/>
        <w:rPr>
          <w:rFonts w:ascii="Times New Roman" w:cs="Times New Roman" w:eastAsia="Times New Roman" w:hAnsi="Times New Roman"/>
          <w:sz w:val="18"/>
          <w:szCs w:val="18"/>
          <w:color w:val="auto"/>
        </w:rPr>
      </w:pPr>
    </w:p>
    <w:p>
      <w:pPr>
        <w:jc w:val="both"/>
        <w:ind w:firstLine="757"/>
        <w:spacing w:after="0" w:line="265" w:lineRule="auto"/>
        <w:tabs>
          <w:tab w:leader="none" w:pos="11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wish to purchase from the Company, and the Company wishes to sell and issue to the Investors, upon the terms and subject to the conditions stated in this Agreement, pre-funded warrants to purchase shares of the Company’s voting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and</w:t>
      </w:r>
    </w:p>
    <w:p>
      <w:pPr>
        <w:spacing w:after="0" w:line="177" w:lineRule="exact"/>
        <w:rPr>
          <w:rFonts w:ascii="Times New Roman" w:cs="Times New Roman" w:eastAsia="Times New Roman" w:hAnsi="Times New Roman"/>
          <w:sz w:val="18"/>
          <w:szCs w:val="18"/>
          <w:color w:val="auto"/>
        </w:rPr>
      </w:pPr>
    </w:p>
    <w:p>
      <w:pPr>
        <w:jc w:val="both"/>
        <w:ind w:right="20" w:firstLine="757"/>
        <w:spacing w:after="0" w:line="265" w:lineRule="auto"/>
        <w:tabs>
          <w:tab w:leader="none" w:pos="11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sale of the Pre-Funded Warrants, the parties hereto will execute and deliver an amendment and restatement of the Registration Rights Agreement, dated as of December 20, 2020, by and between the Company and the Investors (as amended,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63" w:lineRule="exact"/>
        <w:rPr>
          <w:sz w:val="20"/>
          <w:szCs w:val="20"/>
          <w:color w:val="auto"/>
        </w:rPr>
      </w:pPr>
    </w:p>
    <w:p>
      <w:pPr>
        <w:ind w:left="1020" w:hanging="263"/>
        <w:spacing w:after="0"/>
        <w:tabs>
          <w:tab w:leader="none" w:pos="102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meanings set forth below:</w:t>
      </w:r>
    </w:p>
    <w:p>
      <w:pPr>
        <w:spacing w:after="0" w:line="22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through one or more intermediaries Controls, is controlled by, or is under common Control with such Person.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or Sunday, on which banks in New York City are open for the general transaction of business.</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in effect of the date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Restated Certificate of Incorporation of the Company, as in effect on the date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1933 Act, any Person listed in the first paragraph of Rule 506(d)(1).</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means the actual knowledge of the executive officers (as defined in Rule 405 under the 1933 Act) of the Company.</w:t>
      </w:r>
    </w:p>
    <w:p>
      <w:pPr>
        <w:spacing w:after="0" w:line="22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has the meaning set forth in Section 4.33.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has the meaning set forth in Section 7.1(b).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has the meaning set forth in Section 4.9.</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set forth in Section 4.17.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set forth in Section 4.14.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(i) the assets, liabilities, results of operations, financial condition or business of the Company taken as a whole, (ii) the legality or enforceability of any of the Transaction Documents or (iii) the ability of the Company to perform its obligations under the Transaction Documents, except that for purposes of Section 6.1(i) of this Agreement, in no event shall a change in the market price of the Common Stock alone constitute a “Material Adverse Effect.”</w:t>
      </w:r>
    </w:p>
    <w:p>
      <w:pPr>
        <w:spacing w:after="0" w:line="18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Securities</w:t>
      </w:r>
      <w:r>
        <w:rPr>
          <w:rFonts w:ascii="Times New Roman" w:cs="Times New Roman" w:eastAsia="Times New Roman" w:hAnsi="Times New Roman"/>
          <w:sz w:val="18"/>
          <w:szCs w:val="18"/>
          <w:color w:val="auto"/>
        </w:rPr>
        <w:t>” means the Pre-Funded Warrants.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has the meaning set forth in Section 9.7.</w:t>
      </w:r>
    </w:p>
    <w:p>
      <w:pPr>
        <w:spacing w:after="0" w:line="225"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Trading Market on which the Common Stock is primarily listed on and quoted for trading, which, as of the date of this Agreement and the Closing Date, shall be the Nasdaq Global Select Market.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promulgated by the SEC under the 1933 Act.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Authorities</w:t>
      </w:r>
      <w:r>
        <w:rPr>
          <w:rFonts w:ascii="Times New Roman" w:cs="Times New Roman" w:eastAsia="Times New Roman" w:hAnsi="Times New Roman"/>
          <w:sz w:val="18"/>
          <w:szCs w:val="18"/>
          <w:color w:val="auto"/>
        </w:rPr>
        <w:t>” has the meaning set forth in Section 4.30.</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6" w:name="page157"/>
    <w:bookmarkEnd w:id="156"/>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SEC pursuant to the 1933 Act, as such Rule may be amended or interpreted from time to time, or any similar rule or regulation hereafter adopted by the SEC having substantially the same purpose and effect as such Rule.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has the meaning set forth in Section 4.8.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Placement Securities and the Warrant Shares.</w:t>
      </w:r>
    </w:p>
    <w:p>
      <w:pPr>
        <w:spacing w:after="0" w:line="22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1934 Act (but shall not be deemed to include the location and/or reservation of borrowable shares of Common Stock).</w:t>
      </w:r>
    </w:p>
    <w:p>
      <w:pPr>
        <w:spacing w:after="0" w:line="16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(i) a day on which the Common Stock is listed or quoted and traded on its Principal Trading Market or (ii)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or (ii) hereof, then Trading Day shall mean a Business Day.</w:t>
      </w:r>
    </w:p>
    <w:p>
      <w:pPr>
        <w:spacing w:after="0" w:line="18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Common Stock is listed or quoted for trading on the date in question.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has the meaning set forth in Section 7.1(a).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and the Registration Rights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22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63" w:lineRule="exact"/>
        <w:rPr>
          <w:sz w:val="20"/>
          <w:szCs w:val="20"/>
          <w:color w:val="auto"/>
        </w:rPr>
      </w:pPr>
    </w:p>
    <w:p>
      <w:pPr>
        <w:jc w:val="both"/>
        <w:ind w:firstLine="757"/>
        <w:spacing w:after="0" w:line="258" w:lineRule="auto"/>
        <w:tabs>
          <w:tab w:leader="none" w:pos="1018"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Purchase and Sale of the Placement Securities</w:t>
      </w:r>
      <w:r>
        <w:rPr>
          <w:rFonts w:ascii="Times New Roman" w:cs="Times New Roman" w:eastAsia="Times New Roman" w:hAnsi="Times New Roman"/>
          <w:sz w:val="18"/>
          <w:szCs w:val="18"/>
          <w:color w:val="auto"/>
        </w:rPr>
        <w:t xml:space="preserve">. On the Closing Date, upon the terms and subject to the conditions set forth herein, the Company will issue and sell, and the Investors will purchase, severally and not jointly, a Pre-Funded Warrant to purchase the number of Warrant Shares set forth opposite the name of such Investor under the heading “Number of Warrant Shares Underlying Pre-Funded Warrant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purchase price per Pre-Funded Warrant shall be $3.1499. The Pre-Funded Warrants shall have an exercise price equal to $0.0001 per Warrant Share.</w:t>
      </w:r>
    </w:p>
    <w:p>
      <w:pPr>
        <w:spacing w:after="0" w:line="181" w:lineRule="exact"/>
        <w:rPr>
          <w:rFonts w:ascii="Times New Roman" w:cs="Times New Roman" w:eastAsia="Times New Roman" w:hAnsi="Times New Roman"/>
          <w:sz w:val="18"/>
          <w:szCs w:val="18"/>
          <w:color w:val="010000"/>
        </w:rPr>
      </w:pPr>
    </w:p>
    <w:p>
      <w:pPr>
        <w:ind w:left="1020" w:hanging="263"/>
        <w:spacing w:after="0"/>
        <w:tabs>
          <w:tab w:leader="none" w:pos="102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color w:val="000000"/>
        </w:rPr>
        <w:t>Upon the satisfaction of the conditions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w:t>
      </w:r>
      <w:r>
        <w:rPr>
          <w:rFonts w:ascii="Times New Roman" w:cs="Times New Roman" w:eastAsia="Times New Roman" w:hAnsi="Times New Roman"/>
          <w:sz w:val="18"/>
          <w:szCs w:val="18"/>
          <w:color w:val="000000"/>
        </w:rPr>
        <w:t>, the completion of the purchase and sale of the Placement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(the “</w:t>
      </w:r>
      <w:r>
        <w:rPr>
          <w:rFonts w:ascii="Times New Roman" w:cs="Times New Roman" w:eastAsia="Times New Roman" w:hAnsi="Times New Roman"/>
          <w:sz w:val="18"/>
          <w:szCs w:val="18"/>
          <w:u w:val="single" w:color="auto"/>
          <w:color w:val="000000"/>
        </w:rPr>
        <w:t>Closing</w:t>
      </w:r>
      <w:r>
        <w:rPr>
          <w:rFonts w:ascii="Times New Roman" w:cs="Times New Roman" w:eastAsia="Times New Roman" w:hAnsi="Times New Roman"/>
          <w:sz w:val="18"/>
          <w:szCs w:val="18"/>
          <w:color w:val="000000"/>
        </w:rPr>
        <w:t>”) shall occur remotely via exchange of documents and signatures at a time (the “</w:t>
      </w:r>
      <w:r>
        <w:rPr>
          <w:rFonts w:ascii="Times New Roman" w:cs="Times New Roman" w:eastAsia="Times New Roman" w:hAnsi="Times New Roman"/>
          <w:sz w:val="18"/>
          <w:szCs w:val="18"/>
          <w:u w:val="single" w:color="auto"/>
          <w:color w:val="000000"/>
        </w:rPr>
        <w:t>Closing Date</w:t>
      </w:r>
      <w:r>
        <w:rPr>
          <w:rFonts w:ascii="Times New Roman" w:cs="Times New Roman" w:eastAsia="Times New Roman" w:hAnsi="Times New Roman"/>
          <w:sz w:val="18"/>
          <w:szCs w:val="18"/>
          <w:color w:val="000000"/>
        </w:rPr>
        <w:t>”) to be agreed to by the Company and the Investors but (i) in no event earlier than the second Business Day after the date hereof and (ii) in no event later than the third Trading Day after the date hereof.</w:t>
      </w:r>
    </w:p>
    <w:p>
      <w:pPr>
        <w:spacing w:after="0" w:line="18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color w:val="000000"/>
        </w:rPr>
        <w:t>On or before the Closing Date, each Investor shall deliver or cause to be delivered to the Company, via wire transfer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immediately available funds pursuant to the wire instructions delivered to such Investor by the Company on or prior to the Closing Date, an amount equal to the purchase price to be paid by the Investor for the Placement Securities to be acquired by it as set forth opposite the name of such Investor under the heading “Aggregate Purchase Price of Pre-Funded Warrants” on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attached hereto.</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7" w:name="page158"/>
    <w:bookmarkEnd w:id="157"/>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color w:val="000000"/>
        </w:rPr>
        <w:t>At the Closing, the Company shall deliver or cause to be delivered to each Investor a Pre-Funded Warrant, registered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name of the Investor (or its nominee in accordance with its delivery instructions), to purchase up to the number of Warrant Shares set forth opposite the name of such Investor under the heading “Number of Warrant Shares Underlying Pre-Funded Warrant Purchased” on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attached hereto.</w:t>
      </w:r>
    </w:p>
    <w:p>
      <w:pPr>
        <w:spacing w:after="0" w:line="177" w:lineRule="exact"/>
        <w:rPr>
          <w:sz w:val="20"/>
          <w:szCs w:val="20"/>
          <w:color w:val="auto"/>
        </w:rPr>
      </w:pPr>
    </w:p>
    <w:p>
      <w:pPr>
        <w:jc w:val="both"/>
        <w:ind w:firstLine="757"/>
        <w:spacing w:after="0" w:line="260" w:lineRule="auto"/>
        <w:tabs>
          <w:tab w:leader="none" w:pos="1018"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Investors that, except as described in the Company’s SEC Filings (excluding (i) any exhibits to any Company SEC Filings and (ii) any risk factor disclosures contained under the heading “Risk Factors” and any disclosure of risks included in any “forward-looking statements” disclaimer), each of which qualify these representations and warranties in their entirety:</w:t>
      </w:r>
    </w:p>
    <w:p>
      <w:pPr>
        <w:spacing w:after="0" w:line="182"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Organization, Good Standing and Qualification</w:t>
      </w:r>
      <w:r>
        <w:rPr>
          <w:rFonts w:ascii="Times New Roman" w:cs="Times New Roman" w:eastAsia="Times New Roman" w:hAnsi="Times New Roman"/>
          <w:sz w:val="18"/>
          <w:szCs w:val="18"/>
          <w:color w:val="000000"/>
        </w:rPr>
        <w:t>. The Company has been duly incorporated, is validly existing as a corporation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good standing under the laws of the State of Delaware, has the corporate power and authority to own or lease its property and to conduct its business as described in the Company’s SEC Filings,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w:t>
      </w:r>
    </w:p>
    <w:p>
      <w:pPr>
        <w:spacing w:after="0" w:line="182"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u w:val="single" w:color="auto"/>
          <w:color w:val="000000"/>
        </w:rPr>
        <w:t>Authorization</w:t>
      </w:r>
      <w:r>
        <w:rPr>
          <w:rFonts w:ascii="Times New Roman" w:cs="Times New Roman" w:eastAsia="Times New Roman" w:hAnsi="Times New Roman"/>
          <w:sz w:val="18"/>
          <w:szCs w:val="18"/>
          <w:color w:val="000000"/>
        </w:rPr>
        <w:t>. The Company has the requisite corporate power and authority and has taken all requisite corporate 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Placement Securities.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87"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Capitalization</w:t>
      </w:r>
      <w:r>
        <w:rPr>
          <w:rFonts w:ascii="Times New Roman" w:cs="Times New Roman" w:eastAsia="Times New Roman" w:hAnsi="Times New Roman"/>
          <w:sz w:val="18"/>
          <w:szCs w:val="18"/>
          <w:color w:val="000000"/>
        </w:rPr>
        <w:t>. The Company is authorized under its Certificate of Incorporation to issue 500,000,000 shares of Common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(including 487,149,741 shares of voting Common Stock and 12,850,259 shares of non-voting Common Stock) and 10,000,000 shares of Preferred Stock. The Company’s disclosure of its issued and outstanding capital stock in its most recent SEC Filing containing such disclosure was accurate in all material respects as of the date indicated in such SEC Filing. As of December 8, 2023, there are 41,981,234 shares of voting Common Stock outstanding and no other outstanding securities of the Company with voting rights.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including, without limitation, the Placement Securities. Except for stock options and restricted stock units approved pursuant to the Company stock-based compensation plans described in the SEC Filings, there are no outstanding warrants (other than the warrants previously issued to the Investors and Boxer Capital, LLC),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Except as described in the SEC Filings, no Person has the right to require the Company to register any securities of the Company under the 1933 Act, whether on a demand basis or in connection with the registration of securities of the Company for its own account or for the account of any other Person.</w:t>
      </w:r>
    </w:p>
    <w:p>
      <w:pPr>
        <w:spacing w:after="0" w:line="19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issuance and sale of the Placement Securities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17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Company does not have outstanding stockholder purchase rights or a “poison pill” or any similar arrangement in effect giving any Person the right to purchase any equity interest in the Company upon the occurrence of certain events.</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8" w:name="page159"/>
    <w:bookmarkEnd w:id="158"/>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4.4 </w:t>
      </w:r>
      <w:r>
        <w:rPr>
          <w:rFonts w:ascii="Times New Roman" w:cs="Times New Roman" w:eastAsia="Times New Roman" w:hAnsi="Times New Roman"/>
          <w:sz w:val="18"/>
          <w:szCs w:val="18"/>
          <w:u w:val="single" w:color="auto"/>
          <w:color w:val="000000"/>
        </w:rPr>
        <w:t>Valid Issuance</w:t>
      </w:r>
      <w:r>
        <w:rPr>
          <w:rFonts w:ascii="Times New Roman" w:cs="Times New Roman" w:eastAsia="Times New Roman" w:hAnsi="Times New Roman"/>
          <w:sz w:val="18"/>
          <w:szCs w:val="18"/>
          <w:color w:val="000000"/>
        </w:rPr>
        <w:t>. The Warrant Shares have been duly and validly authorized and reserved for issuance and, upon exercise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Pre-Funded Warrants in accordance with their terms, including the payment of any exercise price therefor, will be validly issued, fully paid and nonassessable and will be free and clear of all encumbrances and restrictions (other than those created by the Investors), except for restrictions on transfer set forth in the Transaction Documents or imposed by applicable securities laws.</w:t>
      </w:r>
    </w:p>
    <w:p>
      <w:pPr>
        <w:spacing w:after="0" w:line="182"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18"/>
          <w:szCs w:val="18"/>
          <w:color w:val="010000"/>
        </w:rPr>
        <w:t xml:space="preserve">4.5 </w:t>
      </w:r>
      <w:r>
        <w:rPr>
          <w:rFonts w:ascii="Times New Roman" w:cs="Times New Roman" w:eastAsia="Times New Roman" w:hAnsi="Times New Roman"/>
          <w:sz w:val="18"/>
          <w:szCs w:val="18"/>
          <w:u w:val="single" w:color="auto"/>
          <w:color w:val="000000"/>
        </w:rPr>
        <w:t>Consents</w:t>
      </w:r>
      <w:r>
        <w:rPr>
          <w:rFonts w:ascii="Times New Roman" w:cs="Times New Roman" w:eastAsia="Times New Roman" w:hAnsi="Times New Roman"/>
          <w:sz w:val="18"/>
          <w:szCs w:val="18"/>
          <w:color w:val="000000"/>
        </w:rPr>
        <w:t>. Subject to the accuracy of the representations and warranties of each Investor set forth in Section 5 hereof,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execution, delivery and performance by the Company of the Transaction Documents and the offer, issuance and sale of the Placement Securities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filing of the registration statement required to be filed by the Registration Rights Agreement, each of which the Company has filed or undertakes to file within the applicable time. Subject to the accuracy of the representations and warranties of each Investor set forth in Section 5 hereof, the Company has taken all action necessary to exempt (i) the issuance and sale of the Placement Securities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Placement Securities and the ownership, disposition or voting of the Warrant Shares by the Investors or the exercise of any right granted to the Investors pursuant to this Agreement or the other Transaction Documents.</w:t>
      </w:r>
    </w:p>
    <w:p>
      <w:pPr>
        <w:spacing w:after="0" w:line="186"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4.6 </w:t>
      </w:r>
      <w:r>
        <w:rPr>
          <w:rFonts w:ascii="Times New Roman" w:cs="Times New Roman" w:eastAsia="Times New Roman" w:hAnsi="Times New Roman"/>
          <w:sz w:val="18"/>
          <w:szCs w:val="18"/>
          <w:u w:val="single" w:color="auto"/>
          <w:color w:val="000000"/>
        </w:rPr>
        <w:t>Use of Proceeds</w:t>
      </w:r>
      <w:r>
        <w:rPr>
          <w:rFonts w:ascii="Times New Roman" w:cs="Times New Roman" w:eastAsia="Times New Roman" w:hAnsi="Times New Roman"/>
          <w:sz w:val="18"/>
          <w:szCs w:val="18"/>
          <w:color w:val="000000"/>
        </w:rPr>
        <w:t>. The net proceeds of the sale of the Placement Securities hereunder shall be used by the Company primarily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fund the continued advancement of its SMARCA2 portfolio, for working capital and general corporate purposes.</w:t>
      </w:r>
    </w:p>
    <w:p>
      <w:pPr>
        <w:spacing w:after="0" w:line="163" w:lineRule="exact"/>
        <w:rPr>
          <w:sz w:val="20"/>
          <w:szCs w:val="20"/>
          <w:color w:val="auto"/>
        </w:rPr>
      </w:pPr>
    </w:p>
    <w:p>
      <w:pPr>
        <w:jc w:val="right"/>
        <w:spacing w:after="0"/>
        <w:tabs>
          <w:tab w:leader="none" w:pos="9180" w:val="left"/>
        </w:tabs>
        <w:rPr>
          <w:sz w:val="20"/>
          <w:szCs w:val="20"/>
          <w:color w:val="auto"/>
        </w:rPr>
      </w:pPr>
      <w:r>
        <w:rPr>
          <w:rFonts w:ascii="Times New Roman" w:cs="Times New Roman" w:eastAsia="Times New Roman" w:hAnsi="Times New Roman"/>
          <w:sz w:val="18"/>
          <w:szCs w:val="18"/>
          <w:color w:val="010000"/>
        </w:rPr>
        <w:t>4.7</w:t>
      </w:r>
      <w:r>
        <w:rPr>
          <w:sz w:val="20"/>
          <w:szCs w:val="20"/>
          <w:color w:val="auto"/>
        </w:rPr>
        <w:tab/>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September 30, 2023, except as identified and described in the SEC Filings, there has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w:t>
      </w:r>
    </w:p>
    <w:p>
      <w:pPr>
        <w:spacing w:after="0" w:line="206" w:lineRule="exact"/>
        <w:rPr>
          <w:sz w:val="20"/>
          <w:szCs w:val="20"/>
          <w:color w:val="auto"/>
        </w:rPr>
      </w:pPr>
    </w:p>
    <w:p>
      <w:pPr>
        <w:jc w:val="both"/>
        <w:ind w:firstLine="2254"/>
        <w:spacing w:after="0" w:line="265" w:lineRule="auto"/>
        <w:tabs>
          <w:tab w:leader="none" w:pos="2546"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change in the assets, liabilities, financial condition or operating results of the Company from that reflected in the financial statements included in the Company’s Quarterly Report on Form 10-Q for the quarter ended September 30, 2023, except for changes in the ordinary course of business which have not had and would not reasonably be expected to have a Material Adverse Effect, individually or in the aggregate;</w:t>
      </w:r>
    </w:p>
    <w:p>
      <w:pPr>
        <w:spacing w:after="0" w:line="177" w:lineRule="exact"/>
        <w:rPr>
          <w:rFonts w:ascii="Times New Roman" w:cs="Times New Roman" w:eastAsia="Times New Roman" w:hAnsi="Times New Roman"/>
          <w:sz w:val="18"/>
          <w:szCs w:val="18"/>
          <w:color w:val="010000"/>
        </w:rPr>
      </w:pPr>
    </w:p>
    <w:p>
      <w:pPr>
        <w:ind w:firstLine="2254"/>
        <w:spacing w:after="0" w:line="281" w:lineRule="auto"/>
        <w:tabs>
          <w:tab w:leader="none" w:pos="2546"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62" w:lineRule="exact"/>
        <w:rPr>
          <w:rFonts w:ascii="Times New Roman" w:cs="Times New Roman" w:eastAsia="Times New Roman" w:hAnsi="Times New Roman"/>
          <w:sz w:val="18"/>
          <w:szCs w:val="18"/>
          <w:color w:val="010000"/>
        </w:rPr>
      </w:pPr>
    </w:p>
    <w:p>
      <w:pPr>
        <w:ind w:left="2560" w:hanging="306"/>
        <w:spacing w:after="0"/>
        <w:tabs>
          <w:tab w:leader="none" w:pos="25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damage, destruction or loss, whether or not covered by insurance, to any assets or properties of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010000"/>
        </w:rPr>
      </w:pPr>
    </w:p>
    <w:p>
      <w:pPr>
        <w:jc w:val="both"/>
        <w:ind w:firstLine="2254"/>
        <w:spacing w:after="0" w:line="265" w:lineRule="auto"/>
        <w:tabs>
          <w:tab w:leader="none" w:pos="2546"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satisfaction or discharge of any lien, claim or encumbrance or payment of any obligation by the Company, except in the ordinary course of business and which is not material to the assets, properties, financial condition, operating results or business of the Company (as such business is presently conducted);</w:t>
      </w:r>
    </w:p>
    <w:p>
      <w:pPr>
        <w:spacing w:after="0" w:line="177" w:lineRule="exact"/>
        <w:rPr>
          <w:rFonts w:ascii="Times New Roman" w:cs="Times New Roman" w:eastAsia="Times New Roman" w:hAnsi="Times New Roman"/>
          <w:sz w:val="18"/>
          <w:szCs w:val="18"/>
          <w:color w:val="010000"/>
        </w:rPr>
      </w:pPr>
    </w:p>
    <w:p>
      <w:pPr>
        <w:ind w:right="20" w:firstLine="2254"/>
        <w:spacing w:after="0" w:line="281" w:lineRule="auto"/>
        <w:tabs>
          <w:tab w:leader="none" w:pos="2546"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change or amendment to the Company’s Certificate of Incorporation or Bylaws, or material change to any material contract or arrangement by which the Company is bound or to which any of its assets or properties is subject;</w:t>
      </w:r>
    </w:p>
    <w:p>
      <w:pPr>
        <w:spacing w:after="0" w:line="162" w:lineRule="exact"/>
        <w:rPr>
          <w:rFonts w:ascii="Times New Roman" w:cs="Times New Roman" w:eastAsia="Times New Roman" w:hAnsi="Times New Roman"/>
          <w:sz w:val="18"/>
          <w:szCs w:val="18"/>
          <w:color w:val="010000"/>
        </w:rPr>
      </w:pPr>
    </w:p>
    <w:p>
      <w:pPr>
        <w:ind w:left="2560" w:hanging="306"/>
        <w:spacing w:after="0"/>
        <w:tabs>
          <w:tab w:leader="none" w:pos="2560"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labor difficulties or, to the Company’s Knowledge, labor union organizing activities with respect to</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employees of the Company;</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010000"/>
        </w:rPr>
        <w:t>(vii)</w:t>
      </w:r>
      <w:r>
        <w:rPr>
          <w:rFonts w:ascii="Times New Roman" w:cs="Times New Roman" w:eastAsia="Times New Roman" w:hAnsi="Times New Roman"/>
          <w:sz w:val="18"/>
          <w:szCs w:val="18"/>
          <w:color w:val="000000"/>
        </w:rPr>
        <w:t>any material transaction entered into by the Company other than in the ordinary course of business;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color w:val="010000"/>
        </w:rPr>
        <w:t>(viii)</w:t>
      </w:r>
      <w:r>
        <w:rPr>
          <w:rFonts w:ascii="Times New Roman" w:cs="Times New Roman" w:eastAsia="Times New Roman" w:hAnsi="Times New Roman"/>
          <w:sz w:val="18"/>
          <w:szCs w:val="18"/>
          <w:color w:val="000000"/>
        </w:rPr>
        <w:t>the loss of the services of any key employee, or material change in the composition or duties of the senior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or</w:t>
      </w:r>
    </w:p>
    <w:p>
      <w:pPr>
        <w:spacing w:after="0" w:line="206" w:lineRule="exact"/>
        <w:rPr>
          <w:sz w:val="20"/>
          <w:szCs w:val="20"/>
          <w:color w:val="auto"/>
        </w:rPr>
      </w:pPr>
    </w:p>
    <w:p>
      <w:pPr>
        <w:ind w:left="2560" w:hanging="306"/>
        <w:spacing w:after="0"/>
        <w:tabs>
          <w:tab w:leader="none" w:pos="256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event or condition of any character that has had or would reasonably be expected to have a Material Adverse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4.8 </w:t>
      </w:r>
      <w:r>
        <w:rPr>
          <w:rFonts w:ascii="Times New Roman" w:cs="Times New Roman" w:eastAsia="Times New Roman" w:hAnsi="Times New Roman"/>
          <w:sz w:val="18"/>
          <w:szCs w:val="18"/>
          <w:u w:val="single" w:color="auto"/>
          <w:color w:val="000000"/>
        </w:rPr>
        <w:t>SEC Filings</w:t>
      </w:r>
      <w:r>
        <w:rPr>
          <w:rFonts w:ascii="Times New Roman" w:cs="Times New Roman" w:eastAsia="Times New Roman" w:hAnsi="Times New Roman"/>
          <w:sz w:val="18"/>
          <w:szCs w:val="18"/>
          <w:color w:val="000000"/>
        </w:rPr>
        <w:t>. The Company has filed all reports, schedules, forms, statements and other documents required to be filed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under the 1933 Act and the 1934 Act, including pursuant to Section 13(a) or 15(d) thereof, for the one year period preceding the date hereof (or such shorter period as the Company was required by law or regulation to file such material) (collectively, the “</w:t>
      </w:r>
      <w:r>
        <w:rPr>
          <w:rFonts w:ascii="Times New Roman" w:cs="Times New Roman" w:eastAsia="Times New Roman" w:hAnsi="Times New Roman"/>
          <w:sz w:val="18"/>
          <w:szCs w:val="18"/>
          <w:u w:val="single" w:color="auto"/>
          <w:color w:val="000000"/>
        </w:rPr>
        <w:t>SEC Filings</w:t>
      </w:r>
      <w:r>
        <w:rPr>
          <w:rFonts w:ascii="Times New Roman" w:cs="Times New Roman" w:eastAsia="Times New Roman" w:hAnsi="Times New Roman"/>
          <w:sz w:val="18"/>
          <w:szCs w:val="18"/>
          <w:color w:val="000000"/>
        </w:rPr>
        <w:t>”). At the time of filing thereof, the SEC Filings complied in all material respects with the requirements of the 1933 Act or the 1934 Act, as applicable, and the rules and regulations of the SEC thereunder.</w:t>
      </w:r>
    </w:p>
    <w:p>
      <w:pPr>
        <w:spacing w:after="0" w:line="18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4.9 </w:t>
      </w:r>
      <w:r>
        <w:rPr>
          <w:rFonts w:ascii="Times New Roman" w:cs="Times New Roman" w:eastAsia="Times New Roman" w:hAnsi="Times New Roman"/>
          <w:sz w:val="18"/>
          <w:szCs w:val="18"/>
          <w:u w:val="single" w:color="auto"/>
          <w:color w:val="000000"/>
        </w:rPr>
        <w:t>No Conflict, Breach, Violation or Default</w:t>
      </w:r>
      <w:r>
        <w:rPr>
          <w:rFonts w:ascii="Times New Roman" w:cs="Times New Roman" w:eastAsia="Times New Roman" w:hAnsi="Times New Roman"/>
          <w:sz w:val="18"/>
          <w:szCs w:val="18"/>
          <w:color w:val="000000"/>
        </w:rPr>
        <w:t>. The execution, delivery and performance of the Transaction Documents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and the issuance and sale of the Placement Securities in accordance with the provisions thereof will not, except (solely in the case of clauses (i)</w:t>
      </w:r>
    </w:p>
    <w:p>
      <w:pPr>
        <w:spacing w:after="0" w:line="1" w:lineRule="exact"/>
        <w:rPr>
          <w:sz w:val="20"/>
          <w:szCs w:val="20"/>
          <w:color w:val="auto"/>
        </w:rPr>
      </w:pPr>
    </w:p>
    <w:p>
      <w:pPr>
        <w:jc w:val="both"/>
        <w:ind w:firstLine="8"/>
        <w:spacing w:after="0" w:line="251" w:lineRule="auto"/>
        <w:tabs>
          <w:tab w:leader="none" w:pos="2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for such violations, conflicts or defaults as would not reasonably be expected, individually or in the aggregate, to have a Material Adverse Effect, (i) conflict with or result in a 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or (b) assuming the accuracy of the representations and warranties in Section 5, any applicable statute, rule, regulation or order of any governmental agency or body or any court, domestic or foreign, having jurisdiction over the Company, or any of its assets or properties, or (ii) conflict with, or constitute a default (or an event that with notice or lapse of time or both would become a default) under, result in the creation of any lien, encumbrance or other adverse claim upon any of the properties or assets of the Company or give to others any rights of termination, amendment, acceleration or cancellation (with or without notice, lapse of time or both) of, any Material Contract. This Section 4.9 does not relate to matters with respect to tax status, which are the subject of Section 4.10, employee relations and labor matters, which are the subject of Section 4.13, or environmental matters, which are the subject of Section 4.15.</w:t>
      </w:r>
    </w:p>
    <w:p>
      <w:pPr>
        <w:spacing w:after="0" w:line="190"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8"/>
          <w:szCs w:val="18"/>
          <w:color w:val="010000"/>
        </w:rPr>
        <w:t xml:space="preserve">4.10 </w:t>
      </w:r>
      <w:r>
        <w:rPr>
          <w:rFonts w:ascii="Times New Roman" w:cs="Times New Roman" w:eastAsia="Times New Roman" w:hAnsi="Times New Roman"/>
          <w:sz w:val="18"/>
          <w:szCs w:val="18"/>
          <w:u w:val="single" w:color="auto"/>
          <w:color w:val="000000"/>
        </w:rPr>
        <w:t>Tax Matters</w:t>
      </w:r>
      <w:r>
        <w:rPr>
          <w:rFonts w:ascii="Times New Roman" w:cs="Times New Roman" w:eastAsia="Times New Roman" w:hAnsi="Times New Roman"/>
          <w:sz w:val="18"/>
          <w:szCs w:val="18"/>
          <w:color w:val="000000"/>
        </w:rPr>
        <w:t>. The Company has timely prepared and filed all material tax returns required to have been filed by it with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appropriate governmental agencies and timely paid all material taxes shown thereon or otherwise owed by it.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w:t>
      </w:r>
    </w:p>
    <w:p>
      <w:pPr>
        <w:spacing w:after="0" w:line="187"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18"/>
          <w:szCs w:val="18"/>
          <w:color w:val="010000"/>
        </w:rPr>
        <w:t xml:space="preserve">4.11 </w:t>
      </w:r>
      <w:r>
        <w:rPr>
          <w:rFonts w:ascii="Times New Roman" w:cs="Times New Roman" w:eastAsia="Times New Roman" w:hAnsi="Times New Roman"/>
          <w:sz w:val="18"/>
          <w:szCs w:val="18"/>
          <w:u w:val="single" w:color="auto"/>
          <w:color w:val="000000"/>
        </w:rPr>
        <w:t>Title to Properties</w:t>
      </w:r>
      <w:r>
        <w:rPr>
          <w:rFonts w:ascii="Times New Roman" w:cs="Times New Roman" w:eastAsia="Times New Roman" w:hAnsi="Times New Roman"/>
          <w:sz w:val="18"/>
          <w:szCs w:val="18"/>
          <w:color w:val="000000"/>
        </w:rPr>
        <w:t>. The Company does not own any real property. The Company has good and marketable title to all personal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property owned by it which is material to the business of the Company, in each case free and clear of all liens, encumbrances and defects except such as do not materially affect the value of such property and do not interfere with the use made and proposed to be made of such property by the Company; and any real property and buildings held under lease by the Company are held by it under valid, subsisting and enforceable leases with such exceptions as are not material and would not be reasonably expected to materially interfere with the use made and proposed to be made of such property and buildings by the Company.</w:t>
      </w:r>
    </w:p>
    <w:p>
      <w:pPr>
        <w:spacing w:after="0" w:line="18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4.12 </w:t>
      </w:r>
      <w:r>
        <w:rPr>
          <w:rFonts w:ascii="Times New Roman" w:cs="Times New Roman" w:eastAsia="Times New Roman" w:hAnsi="Times New Roman"/>
          <w:sz w:val="18"/>
          <w:szCs w:val="18"/>
          <w:u w:val="single" w:color="auto"/>
          <w:color w:val="000000"/>
        </w:rPr>
        <w:t>Certificates, Authorities and Permits</w:t>
      </w:r>
      <w:r>
        <w:rPr>
          <w:rFonts w:ascii="Times New Roman" w:cs="Times New Roman" w:eastAsia="Times New Roman" w:hAnsi="Times New Roman"/>
          <w:sz w:val="18"/>
          <w:szCs w:val="18"/>
          <w:color w:val="000000"/>
        </w:rPr>
        <w:t>. The Company possesses adequate certificates, authorizations and permits issued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8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010000"/>
        </w:rPr>
        <w:t>4.13</w:t>
      </w:r>
      <w:r>
        <w:rPr>
          <w:sz w:val="20"/>
          <w:szCs w:val="20"/>
          <w:color w:val="auto"/>
        </w:rPr>
        <w:tab/>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0" w:name="page161"/>
    <w:bookmarkEnd w:id="160"/>
    <w:p>
      <w:pPr>
        <w:jc w:val="both"/>
        <w:ind w:firstLine="1505"/>
        <w:spacing w:after="0" w:line="260" w:lineRule="auto"/>
        <w:tabs>
          <w:tab w:leader="none" w:pos="2037"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not party to or bound by any collective bargaining agreements or other agreements with labor organizations. To the Company’s Knowledge, the Company has not violated in any material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w:t>
      </w:r>
    </w:p>
    <w:p>
      <w:pPr>
        <w:spacing w:after="0" w:line="181" w:lineRule="exact"/>
        <w:rPr>
          <w:rFonts w:ascii="Times New Roman" w:cs="Times New Roman" w:eastAsia="Times New Roman" w:hAnsi="Times New Roman"/>
          <w:sz w:val="18"/>
          <w:szCs w:val="18"/>
          <w:color w:val="010000"/>
        </w:rPr>
      </w:pPr>
    </w:p>
    <w:p>
      <w:pPr>
        <w:ind w:right="20" w:firstLine="1505"/>
        <w:spacing w:after="0" w:line="281" w:lineRule="auto"/>
        <w:tabs>
          <w:tab w:leader="none" w:pos="2037"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material labor dispute with the employees of the Company, or, to the Company’s Knowledge, with the employees of any principal supplier, manufacturer, customer or contractor of the Company, exists or, to the Company’s Knowledge, is threatened or imminent.</w:t>
      </w:r>
    </w:p>
    <w:p>
      <w:pPr>
        <w:spacing w:after="0" w:line="163"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4.14 </w:t>
      </w:r>
      <w:r>
        <w:rPr>
          <w:rFonts w:ascii="Times New Roman" w:cs="Times New Roman" w:eastAsia="Times New Roman" w:hAnsi="Times New Roman"/>
          <w:sz w:val="18"/>
          <w:szCs w:val="18"/>
          <w:u w:val="single" w:color="auto"/>
          <w:color w:val="000000"/>
        </w:rPr>
        <w:t>Intellectual Property</w:t>
      </w:r>
      <w:r>
        <w:rPr>
          <w:rFonts w:ascii="Times New Roman" w:cs="Times New Roman" w:eastAsia="Times New Roman" w:hAnsi="Times New Roman"/>
          <w:sz w:val="18"/>
          <w:szCs w:val="18"/>
          <w:color w:val="000000"/>
        </w:rPr>
        <w:t>. The Company owns, possesses, licenses or has other rights to use, all patents, patent applications, trade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000000"/>
        </w:rPr>
        <w:t>Intellectual Property</w:t>
      </w:r>
      <w:r>
        <w:rPr>
          <w:rFonts w:ascii="Times New Roman" w:cs="Times New Roman" w:eastAsia="Times New Roman" w:hAnsi="Times New Roman"/>
          <w:sz w:val="18"/>
          <w:szCs w:val="18"/>
          <w:color w:val="000000"/>
        </w:rPr>
        <w:t>”) necessary for the conduct of the Company’s business as now conducted or as proposed in the SEC Filings to be conducted, except where the failure to own, possess, license have the right to use or the ability to acquire any of the foregoing would not reasonably be expected to result in a Material Adverse Effect; and (a)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rights in or to any such Intellectual Property; (d) such Intellectual Property that is described in the SEC Filings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(f) there is no pending or, to the Company’s Knowledge, threatened action, suit, proceeding or claim by others that the Company infringes, misappropriates, or otherwise violates any patent, trademark, copyright, trade secret or other proprietary rights of others; and (g) to the Company’s Knowledge, each Company employee involved with the development of Intellectual Property has entered into an invention assignment agreement with the Company.</w:t>
      </w:r>
    </w:p>
    <w:p>
      <w:pPr>
        <w:spacing w:after="0" w:line="194"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18"/>
          <w:szCs w:val="18"/>
          <w:color w:val="010000"/>
        </w:rPr>
        <w:t xml:space="preserve">4.15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 The Company (i) is in compliance with any and all applicable foreign, federal, state and local laws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000000"/>
        </w:rPr>
        <w:t>Environmental Laws</w:t>
      </w:r>
      <w:r>
        <w:rPr>
          <w:rFonts w:ascii="Times New Roman" w:cs="Times New Roman" w:eastAsia="Times New Roman" w:hAnsi="Times New Roman"/>
          <w:sz w:val="18"/>
          <w:szCs w:val="18"/>
          <w:color w:val="000000"/>
        </w:rPr>
        <w:t>”), (ii) has received all permits, licenses or other approvals required of it under applicable Environmental Laws to conduct its business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reasonably be expected to have Material Adverse Effect.</w:t>
      </w:r>
    </w:p>
    <w:p>
      <w:pPr>
        <w:spacing w:after="0" w:line="186"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4.16 </w:t>
      </w:r>
      <w:r>
        <w:rPr>
          <w:rFonts w:ascii="Times New Roman" w:cs="Times New Roman" w:eastAsia="Times New Roman" w:hAnsi="Times New Roman"/>
          <w:sz w:val="18"/>
          <w:szCs w:val="18"/>
          <w:u w:val="single" w:color="auto"/>
          <w:color w:val="000000"/>
        </w:rPr>
        <w:t>Legal Proceedings</w:t>
      </w:r>
      <w:r>
        <w:rPr>
          <w:rFonts w:ascii="Times New Roman" w:cs="Times New Roman" w:eastAsia="Times New Roman" w:hAnsi="Times New Roman"/>
          <w:sz w:val="18"/>
          <w:szCs w:val="18"/>
          <w:color w:val="000000"/>
        </w:rPr>
        <w:t>. There are no legal, governmental or regulatory investigations, actions, suits or proceedings pending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the Company is or may reasonably be expected to become a party or to which any property of the Company is or may reasonably be expected to become the subject that, individually or in the aggregate, would reasonably be expected to have a Material Adverse Effect.</w:t>
      </w:r>
    </w:p>
    <w:p>
      <w:pPr>
        <w:spacing w:after="0" w:line="177"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18"/>
          <w:szCs w:val="18"/>
          <w:color w:val="010000"/>
        </w:rPr>
        <w:t xml:space="preserve">4.17 </w:t>
      </w:r>
      <w:r>
        <w:rPr>
          <w:rFonts w:ascii="Times New Roman" w:cs="Times New Roman" w:eastAsia="Times New Roman" w:hAnsi="Times New Roman"/>
          <w:sz w:val="18"/>
          <w:szCs w:val="18"/>
          <w:u w:val="single" w:color="auto"/>
          <w:color w:val="000000"/>
        </w:rPr>
        <w:t>Financial Statements</w:t>
      </w:r>
      <w:r>
        <w:rPr>
          <w:rFonts w:ascii="Times New Roman" w:cs="Times New Roman" w:eastAsia="Times New Roman" w:hAnsi="Times New Roman"/>
          <w:sz w:val="18"/>
          <w:szCs w:val="18"/>
          <w:color w:val="000000"/>
        </w:rPr>
        <w:t>. The financial statements included in each SEC Filing comply in all material respects with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accounting requirements and the rules and regulations of the SEC with respect thereto as in effect at the time of filing (or to the extent corrected by a subsequent restatement) and present fairly, in all material respects, the financial position of the Company as of the dates shown and its results of operations and cash flows for the periods shown, subject in the case of unaudited financial statements to normal, immaterial year-end audit adjustments, and such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000000"/>
        </w:rPr>
        <w:t>GAAP</w:t>
      </w:r>
      <w:r>
        <w:rPr>
          <w:rFonts w:ascii="Times New Roman" w:cs="Times New Roman" w:eastAsia="Times New Roman" w:hAnsi="Times New Roman"/>
          <w:sz w:val="18"/>
          <w:szCs w:val="18"/>
          <w:color w:val="000000"/>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none of which, individually or in the aggregate, have had or would reasonably be expected to have a Material Adverse Effect.</w:t>
      </w:r>
    </w:p>
    <w:p>
      <w:pPr>
        <w:spacing w:after="0" w:line="225"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4.18 </w:t>
      </w:r>
      <w:r>
        <w:rPr>
          <w:rFonts w:ascii="Times New Roman" w:cs="Times New Roman" w:eastAsia="Times New Roman" w:hAnsi="Times New Roman"/>
          <w:sz w:val="18"/>
          <w:szCs w:val="18"/>
          <w:u w:val="single" w:color="auto"/>
          <w:color w:val="000000"/>
        </w:rPr>
        <w:t>Insurance Coverage</w:t>
      </w:r>
      <w:r>
        <w:rPr>
          <w:rFonts w:ascii="Times New Roman" w:cs="Times New Roman" w:eastAsia="Times New Roman" w:hAnsi="Times New Roman"/>
          <w:sz w:val="18"/>
          <w:szCs w:val="18"/>
          <w:color w:val="000000"/>
        </w:rPr>
        <w:t>. The Company is insured by insurers of recognized financial responsibility against such losses and risks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in such amounts as, in the Company’s reasonable judgement, are prudent and customary in the business in which it is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4.19 </w:t>
      </w:r>
      <w:r>
        <w:rPr>
          <w:rFonts w:ascii="Times New Roman" w:cs="Times New Roman" w:eastAsia="Times New Roman" w:hAnsi="Times New Roman"/>
          <w:sz w:val="18"/>
          <w:szCs w:val="18"/>
          <w:u w:val="single" w:color="auto"/>
          <w:color w:val="000000"/>
        </w:rPr>
        <w:t>Compliance with Nasdaq Continued Listing Requirements</w:t>
      </w:r>
      <w:r>
        <w:rPr>
          <w:rFonts w:ascii="Times New Roman" w:cs="Times New Roman" w:eastAsia="Times New Roman" w:hAnsi="Times New Roman"/>
          <w:sz w:val="18"/>
          <w:szCs w:val="18"/>
          <w:color w:val="000000"/>
        </w:rPr>
        <w:t>. The Company is in compliance with applicable Nasdaq continued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82"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4.20 </w:t>
      </w:r>
      <w:r>
        <w:rPr>
          <w:rFonts w:ascii="Times New Roman" w:cs="Times New Roman" w:eastAsia="Times New Roman" w:hAnsi="Times New Roman"/>
          <w:sz w:val="18"/>
          <w:szCs w:val="18"/>
          <w:u w:val="single" w:color="auto"/>
          <w:color w:val="000000"/>
        </w:rPr>
        <w:t>Brokers and Finders</w:t>
      </w:r>
      <w:r>
        <w:rPr>
          <w:rFonts w:ascii="Times New Roman" w:cs="Times New Roman" w:eastAsia="Times New Roman" w:hAnsi="Times New Roman"/>
          <w:sz w:val="18"/>
          <w:szCs w:val="18"/>
          <w:color w:val="000000"/>
        </w:rPr>
        <w:t>. No Person will have, as a result of the transactions contemplated by the Transaction Documents,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4.20 that may be due in connection with the transactions contemplated by this Agreement or the Transaction Documents.</w:t>
      </w:r>
    </w:p>
    <w:p>
      <w:pPr>
        <w:spacing w:after="0" w:line="182" w:lineRule="exact"/>
        <w:rPr>
          <w:sz w:val="20"/>
          <w:szCs w:val="20"/>
          <w:color w:val="auto"/>
        </w:rPr>
      </w:pPr>
    </w:p>
    <w:p>
      <w:pPr>
        <w:jc w:val="both"/>
        <w:ind w:firstLine="1498"/>
        <w:spacing w:after="0" w:line="274" w:lineRule="auto"/>
        <w:rPr>
          <w:sz w:val="20"/>
          <w:szCs w:val="20"/>
          <w:color w:val="auto"/>
        </w:rPr>
      </w:pPr>
      <w:r>
        <w:rPr>
          <w:rFonts w:ascii="Times New Roman" w:cs="Times New Roman" w:eastAsia="Times New Roman" w:hAnsi="Times New Roman"/>
          <w:sz w:val="18"/>
          <w:szCs w:val="18"/>
          <w:color w:val="010000"/>
        </w:rPr>
        <w:t xml:space="preserve">4.21 </w:t>
      </w:r>
      <w:r>
        <w:rPr>
          <w:rFonts w:ascii="Times New Roman" w:cs="Times New Roman" w:eastAsia="Times New Roman" w:hAnsi="Times New Roman"/>
          <w:sz w:val="18"/>
          <w:szCs w:val="18"/>
          <w:u w:val="single" w:color="auto"/>
          <w:color w:val="000000"/>
        </w:rPr>
        <w:t>No Directed Selling Efforts or General Solicitation</w:t>
      </w:r>
      <w:r>
        <w:rPr>
          <w:rFonts w:ascii="Times New Roman" w:cs="Times New Roman" w:eastAsia="Times New Roman" w:hAnsi="Times New Roman"/>
          <w:sz w:val="18"/>
          <w:szCs w:val="18"/>
          <w:color w:val="000000"/>
        </w:rPr>
        <w:t>. Neither the Company nor any Person acting on its behalf has conducted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general solicitation or general advertising (as those terms are used in Regulation D) in connection with the offer or sale of any of the Placement Securities.</w:t>
      </w:r>
    </w:p>
    <w:p>
      <w:pPr>
        <w:spacing w:after="0" w:line="390"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4.22 </w:t>
      </w:r>
      <w:r>
        <w:rPr>
          <w:rFonts w:ascii="Times New Roman" w:cs="Times New Roman" w:eastAsia="Times New Roman" w:hAnsi="Times New Roman"/>
          <w:sz w:val="18"/>
          <w:szCs w:val="18"/>
          <w:u w:val="single" w:color="auto"/>
          <w:color w:val="000000"/>
        </w:rPr>
        <w:t>No Integrated Offering</w:t>
      </w:r>
      <w:r>
        <w:rPr>
          <w:rFonts w:ascii="Times New Roman" w:cs="Times New Roman" w:eastAsia="Times New Roman" w:hAnsi="Times New Roman"/>
          <w:sz w:val="18"/>
          <w:szCs w:val="18"/>
          <w:color w:val="000000"/>
        </w:rPr>
        <w:t>. Neither the Company nor any Person acting on its behalf has, directly or indirectly, made any offers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Placement Securities under the 1933 Act.</w:t>
      </w:r>
    </w:p>
    <w:p>
      <w:pPr>
        <w:spacing w:after="0" w:line="18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4.23 </w:t>
      </w:r>
      <w:r>
        <w:rPr>
          <w:rFonts w:ascii="Times New Roman" w:cs="Times New Roman" w:eastAsia="Times New Roman" w:hAnsi="Times New Roman"/>
          <w:sz w:val="18"/>
          <w:szCs w:val="18"/>
          <w:u w:val="single" w:color="auto"/>
          <w:color w:val="000000"/>
        </w:rPr>
        <w:t>Private Placement</w:t>
      </w:r>
      <w:r>
        <w:rPr>
          <w:rFonts w:ascii="Times New Roman" w:cs="Times New Roman" w:eastAsia="Times New Roman" w:hAnsi="Times New Roman"/>
          <w:sz w:val="18"/>
          <w:szCs w:val="18"/>
          <w:color w:val="000000"/>
        </w:rPr>
        <w:t>. Assuming the accuracy of the representations and warranties of the Investors set forth in Section 5,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offer and sale of the Placement Securities to the Investors and the exercise of the Pre-Funded Warrants as contemplated hereby are exempt from the registration requirements of the 1933 Act. The issuance and sale of the Placement Securities and the exercise of the Pre-Funded Warrants do not contravene the rules and regulations of Nasdaq.</w:t>
      </w:r>
    </w:p>
    <w:p>
      <w:pPr>
        <w:spacing w:after="0" w:line="182"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18"/>
          <w:szCs w:val="18"/>
          <w:color w:val="010000"/>
        </w:rPr>
        <w:t xml:space="preserve">4.24 </w:t>
      </w:r>
      <w:r>
        <w:rPr>
          <w:rFonts w:ascii="Times New Roman" w:cs="Times New Roman" w:eastAsia="Times New Roman" w:hAnsi="Times New Roman"/>
          <w:sz w:val="18"/>
          <w:szCs w:val="18"/>
          <w:u w:val="single" w:color="auto"/>
          <w:color w:val="000000"/>
        </w:rPr>
        <w:t>Questionable Payments</w:t>
      </w:r>
      <w:r>
        <w:rPr>
          <w:rFonts w:ascii="Times New Roman" w:cs="Times New Roman" w:eastAsia="Times New Roman" w:hAnsi="Times New Roman"/>
          <w:sz w:val="18"/>
          <w:szCs w:val="18"/>
          <w:color w:val="000000"/>
        </w:rPr>
        <w:t>. Neither the Company nor, to the Company’s Knowledge, any of its current or former directors,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officers, employees, agents or other Persons acting on behalf of the Company, has on behalf of the Company in connection with its business: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86"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18"/>
          <w:szCs w:val="18"/>
          <w:color w:val="010000"/>
        </w:rPr>
        <w:t xml:space="preserve">4.25 </w:t>
      </w:r>
      <w:r>
        <w:rPr>
          <w:rFonts w:ascii="Times New Roman" w:cs="Times New Roman" w:eastAsia="Times New Roman" w:hAnsi="Times New Roman"/>
          <w:sz w:val="18"/>
          <w:szCs w:val="18"/>
          <w:u w:val="single" w:color="auto"/>
          <w:color w:val="000000"/>
        </w:rPr>
        <w:t>Transactions with Affiliates</w:t>
      </w:r>
      <w:r>
        <w:rPr>
          <w:rFonts w:ascii="Times New Roman" w:cs="Times New Roman" w:eastAsia="Times New Roman" w:hAnsi="Times New Roman"/>
          <w:sz w:val="18"/>
          <w:szCs w:val="18"/>
          <w:color w:val="000000"/>
        </w:rPr>
        <w:t>. None of the executive officers or directors of the Company and, to the Company’s Knowledge,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none of the employees of the Company is presently a party to any transaction with the Company (other than as holders of stock options, restricted stock units, warrants and/or restricted stock,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2" w:name="page163"/>
    <w:bookmarkEnd w:id="162"/>
    <w:p>
      <w:pPr>
        <w:jc w:val="both"/>
        <w:ind w:firstLine="1498"/>
        <w:spacing w:after="0" w:line="254" w:lineRule="auto"/>
        <w:rPr>
          <w:sz w:val="20"/>
          <w:szCs w:val="20"/>
          <w:color w:val="auto"/>
        </w:rPr>
      </w:pPr>
      <w:r>
        <w:rPr>
          <w:rFonts w:ascii="Times New Roman" w:cs="Times New Roman" w:eastAsia="Times New Roman" w:hAnsi="Times New Roman"/>
          <w:sz w:val="18"/>
          <w:szCs w:val="18"/>
          <w:color w:val="010000"/>
        </w:rPr>
        <w:t xml:space="preserve">4.26 </w:t>
      </w:r>
      <w:r>
        <w:rPr>
          <w:rFonts w:ascii="Times New Roman" w:cs="Times New Roman" w:eastAsia="Times New Roman" w:hAnsi="Times New Roman"/>
          <w:sz w:val="18"/>
          <w:szCs w:val="18"/>
          <w:u w:val="single" w:color="auto"/>
          <w:color w:val="000000"/>
        </w:rPr>
        <w:t>Internal Controls</w:t>
      </w:r>
      <w:r>
        <w:rPr>
          <w:rFonts w:ascii="Times New Roman" w:cs="Times New Roman" w:eastAsia="Times New Roman" w:hAnsi="Times New Roman"/>
          <w:sz w:val="18"/>
          <w:szCs w:val="18"/>
          <w:color w:val="000000"/>
        </w:rPr>
        <w:t>. The Company has established and maintains disclosure controls and procedures (as defined in Rules 13a-15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15d-15 under the 1934 Act), which are designed to ensure that material information relating to the Company is made known to the Company’s principal executive officer and its principal financial officer by others within those entities.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89" w:lineRule="exact"/>
        <w:rPr>
          <w:sz w:val="20"/>
          <w:szCs w:val="20"/>
          <w:color w:val="auto"/>
        </w:rPr>
      </w:pPr>
    </w:p>
    <w:p>
      <w:pPr>
        <w:jc w:val="both"/>
        <w:ind w:firstLine="1498"/>
        <w:spacing w:after="0" w:line="256" w:lineRule="auto"/>
        <w:rPr>
          <w:sz w:val="20"/>
          <w:szCs w:val="20"/>
          <w:color w:val="auto"/>
        </w:rPr>
      </w:pPr>
      <w:r>
        <w:rPr>
          <w:rFonts w:ascii="Times New Roman" w:cs="Times New Roman" w:eastAsia="Times New Roman" w:hAnsi="Times New Roman"/>
          <w:sz w:val="18"/>
          <w:szCs w:val="18"/>
          <w:color w:val="010000"/>
        </w:rPr>
        <w:t xml:space="preserve">4.27 </w:t>
      </w:r>
      <w:r>
        <w:rPr>
          <w:rFonts w:ascii="Times New Roman" w:cs="Times New Roman" w:eastAsia="Times New Roman" w:hAnsi="Times New Roman"/>
          <w:sz w:val="18"/>
          <w:szCs w:val="18"/>
          <w:u w:val="single" w:color="auto"/>
          <w:color w:val="000000"/>
        </w:rPr>
        <w:t>Disclosures</w:t>
      </w:r>
      <w:r>
        <w:rPr>
          <w:rFonts w:ascii="Times New Roman" w:cs="Times New Roman" w:eastAsia="Times New Roman" w:hAnsi="Times New Roman"/>
          <w:sz w:val="18"/>
          <w:szCs w:val="18"/>
          <w:color w:val="000000"/>
        </w:rPr>
        <w:t>. Neither the Company nor any Person acting on its behalf has provided the Investors or their agents or counsel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any information that constitutes or would reasonably be expected to constitute material nonpublic information concerning the Company, other than with respect to the transactions contemplated hereby, which will be disclosed in the Press Release.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8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4.28 </w:t>
      </w:r>
      <w:r>
        <w:rPr>
          <w:rFonts w:ascii="Times New Roman" w:cs="Times New Roman" w:eastAsia="Times New Roman" w:hAnsi="Times New Roman"/>
          <w:sz w:val="18"/>
          <w:szCs w:val="18"/>
          <w:u w:val="single" w:color="auto"/>
          <w:color w:val="000000"/>
        </w:rPr>
        <w:t>Required Filings</w:t>
      </w:r>
      <w:r>
        <w:rPr>
          <w:rFonts w:ascii="Times New Roman" w:cs="Times New Roman" w:eastAsia="Times New Roman" w:hAnsi="Times New Roman"/>
          <w:sz w:val="18"/>
          <w:szCs w:val="18"/>
          <w:color w:val="000000"/>
        </w:rPr>
        <w:t>. Except for the transactions contemplated by this Agreement, including the acquisition of the Placement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contemplated hereby,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82"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4.29 </w:t>
      </w:r>
      <w:r>
        <w:rPr>
          <w:rFonts w:ascii="Times New Roman" w:cs="Times New Roman" w:eastAsia="Times New Roman" w:hAnsi="Times New Roman"/>
          <w:sz w:val="18"/>
          <w:szCs w:val="18"/>
          <w:u w:val="single" w:color="auto"/>
          <w:color w:val="000000"/>
        </w:rPr>
        <w:t>Investment Company</w:t>
      </w:r>
      <w:r>
        <w:rPr>
          <w:rFonts w:ascii="Times New Roman" w:cs="Times New Roman" w:eastAsia="Times New Roman" w:hAnsi="Times New Roman"/>
          <w:sz w:val="18"/>
          <w:szCs w:val="18"/>
          <w:color w:val="000000"/>
        </w:rPr>
        <w:t>. The Company is not required to be registered as, and immediately following the Closing will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register as, an “investment company” within the meaning of the Investment Company Act of 1940, as amended.</w:t>
      </w:r>
    </w:p>
    <w:p>
      <w:pPr>
        <w:spacing w:after="0" w:line="163"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4.30 </w:t>
      </w:r>
      <w:r>
        <w:rPr>
          <w:rFonts w:ascii="Times New Roman" w:cs="Times New Roman" w:eastAsia="Times New Roman" w:hAnsi="Times New Roman"/>
          <w:sz w:val="18"/>
          <w:szCs w:val="18"/>
          <w:u w:val="single" w:color="auto"/>
          <w:color w:val="000000"/>
        </w:rPr>
        <w:t>Tests and Preclinical and Clinical Trials</w:t>
      </w:r>
      <w:r>
        <w:rPr>
          <w:rFonts w:ascii="Times New Roman" w:cs="Times New Roman" w:eastAsia="Times New Roman" w:hAnsi="Times New Roman"/>
          <w:sz w:val="18"/>
          <w:szCs w:val="18"/>
          <w:color w:val="000000"/>
        </w:rPr>
        <w:t>. (i) The preclinical studies and clinical trials conducted by or, to the Company’s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on behalf of or sponsored by the Company, or in which the Company has participated, that are described in the SEC Filings, or the results of which are referred to in the SEC Filings,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U.S. Food and Drug Administration and comparable regulatory agencies outside of the United States to which they are subject, including the European Medicines Agency (collectively, the “</w:t>
      </w:r>
      <w:r>
        <w:rPr>
          <w:rFonts w:ascii="Times New Roman" w:cs="Times New Roman" w:eastAsia="Times New Roman" w:hAnsi="Times New Roman"/>
          <w:sz w:val="18"/>
          <w:szCs w:val="18"/>
          <w:u w:val="single" w:color="auto"/>
          <w:color w:val="000000"/>
        </w:rPr>
        <w:t>Regulatory Authorities</w:t>
      </w:r>
      <w:r>
        <w:rPr>
          <w:rFonts w:ascii="Times New Roman" w:cs="Times New Roman" w:eastAsia="Times New Roman" w:hAnsi="Times New Roman"/>
          <w:sz w:val="18"/>
          <w:szCs w:val="18"/>
          <w:color w:val="000000"/>
        </w:rPr>
        <w:t>”) and Good Clinical Practice and Good Laboratory Practice requirements; (ii) the descriptions in the SEC Filings of the results of such studies and trials are accurate and complete descriptions in all material respects and fairly present the data derived therefrom; (iii) to the Company’s Knowledge, there are no other studies or trials not described in the SEC Filings, the results of which the Company believes are inconsistent with or reasonably call into question the results described or referred to in the SEC Filings; (iv) the Company has operated at all times and are currently in compliance with all applicable statutes, rules and regulations of the Regulatory Authorities, except where such non-compliance would not, individually or in the aggregate, have a Material Adverse Effect; and (v) the Company has not received any written notices, correspondence or other communications from the Regulatory Authorities or any other governmental agency requiring or threatening the termination, material modification or suspension of any preclinical studies or clinical trials that are described in the SEC Filings or the results of which are referred to in the SEC Filings, other than ordinary course communications with respect to modifications in connection with the design and implementation of such studies or trials, and, to the Company’s Knowledge, there are no reasonable grounds for the same.</w:t>
      </w:r>
    </w:p>
    <w:p>
      <w:pPr>
        <w:spacing w:after="0" w:line="192"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4.31 </w:t>
      </w:r>
      <w:r>
        <w:rPr>
          <w:rFonts w:ascii="Times New Roman" w:cs="Times New Roman" w:eastAsia="Times New Roman" w:hAnsi="Times New Roman"/>
          <w:sz w:val="18"/>
          <w:szCs w:val="18"/>
          <w:u w:val="single" w:color="auto"/>
          <w:color w:val="000000"/>
        </w:rPr>
        <w:t>Manipulation of Price</w:t>
      </w:r>
      <w:r>
        <w:rPr>
          <w:rFonts w:ascii="Times New Roman" w:cs="Times New Roman" w:eastAsia="Times New Roman" w:hAnsi="Times New Roman"/>
          <w:sz w:val="18"/>
          <w:szCs w:val="18"/>
          <w:color w:val="000000"/>
        </w:rPr>
        <w:t>. The Company has not taken, and, to the Company’s Knowledge, no Person acting on its behalf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taken, directly or indirectly, any action designed to cause or to result in the stabilization or manipulation of the price of any security of the Company to facilitate the sale or resale of any of the Securities.</w:t>
      </w:r>
    </w:p>
    <w:p>
      <w:pPr>
        <w:spacing w:after="0" w:line="3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3" w:name="page164"/>
    <w:bookmarkEnd w:id="163"/>
    <w:p>
      <w:pPr>
        <w:jc w:val="both"/>
        <w:ind w:firstLine="1498"/>
        <w:spacing w:after="0" w:line="253" w:lineRule="auto"/>
        <w:rPr>
          <w:sz w:val="20"/>
          <w:szCs w:val="20"/>
          <w:color w:val="auto"/>
        </w:rPr>
      </w:pPr>
      <w:r>
        <w:rPr>
          <w:rFonts w:ascii="Times New Roman" w:cs="Times New Roman" w:eastAsia="Times New Roman" w:hAnsi="Times New Roman"/>
          <w:sz w:val="18"/>
          <w:szCs w:val="18"/>
          <w:color w:val="010000"/>
        </w:rPr>
        <w:t xml:space="preserve">4.32 </w:t>
      </w:r>
      <w:r>
        <w:rPr>
          <w:rFonts w:ascii="Times New Roman" w:cs="Times New Roman" w:eastAsia="Times New Roman" w:hAnsi="Times New Roman"/>
          <w:sz w:val="18"/>
          <w:szCs w:val="18"/>
          <w:u w:val="single" w:color="auto"/>
          <w:color w:val="000000"/>
        </w:rPr>
        <w:t>Anti-Bribery and Anti-Money Laundering Laws</w:t>
      </w:r>
      <w:r>
        <w:rPr>
          <w:rFonts w:ascii="Times New Roman" w:cs="Times New Roman" w:eastAsia="Times New Roman" w:hAnsi="Times New Roman"/>
          <w:sz w:val="18"/>
          <w:szCs w:val="18"/>
          <w:color w:val="000000"/>
        </w:rPr>
        <w:t>. Each of the Company, and its officers, directors, supervisors, managers,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agents, or employees are and have at all times been in compliance with and their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89"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4.33 </w:t>
      </w:r>
      <w:r>
        <w:rPr>
          <w:rFonts w:ascii="Times New Roman" w:cs="Times New Roman" w:eastAsia="Times New Roman" w:hAnsi="Times New Roman"/>
          <w:sz w:val="18"/>
          <w:szCs w:val="18"/>
          <w:u w:val="single" w:color="auto"/>
          <w:color w:val="000000"/>
        </w:rPr>
        <w:t>No Bad Actors</w:t>
      </w:r>
      <w:r>
        <w:rPr>
          <w:rFonts w:ascii="Times New Roman" w:cs="Times New Roman" w:eastAsia="Times New Roman" w:hAnsi="Times New Roman"/>
          <w:sz w:val="18"/>
          <w:szCs w:val="18"/>
          <w:color w:val="000000"/>
        </w:rPr>
        <w:t>. No “bad actor” disqualifying event described in Rule 506(d)(1)(i)-(viii) of the 1933 Act (a “</w:t>
      </w:r>
      <w:r>
        <w:rPr>
          <w:rFonts w:ascii="Times New Roman" w:cs="Times New Roman" w:eastAsia="Times New Roman" w:hAnsi="Times New Roman"/>
          <w:sz w:val="18"/>
          <w:szCs w:val="18"/>
          <w:u w:val="single" w:color="auto"/>
          <w:color w:val="000000"/>
        </w:rPr>
        <w:t>Disqualification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Event</w:t>
      </w:r>
      <w:r>
        <w:rPr>
          <w:rFonts w:ascii="Times New Roman" w:cs="Times New Roman" w:eastAsia="Times New Roman" w:hAnsi="Times New Roman"/>
          <w:sz w:val="18"/>
          <w:szCs w:val="18"/>
          <w:color w:val="000000"/>
        </w:rPr>
        <w:t>”) is applicable to the Company or, to the Company’s Knowledge, any Company Covered Person, except for a Disqualification Event as to which Rule 506(d)(2)(ii–iv) or (d)(3) is applicable.</w:t>
      </w:r>
    </w:p>
    <w:p>
      <w:pPr>
        <w:spacing w:after="0" w:line="177"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4.34 </w:t>
      </w:r>
      <w:r>
        <w:rPr>
          <w:rFonts w:ascii="Times New Roman" w:cs="Times New Roman" w:eastAsia="Times New Roman" w:hAnsi="Times New Roman"/>
          <w:sz w:val="18"/>
          <w:szCs w:val="18"/>
          <w:u w:val="single" w:color="auto"/>
          <w:color w:val="000000"/>
        </w:rPr>
        <w:t>No Additional Agreements</w:t>
      </w:r>
      <w:r>
        <w:rPr>
          <w:rFonts w:ascii="Times New Roman" w:cs="Times New Roman" w:eastAsia="Times New Roman" w:hAnsi="Times New Roman"/>
          <w:sz w:val="18"/>
          <w:szCs w:val="18"/>
          <w:color w:val="000000"/>
        </w:rPr>
        <w:t>. The Company has no other agreements or understandings (including, without limitation, side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letters) with any Investor to purchase Placement Securities on terms more favorable to such Investor than as set forth herein.</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010000"/>
        </w:rPr>
        <w:t>4.35</w:t>
      </w:r>
      <w:r>
        <w:rPr>
          <w:sz w:val="20"/>
          <w:szCs w:val="20"/>
          <w:color w:val="auto"/>
        </w:rPr>
        <w:tab/>
      </w:r>
      <w:r>
        <w:rPr>
          <w:rFonts w:ascii="Times New Roman" w:cs="Times New Roman" w:eastAsia="Times New Roman" w:hAnsi="Times New Roman"/>
          <w:sz w:val="17"/>
          <w:szCs w:val="17"/>
          <w:u w:val="single" w:color="auto"/>
          <w:color w:val="auto"/>
        </w:rPr>
        <w:t>Shell Company Status</w:t>
      </w:r>
      <w:r>
        <w:rPr>
          <w:rFonts w:ascii="Times New Roman" w:cs="Times New Roman" w:eastAsia="Times New Roman" w:hAnsi="Times New Roman"/>
          <w:sz w:val="17"/>
          <w:szCs w:val="17"/>
          <w:color w:val="auto"/>
        </w:rPr>
        <w:t>. The Company is not, and has never been, an issuer identified in Rule 144(i)(1).</w:t>
      </w:r>
    </w:p>
    <w:p>
      <w:pPr>
        <w:spacing w:after="0" w:line="225" w:lineRule="exact"/>
        <w:rPr>
          <w:sz w:val="20"/>
          <w:szCs w:val="20"/>
          <w:color w:val="auto"/>
        </w:rPr>
      </w:pPr>
    </w:p>
    <w:p>
      <w:pPr>
        <w:ind w:firstLine="757"/>
        <w:spacing w:after="0" w:line="281" w:lineRule="auto"/>
        <w:tabs>
          <w:tab w:leader="none" w:pos="1018"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Representations and Warranties of the Investors</w:t>
      </w:r>
      <w:r>
        <w:rPr>
          <w:rFonts w:ascii="Times New Roman" w:cs="Times New Roman" w:eastAsia="Times New Roman" w:hAnsi="Times New Roman"/>
          <w:sz w:val="18"/>
          <w:szCs w:val="18"/>
          <w:color w:val="auto"/>
        </w:rPr>
        <w:t>. Each of the Investors hereby severally, and not jointly, represents and warrants to the Company that:</w:t>
      </w:r>
    </w:p>
    <w:p>
      <w:pPr>
        <w:spacing w:after="0" w:line="163"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5.1 </w:t>
      </w:r>
      <w:r>
        <w:rPr>
          <w:rFonts w:ascii="Times New Roman" w:cs="Times New Roman" w:eastAsia="Times New Roman" w:hAnsi="Times New Roman"/>
          <w:sz w:val="18"/>
          <w:szCs w:val="18"/>
          <w:u w:val="single" w:color="auto"/>
          <w:color w:val="000000"/>
        </w:rPr>
        <w:t>Organization and Existence</w:t>
      </w:r>
      <w:r>
        <w:rPr>
          <w:rFonts w:ascii="Times New Roman" w:cs="Times New Roman" w:eastAsia="Times New Roman" w:hAnsi="Times New Roman"/>
          <w:sz w:val="18"/>
          <w:szCs w:val="18"/>
          <w:color w:val="000000"/>
        </w:rPr>
        <w:t>. Such Investor is a duly incorporated or organized and validly existing corporation, limited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Securities pursuant to this Agreement, and is in good standing under the laws of the jurisdiction of its incorporation or organization.</w:t>
      </w:r>
    </w:p>
    <w:p>
      <w:pPr>
        <w:spacing w:after="0" w:line="18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5.2 </w:t>
      </w:r>
      <w:r>
        <w:rPr>
          <w:rFonts w:ascii="Times New Roman" w:cs="Times New Roman" w:eastAsia="Times New Roman" w:hAnsi="Times New Roman"/>
          <w:sz w:val="18"/>
          <w:szCs w:val="18"/>
          <w:u w:val="single" w:color="auto"/>
          <w:color w:val="000000"/>
        </w:rPr>
        <w:t>Authorization</w:t>
      </w:r>
      <w:r>
        <w:rPr>
          <w:rFonts w:ascii="Times New Roman" w:cs="Times New Roman" w:eastAsia="Times New Roman" w:hAnsi="Times New Roman"/>
          <w:sz w:val="18"/>
          <w:szCs w:val="18"/>
          <w:color w:val="000000"/>
        </w:rPr>
        <w:t>. The execution, delivery and performance by such Investor of the Transaction Documents to which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82"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8"/>
          <w:szCs w:val="18"/>
          <w:color w:val="010000"/>
        </w:rPr>
        <w:t xml:space="preserve">5.3 </w:t>
      </w:r>
      <w:r>
        <w:rPr>
          <w:rFonts w:ascii="Times New Roman" w:cs="Times New Roman" w:eastAsia="Times New Roman" w:hAnsi="Times New Roman"/>
          <w:sz w:val="18"/>
          <w:szCs w:val="18"/>
          <w:u w:val="single" w:color="auto"/>
          <w:color w:val="000000"/>
        </w:rPr>
        <w:t>Purchase Entirely for Own Account</w:t>
      </w:r>
      <w:r>
        <w:rPr>
          <w:rFonts w:ascii="Times New Roman" w:cs="Times New Roman" w:eastAsia="Times New Roman" w:hAnsi="Times New Roman"/>
          <w:sz w:val="18"/>
          <w:szCs w:val="18"/>
          <w:color w:val="000000"/>
        </w:rPr>
        <w:t>. The Securities to be received by such Investor hereunder will be acquired for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The Placement Securities are being purchased by such Investor in the ordinary course of its business. Nothing contained herein shall be deemed a representation or warranty by such Investor to hold the Securities for any period of time. Such Investor is not a broker-dealer registered with the SEC under the 1934 Act or an entity engaged in a business that would require it to be so registered.</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4" w:name="page165"/>
    <w:bookmarkEnd w:id="164"/>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5.4 </w:t>
      </w:r>
      <w:r>
        <w:rPr>
          <w:rFonts w:ascii="Times New Roman" w:cs="Times New Roman" w:eastAsia="Times New Roman" w:hAnsi="Times New Roman"/>
          <w:sz w:val="18"/>
          <w:szCs w:val="18"/>
          <w:u w:val="single" w:color="auto"/>
          <w:color w:val="000000"/>
        </w:rPr>
        <w:t>Investment Experience</w:t>
      </w:r>
      <w:r>
        <w:rPr>
          <w:rFonts w:ascii="Times New Roman" w:cs="Times New Roman" w:eastAsia="Times New Roman" w:hAnsi="Times New Roman"/>
          <w:sz w:val="18"/>
          <w:szCs w:val="18"/>
          <w:color w:val="000000"/>
        </w:rPr>
        <w:t>. Such Investor acknowledges that it can bear the economic risk and complete loss of its investment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Securities and has such knowledge and experience in financial or business matters that it is capable of evaluating the merits and risks of the investment contemplated hereby.</w:t>
      </w:r>
    </w:p>
    <w:p>
      <w:pPr>
        <w:spacing w:after="0" w:line="177"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8"/>
          <w:szCs w:val="18"/>
          <w:color w:val="010000"/>
        </w:rPr>
        <w:t xml:space="preserve">5.5 </w:t>
      </w:r>
      <w:r>
        <w:rPr>
          <w:rFonts w:ascii="Times New Roman" w:cs="Times New Roman" w:eastAsia="Times New Roman" w:hAnsi="Times New Roman"/>
          <w:sz w:val="18"/>
          <w:szCs w:val="18"/>
          <w:u w:val="single" w:color="auto"/>
          <w:color w:val="000000"/>
        </w:rPr>
        <w:t>Disclosure of Information</w:t>
      </w:r>
      <w:r>
        <w:rPr>
          <w:rFonts w:ascii="Times New Roman" w:cs="Times New Roman" w:eastAsia="Times New Roman" w:hAnsi="Times New Roman"/>
          <w:sz w:val="18"/>
          <w:szCs w:val="18"/>
          <w:color w:val="000000"/>
        </w:rPr>
        <w:t>. Such Investor has had an opportunity to receive, review and understand all information related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that copies of the SEC Filings are available on the EDGAR system. Based on the information such Investor has deemed appropriate, it has independently made its own analysis and decision to enter into the Transaction Documents. Such Investor is relying exclusively on its own investment analysis and due diligence (including professional advice it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Neither such inquiries nor any other due diligence investigation conducted by such Investor shall modify, limit or otherwise affect such Investor’s right to rely on the Company’s representations and warranties contained in this Agreement.</w:t>
      </w:r>
    </w:p>
    <w:p>
      <w:pPr>
        <w:spacing w:after="0" w:line="186"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5.6 </w:t>
      </w:r>
      <w:r>
        <w:rPr>
          <w:rFonts w:ascii="Times New Roman" w:cs="Times New Roman" w:eastAsia="Times New Roman" w:hAnsi="Times New Roman"/>
          <w:sz w:val="18"/>
          <w:szCs w:val="18"/>
          <w:u w:val="single" w:color="auto"/>
          <w:color w:val="000000"/>
        </w:rPr>
        <w:t>Restricted Securities</w:t>
      </w:r>
      <w:r>
        <w:rPr>
          <w:rFonts w:ascii="Times New Roman" w:cs="Times New Roman" w:eastAsia="Times New Roman" w:hAnsi="Times New Roman"/>
          <w:sz w:val="18"/>
          <w:szCs w:val="18"/>
          <w:color w:val="000000"/>
        </w:rPr>
        <w:t>. Such Investor understands that the Securities are characterized as “restricted securities” under the U.S.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77"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5.7 </w:t>
      </w:r>
      <w:r>
        <w:rPr>
          <w:rFonts w:ascii="Times New Roman" w:cs="Times New Roman" w:eastAsia="Times New Roman" w:hAnsi="Times New Roman"/>
          <w:sz w:val="18"/>
          <w:szCs w:val="18"/>
          <w:u w:val="single" w:color="auto"/>
          <w:color w:val="000000"/>
        </w:rPr>
        <w:t>Legends</w:t>
      </w:r>
      <w:r>
        <w:rPr>
          <w:rFonts w:ascii="Times New Roman" w:cs="Times New Roman" w:eastAsia="Times New Roman" w:hAnsi="Times New Roman"/>
          <w:sz w:val="18"/>
          <w:szCs w:val="18"/>
          <w:color w:val="000000"/>
        </w:rPr>
        <w:t>. It is understood that, except as provided below, certificates or book-entry records evidencing the Securities may bear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following or any similar legend:</w:t>
      </w:r>
    </w:p>
    <w:p>
      <w:pPr>
        <w:spacing w:after="0" w:line="163" w:lineRule="exact"/>
        <w:rPr>
          <w:sz w:val="20"/>
          <w:szCs w:val="20"/>
          <w:color w:val="auto"/>
        </w:rPr>
      </w:pPr>
    </w:p>
    <w:p>
      <w:pPr>
        <w:jc w:val="both"/>
        <w:ind w:firstLine="1505"/>
        <w:spacing w:after="0" w:line="272" w:lineRule="auto"/>
        <w:tabs>
          <w:tab w:leader="none" w:pos="2037" w:val="left"/>
        </w:tabs>
        <w:numPr>
          <w:ilvl w:val="0"/>
          <w:numId w:val="9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SECURITIES EVIDENCED HEREBY HAVE NOT BEEN REGISTERED UNDER THE SECURITIES ACT OF 1933, AS AMENDED (THE “ACT”), OR UNDER THE SECURITIES LAWS OF ANY STATES. THESE SECURITIES ARE SUBJECT TO RESTRICTIONS ON TRANSFERABILITY AND RESALE AND NEITHER THE SECURITIES NOR ANY INTEREST THEREIN MAY BE OFFERED, SOLD, TRANSFERRED, PLEDGED OR OTHERWISE DISPOSED OF EXCEPT AS PERMITTED UNDER THE ACT AND THE APPLICABLE STATE SECURITIES LAWS, PURSUANT TO AN EFFECTIVE REGISTRATION OR AN EXEMPTION FROM REGISTRATION WHICH, IN THE OPINION OF COUNSEL REASONABLY SATISFACTORY TO THE COMPANY, IS AVAILABLE. INVESTORS SHOULD BE AWARE THAT THEY MAY BE REQUIRED TO BEAR THE FINANCIAL RISKS OF THIS INVESTMENT FOR AN INDEFINITE PERIOD OF TIME.”</w:t>
      </w:r>
    </w:p>
    <w:p>
      <w:pPr>
        <w:spacing w:after="0" w:line="175" w:lineRule="exact"/>
        <w:rPr>
          <w:rFonts w:ascii="Times New Roman" w:cs="Times New Roman" w:eastAsia="Times New Roman" w:hAnsi="Times New Roman"/>
          <w:sz w:val="17"/>
          <w:szCs w:val="17"/>
          <w:color w:val="010000"/>
        </w:rPr>
      </w:pPr>
    </w:p>
    <w:p>
      <w:pPr>
        <w:ind w:left="2040" w:hanging="535"/>
        <w:spacing w:after="0"/>
        <w:tabs>
          <w:tab w:leader="none" w:pos="2040"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required by the authorities of any state in connection with the issuance or sale of the Securities, the legend required by such</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state authority.</w:t>
      </w:r>
    </w:p>
    <w:p>
      <w:pPr>
        <w:spacing w:after="0" w:line="206"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8"/>
          <w:szCs w:val="18"/>
          <w:color w:val="010000"/>
        </w:rPr>
        <w:t xml:space="preserve">5.8 </w:t>
      </w:r>
      <w:r>
        <w:rPr>
          <w:rFonts w:ascii="Times New Roman" w:cs="Times New Roman" w:eastAsia="Times New Roman" w:hAnsi="Times New Roman"/>
          <w:sz w:val="18"/>
          <w:szCs w:val="18"/>
          <w:u w:val="single" w:color="auto"/>
          <w:color w:val="000000"/>
        </w:rPr>
        <w:t>Accredited Investor</w:t>
      </w:r>
      <w:r>
        <w:rPr>
          <w:rFonts w:ascii="Times New Roman" w:cs="Times New Roman" w:eastAsia="Times New Roman" w:hAnsi="Times New Roman"/>
          <w:sz w:val="18"/>
          <w:szCs w:val="18"/>
          <w:color w:val="000000"/>
        </w:rPr>
        <w:t>. Such Investor is an “accredited investor” within the meaning of Rule 501(a) of Regulation 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investor is a sophisticated institutional investor with sufficient knowledge and experience in investing in private equity transactions to properly evaluate the risks and merits of its purchase of the Securities. Such Investor has determined based on its own independent review and such professional advice as it deems appropriate that its purchase of the Securities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Securities.</w:t>
      </w:r>
    </w:p>
    <w:p>
      <w:pPr>
        <w:spacing w:after="0" w:line="200" w:lineRule="exact"/>
        <w:rPr>
          <w:sz w:val="20"/>
          <w:szCs w:val="20"/>
          <w:color w:val="auto"/>
        </w:rPr>
      </w:pPr>
    </w:p>
    <w:p>
      <w:pPr>
        <w:spacing w:after="0" w:line="205"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5.9 </w:t>
      </w:r>
      <w:r>
        <w:rPr>
          <w:rFonts w:ascii="Times New Roman" w:cs="Times New Roman" w:eastAsia="Times New Roman" w:hAnsi="Times New Roman"/>
          <w:sz w:val="18"/>
          <w:szCs w:val="18"/>
          <w:u w:val="single" w:color="auto"/>
          <w:color w:val="000000"/>
        </w:rPr>
        <w:t>No General Solicitation</w:t>
      </w:r>
      <w:r>
        <w:rPr>
          <w:rFonts w:ascii="Times New Roman" w:cs="Times New Roman" w:eastAsia="Times New Roman" w:hAnsi="Times New Roman"/>
          <w:sz w:val="18"/>
          <w:szCs w:val="18"/>
          <w:color w:val="000000"/>
        </w:rPr>
        <w:t>. Such Investor did not learn of the investment in the Securities as a result of any general or public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5" w:name="page166"/>
    <w:bookmarkEnd w:id="165"/>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5.10 </w:t>
      </w:r>
      <w:r>
        <w:rPr>
          <w:rFonts w:ascii="Times New Roman" w:cs="Times New Roman" w:eastAsia="Times New Roman" w:hAnsi="Times New Roman"/>
          <w:sz w:val="18"/>
          <w:szCs w:val="18"/>
          <w:u w:val="single" w:color="auto"/>
          <w:color w:val="000000"/>
        </w:rPr>
        <w:t>Brokers and Finders</w:t>
      </w:r>
      <w:r>
        <w:rPr>
          <w:rFonts w:ascii="Times New Roman" w:cs="Times New Roman" w:eastAsia="Times New Roman" w:hAnsi="Times New Roman"/>
          <w:sz w:val="18"/>
          <w:szCs w:val="18"/>
          <w:color w:val="000000"/>
        </w:rPr>
        <w:t>. No Person will have, as a result of the transactions contemplated by the Transaction Documents,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valid right, interest or claim against or upon the Company or an Investor for any commission, fee or other compensation pursuant to any agreement, arrangement or understanding entered into by or on behalf of such Investor.</w:t>
      </w:r>
    </w:p>
    <w:p>
      <w:pPr>
        <w:spacing w:after="0" w:line="177"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5.11 </w:t>
      </w:r>
      <w:r>
        <w:rPr>
          <w:rFonts w:ascii="Times New Roman" w:cs="Times New Roman" w:eastAsia="Times New Roman" w:hAnsi="Times New Roman"/>
          <w:sz w:val="18"/>
          <w:szCs w:val="18"/>
          <w:u w:val="single" w:color="auto"/>
          <w:color w:val="000000"/>
        </w:rPr>
        <w:t>Short Sales and Confidentiality Prior to the Date Hereof</w:t>
      </w:r>
      <w:r>
        <w:rPr>
          <w:rFonts w:ascii="Times New Roman" w:cs="Times New Roman" w:eastAsia="Times New Roman" w:hAnsi="Times New Roman"/>
          <w:sz w:val="18"/>
          <w:szCs w:val="18"/>
          <w:color w:val="000000"/>
        </w:rPr>
        <w:t>. Other than consummating the transactions contemplated hereunder,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first communicated with the Company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4"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5.12 </w:t>
      </w:r>
      <w:r>
        <w:rPr>
          <w:rFonts w:ascii="Times New Roman" w:cs="Times New Roman" w:eastAsia="Times New Roman" w:hAnsi="Times New Roman"/>
          <w:sz w:val="18"/>
          <w:szCs w:val="18"/>
          <w:u w:val="single" w:color="auto"/>
          <w:color w:val="000000"/>
        </w:rPr>
        <w:t>No Government Recommendation or Approval</w:t>
      </w:r>
      <w:r>
        <w:rPr>
          <w:rFonts w:ascii="Times New Roman" w:cs="Times New Roman" w:eastAsia="Times New Roman" w:hAnsi="Times New Roman"/>
          <w:sz w:val="18"/>
          <w:szCs w:val="18"/>
          <w:color w:val="000000"/>
        </w:rPr>
        <w:t>. Such Investor understands that no United States federal or state agency,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similar agency of any other country, has reviewed, approved, passed upon, or made any recommendation or endorsement of the Company or the purchase of the Securities.</w:t>
      </w:r>
    </w:p>
    <w:p>
      <w:pPr>
        <w:spacing w:after="0" w:line="177" w:lineRule="exact"/>
        <w:rPr>
          <w:sz w:val="20"/>
          <w:szCs w:val="20"/>
          <w:color w:val="auto"/>
        </w:rPr>
      </w:pPr>
    </w:p>
    <w:p>
      <w:pPr>
        <w:jc w:val="both"/>
        <w:ind w:right="20"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5.13 </w:t>
      </w:r>
      <w:r>
        <w:rPr>
          <w:rFonts w:ascii="Times New Roman" w:cs="Times New Roman" w:eastAsia="Times New Roman" w:hAnsi="Times New Roman"/>
          <w:sz w:val="18"/>
          <w:szCs w:val="18"/>
          <w:u w:val="single" w:color="auto"/>
          <w:color w:val="000000"/>
        </w:rPr>
        <w:t>No Intent to Effect a Change of Control</w:t>
      </w:r>
      <w:r>
        <w:rPr>
          <w:rFonts w:ascii="Times New Roman" w:cs="Times New Roman" w:eastAsia="Times New Roman" w:hAnsi="Times New Roman"/>
          <w:sz w:val="18"/>
          <w:szCs w:val="18"/>
          <w:color w:val="000000"/>
        </w:rPr>
        <w:t>. Such Investor has no present intent to effect a “change of control” of the Company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term is understood under the rules promulgated pursuant to Section 13(d) of the 1934 Act.</w:t>
      </w:r>
    </w:p>
    <w:p>
      <w:pPr>
        <w:spacing w:after="0" w:line="163"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5.14 </w:t>
      </w:r>
      <w:r>
        <w:rPr>
          <w:rFonts w:ascii="Times New Roman" w:cs="Times New Roman" w:eastAsia="Times New Roman" w:hAnsi="Times New Roman"/>
          <w:sz w:val="18"/>
          <w:szCs w:val="18"/>
          <w:u w:val="single" w:color="auto"/>
          <w:color w:val="000000"/>
        </w:rPr>
        <w:t>Residency</w:t>
      </w:r>
      <w:r>
        <w:rPr>
          <w:rFonts w:ascii="Times New Roman" w:cs="Times New Roman" w:eastAsia="Times New Roman" w:hAnsi="Times New Roman"/>
          <w:sz w:val="18"/>
          <w:szCs w:val="18"/>
          <w:color w:val="000000"/>
        </w:rPr>
        <w:t>. Such Investor’s office in which its investment decision with respect to the Securities was made is located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 immediately below such Investor’s name on its signature page hereto.</w:t>
      </w:r>
    </w:p>
    <w:p>
      <w:pPr>
        <w:spacing w:after="0" w:line="163"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5.15 </w:t>
      </w:r>
      <w:r>
        <w:rPr>
          <w:rFonts w:ascii="Times New Roman" w:cs="Times New Roman" w:eastAsia="Times New Roman" w:hAnsi="Times New Roman"/>
          <w:sz w:val="18"/>
          <w:szCs w:val="18"/>
          <w:u w:val="single" w:color="auto"/>
          <w:color w:val="000000"/>
        </w:rPr>
        <w:t>No Conflicts</w:t>
      </w:r>
      <w:r>
        <w:rPr>
          <w:rFonts w:ascii="Times New Roman" w:cs="Times New Roman" w:eastAsia="Times New Roman" w:hAnsi="Times New Roman"/>
          <w:sz w:val="18"/>
          <w:szCs w:val="18"/>
          <w:color w:val="000000"/>
        </w:rPr>
        <w:t>. The execution, delivery and performance by such Investor of the Transaction Documents and the consummation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such Investor of the transactions contemplated hereby and thereby will not (i) result in a violation of the organizational documents of such Investor or</w:t>
      </w:r>
    </w:p>
    <w:p>
      <w:pPr>
        <w:spacing w:after="0" w:line="1" w:lineRule="exact"/>
        <w:rPr>
          <w:sz w:val="20"/>
          <w:szCs w:val="20"/>
          <w:color w:val="auto"/>
        </w:rPr>
      </w:pPr>
    </w:p>
    <w:p>
      <w:pPr>
        <w:jc w:val="both"/>
        <w:ind w:firstLine="8"/>
        <w:spacing w:after="0" w:line="252" w:lineRule="auto"/>
        <w:tabs>
          <w:tab w:leader="none" w:pos="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8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6.1 </w:t>
      </w:r>
      <w:r>
        <w:rPr>
          <w:rFonts w:ascii="Times New Roman" w:cs="Times New Roman" w:eastAsia="Times New Roman" w:hAnsi="Times New Roman"/>
          <w:sz w:val="18"/>
          <w:szCs w:val="18"/>
          <w:u w:val="single" w:color="auto"/>
          <w:color w:val="000000"/>
        </w:rPr>
        <w:t>Conditions to the Investors’ Obligations</w:t>
      </w:r>
      <w:r>
        <w:rPr>
          <w:rFonts w:ascii="Times New Roman" w:cs="Times New Roman" w:eastAsia="Times New Roman" w:hAnsi="Times New Roman"/>
          <w:sz w:val="18"/>
          <w:szCs w:val="18"/>
          <w:color w:val="000000"/>
        </w:rPr>
        <w:t>. The obligation of each Investor to purchase Placement Securities at the Closing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to the fulfillment to such Investor’s satisfaction, on or prior to the Closing Date, of the following conditions, any of which may be waived by such Investor (as to itself only):</w:t>
      </w:r>
    </w:p>
    <w:p>
      <w:pPr>
        <w:spacing w:after="0" w:line="177" w:lineRule="exact"/>
        <w:rPr>
          <w:sz w:val="20"/>
          <w:szCs w:val="20"/>
          <w:color w:val="auto"/>
        </w:rPr>
      </w:pPr>
    </w:p>
    <w:p>
      <w:pPr>
        <w:jc w:val="both"/>
        <w:ind w:firstLine="1505"/>
        <w:spacing w:after="0" w:line="260" w:lineRule="auto"/>
        <w:tabs>
          <w:tab w:leader="none" w:pos="2037"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made by the Company in Section 4 hereof shall be true and correct in all material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The Company</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shall have performed in all material respects all obligations and covenants herein required to be performed by it on or prior to the Closing Date.</w:t>
      </w:r>
    </w:p>
    <w:p>
      <w:pPr>
        <w:spacing w:after="0" w:line="225" w:lineRule="exact"/>
        <w:rPr>
          <w:sz w:val="20"/>
          <w:szCs w:val="20"/>
          <w:color w:val="auto"/>
        </w:rPr>
      </w:pPr>
    </w:p>
    <w:p>
      <w:pPr>
        <w:jc w:val="both"/>
        <w:ind w:firstLine="1505"/>
        <w:spacing w:after="0" w:line="265"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obtained any and all consents, permits, approvals, registrations and waivers necessary for the consummation of the purchase and sale of the Placement Securities and the consummation of the other transactions contemplated by the Transaction Documents, all of which shall be in full force and effect.</w:t>
      </w:r>
    </w:p>
    <w:p>
      <w:pPr>
        <w:spacing w:after="0" w:line="177"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executed and delivered the Registration Rights Agreement.</w:t>
      </w:r>
    </w:p>
    <w:p>
      <w:pPr>
        <w:spacing w:after="0" w:line="224"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filed with Nasdaq a Listing of Additional Shares notice form for the listing of the Warrant Shares.</w:t>
      </w:r>
    </w:p>
    <w:p>
      <w:pPr>
        <w:spacing w:after="0" w:line="224" w:lineRule="exact"/>
        <w:rPr>
          <w:rFonts w:ascii="Times New Roman" w:cs="Times New Roman" w:eastAsia="Times New Roman" w:hAnsi="Times New Roman"/>
          <w:sz w:val="18"/>
          <w:szCs w:val="18"/>
          <w:color w:val="010000"/>
        </w:rPr>
      </w:pPr>
    </w:p>
    <w:p>
      <w:pPr>
        <w:jc w:val="both"/>
        <w:ind w:firstLine="1505"/>
        <w:spacing w:after="0" w:line="265"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77" w:lineRule="exact"/>
        <w:rPr>
          <w:rFonts w:ascii="Times New Roman" w:cs="Times New Roman" w:eastAsia="Times New Roman" w:hAnsi="Times New Roman"/>
          <w:sz w:val="18"/>
          <w:szCs w:val="18"/>
          <w:color w:val="010000"/>
        </w:rPr>
      </w:pPr>
    </w:p>
    <w:p>
      <w:pPr>
        <w:jc w:val="both"/>
        <w:ind w:firstLine="1505"/>
        <w:spacing w:after="0" w:line="265"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delivered a certificate, executed on behalf of the Company by its Chief Executive Officer or its Chief Financial Officer, dated as of the Closing Date, certifying to the fulfillment of the conditions specified in subsections (a), (b), (d), (e) and (j) of this Section 6.1.</w:t>
      </w:r>
    </w:p>
    <w:p>
      <w:pPr>
        <w:spacing w:after="0" w:line="177" w:lineRule="exact"/>
        <w:rPr>
          <w:rFonts w:ascii="Times New Roman" w:cs="Times New Roman" w:eastAsia="Times New Roman" w:hAnsi="Times New Roman"/>
          <w:sz w:val="18"/>
          <w:szCs w:val="18"/>
          <w:color w:val="010000"/>
        </w:rPr>
      </w:pPr>
    </w:p>
    <w:p>
      <w:pPr>
        <w:jc w:val="both"/>
        <w:ind w:firstLine="1505"/>
        <w:spacing w:after="0" w:line="260"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delivered a certificate, executed on behalf of the Company by its Secretary, dated as of the Closing Date, certifying the resolutions adopted by the Board of Directors of the Company approving the transactions contemplated by this Agreement, the other Transaction Documents and the issuance of the Placement Securities, certifying the current versions of the Certificate of Incorporation and Bylaws of the Company and certifying as to the signatures and authority of persons signing the Transaction Documents and related documents on behalf of the Company.</w:t>
      </w:r>
    </w:p>
    <w:p>
      <w:pPr>
        <w:spacing w:after="0" w:line="181" w:lineRule="exact"/>
        <w:rPr>
          <w:rFonts w:ascii="Times New Roman" w:cs="Times New Roman" w:eastAsia="Times New Roman" w:hAnsi="Times New Roman"/>
          <w:sz w:val="18"/>
          <w:szCs w:val="18"/>
          <w:color w:val="010000"/>
        </w:rPr>
      </w:pPr>
    </w:p>
    <w:p>
      <w:pPr>
        <w:ind w:firstLine="1505"/>
        <w:spacing w:after="0" w:line="281"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shall have received an opinion from Fenwick &amp; West LLP, the Company’s counsel, dated as of the Closing Date, in form and substance reasonably acceptable to the Investors.</w:t>
      </w:r>
    </w:p>
    <w:p>
      <w:pPr>
        <w:spacing w:after="0" w:line="162"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4" w:lineRule="exact"/>
        <w:rPr>
          <w:rFonts w:ascii="Times New Roman" w:cs="Times New Roman" w:eastAsia="Times New Roman" w:hAnsi="Times New Roman"/>
          <w:sz w:val="18"/>
          <w:szCs w:val="18"/>
          <w:color w:val="010000"/>
        </w:rPr>
      </w:pPr>
    </w:p>
    <w:p>
      <w:pPr>
        <w:ind w:firstLine="1505"/>
        <w:spacing w:after="0" w:line="281" w:lineRule="auto"/>
        <w:tabs>
          <w:tab w:leader="none" w:pos="203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stop order or suspension of trading shall have been imposed by Nasdaq, the SEC or any other governmental or regulatory body with respect to public trading in the Common Stock.</w:t>
      </w:r>
    </w:p>
    <w:p>
      <w:pPr>
        <w:spacing w:after="0" w:line="163"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6.2 </w:t>
      </w:r>
      <w:r>
        <w:rPr>
          <w:rFonts w:ascii="Times New Roman" w:cs="Times New Roman" w:eastAsia="Times New Roman" w:hAnsi="Times New Roman"/>
          <w:sz w:val="18"/>
          <w:szCs w:val="18"/>
          <w:u w:val="single" w:color="auto"/>
          <w:color w:val="000000"/>
        </w:rPr>
        <w:t>Conditions to Obligations of the Company</w:t>
      </w:r>
      <w:r>
        <w:rPr>
          <w:rFonts w:ascii="Times New Roman" w:cs="Times New Roman" w:eastAsia="Times New Roman" w:hAnsi="Times New Roman"/>
          <w:sz w:val="18"/>
          <w:szCs w:val="18"/>
          <w:color w:val="000000"/>
        </w:rPr>
        <w:t>. The Company’s obligation to sell and issue the Placement Securities at the Closing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subject to the fulfillment to the satisfaction of the Company on or prior to the Closing Date of the following conditions, any of which may be waived by the Company:</w:t>
      </w:r>
    </w:p>
    <w:p>
      <w:pPr>
        <w:spacing w:after="0" w:line="177" w:lineRule="exact"/>
        <w:rPr>
          <w:sz w:val="20"/>
          <w:szCs w:val="20"/>
          <w:color w:val="auto"/>
        </w:rPr>
      </w:pPr>
    </w:p>
    <w:p>
      <w:pPr>
        <w:jc w:val="both"/>
        <w:ind w:firstLine="1505"/>
        <w:spacing w:after="0" w:line="265" w:lineRule="auto"/>
        <w:tabs>
          <w:tab w:leader="none" w:pos="2037"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made by the Investors in Section 5 hereof shall be true and correct as of the date hereof, and shall be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177"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Investor shall have executed and delivered the Registration Rights Agreement.</w:t>
      </w:r>
    </w:p>
    <w:p>
      <w:pPr>
        <w:spacing w:after="0" w:line="224" w:lineRule="exact"/>
        <w:rPr>
          <w:rFonts w:ascii="Times New Roman" w:cs="Times New Roman" w:eastAsia="Times New Roman" w:hAnsi="Times New Roman"/>
          <w:sz w:val="18"/>
          <w:szCs w:val="18"/>
          <w:color w:val="010000"/>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Investor purchasing Placement Securities at the Closing shall have paid in full its purchase price to the Company.</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010000"/>
        </w:rPr>
        <w:t>6.3</w:t>
      </w:r>
      <w:r>
        <w:rPr>
          <w:sz w:val="20"/>
          <w:szCs w:val="20"/>
          <w:color w:val="auto"/>
        </w:rPr>
        <w:tab/>
      </w:r>
      <w:r>
        <w:rPr>
          <w:rFonts w:ascii="Times New Roman" w:cs="Times New Roman" w:eastAsia="Times New Roman" w:hAnsi="Times New Roman"/>
          <w:sz w:val="17"/>
          <w:szCs w:val="17"/>
          <w:u w:val="single" w:color="auto"/>
          <w:color w:val="auto"/>
        </w:rPr>
        <w:t>Termination of Obligations to Effect Closing; Effects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7" w:name="page168"/>
    <w:bookmarkEnd w:id="167"/>
    <w:p>
      <w:pPr>
        <w:ind w:left="2040" w:hanging="535"/>
        <w:spacing w:after="0"/>
        <w:tabs>
          <w:tab w:leader="none" w:pos="2040"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obligations of the Company, on the one hand, and the Investors, on the other hand, to effect the Closing shall terminate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6" w:lineRule="exact"/>
        <w:rPr>
          <w:sz w:val="20"/>
          <w:szCs w:val="20"/>
          <w:color w:val="auto"/>
        </w:rPr>
      </w:pPr>
    </w:p>
    <w:p>
      <w:pPr>
        <w:ind w:firstLine="2254"/>
        <w:spacing w:after="0" w:line="281" w:lineRule="auto"/>
        <w:tabs>
          <w:tab w:leader="none" w:pos="2546"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the mutual written consent of the Company and Investors that agreed to purchase a majority of the Placement Securities to be issued and sold pursuant to this Agreement;</w:t>
      </w:r>
    </w:p>
    <w:p>
      <w:pPr>
        <w:spacing w:after="0" w:line="162" w:lineRule="exact"/>
        <w:rPr>
          <w:rFonts w:ascii="Times New Roman" w:cs="Times New Roman" w:eastAsia="Times New Roman" w:hAnsi="Times New Roman"/>
          <w:sz w:val="18"/>
          <w:szCs w:val="18"/>
          <w:color w:val="010000"/>
        </w:rPr>
      </w:pPr>
    </w:p>
    <w:p>
      <w:pPr>
        <w:ind w:firstLine="2254"/>
        <w:spacing w:after="0" w:line="281" w:lineRule="auto"/>
        <w:tabs>
          <w:tab w:leader="none" w:pos="2546"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the Company if any of the conditions set forth in Section 6.2 shall have become incapable of fulfillment, and shall not have been waived by the Company;</w:t>
      </w:r>
    </w:p>
    <w:p>
      <w:pPr>
        <w:spacing w:after="0" w:line="162" w:lineRule="exact"/>
        <w:rPr>
          <w:rFonts w:ascii="Times New Roman" w:cs="Times New Roman" w:eastAsia="Times New Roman" w:hAnsi="Times New Roman"/>
          <w:sz w:val="18"/>
          <w:szCs w:val="18"/>
          <w:color w:val="010000"/>
        </w:rPr>
      </w:pPr>
    </w:p>
    <w:p>
      <w:pPr>
        <w:ind w:firstLine="2254"/>
        <w:spacing w:after="0" w:line="281" w:lineRule="auto"/>
        <w:tabs>
          <w:tab w:leader="none" w:pos="2546"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an Investor (with respect to itself only) if any of the conditions set forth in Section 6.1 shall have become incapable of fulfillment, and shall not have been waived by the Investor; or</w:t>
      </w:r>
    </w:p>
    <w:p>
      <w:pPr>
        <w:spacing w:after="0" w:line="162" w:lineRule="exact"/>
        <w:rPr>
          <w:rFonts w:ascii="Times New Roman" w:cs="Times New Roman" w:eastAsia="Times New Roman" w:hAnsi="Times New Roman"/>
          <w:sz w:val="18"/>
          <w:szCs w:val="18"/>
          <w:color w:val="010000"/>
        </w:rPr>
      </w:pPr>
    </w:p>
    <w:p>
      <w:pPr>
        <w:ind w:firstLine="2254"/>
        <w:spacing w:after="0" w:line="281" w:lineRule="auto"/>
        <w:tabs>
          <w:tab w:leader="none" w:pos="2546"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either the Company or any Investor (with respect to itself only) if the Closing has not occurred on or prior to the third Trading Day following the date of this Agreement;</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provided, however,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77" w:lineRule="exact"/>
        <w:rPr>
          <w:sz w:val="20"/>
          <w:szCs w:val="20"/>
          <w:color w:val="auto"/>
        </w:rPr>
      </w:pPr>
    </w:p>
    <w:p>
      <w:pPr>
        <w:jc w:val="both"/>
        <w:ind w:firstLine="1505"/>
        <w:spacing w:after="0" w:line="258" w:lineRule="auto"/>
        <w:tabs>
          <w:tab w:leader="none" w:pos="2037" w:val="left"/>
        </w:tabs>
        <w:numPr>
          <w:ilvl w:val="1"/>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1" w:lineRule="exact"/>
        <w:rPr>
          <w:rFonts w:ascii="Times New Roman" w:cs="Times New Roman" w:eastAsia="Times New Roman" w:hAnsi="Times New Roman"/>
          <w:sz w:val="18"/>
          <w:szCs w:val="18"/>
          <w:color w:val="010000"/>
        </w:rPr>
      </w:pPr>
    </w:p>
    <w:p>
      <w:pPr>
        <w:ind w:left="1020" w:hanging="263"/>
        <w:spacing w:after="0"/>
        <w:tabs>
          <w:tab w:leader="none" w:pos="102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Covenants and Agreements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010000"/>
        </w:rPr>
        <w:t>7.1</w:t>
      </w:r>
      <w:r>
        <w:rPr>
          <w:sz w:val="20"/>
          <w:szCs w:val="20"/>
          <w:color w:val="auto"/>
        </w:rPr>
        <w:tab/>
      </w:r>
      <w:r>
        <w:rPr>
          <w:rFonts w:ascii="Times New Roman" w:cs="Times New Roman" w:eastAsia="Times New Roman" w:hAnsi="Times New Roman"/>
          <w:sz w:val="17"/>
          <w:szCs w:val="17"/>
          <w:u w:val="single" w:color="auto"/>
          <w:color w:val="auto"/>
        </w:rPr>
        <w:t>Removal of Legends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505"/>
        <w:spacing w:after="0" w:line="255" w:lineRule="auto"/>
        <w:tabs>
          <w:tab w:leader="none" w:pos="2037" w:val="left"/>
        </w:tabs>
        <w:numPr>
          <w:ilvl w:val="1"/>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any sale, assignment, transfer or other disposition of the Warrant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remove any restrictive legends related to the book entry account holding such Warrant Shares and make a new, unlegended entry for such book entry shares sold or disposed of without restrictive legends within two (2) Trading Days of any such request therefor from such Investor, provided that the Company has timely received from the Investor customary representations and such other customary documentation reasonably acceptable to the Company in connection therewith.</w:t>
      </w:r>
    </w:p>
    <w:p>
      <w:pPr>
        <w:spacing w:after="0" w:line="186"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2037" w:val="left"/>
        </w:tabs>
        <w:numPr>
          <w:ilvl w:val="1"/>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receipt from the Investor by the Company of the customary representations and such other customary documentation reasonably acceptable to the Company (which the Company shall promptly deliver to the Transfer Agent), upon the earliest of such time as the Warrant Shares (i) have been sold or transferred pursuant to an effective registration statement, (ii) have been sold pursuant to Rule 144, or (iii) are eligible for resale under Rule 144(b)(1) or any successor provision, the Company shall, in accordance with the provisions of this Section 7.1(b) and within two (2) Trading Days of any request therefor from an Investor accompanied by such customary and reasonably acceptable documentation referred to above, (A) deliver to the Transfer Agent irrevocable instructions that the Transfer Agent shall make a new, unlegended entry for such book entry Warrant Shares, and</w:t>
      </w:r>
    </w:p>
    <w:p>
      <w:pPr>
        <w:spacing w:after="0" w:line="3" w:lineRule="exact"/>
        <w:rPr>
          <w:rFonts w:ascii="Times New Roman" w:cs="Times New Roman" w:eastAsia="Times New Roman" w:hAnsi="Times New Roman"/>
          <w:sz w:val="18"/>
          <w:szCs w:val="18"/>
          <w:color w:val="010000"/>
        </w:rPr>
      </w:pPr>
    </w:p>
    <w:p>
      <w:pPr>
        <w:jc w:val="both"/>
        <w:ind w:firstLine="8"/>
        <w:spacing w:after="0" w:line="253" w:lineRule="auto"/>
        <w:tabs>
          <w:tab w:leader="none" w:pos="29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At the direction of the Investor, Warrant Shares subject to legend removal hereunder may be transmitted by the Transfer Agent to the Investor by crediting the account of the Investor’s</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8" w:name="page169"/>
    <w:bookmarkEnd w:id="168"/>
    <w:p>
      <w:pPr>
        <w:spacing w:after="0" w:line="281" w:lineRule="auto"/>
        <w:rPr>
          <w:sz w:val="20"/>
          <w:szCs w:val="20"/>
          <w:color w:val="auto"/>
        </w:rPr>
      </w:pPr>
      <w:r>
        <w:rPr>
          <w:rFonts w:ascii="Times New Roman" w:cs="Times New Roman" w:eastAsia="Times New Roman" w:hAnsi="Times New Roman"/>
          <w:sz w:val="18"/>
          <w:szCs w:val="18"/>
          <w:color w:val="auto"/>
        </w:rPr>
        <w:t>prime broker with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system as directed by such Investor. The Company shall be responsible for the fees of its Transfer Agent and all DTC fees associated with such issuance.</w:t>
      </w:r>
    </w:p>
    <w:p>
      <w:pPr>
        <w:spacing w:after="0" w:line="163" w:lineRule="exact"/>
        <w:rPr>
          <w:sz w:val="20"/>
          <w:szCs w:val="20"/>
          <w:color w:val="auto"/>
        </w:rPr>
      </w:pPr>
    </w:p>
    <w:p>
      <w:pPr>
        <w:jc w:val="both"/>
        <w:ind w:firstLine="1505"/>
        <w:spacing w:after="0" w:line="256" w:lineRule="auto"/>
        <w:tabs>
          <w:tab w:leader="none" w:pos="2037"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Investor, severally and not jointly with the other Investors, agrees with the Company (i) that such Investor will sell any Securities only pursuant to either the registration requirements of the 1933 Act, including any applicable prospectus delivery requirements, or an exemption therefrom, (ii) that if Warrant Shares are sold pursuant to a registration statement, they will be sold in compliance with the plan of distribution set forth therein and (iii) that if, after the effective date of the registration statement covering the resale of the Warrant Shares, such registration statement ceases to be effective and the Company has provided notice to such Investor to that effect, such Investor will sell the Warrant Shares only in compliance with an exemption from the registration requirements of the 1933 Act.</w:t>
      </w:r>
    </w:p>
    <w:p>
      <w:pPr>
        <w:spacing w:after="0" w:line="185"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2037"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The Company acknowledges that a breach by it of its obligations under this Section 7.1 will cause irreparable harm to an Investor. Accordingly, the Company acknowledges that the remedy at law for a breach of its obligations under this Section 7.1 will be inadequate and agrees, in the event of a breach or threatened breach by the Company of the provisions of this Section 7.1, that an Investor shall be entitled, in addition to all other available remedies, to an order and/or injunction restraining any breach and requiring immediate issuance and transfer, without the necessity of showing economic loss and without any bond or other security being required, to the extent permitted by applicable law.</w:t>
      </w:r>
    </w:p>
    <w:p>
      <w:pPr>
        <w:spacing w:after="0" w:line="18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010000"/>
        </w:rPr>
        <w:t>7.2</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505"/>
        <w:spacing w:after="0" w:line="253" w:lineRule="auto"/>
        <w:tabs>
          <w:tab w:leader="none" w:pos="2037"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the date hereof until thirty (30) days following the Closing Date, without the consent of the Investors (which consent shall not be unreasonably withheld),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1933 Act relating to any shares of Common Stock or Common Stock Equivalents, except pursuant to the terms of the Registration Rights Agreement and any other agreements to which the Company is currently a party. Notwithstanding the foregoing, the provisions of this Section 7.2 shall not apply to (i) the issuance of the Securities hereunder, (ii) the issuance of Common Stock or Common Stock Equivalents upon the conversion or exercise of any securities of the Company outstanding on the date hereof or outstanding pursuant to clause (iii) below, (iii) the issuance of any Common Stock or Common Stock Equivalents pursuant to any Company stock-based compensation plans or in accordance with Nasdaq Stock Market Rule 5635(c)(4), or (iv) the filing of a registration statement on Form S-8 under the 1933 Act to register the offer and sale of securities on an equity incentive plan or employee stock purchase plan.</w:t>
      </w:r>
    </w:p>
    <w:p>
      <w:pPr>
        <w:spacing w:after="0" w:line="19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2037"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Placement Securities in a manner that would require the registration under the 1933 Act of the sale of the Placement Securities to the Investors, or that will be integrated with the offer or sale of the Placement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6"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u w:val="single" w:color="auto"/>
          <w:color w:val="000000"/>
        </w:rPr>
        <w:t>Short Sales and Confidentiality After the Date Hereof</w:t>
      </w:r>
      <w:r>
        <w:rPr>
          <w:rFonts w:ascii="Times New Roman" w:cs="Times New Roman" w:eastAsia="Times New Roman" w:hAnsi="Times New Roman"/>
          <w:sz w:val="18"/>
          <w:szCs w:val="18"/>
          <w:color w:val="000000"/>
        </w:rPr>
        <w:t>. Each Investor covenants that neither it nor any Affiliates acting on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behalf or pursuant to any understanding with it will trade in the securities of the Company or execute any Short Sales during the period from the date hereof until the earlier of such time as (i) the transactions contemplated by this Agreement are first publicly announced or (ii) this Agreement is terminated in full. Each Investor covenants that until such time as the transactions contemplated by this Agreement are publicly disclosed by the Company, such Investor and its Affiliates will maintain the confidentiality of the existence and terms of this Agreement,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Each Investor understands and acknowledges that the SEC currently takes the position that coverage of Short Sales of shares of the Common Stock “against the box” prior to effectiveness of a resale registration statement with securities included in such registration statement would be a violation of Section 5 of the 1933 Act, as set forth in Item 239.10 of the</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Securities Act Sections Compliance and Disclosure Interpretations compiled by the Office of Chief Counsel, Division of Corporation Finance.</w:t>
      </w:r>
    </w:p>
    <w:p>
      <w:pPr>
        <w:spacing w:after="0" w:line="225"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u w:val="single" w:color="auto"/>
          <w:color w:val="000000"/>
        </w:rPr>
        <w:t>Nasdaq Listing</w:t>
      </w:r>
      <w:r>
        <w:rPr>
          <w:rFonts w:ascii="Times New Roman" w:cs="Times New Roman" w:eastAsia="Times New Roman" w:hAnsi="Times New Roman"/>
          <w:sz w:val="18"/>
          <w:szCs w:val="18"/>
          <w:color w:val="000000"/>
        </w:rPr>
        <w:t>. The Company will use commercially reasonable efforts to continue the listing and trading of its Common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177" w:lineRule="exact"/>
        <w:rPr>
          <w:sz w:val="20"/>
          <w:szCs w:val="20"/>
          <w:color w:val="auto"/>
        </w:rPr>
      </w:pPr>
    </w:p>
    <w:p>
      <w:pPr>
        <w:ind w:left="1020" w:hanging="263"/>
        <w:spacing w:after="0"/>
        <w:tabs>
          <w:tab w:leader="none" w:pos="1020"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Survival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8.1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The representations, warranties, covenants and agreements contained in this Agreement shall survive the Closing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transactions contemplated by this Agreement for the applicable statute of limitations.</w:t>
      </w:r>
    </w:p>
    <w:p>
      <w:pPr>
        <w:spacing w:after="0" w:line="163"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8"/>
          <w:szCs w:val="18"/>
          <w:color w:val="010000"/>
        </w:rPr>
        <w:t xml:space="preserve">8.2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 The Company agrees to indemnify and hold harmless each Investor and its Affiliates, and their respective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solely to the extent such amounts have been finally judicially determined not to have resulted from such Person’s fraud or willful misconduct.</w:t>
      </w:r>
    </w:p>
    <w:p>
      <w:pPr>
        <w:spacing w:after="0" w:line="185"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8.3 </w:t>
      </w:r>
      <w:r>
        <w:rPr>
          <w:rFonts w:ascii="Times New Roman" w:cs="Times New Roman" w:eastAsia="Times New Roman" w:hAnsi="Times New Roman"/>
          <w:sz w:val="18"/>
          <w:szCs w:val="18"/>
          <w:u w:val="single" w:color="auto"/>
          <w:color w:val="000000"/>
        </w:rPr>
        <w:t>Conduct of Indemnification Proceedings</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person entitled to indemnification hereunder shall (i) give prompt written notice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consent shall not be unreasonably withheld, conditioned or delayed, consent to entry of any judgment or enter into any settlement.</w:t>
      </w:r>
    </w:p>
    <w:p>
      <w:pPr>
        <w:spacing w:after="0" w:line="193" w:lineRule="exact"/>
        <w:rPr>
          <w:sz w:val="20"/>
          <w:szCs w:val="20"/>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9.1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This Agreement may not be assigned by a party hereto without the prior written consent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or each of the Investors, as applicable, provided, however, that an Investor may assign its rights and delegate its duties hereunder in whole or in part to an Affiliate or to a third party acquiring some or all of its Securities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0" w:name="page171"/>
    <w:bookmarkEnd w:id="170"/>
    <w:p>
      <w:pPr>
        <w:jc w:val="both"/>
        <w:spacing w:after="0" w:line="255" w:lineRule="auto"/>
        <w:rPr>
          <w:sz w:val="20"/>
          <w:szCs w:val="20"/>
          <w:color w:val="auto"/>
        </w:rPr>
      </w:pPr>
      <w:r>
        <w:rPr>
          <w:rFonts w:ascii="Times New Roman" w:cs="Times New Roman" w:eastAsia="Times New Roman" w:hAnsi="Times New Roman"/>
          <w:sz w:val="18"/>
          <w:szCs w:val="18"/>
          <w:color w:val="auto"/>
        </w:rPr>
        <w:t>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87"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8"/>
          <w:szCs w:val="18"/>
          <w:color w:val="010000"/>
        </w:rPr>
        <w:t xml:space="preserve">9.2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one or more counterparts, each of which shall be deemed an original, but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82"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9.3 </w:t>
      </w:r>
      <w:r>
        <w:rPr>
          <w:rFonts w:ascii="Times New Roman" w:cs="Times New Roman" w:eastAsia="Times New Roman" w:hAnsi="Times New Roman"/>
          <w:sz w:val="18"/>
          <w:szCs w:val="18"/>
          <w:u w:val="single" w:color="auto"/>
          <w:color w:val="000000"/>
        </w:rPr>
        <w:t>Titles and Subtitles</w:t>
      </w:r>
      <w:r>
        <w:rPr>
          <w:rFonts w:ascii="Times New Roman" w:cs="Times New Roman" w:eastAsia="Times New Roman" w:hAnsi="Times New Roman"/>
          <w:sz w:val="18"/>
          <w:szCs w:val="18"/>
          <w:color w:val="000000"/>
        </w:rPr>
        <w:t>. The titles and subtitles used in this Agreement are used for convenience only and are not to be considered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construing or interpreting this Agreement.</w:t>
      </w:r>
    </w:p>
    <w:p>
      <w:pPr>
        <w:spacing w:after="0" w:line="163"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8"/>
          <w:szCs w:val="18"/>
          <w:color w:val="010000"/>
        </w:rPr>
        <w:t xml:space="preserve">9.4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Unless otherwise provided, any notice required or permitted under this Agreement shall be given in writing and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deemed effectively given as hereinafter described (i) if given by personal delivery, then such notice shall be deemed given upon such delivery, (ii) if given by facsimile or e-mail, then such notice shall be deemed given upon receipt of confirmation of complete facsimile transmittal or confirmation of receipt of an e-mail transmission, (iii) if given by mail, then such notice shall be deemed given upon the earlier of (A) receipt of such notice by the recipient or (B) three (3) days after such notice is deposited in first class mail, postage prepaid, and (iv) if given by an internationally recognized overnight air courier, then such notice shall be deemed given one (1) Business Day after delivery to such carrier. All notices shall be addressed to the party to be notified at the address as follows, or at such other address as such party may designate by ten (10) days’ advance written notice to the other party:</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Prelude Therapeutics Incorporated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175 Innovation Boulevard</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Wilmington, DE 19803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Fenwick &amp; West LLP</w:t>
      </w:r>
    </w:p>
    <w:p>
      <w:pPr>
        <w:ind w:left="1500"/>
        <w:spacing w:after="0" w:line="224" w:lineRule="auto"/>
        <w:rPr>
          <w:sz w:val="20"/>
          <w:szCs w:val="20"/>
          <w:color w:val="auto"/>
        </w:rPr>
      </w:pPr>
      <w:r>
        <w:rPr>
          <w:rFonts w:ascii="Times New Roman" w:cs="Times New Roman" w:eastAsia="Times New Roman" w:hAnsi="Times New Roman"/>
          <w:sz w:val="18"/>
          <w:szCs w:val="18"/>
          <w:color w:val="auto"/>
        </w:rPr>
        <w:t>401 Union Street,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ind w:left="1500"/>
        <w:spacing w:after="0"/>
        <w:rPr>
          <w:sz w:val="20"/>
          <w:szCs w:val="20"/>
          <w:color w:val="auto"/>
        </w:rPr>
      </w:pPr>
      <w:r>
        <w:rPr>
          <w:rFonts w:ascii="Times New Roman" w:cs="Times New Roman" w:eastAsia="Times New Roman" w:hAnsi="Times New Roman"/>
          <w:sz w:val="18"/>
          <w:szCs w:val="18"/>
          <w:color w:val="auto"/>
        </w:rPr>
        <w:t>Seattle, WA</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A. Freedman; Julia Forbess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the Investors:</w:t>
      </w:r>
    </w:p>
    <w:p>
      <w:pPr>
        <w:spacing w:after="0" w:line="225" w:lineRule="exact"/>
        <w:rPr>
          <w:sz w:val="20"/>
          <w:szCs w:val="20"/>
          <w:color w:val="auto"/>
        </w:rPr>
      </w:pPr>
    </w:p>
    <w:p>
      <w:pPr>
        <w:ind w:left="1860" w:hanging="355"/>
        <w:spacing w:after="0"/>
        <w:tabs>
          <w:tab w:leader="none" w:pos="18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-7620</wp:posOffset>
            </wp:positionV>
            <wp:extent cx="1898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7" w:lineRule="exact"/>
        <w:rPr>
          <w:sz w:val="20"/>
          <w:szCs w:val="20"/>
          <w:color w:val="auto"/>
        </w:rPr>
      </w:pPr>
    </w:p>
    <w:p>
      <w:pPr>
        <w:ind w:left="1860" w:hanging="355"/>
        <w:spacing w:after="0"/>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-156845</wp:posOffset>
            </wp:positionV>
            <wp:extent cx="1898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18986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-19685</wp:posOffset>
            </wp:positionV>
            <wp:extent cx="1898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860" w:hanging="355"/>
        <w:spacing w:after="0"/>
        <w:tabs>
          <w:tab w:leader="none" w:pos="1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-156845</wp:posOffset>
            </wp:positionV>
            <wp:extent cx="1898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18986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-19685</wp:posOffset>
            </wp:positionV>
            <wp:extent cx="1898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1" w:name="page172"/>
    <w:bookmarkEnd w:id="171"/>
    <w:p>
      <w:pPr>
        <w:ind w:left="1860" w:hanging="355"/>
        <w:spacing w:after="0"/>
        <w:tabs>
          <w:tab w:leader="none" w:pos="18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-156845</wp:posOffset>
            </wp:positionV>
            <wp:extent cx="1898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189865"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-19685</wp:posOffset>
            </wp:positionV>
            <wp:extent cx="1898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6"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9.5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The parties hereto shall pay their own costs and expenses in connection herewith regardless of whether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contemplated hereby are consummated, except that the Company has agreed to reimburse the Investors in an aggregate amount of up to $100,000 for Investors’ reasonable and documented legal fees at the time of Closing.</w:t>
      </w:r>
    </w:p>
    <w:p>
      <w:pPr>
        <w:spacing w:after="0" w:line="177"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8"/>
          <w:szCs w:val="18"/>
          <w:color w:val="010000"/>
        </w:rPr>
        <w:t xml:space="preserve">9.6 </w:t>
      </w:r>
      <w:r>
        <w:rPr>
          <w:rFonts w:ascii="Times New Roman" w:cs="Times New Roman" w:eastAsia="Times New Roman" w:hAnsi="Times New Roman"/>
          <w:sz w:val="18"/>
          <w:szCs w:val="18"/>
          <w:u w:val="single" w:color="auto"/>
          <w:color w:val="000000"/>
        </w:rPr>
        <w:t>Amendments and Waivers</w:t>
      </w:r>
      <w:r>
        <w:rPr>
          <w:rFonts w:ascii="Times New Roman" w:cs="Times New Roman" w:eastAsia="Times New Roman" w:hAnsi="Times New Roman"/>
          <w:sz w:val="18"/>
          <w:szCs w:val="18"/>
          <w:color w:val="000000"/>
        </w:rPr>
        <w:t>. Prior to Closing, no amendment or waiver of any provision of this Agreement will be effective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that signed such amendment or waiver and (ii) following the Closing, each holder of any Securities purchased under this Agreement at the time outstanding, and in each case, each future holder of all such Securities and the Company.</w:t>
      </w:r>
    </w:p>
    <w:p>
      <w:pPr>
        <w:spacing w:after="0" w:line="189"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18"/>
          <w:szCs w:val="18"/>
          <w:color w:val="010000"/>
        </w:rPr>
        <w:t xml:space="preserve">9.7 </w:t>
      </w:r>
      <w:r>
        <w:rPr>
          <w:rFonts w:ascii="Times New Roman" w:cs="Times New Roman" w:eastAsia="Times New Roman" w:hAnsi="Times New Roman"/>
          <w:sz w:val="18"/>
          <w:szCs w:val="18"/>
          <w:u w:val="single" w:color="auto"/>
          <w:color w:val="000000"/>
        </w:rPr>
        <w:t>Publicity</w:t>
      </w:r>
      <w:r>
        <w:rPr>
          <w:rFonts w:ascii="Times New Roman" w:cs="Times New Roman" w:eastAsia="Times New Roman" w:hAnsi="Times New Roman"/>
          <w:sz w:val="18"/>
          <w:szCs w:val="18"/>
          <w:color w:val="000000"/>
        </w:rPr>
        <w:t>. Except as set forth below, no public release or announcement concerning the transactions contemplated hereby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issued by the Investors without the prior consent of the Company, except as such release or announcement may be required by law or the applicable rules or regulations of any securities exchange or securities market, in which case the Investors shall allow the Company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No later than the Business Day immediately following the date hereof, the Company shall issue a press release disclosing all material terms of the transactions contemplated by this Agreement and any material nonpublic information that the Company may have provided any Investor in connection with the transactions contemplated by this Agreement at any time prior to the issuance of the press release (the “</w:t>
      </w:r>
      <w:r>
        <w:rPr>
          <w:rFonts w:ascii="Times New Roman" w:cs="Times New Roman" w:eastAsia="Times New Roman" w:hAnsi="Times New Roman"/>
          <w:sz w:val="18"/>
          <w:szCs w:val="18"/>
          <w:u w:val="single" w:color="auto"/>
          <w:color w:val="000000"/>
        </w:rPr>
        <w:t>Press Release</w:t>
      </w:r>
      <w:r>
        <w:rPr>
          <w:rFonts w:ascii="Times New Roman" w:cs="Times New Roman" w:eastAsia="Times New Roman" w:hAnsi="Times New Roman"/>
          <w:sz w:val="18"/>
          <w:szCs w:val="18"/>
          <w:color w:val="000000"/>
        </w:rPr>
        <w:t>”). In addition, the Company will make such other filings and notices in the manner and time required by the SEC or Nasdaq.</w:t>
      </w:r>
    </w:p>
    <w:p>
      <w:pPr>
        <w:spacing w:after="0" w:line="186"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8"/>
          <w:szCs w:val="18"/>
          <w:color w:val="010000"/>
        </w:rPr>
        <w:t xml:space="preserve">9.8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this Agreement that is prohibited or unenforceable in any jurisdiction shall, as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82"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010000"/>
        </w:rPr>
        <w:t xml:space="preserve">9.9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including the signature pages and Exhibits, and the other Transaction Documents between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and each Investor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77"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9.10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The parties shall execute and deliver all such further instruments and documents and take all such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actions as may reasonably be required to carry out the transactions contemplated hereby and to evidence the fulfillment of the agreements herein contained.</w:t>
      </w:r>
    </w:p>
    <w:p>
      <w:pPr>
        <w:spacing w:after="0" w:line="163"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010000"/>
        </w:rPr>
        <w:t xml:space="preserve">9.11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shall be governed by, and construed in accordance with, the laws of the State of New York.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Service of process in connection with any such suit, action or proceeding may be</w:t>
      </w: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served on each party hereto anywhere in the world by the same methods as are specified for the giving of notices under this Agreement.</w:t>
      </w:r>
    </w:p>
    <w:p>
      <w:pPr>
        <w:spacing w:after="0" w:line="225"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8"/>
          <w:szCs w:val="18"/>
          <w:color w:val="010000"/>
        </w:rPr>
        <w:t xml:space="preserve">9.12 </w:t>
      </w:r>
      <w:r>
        <w:rPr>
          <w:rFonts w:ascii="Times New Roman" w:cs="Times New Roman" w:eastAsia="Times New Roman" w:hAnsi="Times New Roman"/>
          <w:sz w:val="18"/>
          <w:szCs w:val="18"/>
          <w:u w:val="single" w:color="auto"/>
          <w:color w:val="000000"/>
        </w:rPr>
        <w:t>Independent Nature of Investors’ Obligations and Rights</w:t>
      </w:r>
      <w:r>
        <w:rPr>
          <w:rFonts w:ascii="Times New Roman" w:cs="Times New Roman" w:eastAsia="Times New Roman" w:hAnsi="Times New Roman"/>
          <w:sz w:val="18"/>
          <w:szCs w:val="18"/>
          <w:color w:val="000000"/>
        </w:rPr>
        <w:t>. The obligations of each Investor under any Transaction Document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are several and not joint with the obligations of any other Investor, and no Investor shall be responsible in any way for the performance of the obligations of any other Investor under any Transaction Document. The decision of each Investor to purchase Placement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Securities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3" w:name="page174"/>
    <w:bookmarkEnd w:id="173"/>
    <w:p>
      <w:pPr>
        <w:ind w:firstLine="749"/>
        <w:spacing w:after="0" w:line="281"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or caused their duly authorized officers to execute this Agreement as of the date first above written.</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94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w w:val="98"/>
              </w:rPr>
              <w:t>PRELUDE THERAPEUTICS INCORPORATED</w:t>
            </w:r>
          </w:p>
        </w:tc>
      </w:tr>
      <w:tr>
        <w:trPr>
          <w:trHeight w:val="607"/>
        </w:trPr>
        <w:tc>
          <w:tcPr>
            <w:tcW w:w="3280" w:type="dxa"/>
            <w:vAlign w:val="bottom"/>
          </w:tcPr>
          <w:p>
            <w:pPr>
              <w:spacing w:after="0"/>
              <w:rPr>
                <w:sz w:val="24"/>
                <w:szCs w:val="24"/>
                <w:color w:val="auto"/>
              </w:rPr>
            </w:pPr>
          </w:p>
        </w:tc>
        <w:tc>
          <w:tcPr>
            <w:tcW w:w="34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2520" w:type="dxa"/>
            <w:vAlign w:val="bottom"/>
          </w:tcPr>
          <w:p>
            <w:pPr>
              <w:spacing w:after="0"/>
              <w:rPr>
                <w:sz w:val="24"/>
                <w:szCs w:val="24"/>
                <w:color w:val="auto"/>
              </w:rPr>
            </w:pPr>
          </w:p>
        </w:tc>
      </w:tr>
      <w:tr>
        <w:trPr>
          <w:trHeight w:val="218"/>
        </w:trPr>
        <w:tc>
          <w:tcPr>
            <w:tcW w:w="3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Krishna Vaddi</w:t>
            </w:r>
          </w:p>
        </w:tc>
      </w:tr>
      <w:tr>
        <w:trPr>
          <w:trHeight w:val="234"/>
        </w:trPr>
        <w:tc>
          <w:tcPr>
            <w:tcW w:w="3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signature page to Securities Purchase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4" w:name="page175"/>
    <w:bookmarkEnd w:id="174"/>
    <w:p>
      <w:pPr>
        <w:ind w:firstLine="749"/>
        <w:spacing w:after="0" w:line="281"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or caused their duly authorized officers to execute this Agreement as of the date first above written.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5403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5403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Investor signature page to Securities Purchase Agreement</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IF " DOCVARIABLE "SWDocIDLocation" 1" = "1" " DOCPROPERTY "SWDocID" </w:t>
      </w:r>
      <w:r>
        <w:rPr>
          <w:rFonts w:ascii="Times New Roman" w:cs="Times New Roman" w:eastAsia="Times New Roman" w:hAnsi="Times New Roman"/>
          <w:sz w:val="14"/>
          <w:szCs w:val="14"/>
          <w:color w:val="auto"/>
        </w:rPr>
        <w:t>ACTIVEUS 202092000v.2</w:t>
      </w: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2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2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Schedule of Investors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 Warrant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Shares Underlying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 Purchase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Pre-Funded Warrant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 of Pre-Funded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 Name</w:t>
            </w:r>
          </w:p>
        </w:tc>
        <w:tc>
          <w:tcPr>
            <w:tcW w:w="3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7"/>
                <w:szCs w:val="17"/>
                <w:color w:val="auto"/>
              </w:rPr>
            </w:pPr>
          </w:p>
        </w:tc>
        <w:tc>
          <w:tcPr>
            <w:tcW w:w="2620" w:type="dxa"/>
            <w:vAlign w:val="bottom"/>
          </w:tcPr>
          <w:p>
            <w:pPr>
              <w:jc w:val="right"/>
              <w:ind w:right="2478"/>
              <w:spacing w:after="0"/>
              <w:rPr>
                <w:sz w:val="20"/>
                <w:szCs w:val="20"/>
                <w:color w:val="auto"/>
              </w:rPr>
            </w:pPr>
            <w:r>
              <w:rPr>
                <w:rFonts w:ascii="Times New Roman" w:cs="Times New Roman" w:eastAsia="Times New Roman" w:hAnsi="Times New Roman"/>
                <w:sz w:val="16"/>
                <w:szCs w:val="16"/>
                <w:color w:val="auto"/>
                <w:w w:val="74"/>
              </w:rPr>
              <w:t>]</w:t>
            </w:r>
          </w:p>
        </w:tc>
        <w:tc>
          <w:tcPr>
            <w:tcW w:w="422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4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2620" w:type="dxa"/>
            <w:vAlign w:val="bottom"/>
          </w:tcPr>
          <w:p>
            <w:pPr>
              <w:jc w:val="right"/>
              <w:ind w:right="2478"/>
              <w:spacing w:after="0"/>
              <w:rPr>
                <w:sz w:val="20"/>
                <w:szCs w:val="20"/>
                <w:color w:val="auto"/>
              </w:rPr>
            </w:pPr>
            <w:r>
              <w:rPr>
                <w:rFonts w:ascii="Times New Roman" w:cs="Times New Roman" w:eastAsia="Times New Roman" w:hAnsi="Times New Roman"/>
                <w:sz w:val="16"/>
                <w:szCs w:val="16"/>
                <w:color w:val="auto"/>
                <w:w w:val="74"/>
              </w:rPr>
              <w:t>]</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20" w:type="dxa"/>
            <w:vAlign w:val="bottom"/>
            <w:vMerge w:val="restart"/>
          </w:tcPr>
          <w:p>
            <w:pPr>
              <w:jc w:val="right"/>
              <w:ind w:right="163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vMerge w:val="continue"/>
          </w:tcPr>
          <w:p>
            <w:pPr>
              <w:spacing w:after="0"/>
              <w:rPr>
                <w:sz w:val="19"/>
                <w:szCs w:val="19"/>
                <w:color w:val="auto"/>
              </w:rPr>
            </w:pP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9"/>
        </w:trPr>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1042035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LIST OF SUBSIDIARIES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date of this Annual Report on Form 10-K, Prelude Therapeutics Incorporated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3" w:right="3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51" w:lineRule="exact"/>
        <w:rPr>
          <w:sz w:val="20"/>
          <w:szCs w:val="20"/>
          <w:color w:val="auto"/>
        </w:rPr>
      </w:pPr>
    </w:p>
    <w:p>
      <w:pPr>
        <w:ind w:left="760" w:right="40" w:hanging="378"/>
        <w:spacing w:after="0" w:line="281" w:lineRule="auto"/>
        <w:tabs>
          <w:tab w:leader="none" w:pos="760" w:val="left"/>
        </w:tabs>
        <w:numPr>
          <w:ilvl w:val="0"/>
          <w:numId w:val="11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333-249032) pertaining to the 2016 Stock Incentive Plan, 2020 Equity Incentive Plan, and 2020 Employee Stock Purchase Plan of Prelude Therapeutics Incorporated,</w:t>
      </w:r>
    </w:p>
    <w:p>
      <w:pPr>
        <w:spacing w:after="0" w:line="189" w:lineRule="exact"/>
        <w:rPr>
          <w:rFonts w:ascii="Times New Roman" w:cs="Times New Roman" w:eastAsia="Times New Roman" w:hAnsi="Times New Roman"/>
          <w:sz w:val="18"/>
          <w:szCs w:val="18"/>
          <w:color w:val="333333"/>
        </w:rPr>
      </w:pPr>
    </w:p>
    <w:p>
      <w:pPr>
        <w:ind w:left="760" w:right="540" w:hanging="378"/>
        <w:spacing w:after="0" w:line="281" w:lineRule="auto"/>
        <w:tabs>
          <w:tab w:leader="none" w:pos="760" w:val="left"/>
        </w:tabs>
        <w:numPr>
          <w:ilvl w:val="0"/>
          <w:numId w:val="11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Nos. 333-254349, 333-263642, and 333-270549) pertaining to the 2020 Equity Incentive Plan and 2020 Employee Stock Purchase Plan of Prelude Therapeutics Incorporated, and</w:t>
      </w:r>
    </w:p>
    <w:p>
      <w:pPr>
        <w:spacing w:after="0" w:line="18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11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333-261019) of Prelude Therapeutics Incorporated;</w:t>
      </w:r>
    </w:p>
    <w:p>
      <w:pPr>
        <w:spacing w:after="0" w:line="25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333333"/>
        </w:rPr>
        <w:t>of our report dated February 15, 2024, with respect to the financial statements of Prelude Therapeutics Incorporated included in this Annual Report (Form 10-K) of Prelude Therapeutics Incorporated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1508125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117"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380" w:right="140" w:firstLine="2"/>
        <w:spacing w:after="0" w:line="265" w:lineRule="auto"/>
        <w:tabs>
          <w:tab w:leader="none" w:pos="62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380" w:right="360" w:firstLine="2"/>
        <w:spacing w:after="0" w:line="265" w:lineRule="auto"/>
        <w:tabs>
          <w:tab w:leader="none" w:pos="63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380" w:right="920" w:firstLine="2"/>
        <w:spacing w:after="0" w:line="312" w:lineRule="auto"/>
        <w:tabs>
          <w:tab w:leader="none" w:pos="624"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80" w:firstLine="2"/>
        <w:spacing w:after="0" w:line="265" w:lineRule="auto"/>
        <w:tabs>
          <w:tab w:leader="none" w:pos="63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380" w:right="320" w:firstLine="2"/>
        <w:spacing w:after="0" w:line="281" w:lineRule="auto"/>
        <w:tabs>
          <w:tab w:leader="none" w:pos="62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260" w:firstLine="2"/>
        <w:spacing w:after="0" w:line="281" w:lineRule="auto"/>
        <w:tabs>
          <w:tab w:leader="none" w:pos="63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35617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117"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380" w:right="140" w:firstLine="2"/>
        <w:spacing w:after="0" w:line="265" w:lineRule="auto"/>
        <w:tabs>
          <w:tab w:leader="none" w:pos="62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380" w:right="360" w:firstLine="2"/>
        <w:spacing w:after="0" w:line="265" w:lineRule="auto"/>
        <w:tabs>
          <w:tab w:leader="none" w:pos="63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380" w:right="920" w:firstLine="2"/>
        <w:spacing w:after="0" w:line="312" w:lineRule="auto"/>
        <w:tabs>
          <w:tab w:leader="none" w:pos="624"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80" w:firstLine="2"/>
        <w:spacing w:after="0" w:line="265" w:lineRule="auto"/>
        <w:tabs>
          <w:tab w:leader="none" w:pos="63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6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380" w:right="320" w:firstLine="2"/>
        <w:spacing w:after="0" w:line="281" w:lineRule="auto"/>
        <w:tabs>
          <w:tab w:leader="none" w:pos="62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380" w:right="260" w:firstLine="2"/>
        <w:spacing w:after="0" w:line="281" w:lineRule="auto"/>
        <w:tabs>
          <w:tab w:leader="none" w:pos="63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35617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Laurent Chardonnet</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900" w:right="720" w:hanging="447"/>
        <w:spacing w:after="0" w:line="281"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900" w:right="760" w:hanging="447"/>
        <w:spacing w:after="0" w:line="281"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15, 2024</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 Vaddi</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Krishna Vaddi, Ph.D.</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949"/>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760" w:right="860" w:hanging="378"/>
        <w:spacing w:after="0" w:line="281"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15, 2024</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Chardonnet</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Laurent Chardonnet</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1949"/>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97.1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prelude therapeutics incorporated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ecovery</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(Adopted September 2023)</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Policy is designed to comply with Rule 10D-1 of the Exchange Act and shall become effective on the Effective Date and shall apply to Incentive-Based Compensation Received by Covered Persons on or after the Listing Rule Effective Date.</w:t>
      </w:r>
    </w:p>
    <w:p>
      <w:pPr>
        <w:spacing w:after="0" w:line="153" w:lineRule="exact"/>
        <w:rPr>
          <w:sz w:val="20"/>
          <w:szCs w:val="20"/>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the purposes of administering this Policy.</w:t>
      </w:r>
    </w:p>
    <w:p>
      <w:pPr>
        <w:spacing w:after="0" w:line="175"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Persons and Applicable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applies to any Incentive-Based Compensation Received by a person (a) after beginning service as a Covered Person;</w:t>
      </w:r>
    </w:p>
    <w:p>
      <w:pPr>
        <w:spacing w:after="0" w:line="37" w:lineRule="exact"/>
        <w:rPr>
          <w:sz w:val="20"/>
          <w:szCs w:val="20"/>
          <w:color w:val="auto"/>
        </w:rPr>
      </w:pPr>
    </w:p>
    <w:p>
      <w:pPr>
        <w:ind w:firstLine="8"/>
        <w:spacing w:after="0" w:line="237" w:lineRule="auto"/>
        <w:tabs>
          <w:tab w:leader="none" w:pos="3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 Covered Person at any time during the performance period for that Incentive-Based Compensation; and (c) was a Covered Person during the Clawback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However, recovery is not required with respect to:</w:t>
      </w:r>
    </w:p>
    <w:p>
      <w:pPr>
        <w:spacing w:after="0" w:line="165" w:lineRule="exact"/>
        <w:rPr>
          <w:sz w:val="20"/>
          <w:szCs w:val="20"/>
          <w:color w:val="auto"/>
        </w:rPr>
      </w:pPr>
    </w:p>
    <w:p>
      <w:pPr>
        <w:ind w:left="760" w:hanging="378"/>
        <w:spacing w:after="0" w:line="258" w:lineRule="auto"/>
        <w:tabs>
          <w:tab w:leader="none" w:pos="7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Received prior to an individual becoming a Covered Person, even if the individual served as a Covered Person during the Clawback Period.</w:t>
      </w:r>
    </w:p>
    <w:p>
      <w:pPr>
        <w:spacing w:after="0" w:line="21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Received prior to the Listing Rule Effective Date.</w:t>
      </w: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Received prior to the Clawback Period.</w:t>
      </w:r>
    </w:p>
    <w:p>
      <w:pPr>
        <w:spacing w:after="0" w:line="200" w:lineRule="exact"/>
        <w:rPr>
          <w:rFonts w:ascii="Times New Roman" w:cs="Times New Roman" w:eastAsia="Times New Roman" w:hAnsi="Times New Roman"/>
          <w:sz w:val="22"/>
          <w:szCs w:val="22"/>
          <w:color w:val="auto"/>
        </w:rPr>
      </w:pPr>
    </w:p>
    <w:p>
      <w:pPr>
        <w:spacing w:after="0" w:line="275"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Received while the Company did not have a class of listed securities on a national securities exchange or a national securities association, including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84" w:name="page185"/>
    <w:bookmarkEnd w:id="184"/>
    <w:p>
      <w:pPr>
        <w:spacing w:after="0" w:line="258" w:lineRule="auto"/>
        <w:rPr>
          <w:sz w:val="20"/>
          <w:szCs w:val="20"/>
          <w:color w:val="auto"/>
        </w:rPr>
      </w:pPr>
      <w:r>
        <w:rPr>
          <w:rFonts w:ascii="Times New Roman" w:cs="Times New Roman" w:eastAsia="Times New Roman" w:hAnsi="Times New Roman"/>
          <w:sz w:val="22"/>
          <w:szCs w:val="22"/>
          <w:color w:val="auto"/>
        </w:rPr>
        <w:t>The Administrator will not consider the Covered Person’s responsibility or fault or lack thereof in enforcing this Policy with respect to recoupment under the Final Rules.</w:t>
      </w:r>
    </w:p>
    <w:p>
      <w:pPr>
        <w:spacing w:after="0" w:line="113" w:lineRule="exact"/>
        <w:rPr>
          <w:sz w:val="20"/>
          <w:szCs w:val="20"/>
          <w:color w:val="auto"/>
        </w:rPr>
      </w:pPr>
    </w:p>
    <w:p>
      <w:pPr>
        <w:ind w:left="760" w:hanging="752"/>
        <w:spacing w:after="0"/>
        <w:tabs>
          <w:tab w:leader="none" w:pos="7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Rule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and in accordance with the provisions of this Policy, if there is a Triggering Event, the Administrator shall require a Covered Person to reimburse or forfeit to the Company the Recoupment Amount applicable to such Covered Person. A Company’s obligation to recover the Recoupment Amount is not dependent on if or when the restated financial statements are filed.</w:t>
      </w:r>
    </w:p>
    <w:p>
      <w:pPr>
        <w:spacing w:after="0" w:line="175" w:lineRule="exact"/>
        <w:rPr>
          <w:sz w:val="20"/>
          <w:szCs w:val="20"/>
          <w:color w:val="auto"/>
        </w:rPr>
      </w:pPr>
    </w:p>
    <w:p>
      <w:pPr>
        <w:ind w:left="760" w:hanging="752"/>
        <w:spacing w:after="0"/>
        <w:tabs>
          <w:tab w:leader="none" w:pos="7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Calculation of Recoupment Amount</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The Recoupment Amount will be calculated in accordance with the Final Rules, as provided in the Calculation Guidelines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760" w:hanging="752"/>
        <w:spacing w:after="0"/>
        <w:tabs>
          <w:tab w:leader="none" w:pos="7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Recoupment</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Subject to compliance with the Final Rules and applicable law, the Administrator will determine, in its sole discretion, the method for recouping the Recoupment Amount hereunder which may include, without limitation:</w:t>
      </w:r>
    </w:p>
    <w:p>
      <w:pPr>
        <w:spacing w:after="0" w:line="157" w:lineRule="exact"/>
        <w:rPr>
          <w:sz w:val="20"/>
          <w:szCs w:val="20"/>
          <w:color w:val="auto"/>
        </w:rPr>
      </w:pPr>
    </w:p>
    <w:p>
      <w:pPr>
        <w:ind w:left="760" w:hanging="378"/>
        <w:spacing w:after="0"/>
        <w:tabs>
          <w:tab w:leader="none" w:pos="7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or forfeiture of the pre-tax amount of cash Incentive-Based Compensation previously paid;</w:t>
      </w:r>
    </w:p>
    <w:p>
      <w:pPr>
        <w:spacing w:after="0" w:line="25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spacing w:after="0" w:line="226"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cash sale, transfer, or other disposition of any equity-based awards; and/or</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60" w:hanging="752"/>
        <w:spacing w:after="0"/>
        <w:tabs>
          <w:tab w:leader="none" w:pos="7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 the fullest extent permitted by law, any disputes under this Policy shall be submitted to mandatory binding arbitration (the “</w:t>
      </w:r>
      <w:r>
        <w:rPr>
          <w:rFonts w:ascii="Times New Roman" w:cs="Times New Roman" w:eastAsia="Times New Roman" w:hAnsi="Times New Roman"/>
          <w:sz w:val="22"/>
          <w:szCs w:val="22"/>
          <w:b w:val="1"/>
          <w:bCs w:val="1"/>
          <w:i w:val="1"/>
          <w:iCs w:val="1"/>
          <w:color w:val="auto"/>
        </w:rPr>
        <w:t>Arbitrable Claims</w:t>
      </w:r>
      <w:r>
        <w:rPr>
          <w:rFonts w:ascii="Times New Roman" w:cs="Times New Roman" w:eastAsia="Times New Roman" w:hAnsi="Times New Roman"/>
          <w:sz w:val="22"/>
          <w:szCs w:val="22"/>
          <w:color w:val="auto"/>
        </w:rPr>
        <w:t>”), governed by the Federal Arbitration Act (the “</w:t>
      </w:r>
      <w:r>
        <w:rPr>
          <w:rFonts w:ascii="Times New Roman" w:cs="Times New Roman" w:eastAsia="Times New Roman" w:hAnsi="Times New Roman"/>
          <w:sz w:val="22"/>
          <w:szCs w:val="22"/>
          <w:b w:val="1"/>
          <w:bCs w:val="1"/>
          <w:i w:val="1"/>
          <w:iCs w:val="1"/>
          <w:color w:val="auto"/>
        </w:rPr>
        <w:t>FAA</w:t>
      </w:r>
      <w:r>
        <w:rPr>
          <w:rFonts w:ascii="Times New Roman" w:cs="Times New Roman" w:eastAsia="Times New Roman" w:hAnsi="Times New Roman"/>
          <w:sz w:val="22"/>
          <w:szCs w:val="22"/>
          <w:color w:val="auto"/>
        </w:rPr>
        <w:t>”).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5" w:name="page186"/>
    <w:bookmarkEnd w:id="185"/>
    <w:p>
      <w:pPr>
        <w:jc w:val="both"/>
        <w:spacing w:after="0" w:line="239" w:lineRule="auto"/>
        <w:rPr>
          <w:sz w:val="20"/>
          <w:szCs w:val="20"/>
          <w:color w:val="auto"/>
        </w:rPr>
      </w:pPr>
      <w:r>
        <w:rPr>
          <w:rFonts w:ascii="Times New Roman" w:cs="Times New Roman" w:eastAsia="Times New Roman" w:hAnsi="Times New Roman"/>
          <w:sz w:val="22"/>
          <w:szCs w:val="22"/>
          <w:color w:val="auto"/>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Wilmington, Delaware through JAMS before a single neutral arbitrator, in accordance with the JAMS Comprehensive Arbitration Rules and Procedures 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spacing w:after="0" w:line="176" w:lineRule="exact"/>
        <w:rPr>
          <w:sz w:val="20"/>
          <w:szCs w:val="20"/>
          <w:color w:val="auto"/>
        </w:rPr>
      </w:pPr>
    </w:p>
    <w:p>
      <w:pPr>
        <w:ind w:left="760" w:hanging="752"/>
        <w:spacing w:after="0"/>
        <w:tabs>
          <w:tab w:leader="none" w:pos="7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Process; Impracticability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Actions by the Administrator to recover the Recoupment Amount will be reasonably prompt.</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Administrator must cause the Company to recover the Recoupment Amount unless the Administrator shall have previously determined that recovery is impracticable and one of the following conditions is met:</w:t>
      </w:r>
    </w:p>
    <w:p>
      <w:pPr>
        <w:spacing w:after="0" w:line="157" w:lineRule="exact"/>
        <w:rPr>
          <w:sz w:val="20"/>
          <w:szCs w:val="20"/>
          <w:color w:val="auto"/>
        </w:rPr>
      </w:pPr>
    </w:p>
    <w:p>
      <w:pPr>
        <w:jc w:val="both"/>
        <w:ind w:left="1140" w:hanging="758"/>
        <w:spacing w:after="0" w:line="237" w:lineRule="auto"/>
        <w:tabs>
          <w:tab w:leader="none" w:pos="11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jc w:val="both"/>
        <w:ind w:left="1140" w:hanging="758"/>
        <w:spacing w:after="0" w:line="237" w:lineRule="auto"/>
        <w:tabs>
          <w:tab w:leader="none" w:pos="11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jc w:val="both"/>
        <w:ind w:left="1140" w:right="20" w:hanging="758"/>
        <w:spacing w:after="0" w:line="244" w:lineRule="auto"/>
        <w:tabs>
          <w:tab w:leader="none" w:pos="11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6" w:name="page187"/>
    <w:bookmarkEnd w:id="186"/>
    <w:p>
      <w:pPr>
        <w:spacing w:after="0" w:line="200" w:lineRule="exact"/>
        <w:rPr>
          <w:sz w:val="20"/>
          <w:szCs w:val="20"/>
          <w:color w:val="auto"/>
        </w:rPr>
      </w:pPr>
    </w:p>
    <w:p>
      <w:pPr>
        <w:spacing w:after="0" w:line="249" w:lineRule="exact"/>
        <w:rPr>
          <w:sz w:val="20"/>
          <w:szCs w:val="20"/>
          <w:color w:val="auto"/>
        </w:rPr>
      </w:pPr>
    </w:p>
    <w:p>
      <w:pPr>
        <w:ind w:left="760" w:hanging="752"/>
        <w:spacing w:after="0"/>
        <w:tabs>
          <w:tab w:leader="none" w:pos="7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p>
    <w:p>
      <w:pPr>
        <w:spacing w:after="0" w:line="180" w:lineRule="exact"/>
        <w:rPr>
          <w:sz w:val="20"/>
          <w:szCs w:val="20"/>
          <w:color w:val="auto"/>
        </w:rPr>
      </w:pPr>
    </w:p>
    <w:p>
      <w:pPr>
        <w:ind w:left="760" w:hanging="752"/>
        <w:spacing w:after="0"/>
        <w:tabs>
          <w:tab w:leader="none" w:pos="7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Indemnification</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Covered Persons against (i) the loss of erroneously awarded 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spacing w:after="0" w:line="168" w:lineRule="exact"/>
        <w:rPr>
          <w:sz w:val="20"/>
          <w:szCs w:val="20"/>
          <w:color w:val="auto"/>
        </w:rPr>
      </w:pPr>
    </w:p>
    <w:p>
      <w:pPr>
        <w:ind w:left="760" w:hanging="752"/>
        <w:spacing w:after="0"/>
        <w:tabs>
          <w:tab w:leader="none" w:pos="7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Person Acknowledgement and Agreement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Notwithstanding the foregoing, this Policy will apply to 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Persons whether or not they execute such certification.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ind w:left="760" w:hanging="752"/>
        <w:spacing w:after="0"/>
        <w:tabs>
          <w:tab w:leader="none" w:pos="7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Persons and their beneficiaries, heirs, executors, administrators or other legal representatives and shall inure to the benefit of any successor to the Company.</w:t>
      </w:r>
    </w:p>
    <w:p>
      <w:pPr>
        <w:spacing w:after="0" w:line="153" w:lineRule="exact"/>
        <w:rPr>
          <w:sz w:val="20"/>
          <w:szCs w:val="20"/>
          <w:color w:val="auto"/>
        </w:rPr>
      </w:pPr>
    </w:p>
    <w:p>
      <w:pPr>
        <w:ind w:left="760" w:hanging="752"/>
        <w:spacing w:after="0"/>
        <w:tabs>
          <w:tab w:leader="none" w:pos="7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 of Policy</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event any provision of this Policy is inconsistent with any requirement of any Final Rules, the Administrator, in its sole discretion, shall amend and administer this Policy and bring it into compliance with such rules.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determination under this Policy by the Administrator shall be conclusive and binding on the applicable Covered Person. Determinations of the Administrator need not be uniform with respect to Covered Persons or from one payment or grant to another.</w:t>
      </w:r>
    </w:p>
    <w:p>
      <w:pPr>
        <w:spacing w:after="0" w:line="168" w:lineRule="exact"/>
        <w:rPr>
          <w:sz w:val="20"/>
          <w:szCs w:val="20"/>
          <w:color w:val="auto"/>
        </w:rPr>
      </w:pPr>
    </w:p>
    <w:p>
      <w:pPr>
        <w:ind w:left="760" w:hanging="752"/>
        <w:spacing w:after="0"/>
        <w:tabs>
          <w:tab w:leader="none" w:pos="7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Termination</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Administrator may make any amendments to this Policy as required under applicable law, rules and regulations, or as otherwise determined by the Administrator in its sole discretion.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Administrator may terminate this Policy at any time.</w:t>
      </w:r>
    </w:p>
    <w:p>
      <w:pPr>
        <w:spacing w:after="0" w:line="201" w:lineRule="exact"/>
        <w:rPr>
          <w:sz w:val="20"/>
          <w:szCs w:val="20"/>
          <w:color w:val="auto"/>
        </w:rPr>
      </w:pPr>
    </w:p>
    <w:p>
      <w:pPr>
        <w:ind w:left="760" w:hanging="752"/>
        <w:spacing w:after="0"/>
        <w:tabs>
          <w:tab w:leader="none" w:pos="7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means the Compensation Committee of the Board, or in the absence of a committee of independent directors responsible for executive compensation decisions, a majority of the independent directors serving on the Board.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Measurement Date</w:t>
      </w:r>
      <w:r>
        <w:rPr>
          <w:rFonts w:ascii="Times New Roman" w:cs="Times New Roman" w:eastAsia="Times New Roman" w:hAnsi="Times New Roman"/>
          <w:sz w:val="22"/>
          <w:szCs w:val="22"/>
          <w:color w:val="auto"/>
        </w:rPr>
        <w:t>” is the earlier to occur of:</w:t>
      </w:r>
    </w:p>
    <w:p>
      <w:pPr>
        <w:spacing w:after="0" w:line="211" w:lineRule="exact"/>
        <w:rPr>
          <w:sz w:val="20"/>
          <w:szCs w:val="20"/>
          <w:color w:val="auto"/>
        </w:rPr>
      </w:pPr>
    </w:p>
    <w:p>
      <w:pPr>
        <w:jc w:val="both"/>
        <w:ind w:left="760" w:hanging="378"/>
        <w:spacing w:after="0" w:line="244" w:lineRule="auto"/>
        <w:tabs>
          <w:tab w:leader="none" w:pos="7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an accounting restatement as described in this Policy.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88" w:name="page189"/>
    <w:bookmarkEnd w:id="188"/>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Prelude Therapeutics Incorporated, a Delaware corporation, or any successor corporation.</w:t>
      </w:r>
    </w:p>
    <w:p>
      <w:pPr>
        <w:spacing w:after="0" w:line="205" w:lineRule="exact"/>
        <w:rPr>
          <w:sz w:val="20"/>
          <w:szCs w:val="20"/>
          <w:color w:val="auto"/>
        </w:rPr>
      </w:pPr>
    </w:p>
    <w:p>
      <w:pPr>
        <w:jc w:val="both"/>
        <w:spacing w:after="0" w:line="25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Person</w:t>
      </w:r>
      <w:r>
        <w:rPr>
          <w:rFonts w:ascii="Times New Roman" w:cs="Times New Roman" w:eastAsia="Times New Roman" w:hAnsi="Times New Roman"/>
          <w:sz w:val="22"/>
          <w:szCs w:val="22"/>
          <w:color w:val="auto"/>
        </w:rPr>
        <w:t>” means any Executive Officer (as defined in the Final Rules), including, but not limited to, those persons who are or have been determined to be “officers” of the Company within the meaning of Section 16 of Rule 16a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1(f) of the rules promulgated under the Exchange Act, and “executive officers” of the Company within the meaning of Item 401(b) of Regulation S-K, Rule 3b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 promulgated under the Exchange Act, and Rule 405 promulgated under the Securities Act of 1933, as amended; provided that the Administrator may identify additional employees who shall be treated as Covered Persons for the purposes of this Policy with prospective effect, in accordance with the Final Rules.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September 10, 2023, the date the Policy was adopted by the Board.</w:t>
      </w:r>
    </w:p>
    <w:p>
      <w:pPr>
        <w:spacing w:after="0" w:line="20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 means the Nasdaq Global Select Market or any other national securities exchange or national securities association in the United States on which the Company has listed its securities for trading.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Rules</w:t>
      </w:r>
      <w:r>
        <w:rPr>
          <w:rFonts w:ascii="Times New Roman" w:cs="Times New Roman" w:eastAsia="Times New Roman" w:hAnsi="Times New Roman"/>
          <w:sz w:val="22"/>
          <w:szCs w:val="22"/>
          <w:color w:val="auto"/>
        </w:rPr>
        <w:t>” means the final rules promulgated by the SEC under Section 954 of the Dodd-Frank Act, Rule 10D-1 and Exchange listing standards, as may be amended from time to time.</w:t>
      </w:r>
    </w:p>
    <w:p>
      <w:pPr>
        <w:spacing w:after="0" w:line="1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granted or vest </w:t>
      </w:r>
      <w:r>
        <w:rPr>
          <w:rFonts w:ascii="Times New Roman" w:cs="Times New Roman" w:eastAsia="Times New Roman" w:hAnsi="Times New Roman"/>
          <w:sz w:val="22"/>
          <w:szCs w:val="22"/>
          <w:i w:val="1"/>
          <w:iCs w:val="1"/>
          <w:color w:val="auto"/>
        </w:rPr>
        <w:t>solely</w:t>
      </w:r>
      <w:r>
        <w:rPr>
          <w:rFonts w:ascii="Times New Roman" w:cs="Times New Roman" w:eastAsia="Times New Roman" w:hAnsi="Times New Roman"/>
          <w:sz w:val="22"/>
          <w:szCs w:val="22"/>
          <w:color w:val="auto"/>
        </w:rPr>
        <w:t xml:space="preserve"> upon completion of a service period; awards based on non-financial strategic or operating metrics such as the consummation of a merger or achievement of non-financial business goals; service-based retention bonuses; discretionary compensation; and salary.</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Rule Effective Date</w:t>
      </w:r>
      <w:r>
        <w:rPr>
          <w:rFonts w:ascii="Times New Roman" w:cs="Times New Roman" w:eastAsia="Times New Roman" w:hAnsi="Times New Roman"/>
          <w:sz w:val="22"/>
          <w:szCs w:val="22"/>
          <w:color w:val="auto"/>
        </w:rPr>
        <w:t>” means the effective date of the listing standards of the Exchange on which the Company’s securities are listed.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means this Compensation Recovery Policy.</w:t>
      </w:r>
    </w:p>
    <w:p>
      <w:pPr>
        <w:spacing w:after="0" w:line="20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Recoupment Amount</w:t>
      </w:r>
      <w:r>
        <w:rPr>
          <w:rFonts w:ascii="Times New Roman" w:cs="Times New Roman" w:eastAsia="Times New Roman" w:hAnsi="Times New Roman"/>
          <w:sz w:val="22"/>
          <w:szCs w:val="22"/>
          <w:color w:val="auto"/>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gross of taxes withheld).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SARs</w:t>
      </w:r>
      <w:r>
        <w:rPr>
          <w:rFonts w:ascii="Times New Roman" w:cs="Times New Roman" w:eastAsia="Times New Roman" w:hAnsi="Times New Roman"/>
          <w:sz w:val="22"/>
          <w:szCs w:val="22"/>
          <w:color w:val="auto"/>
        </w:rPr>
        <w:t>” means stock appreciation rights.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SOX 304</w:t>
      </w:r>
      <w:r>
        <w:rPr>
          <w:rFonts w:ascii="Times New Roman" w:cs="Times New Roman" w:eastAsia="Times New Roman" w:hAnsi="Times New Roman"/>
          <w:sz w:val="22"/>
          <w:szCs w:val="22"/>
          <w:color w:val="auto"/>
        </w:rPr>
        <w:t>” means Section 304 of the Sarbanes-Oxley Act of 2002.</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Triggering Event</w:t>
      </w:r>
      <w:r>
        <w:rPr>
          <w:rFonts w:ascii="Times New Roman" w:cs="Times New Roman" w:eastAsia="Times New Roman" w:hAnsi="Times New Roman"/>
          <w:sz w:val="22"/>
          <w:szCs w:val="22"/>
          <w:color w:val="auto"/>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means total stockholder return.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0" w:name="page191"/>
    <w:bookmarkEnd w:id="190"/>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199" w:lineRule="exact"/>
        <w:rPr>
          <w:sz w:val="20"/>
          <w:szCs w:val="20"/>
          <w:color w:val="auto"/>
        </w:rPr>
      </w:pPr>
    </w:p>
    <w:p>
      <w:pPr>
        <w:ind w:left="380" w:hanging="372"/>
        <w:spacing w:after="0" w:line="263" w:lineRule="auto"/>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Compensation Recovery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 understand that the Chief Legal Officer is available to answer any questions I have regarding the Policy.</w:t>
      </w:r>
    </w:p>
    <w:p>
      <w:pPr>
        <w:spacing w:after="0" w:line="152"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Policy applies to all of my existing and future compensation-related agreements with the Company, whether or not explicitly stated therein.</w:t>
      </w:r>
    </w:p>
    <w:p>
      <w:pPr>
        <w:spacing w:after="0" w:line="157" w:lineRule="exact"/>
        <w:rPr>
          <w:rFonts w:ascii="Times New Roman" w:cs="Times New Roman" w:eastAsia="Times New Roman" w:hAnsi="Times New Roman"/>
          <w:sz w:val="22"/>
          <w:szCs w:val="22"/>
          <w:color w:val="auto"/>
        </w:rPr>
      </w:pPr>
    </w:p>
    <w:p>
      <w:pPr>
        <w:jc w:val="both"/>
        <w:ind w:left="380" w:hanging="372"/>
        <w:spacing w:after="0" w:line="239" w:lineRule="auto"/>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78" w:lineRule="exact"/>
        <w:rPr>
          <w:rFonts w:ascii="Times New Roman" w:cs="Times New Roman" w:eastAsia="Times New Roman" w:hAnsi="Times New Roman"/>
          <w:sz w:val="22"/>
          <w:szCs w:val="22"/>
          <w:color w:val="auto"/>
        </w:rPr>
      </w:pPr>
    </w:p>
    <w:p>
      <w:pPr>
        <w:jc w:val="both"/>
        <w:ind w:left="380" w:hanging="372"/>
        <w:spacing w:after="0" w:line="235" w:lineRule="auto"/>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remedies or rights of recoupment that may be available to the Company.</w:t>
      </w:r>
    </w:p>
    <w:p>
      <w:pPr>
        <w:spacing w:after="0" w:line="180"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to abide by the terms of the Policy, including, without limitation, by returning any erroneously awarded Incentive-Based Compensation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-13970</wp:posOffset>
            </wp:positionV>
            <wp:extent cx="10464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-13970</wp:posOffset>
            </wp:positionV>
            <wp:extent cx="12446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-13970</wp:posOffset>
            </wp:positionV>
            <wp:extent cx="13176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131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1" w:name="page192"/>
    <w:bookmarkEnd w:id="191"/>
    <w:p>
      <w:pPr>
        <w:spacing w:after="0" w:line="3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Calculation Guidelines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purposes of calculating the Recoupment Amount:</w:t>
      </w:r>
    </w:p>
    <w:p>
      <w:pPr>
        <w:spacing w:after="0" w:line="205" w:lineRule="exact"/>
        <w:rPr>
          <w:sz w:val="20"/>
          <w:szCs w:val="20"/>
          <w:color w:val="auto"/>
        </w:rPr>
      </w:pPr>
    </w:p>
    <w:p>
      <w:pPr>
        <w:jc w:val="both"/>
        <w:ind w:left="1140" w:hanging="383"/>
        <w:spacing w:after="0" w:line="244"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based on stock price or TSR, where the amount of erroneously awarded compensation is not subject to mathematical recalculation directly from the information in an accounting restatement: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amount must be based on a reasonable estimate of the effect of the accounting restatement on the stock price or TSR upon which the Incentive-Based Compensation was Received; and</w:t>
      </w:r>
    </w:p>
    <w:p>
      <w:pPr>
        <w:spacing w:after="0" w:line="200" w:lineRule="exact"/>
        <w:rPr>
          <w:rFonts w:ascii="Times New Roman" w:cs="Times New Roman" w:eastAsia="Times New Roman" w:hAnsi="Times New Roman"/>
          <w:sz w:val="20"/>
          <w:szCs w:val="20"/>
          <w:color w:val="auto"/>
        </w:rPr>
      </w:pPr>
    </w:p>
    <w:p>
      <w:pPr>
        <w:spacing w:after="0" w:line="226" w:lineRule="exact"/>
        <w:rPr>
          <w:rFonts w:ascii="Times New Roman" w:cs="Times New Roman" w:eastAsia="Times New Roman" w:hAnsi="Times New Roman"/>
          <w:sz w:val="20"/>
          <w:szCs w:val="20"/>
          <w:color w:val="auto"/>
        </w:rPr>
      </w:pPr>
    </w:p>
    <w:p>
      <w:pPr>
        <w:ind w:left="1500" w:hanging="369"/>
        <w:spacing w:after="0" w:line="258" w:lineRule="auto"/>
        <w:tabs>
          <w:tab w:leader="none" w:pos="15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lvl w:ilvl="1">
      <w:lvlJc w:val="left"/>
      <w:lvlText w:val="o"/>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1)"/>
      <w:numFmt w:val="lowerRoman"/>
      <w:start w:val="5"/>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1)"/>
      <w:numFmt w:val="lowerRoman"/>
      <w:start w:val="2"/>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lowerRoman"/>
      <w:start w:val="3"/>
    </w:lvl>
  </w:abstractNum>
  <w:abstractNum w:abstractNumId="43">
    <w:nsid w:val="CC1016F"/>
    <w:multiLevelType w:val="hybridMultilevel"/>
    <w:lvl w:ilvl="0">
      <w:lvlJc w:val="left"/>
      <w:lvlText w:val="(%1)"/>
      <w:numFmt w:val="lowerRoman"/>
      <w:start w:val="1"/>
    </w:lvl>
  </w:abstractNum>
  <w:abstractNum w:abstractNumId="44">
    <w:nsid w:val="43F18422"/>
    <w:multiLevelType w:val="hybridMultilevel"/>
    <w:lvl w:ilvl="0">
      <w:lvlJc w:val="left"/>
      <w:lvlText w:val="%1."/>
      <w:numFmt w:val="decimal"/>
      <w:start w:val="3"/>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2"/>
    </w:lvl>
  </w:abstractNum>
  <w:abstractNum w:abstractNumId="48">
    <w:nsid w:val="49DA307D"/>
    <w:multiLevelType w:val="hybridMultilevel"/>
    <w:lvl w:ilvl="0">
      <w:lvlJc w:val="left"/>
      <w:lvlText w:val="(%1)"/>
      <w:numFmt w:val="decimal"/>
      <w:start w:val="3"/>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lowerLetter"/>
      <w:start w:val="5"/>
    </w:lvl>
  </w:abstractNum>
  <w:abstractNum w:abstractNumId="54">
    <w:nsid w:val="6AA78F7F"/>
    <w:multiLevelType w:val="hybridMultilevel"/>
    <w:lvl w:ilvl="0">
      <w:lvlJc w:val="left"/>
      <w:lvlText w:val="(%1)"/>
      <w:numFmt w:val="lowerLetter"/>
      <w:start w:val="14"/>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2"/>
    </w:lvl>
  </w:abstractNum>
  <w:abstractNum w:abstractNumId="57">
    <w:nsid w:val="6A5F7029"/>
    <w:multiLevelType w:val="hybridMultilevel"/>
    <w:lvl w:ilvl="0">
      <w:lvlJc w:val="left"/>
      <w:lvlText w:val="(%1)"/>
      <w:numFmt w:val="lowerRoman"/>
      <w:start w:val="1"/>
    </w:lvl>
  </w:abstractNum>
  <w:abstractNum w:abstractNumId="58">
    <w:nsid w:val="7D5E18F8"/>
    <w:multiLevelType w:val="hybridMultilevel"/>
    <w:lvl w:ilvl="0">
      <w:lvlJc w:val="left"/>
      <w:lvlText w:val="(%1)"/>
      <w:numFmt w:val="lowerLetter"/>
      <w:start w:val="5"/>
    </w:lvl>
  </w:abstractNum>
  <w:abstractNum w:abstractNumId="59">
    <w:nsid w:val="5F3534A4"/>
    <w:multiLevelType w:val="hybridMultilevel"/>
    <w:lvl w:ilvl="0">
      <w:lvlJc w:val="left"/>
      <w:lvlText w:val="(%1)"/>
      <w:numFmt w:val="lowerLetter"/>
      <w:start w:val="6"/>
    </w:lvl>
  </w:abstractNum>
  <w:abstractNum w:abstractNumId="60">
    <w:nsid w:val="73A1821B"/>
    <w:multiLevelType w:val="hybridMultilevel"/>
    <w:lvl w:ilvl="0">
      <w:lvlJc w:val="left"/>
      <w:lvlText w:val="(%1)"/>
      <w:numFmt w:val="lowerLetter"/>
      <w:start w:val="7"/>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lowerLetter"/>
      <w:start w:val="5"/>
    </w:lvl>
  </w:abstractNum>
  <w:abstractNum w:abstractNumId="63">
    <w:nsid w:val="3FA62ACA"/>
    <w:multiLevelType w:val="hybridMultilevel"/>
    <w:lvl w:ilvl="0">
      <w:lvlJc w:val="left"/>
      <w:lvlText w:val="(%1)"/>
      <w:numFmt w:val="lowerLetter"/>
      <w:start w:val="1"/>
    </w:lvl>
  </w:abstractNum>
  <w:abstractNum w:abstractNumId="64">
    <w:nsid w:val="14FCE74E"/>
    <w:multiLevelType w:val="hybridMultilevel"/>
    <w:lvl w:ilvl="0">
      <w:lvlJc w:val="left"/>
      <w:lvlText w:val="(%1)"/>
      <w:numFmt w:val="lowerRoman"/>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2"/>
    </w:lvl>
  </w:abstractNum>
  <w:abstractNum w:abstractNumId="68">
    <w:nsid w:val="53299938"/>
    <w:multiLevelType w:val="hybridMultilevel"/>
    <w:lvl w:ilvl="0">
      <w:lvlJc w:val="left"/>
      <w:lvlText w:val="(%1)"/>
      <w:numFmt w:val="lowerLetter"/>
      <w:start w:val="4"/>
    </w:lvl>
  </w:abstractNum>
  <w:abstractNum w:abstractNumId="69">
    <w:nsid w:val="1FBFE8E0"/>
    <w:multiLevelType w:val="hybridMultilevel"/>
    <w:lvl w:ilvl="0">
      <w:lvlJc w:val="left"/>
      <w:lvlText w:val="(%1)"/>
      <w:numFmt w:val="lowerLetter"/>
      <w:start w:val="1"/>
    </w:lvl>
  </w:abstractNum>
  <w:abstractNum w:abstractNumId="70">
    <w:nsid w:val="5092CA79"/>
    <w:multiLevelType w:val="hybridMultilevel"/>
    <w:lvl w:ilvl="0">
      <w:lvlJc w:val="left"/>
      <w:lvlText w:val="(%1)"/>
      <w:numFmt w:val="lowerLetter"/>
      <w:start w:val="4"/>
    </w:lvl>
  </w:abstractNum>
  <w:abstractNum w:abstractNumId="71">
    <w:nsid w:val="1D545C4D"/>
    <w:multiLevelType w:val="hybridMultilevel"/>
    <w:lvl w:ilvl="0">
      <w:lvlJc w:val="left"/>
      <w:lvlText w:val="(%1)"/>
      <w:numFmt w:val="lowerLetter"/>
      <w:start w:val="1"/>
    </w:lvl>
  </w:abstractNum>
  <w:abstractNum w:abstractNumId="72">
    <w:nsid w:val="59ADEA3D"/>
    <w:multiLevelType w:val="hybridMultilevel"/>
    <w:lvl w:ilvl="0">
      <w:lvlJc w:val="left"/>
      <w:lvlText w:val="(%1)"/>
      <w:numFmt w:val="lowerLetter"/>
      <w:start w:val="3"/>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1."/>
      <w:numFmt w:val="decimal"/>
      <w:start w:val="1"/>
    </w:lvl>
  </w:abstractNum>
  <w:abstractNum w:abstractNumId="80">
    <w:nsid w:val="415E286C"/>
    <w:multiLevelType w:val="hybridMultilevel"/>
    <w:lvl w:ilvl="0">
      <w:lvlJc w:val="left"/>
      <w:lvlText w:val="%1."/>
      <w:numFmt w:val="decimal"/>
      <w:start w:val="2"/>
    </w:lvl>
  </w:abstractNum>
  <w:abstractNum w:abstractNumId="81">
    <w:nsid w:val="7C58FD05"/>
    <w:multiLevelType w:val="hybridMultilevel"/>
    <w:lvl w:ilvl="0">
      <w:lvlJc w:val="left"/>
      <w:lvlText w:val="%1."/>
      <w:numFmt w:val="decimal"/>
      <w:start w:val="5"/>
    </w:lvl>
  </w:abstractNum>
  <w:abstractNum w:abstractNumId="82">
    <w:nsid w:val="23D86AAC"/>
    <w:multiLevelType w:val="hybridMultilevel"/>
    <w:lvl w:ilvl="0">
      <w:lvlJc w:val="left"/>
      <w:lvlText w:val="(%1)"/>
      <w:numFmt w:val="lowerLetter"/>
      <w:start w:val="3"/>
    </w:lvl>
  </w:abstractNum>
  <w:abstractNum w:abstractNumId="83">
    <w:nsid w:val="45E6D486"/>
    <w:multiLevelType w:val="hybridMultilevel"/>
    <w:lvl w:ilvl="0">
      <w:lvlJc w:val="left"/>
      <w:lvlText w:val="(%1)"/>
      <w:numFmt w:val="lowerRoman"/>
      <w:start w:val="1"/>
    </w:lvl>
  </w:abstractNum>
  <w:abstractNum w:abstractNumId="84">
    <w:nsid w:val="5C10FE21"/>
    <w:multiLevelType w:val="hybridMultilevel"/>
    <w:lvl w:ilvl="0">
      <w:lvlJc w:val="left"/>
      <w:lvlText w:val="(%1)"/>
      <w:numFmt w:val="lowerRoman"/>
      <w:start w:val="1"/>
    </w:lvl>
    <w:lvl w:ilvl="1">
      <w:lvlJc w:val="left"/>
      <w:lvlText w:val="%2."/>
      <w:numFmt w:val="decimal"/>
      <w:start w:val="9"/>
    </w:lvl>
  </w:abstractNum>
  <w:abstractNum w:abstractNumId="85">
    <w:nsid w:val="E7FFA2B"/>
    <w:multiLevelType w:val="hybridMultilevel"/>
    <w:lvl w:ilvl="0">
      <w:lvlJc w:val="left"/>
      <w:lvlText w:val="(%1)"/>
      <w:numFmt w:val="lowerRoman"/>
      <w:start w:val="4"/>
    </w:lvl>
  </w:abstractNum>
  <w:abstractNum w:abstractNumId="86">
    <w:nsid w:val="3C5991AA"/>
    <w:multiLevelType w:val="hybridMultilevel"/>
    <w:lvl w:ilvl="0">
      <w:lvlJc w:val="left"/>
      <w:lvlText w:val="%1."/>
      <w:numFmt w:val="decimal"/>
      <w:start w:val="11"/>
    </w:lvl>
  </w:abstractNum>
  <w:abstractNum w:abstractNumId="87">
    <w:nsid w:val="4BD8591A"/>
    <w:multiLevelType w:val="hybridMultilevel"/>
    <w:lvl w:ilvl="0">
      <w:lvlJc w:val="left"/>
      <w:lvlText w:val="%1."/>
      <w:numFmt w:val="decimal"/>
      <w:start w:val="13"/>
    </w:lvl>
  </w:abstractNum>
  <w:abstractNum w:abstractNumId="88">
    <w:nsid w:val="78DF6A55"/>
    <w:multiLevelType w:val="hybridMultilevel"/>
    <w:lvl w:ilvl="0">
      <w:lvlJc w:val="left"/>
      <w:lvlText w:val="%1."/>
      <w:numFmt w:val="upperLetter"/>
      <w:start w:val="1"/>
    </w:lvl>
  </w:abstractNum>
  <w:abstractNum w:abstractNumId="89">
    <w:nsid w:val="39B7AAA2"/>
    <w:multiLevelType w:val="hybridMultilevel"/>
    <w:lvl w:ilvl="0">
      <w:lvlJc w:val="left"/>
      <w:lvlText w:val="%1."/>
      <w:numFmt w:val="decimal"/>
      <w:start w:val="1"/>
    </w:lvl>
  </w:abstractNum>
  <w:abstractNum w:abstractNumId="90">
    <w:nsid w:val="2B0D8DBE"/>
    <w:multiLevelType w:val="hybridMultilevel"/>
    <w:lvl w:ilvl="0">
      <w:lvlJc w:val="left"/>
      <w:lvlText w:val="%1."/>
      <w:numFmt w:val="decimal"/>
      <w:start w:val="2"/>
    </w:lvl>
  </w:abstractNum>
  <w:abstractNum w:abstractNumId="91">
    <w:nsid w:val="6C80EC70"/>
    <w:multiLevelType w:val="hybridMultilevel"/>
    <w:lvl w:ilvl="0">
      <w:lvlJc w:val="left"/>
      <w:lvlText w:val="%1."/>
      <w:numFmt w:val="decimal"/>
      <w:start w:val="4"/>
    </w:lvl>
  </w:abstractNum>
  <w:abstractNum w:abstractNumId="92">
    <w:nsid w:val="379E21B5"/>
    <w:multiLevelType w:val="hybridMultilevel"/>
    <w:lvl w:ilvl="0">
      <w:lvlJc w:val="left"/>
      <w:lvlText w:val="(%1)"/>
      <w:numFmt w:val="lowerRoman"/>
      <w:start w:val="1"/>
    </w:lvl>
  </w:abstractNum>
  <w:abstractNum w:abstractNumId="93">
    <w:nsid w:val="69E373"/>
    <w:multiLevelType w:val="hybridMultilevel"/>
    <w:lvl w:ilvl="0">
      <w:lvlJc w:val="left"/>
      <w:lvlText w:val="(%1)"/>
      <w:numFmt w:val="lowerRoman"/>
      <w:start w:val="9"/>
    </w:lvl>
  </w:abstractNum>
  <w:abstractNum w:abstractNumId="94">
    <w:nsid w:val="2C27173B"/>
    <w:multiLevelType w:val="hybridMultilevel"/>
    <w:lvl w:ilvl="0">
      <w:lvlJc w:val="left"/>
      <w:lvlText w:val="(%1)"/>
      <w:numFmt w:val="lowerLetter"/>
      <w:start w:val="2"/>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decimal"/>
      <w:start w:val="5"/>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Roman"/>
      <w:start w:val="2"/>
    </w:lvl>
    <w:lvl w:ilvl="1">
      <w:lvlJc w:val="left"/>
      <w:lvlText w:val="%2."/>
      <w:numFmt w:val="decimal"/>
      <w:start w:val="6"/>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2"/>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lowerRoman"/>
      <w:start w:val="1"/>
    </w:lvl>
  </w:abstractNum>
  <w:abstractNum w:abstractNumId="104">
    <w:nsid w:val="4F97E3E4"/>
    <w:multiLevelType w:val="hybridMultilevel"/>
    <w:lvl w:ilvl="0">
      <w:lvlJc w:val="left"/>
      <w:lvlText w:val="%1"/>
      <w:numFmt w:val="decimal"/>
      <w:start w:val="1"/>
    </w:lvl>
    <w:lvl w:ilvl="1">
      <w:lvlJc w:val="left"/>
      <w:lvlText w:val="(%2)"/>
      <w:numFmt w:val="lowerLetter"/>
      <w:start w:val="2"/>
    </w:lvl>
  </w:abstractNum>
  <w:abstractNum w:abstractNumId="105">
    <w:nsid w:val="53B0A9E"/>
    <w:multiLevelType w:val="hybridMultilevel"/>
    <w:lvl w:ilvl="0">
      <w:lvlJc w:val="left"/>
      <w:lvlText w:val="%1."/>
      <w:numFmt w:val="decimal"/>
      <w:start w:val="7"/>
    </w:lvl>
    <w:lvl w:ilvl="1">
      <w:lvlJc w:val="left"/>
      <w:lvlText w:val="%2"/>
      <w:numFmt w:val="lowerLetter"/>
      <w:start w:val="1"/>
    </w:lvl>
  </w:abstractNum>
  <w:abstractNum w:abstractNumId="106">
    <w:nsid w:val="34FD6B4F"/>
    <w:multiLevelType w:val="hybridMultilevel"/>
    <w:lvl w:ilvl="0">
      <w:lvlJc w:val="left"/>
      <w:lvlText w:val="%1"/>
      <w:numFmt w:val="upperLetter"/>
      <w:start w:val="1"/>
    </w:lvl>
    <w:lvl w:ilvl="1">
      <w:lvlJc w:val="left"/>
      <w:lvlText w:val="(%2)"/>
      <w:numFmt w:val="lowerLetter"/>
      <w:start w:val="1"/>
    </w:lvl>
  </w:abstractNum>
  <w:abstractNum w:abstractNumId="107">
    <w:nsid w:val="5915FF32"/>
    <w:multiLevelType w:val="hybridMultilevel"/>
    <w:lvl w:ilvl="0">
      <w:lvlJc w:val="left"/>
      <w:lvlText w:val="(%1)"/>
      <w:numFmt w:val="upperLetter"/>
      <w:start w:val="2"/>
    </w:lvl>
    <w:lvl w:ilvl="1">
      <w:lvlJc w:val="left"/>
      <w:lvlText w:val="%2"/>
      <w:numFmt w:val="lowerLetter"/>
      <w:start w:val="1"/>
    </w:lvl>
  </w:abstractNum>
  <w:abstractNum w:abstractNumId="108">
    <w:nsid w:val="56438D15"/>
    <w:multiLevelType w:val="hybridMultilevel"/>
    <w:lvl w:ilvl="0">
      <w:lvlJc w:val="left"/>
      <w:lvlText w:val="(%1)"/>
      <w:numFmt w:val="lowerLetter"/>
      <w:start w:val="3"/>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decimal"/>
      <w:start w:val="8"/>
    </w:lvl>
  </w:abstractNum>
  <w:abstractNum w:abstractNumId="111">
    <w:nsid w:val="17A1B582"/>
    <w:multiLevelType w:val="hybridMultilevel"/>
    <w:lvl w:ilvl="0">
      <w:lvlJc w:val="left"/>
      <w:lvlText w:val="%1."/>
      <w:numFmt w:val="decimal"/>
      <w:start w:val="9"/>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
      <w:numFmt w:val="bullet"/>
      <w:start w:val="1"/>
    </w:lvl>
  </w:abstractNum>
  <w:abstractNum w:abstractNumId="115">
    <w:nsid w:val="2A082C70"/>
    <w:multiLevelType w:val="hybridMultilevel"/>
    <w:lvl w:ilvl="0">
      <w:lvlJc w:val="left"/>
      <w:lvlText w:val="["/>
      <w:numFmt w:val="bullet"/>
      <w:start w:val="1"/>
    </w:lvl>
  </w:abstractNum>
  <w:abstractNum w:abstractNumId="116">
    <w:nsid w:val="5EC6AFD4"/>
    <w:multiLevelType w:val="hybridMultilevel"/>
    <w:lvl w:ilvl="0">
      <w:lvlJc w:val="left"/>
      <w:lvlText w:val="(%1)"/>
      <w:numFmt w:val="decimal"/>
      <w:start w:val="1"/>
    </w:lvl>
  </w:abstractNum>
  <w:abstractNum w:abstractNumId="117">
    <w:nsid w:val="19E21BB2"/>
    <w:multiLevelType w:val="hybridMultilevel"/>
    <w:lvl w:ilvl="0">
      <w:lvlJc w:val="left"/>
      <w:lvlText w:val="%1."/>
      <w:numFmt w:val="decimal"/>
      <w:start w:val="1"/>
    </w:lvl>
    <w:lvl w:ilvl="1">
      <w:lvlJc w:val="left"/>
      <w:lvlText w:val="(%2)"/>
      <w:numFmt w:val="lowerLetter"/>
      <w:start w:val="1"/>
    </w:lvl>
  </w:abstractNum>
  <w:abstractNum w:abstractNumId="118">
    <w:nsid w:val="75E0858A"/>
    <w:multiLevelType w:val="hybridMultilevel"/>
    <w:lvl w:ilvl="0">
      <w:lvlJc w:val="left"/>
      <w:lvlText w:val="%1."/>
      <w:numFmt w:val="decimal"/>
      <w:start w:val="1"/>
    </w:lvl>
    <w:lvl w:ilvl="1">
      <w:lvlJc w:val="left"/>
      <w:lvlText w:val="(%2)"/>
      <w:numFmt w:val="lowerLetter"/>
      <w:start w:val="1"/>
    </w:lvl>
  </w:abstractNum>
  <w:abstractNum w:abstractNumId="119">
    <w:nsid w:val="57A61A29"/>
    <w:multiLevelType w:val="hybridMultilevel"/>
    <w:lvl w:ilvl="0">
      <w:lvlJc w:val="left"/>
      <w:lvlText w:val="%1."/>
      <w:numFmt w:val="decimal"/>
      <w:start w:val="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2"/>
    </w:lvl>
  </w:abstractNum>
  <w:abstractNum w:abstractNumId="123">
    <w:nsid w:val="B37E80A"/>
    <w:multiLevelType w:val="hybridMultilevel"/>
    <w:lvl w:ilvl="0">
      <w:lvlJc w:val="left"/>
      <w:lvlText w:val="(%1)"/>
      <w:numFmt w:val="lowerLetter"/>
      <w:start w:val="2"/>
    </w:lvl>
  </w:abstractNum>
  <w:abstractNum w:abstractNumId="124">
    <w:nsid w:val="2157F6BC"/>
    <w:multiLevelType w:val="hybridMultilevel"/>
    <w:lvl w:ilvl="0">
      <w:lvlJc w:val="left"/>
      <w:lvlText w:val="%1."/>
      <w:numFmt w:val="lowerRoman"/>
      <w:start w:val="1"/>
    </w:lvl>
  </w:abstractNum>
  <w:abstractNum w:abstractNumId="125">
    <w:nsid w:val="704E1DD5"/>
    <w:multiLevelType w:val="hybridMultilevel"/>
    <w:lvl w:ilvl="0">
      <w:lvlJc w:val="left"/>
      <w:lvlText w:val="%1."/>
      <w:numFmt w:val="decimal"/>
      <w:start w:val="3"/>
    </w:lvl>
  </w:abstractNum>
  <w:abstractNum w:abstractNumId="126">
    <w:nsid w:val="57D2F10E"/>
    <w:multiLevelType w:val="hybridMultilevel"/>
    <w:lvl w:ilvl="0">
      <w:lvlJc w:val="left"/>
      <w:lvlText w:val="%1."/>
      <w:numFmt w:val="decimal"/>
      <w:start w:val="4"/>
    </w:lvl>
  </w:abstractNum>
  <w:abstractNum w:abstractNumId="127">
    <w:nsid w:val="BFFAE18"/>
    <w:multiLevelType w:val="hybridMultilevel"/>
    <w:lvl w:ilvl="0">
      <w:lvlJc w:val="left"/>
      <w:lvlText w:val="%1."/>
      <w:numFmt w:val="decimal"/>
      <w:start w:val="5"/>
    </w:lvl>
  </w:abstractNum>
  <w:abstractNum w:abstractNumId="128">
    <w:nsid w:val="E3E47A8"/>
    <w:multiLevelType w:val="hybridMultilevel"/>
    <w:lvl w:ilvl="0">
      <w:lvlJc w:val="left"/>
      <w:lvlText w:val="%1."/>
      <w:numFmt w:val="lowerRoman"/>
      <w:start w:val="1"/>
    </w:lvl>
  </w:abstractNum>
  <w:abstractNum w:abstractNumId="129">
    <w:nsid w:val="2E48F044"/>
    <w:multiLevelType w:val="hybridMultilevel"/>
    <w:lvl w:ilvl="0">
      <w:lvlJc w:val="left"/>
      <w:lvlText w:val="%1."/>
      <w:numFmt w:val="decimal"/>
      <w:start w:val="6"/>
    </w:lvl>
  </w:abstractNum>
  <w:abstractNum w:abstractNumId="130">
    <w:nsid w:val="49D0FEAC"/>
    <w:multiLevelType w:val="hybridMultilevel"/>
    <w:lvl w:ilvl="0">
      <w:lvlJc w:val="left"/>
      <w:lvlText w:val="%1."/>
      <w:numFmt w:val="decimal"/>
      <w:start w:val="7"/>
    </w:lvl>
  </w:abstractNum>
  <w:abstractNum w:abstractNumId="131">
    <w:nsid w:val="4BEE5A5B"/>
    <w:multiLevelType w:val="hybridMultilevel"/>
    <w:lvl w:ilvl="0">
      <w:lvlJc w:val="left"/>
      <w:lvlText w:val="%1."/>
      <w:numFmt w:val="lowerRoman"/>
      <w:start w:val="1"/>
    </w:lvl>
  </w:abstractNum>
  <w:abstractNum w:abstractNumId="132">
    <w:nsid w:val="5551B9F3"/>
    <w:multiLevelType w:val="hybridMultilevel"/>
    <w:lvl w:ilvl="0">
      <w:lvlJc w:val="left"/>
      <w:lvlText w:val="%1."/>
      <w:numFmt w:val="decimal"/>
      <w:start w:val="8"/>
    </w:lvl>
  </w:abstractNum>
  <w:abstractNum w:abstractNumId="133">
    <w:nsid w:val="24F6AB8E"/>
    <w:multiLevelType w:val="hybridMultilevel"/>
    <w:lvl w:ilvl="0">
      <w:lvlJc w:val="left"/>
      <w:lvlText w:val="%1."/>
      <w:numFmt w:val="decimal"/>
      <w:start w:val="9"/>
    </w:lvl>
  </w:abstractNum>
  <w:abstractNum w:abstractNumId="134">
    <w:nsid w:val="634C574C"/>
    <w:multiLevelType w:val="hybridMultilevel"/>
    <w:lvl w:ilvl="0">
      <w:lvlJc w:val="left"/>
      <w:lvlText w:val="%1."/>
      <w:numFmt w:val="decimal"/>
      <w:start w:val="10"/>
    </w:lvl>
  </w:abstractNum>
  <w:abstractNum w:abstractNumId="135">
    <w:nsid w:val="24E99DD7"/>
    <w:multiLevelType w:val="hybridMultilevel"/>
    <w:lvl w:ilvl="0">
      <w:lvlJc w:val="left"/>
      <w:lvlText w:val="%1."/>
      <w:numFmt w:val="decimal"/>
      <w:start w:val="11"/>
    </w:lvl>
  </w:abstractNum>
  <w:abstractNum w:abstractNumId="136">
    <w:nsid w:val="2A31B62D"/>
    <w:multiLevelType w:val="hybridMultilevel"/>
    <w:lvl w:ilvl="0">
      <w:lvlJc w:val="left"/>
      <w:lvlText w:val="%1."/>
      <w:numFmt w:val="decimal"/>
      <w:start w:val="12"/>
    </w:lvl>
  </w:abstractNum>
  <w:abstractNum w:abstractNumId="137">
    <w:nsid w:val="1849C29B"/>
    <w:multiLevelType w:val="hybridMultilevel"/>
    <w:lvl w:ilvl="0">
      <w:lvlJc w:val="left"/>
      <w:lvlText w:val="%1."/>
      <w:numFmt w:val="decimal"/>
      <w:start w:val="13"/>
    </w:lvl>
  </w:abstractNum>
  <w:abstractNum w:abstractNumId="138">
    <w:nsid w:val="7DFF9D09"/>
    <w:multiLevelType w:val="hybridMultilevel"/>
    <w:lvl w:ilvl="0">
      <w:lvlJc w:val="left"/>
      <w:lvlText w:val="%1."/>
      <w:numFmt w:val="decimal"/>
      <w:start w:val="14"/>
    </w:lvl>
  </w:abstractNum>
  <w:abstractNum w:abstractNumId="139">
    <w:nsid w:val="754342"/>
    <w:multiLevelType w:val="hybridMultilevel"/>
    <w:lvl w:ilvl="0">
      <w:lvlJc w:val="left"/>
      <w:lvlText w:val="%1."/>
      <w:numFmt w:val="lowerRoman"/>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79"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267" Type="http://schemas.openxmlformats.org/officeDocument/2006/relationships/hyperlink" Target="https://www.sec.gov/Archives/edgar/data/1678660/000095017023037611/prld-ex3_1.htm" TargetMode="External"/><Relationship Id="rId268" Type="http://schemas.openxmlformats.org/officeDocument/2006/relationships/hyperlink" Target="https://www.sec.gov/Archives/edgar/data/1678660/000095017023001023/prld-ex3_1.htm" TargetMode="External"/><Relationship Id="rId269" Type="http://schemas.openxmlformats.org/officeDocument/2006/relationships/hyperlink" Target="https://www.sec.gov/Archives/edgar/data/0001678660/000119312520246920/d935180dex41.htm" TargetMode="External"/><Relationship Id="rId270" Type="http://schemas.openxmlformats.org/officeDocument/2006/relationships/hyperlink" Target="https://www.sec.gov/Archives/edgar/data/1678660/000119312520240138/d935180dex42.htm" TargetMode="External"/><Relationship Id="rId271" Type="http://schemas.openxmlformats.org/officeDocument/2006/relationships/hyperlink" Target="https://www.sec.gov/Archives/edgar/data/0001678660/000119312521000946/d85697dex43.htm" TargetMode="External"/><Relationship Id="rId272" Type="http://schemas.openxmlformats.org/officeDocument/2006/relationships/hyperlink" Target="https://www.sec.gov/Archives/edgar/data/1678660/000119312523149304/d407449dex41.htm" TargetMode="External"/><Relationship Id="rId273" Type="http://schemas.openxmlformats.org/officeDocument/2006/relationships/hyperlink" Target="https://www.sec.gov/Archives/edgar/data/1678660/000095017023069210/prld-ex4_1.htm" TargetMode="External"/><Relationship Id="rId274" Type="http://schemas.openxmlformats.org/officeDocument/2006/relationships/hyperlink" Target="https://www.sec.gov/Archives/edgar/data/0001678660/000119312520240138/d935180dex101.htm" TargetMode="External"/><Relationship Id="rId275" Type="http://schemas.openxmlformats.org/officeDocument/2006/relationships/hyperlink" Target="https://www.sec.gov/Archives/edgar/data/0001678660/000119312520240138/d935180dex102.htm" TargetMode="External"/><Relationship Id="rId276" Type="http://schemas.openxmlformats.org/officeDocument/2006/relationships/hyperlink" Target="https://www.sec.gov/Archives/edgar/data/0001678660/000119312520249549/d935180dex103.htm" TargetMode="External"/><Relationship Id="rId277" Type="http://schemas.openxmlformats.org/officeDocument/2006/relationships/hyperlink" Target="https://www.sec.gov/Archives/edgar/data/0001678660/000119312520249549/d935180dex104.htm" TargetMode="External"/><Relationship Id="rId278" Type="http://schemas.openxmlformats.org/officeDocument/2006/relationships/hyperlink" Target="https://www.sec.gov/Archives/edgar/data/0001678660/000119312520285568/d88737dex101.htm" TargetMode="External"/><Relationship Id="rId280" Type="http://schemas.openxmlformats.org/officeDocument/2006/relationships/hyperlink" Target="https://www.sec.gov/Archives/edgar/data/1678660/000119312521000946/d85697dex106.htm" TargetMode="External"/><Relationship Id="rId281" Type="http://schemas.openxmlformats.org/officeDocument/2006/relationships/hyperlink" Target="https://www.sec.gov/Archives/edgar/data/1678660/000156459022019085/prld-ex101_194.htm" TargetMode="External"/><Relationship Id="rId282" Type="http://schemas.openxmlformats.org/officeDocument/2006/relationships/hyperlink" Target="https://www.sec.gov/Archives/edgar/data/1678660/000156459022010723/prld-ex1011_220.htm" TargetMode="External"/><Relationship Id="rId283" Type="http://schemas.openxmlformats.org/officeDocument/2006/relationships/hyperlink" Target="https://www.sec.gov/Archives/edgar/data/1678660/000156459022010723/prld-ex1012_710.htm" TargetMode="External"/><Relationship Id="rId284" Type="http://schemas.openxmlformats.org/officeDocument/2006/relationships/hyperlink" Target="https://www.sec.gov/Archives/edgar/data/1678660/000095017022024732/prld-ex10_1.htm" TargetMode="External"/><Relationship Id="rId285" Type="http://schemas.openxmlformats.org/officeDocument/2006/relationships/hyperlink" Target="https://www.sec.gov/Archives/edgar/data/1678660/000119312523071400/d40592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2024-02-15T18:08:40Z</dcterms:created>
  <dcterms:modified xsi:type="dcterms:W3CDTF">2024-02-15T18:08:40Z</dcterms:modified>
</cp:coreProperties>
</file>