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207010</wp:posOffset>
            </wp:positionH>
            <wp:positionV relativeFrom="page">
              <wp:posOffset>156210</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page">
              <wp:posOffset>207010</wp:posOffset>
            </wp:positionH>
            <wp:positionV relativeFrom="page">
              <wp:posOffset>173355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SECURITIES AND EXCHANGE COMMISSION</w:t>
      </w: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67945</wp:posOffset>
            </wp:positionV>
            <wp:extent cx="14338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0"/>
          <w:szCs w:val="30"/>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82550</wp:posOffset>
            </wp:positionV>
            <wp:extent cx="14338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80"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49" w:lineRule="exact"/>
        <w:rPr>
          <w:sz w:val="24"/>
          <w:szCs w:val="24"/>
          <w:color w:val="auto"/>
        </w:rPr>
      </w:pPr>
    </w:p>
    <w:p>
      <w:pPr>
        <w:ind w:left="3680" w:right="1780" w:hanging="3674"/>
        <w:spacing w:after="0" w:line="224" w:lineRule="auto"/>
        <w:tabs>
          <w:tab w:leader="none" w:pos="451" w:val="left"/>
        </w:tabs>
        <w:numPr>
          <w:ilvl w:val="0"/>
          <w:numId w:val="1"/>
        </w:numPr>
        <w:rPr>
          <w:rFonts w:ascii="MS PGothic" w:cs="MS PGothic" w:eastAsia="MS PGothic" w:hAnsi="MS PGothic"/>
          <w:sz w:val="35"/>
          <w:szCs w:val="35"/>
          <w:color w:val="auto"/>
          <w:highlight w:val="black"/>
          <w:vertAlign w:val="superscript"/>
        </w:rPr>
      </w:pPr>
      <w:r>
        <w:rPr>
          <w:rFonts w:ascii="Arial" w:cs="Arial" w:eastAsia="Arial" w:hAnsi="Arial"/>
          <w:sz w:val="18"/>
          <w:szCs w:val="18"/>
          <w:b w:val="1"/>
          <w:bCs w:val="1"/>
          <w:color w:val="auto"/>
        </w:rPr>
        <w:t>QUARTERLY REPORT PURSUANT TO SECTION 13 OR 15(d) OF THE SECURITIES EXCHANGE ACT OF 1934 For the quarterly period ended September 30, 2021</w:t>
      </w:r>
    </w:p>
    <w:p>
      <w:pPr>
        <w:spacing w:after="0" w:line="303" w:lineRule="exact"/>
        <w:rPr>
          <w:sz w:val="24"/>
          <w:szCs w:val="24"/>
          <w:color w:val="auto"/>
        </w:rPr>
      </w:pPr>
    </w:p>
    <w:p>
      <w:pPr>
        <w:ind w:left="460" w:hanging="454"/>
        <w:spacing w:after="0"/>
        <w:tabs>
          <w:tab w:leader="none" w:pos="460" w:val="left"/>
        </w:tabs>
        <w:numPr>
          <w:ilvl w:val="0"/>
          <w:numId w:val="2"/>
        </w:numPr>
        <w:rPr>
          <w:rFonts w:ascii="MS PGothic" w:cs="MS PGothic" w:eastAsia="MS PGothic" w:hAnsi="MS PGothic"/>
          <w:sz w:val="35"/>
          <w:szCs w:val="35"/>
          <w:color w:val="auto"/>
          <w:highlight w:val="black"/>
          <w:vertAlign w:val="superscript"/>
        </w:rPr>
      </w:pPr>
      <w:r>
        <w:rPr>
          <w:rFonts w:ascii="Arial" w:cs="Arial" w:eastAsia="Arial" w:hAnsi="Arial"/>
          <w:sz w:val="18"/>
          <w:szCs w:val="18"/>
          <w:b w:val="1"/>
          <w:bCs w:val="1"/>
          <w:color w:val="auto"/>
        </w:rPr>
        <w:t>TRANSITION REPORT PURSUANT TO SECTION 13 OR 15(d) OF THE SECURITIES EXCHANGE ACT OF 1934</w:t>
      </w:r>
    </w:p>
    <w:p>
      <w:pPr>
        <w:spacing w:after="0" w:line="82" w:lineRule="exact"/>
        <w:rPr>
          <w:sz w:val="24"/>
          <w:szCs w:val="24"/>
          <w:color w:val="auto"/>
        </w:rPr>
      </w:pPr>
    </w:p>
    <w:p>
      <w:pPr>
        <w:ind w:left="368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92"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74295</wp:posOffset>
            </wp:positionV>
            <wp:extent cx="14338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44" w:lineRule="exact"/>
        <w:rPr>
          <w:sz w:val="24"/>
          <w:szCs w:val="24"/>
          <w:color w:val="auto"/>
        </w:rPr>
      </w:pPr>
    </w:p>
    <w:p>
      <w:pPr>
        <w:jc w:val="center"/>
        <w:spacing w:after="0"/>
        <w:rPr>
          <w:sz w:val="20"/>
          <w:szCs w:val="20"/>
          <w:color w:val="auto"/>
        </w:rPr>
      </w:pPr>
      <w:r>
        <w:rPr>
          <w:rFonts w:ascii="Arial" w:cs="Arial" w:eastAsia="Arial" w:hAnsi="Arial"/>
          <w:sz w:val="39"/>
          <w:szCs w:val="39"/>
          <w:b w:val="1"/>
          <w:bCs w:val="1"/>
          <w:color w:val="auto"/>
        </w:rPr>
        <w:t>PRELUDE THERAPEUTICS INCORPORATED</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69850</wp:posOffset>
            </wp:positionV>
            <wp:extent cx="14338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65" w:lineRule="exact"/>
        <w:rPr>
          <w:sz w:val="24"/>
          <w:szCs w:val="24"/>
          <w:color w:val="auto"/>
        </w:rPr>
      </w:pPr>
    </w:p>
    <w:tbl>
      <w:tblPr>
        <w:tblLayout w:type="fixed"/>
        <w:tblInd w:w="1800" w:type="dxa"/>
        <w:tblCellMar>
          <w:top w:w="0" w:type="dxa"/>
          <w:left w:w="0" w:type="dxa"/>
          <w:bottom w:w="0" w:type="dxa"/>
          <w:right w:w="0" w:type="dxa"/>
        </w:tblCellMar>
      </w:tblPr>
      <w:tr>
        <w:trPr>
          <w:trHeight w:val="213"/>
        </w:trPr>
        <w:tc>
          <w:tcPr>
            <w:tcW w:w="4100" w:type="dxa"/>
            <w:vAlign w:val="bottom"/>
          </w:tcPr>
          <w:p>
            <w:pPr>
              <w:jc w:val="center"/>
              <w:ind w:right="1985"/>
              <w:spacing w:after="0"/>
              <w:rPr>
                <w:sz w:val="20"/>
                <w:szCs w:val="20"/>
                <w:color w:val="auto"/>
              </w:rPr>
            </w:pPr>
            <w:r>
              <w:rPr>
                <w:rFonts w:ascii="Arial" w:cs="Arial" w:eastAsia="Arial" w:hAnsi="Arial"/>
                <w:sz w:val="18"/>
                <w:szCs w:val="18"/>
                <w:b w:val="1"/>
                <w:bCs w:val="1"/>
                <w:color w:val="auto"/>
                <w:w w:val="91"/>
              </w:rPr>
              <w:t>Delaware</w:t>
            </w:r>
          </w:p>
        </w:tc>
        <w:tc>
          <w:tcPr>
            <w:tcW w:w="3020" w:type="dxa"/>
            <w:vAlign w:val="bottom"/>
          </w:tcPr>
          <w:p>
            <w:pPr>
              <w:jc w:val="right"/>
              <w:spacing w:after="0"/>
              <w:rPr>
                <w:sz w:val="20"/>
                <w:szCs w:val="20"/>
                <w:color w:val="auto"/>
              </w:rPr>
            </w:pPr>
            <w:r>
              <w:rPr>
                <w:rFonts w:ascii="Arial" w:cs="Arial" w:eastAsia="Arial" w:hAnsi="Arial"/>
                <w:sz w:val="18"/>
                <w:szCs w:val="18"/>
                <w:b w:val="1"/>
                <w:bCs w:val="1"/>
                <w:color w:val="auto"/>
              </w:rPr>
              <w:t>81-1384762</w:t>
            </w:r>
          </w:p>
        </w:tc>
      </w:tr>
      <w:tr>
        <w:trPr>
          <w:trHeight w:val="133"/>
        </w:trPr>
        <w:tc>
          <w:tcPr>
            <w:tcW w:w="4100" w:type="dxa"/>
            <w:vAlign w:val="bottom"/>
          </w:tcPr>
          <w:p>
            <w:pPr>
              <w:jc w:val="center"/>
              <w:ind w:right="2005"/>
              <w:spacing w:after="0" w:line="133" w:lineRule="exact"/>
              <w:rPr>
                <w:sz w:val="20"/>
                <w:szCs w:val="20"/>
                <w:color w:val="auto"/>
              </w:rPr>
            </w:pPr>
            <w:r>
              <w:rPr>
                <w:rFonts w:ascii="Arial" w:cs="Arial" w:eastAsia="Arial" w:hAnsi="Arial"/>
                <w:sz w:val="12"/>
                <w:szCs w:val="12"/>
                <w:b w:val="1"/>
                <w:bCs w:val="1"/>
                <w:color w:val="auto"/>
                <w:w w:val="93"/>
              </w:rPr>
              <w:t>(State or other jurisdiction of</w:t>
            </w:r>
          </w:p>
        </w:tc>
        <w:tc>
          <w:tcPr>
            <w:tcW w:w="3020" w:type="dxa"/>
            <w:vAlign w:val="bottom"/>
          </w:tcPr>
          <w:p>
            <w:pPr>
              <w:jc w:val="center"/>
              <w:ind w:left="1969"/>
              <w:spacing w:after="0" w:line="133" w:lineRule="exact"/>
              <w:rPr>
                <w:sz w:val="20"/>
                <w:szCs w:val="20"/>
                <w:color w:val="auto"/>
              </w:rPr>
            </w:pPr>
            <w:r>
              <w:rPr>
                <w:rFonts w:ascii="Arial" w:cs="Arial" w:eastAsia="Arial" w:hAnsi="Arial"/>
                <w:sz w:val="12"/>
                <w:szCs w:val="12"/>
                <w:b w:val="1"/>
                <w:bCs w:val="1"/>
                <w:color w:val="auto"/>
                <w:w w:val="97"/>
              </w:rPr>
              <w:t>(I.R.S. Employer</w:t>
            </w:r>
          </w:p>
        </w:tc>
      </w:tr>
      <w:tr>
        <w:trPr>
          <w:trHeight w:val="160"/>
        </w:trPr>
        <w:tc>
          <w:tcPr>
            <w:tcW w:w="4100" w:type="dxa"/>
            <w:vAlign w:val="bottom"/>
          </w:tcPr>
          <w:p>
            <w:pPr>
              <w:jc w:val="center"/>
              <w:ind w:right="2005"/>
              <w:spacing w:after="0"/>
              <w:rPr>
                <w:sz w:val="20"/>
                <w:szCs w:val="20"/>
                <w:color w:val="auto"/>
              </w:rPr>
            </w:pPr>
            <w:r>
              <w:rPr>
                <w:rFonts w:ascii="Arial" w:cs="Arial" w:eastAsia="Arial" w:hAnsi="Arial"/>
                <w:sz w:val="12"/>
                <w:szCs w:val="12"/>
                <w:b w:val="1"/>
                <w:bCs w:val="1"/>
                <w:color w:val="auto"/>
                <w:w w:val="94"/>
              </w:rPr>
              <w:t>incorporation or organization)</w:t>
            </w:r>
          </w:p>
        </w:tc>
        <w:tc>
          <w:tcPr>
            <w:tcW w:w="3020" w:type="dxa"/>
            <w:vAlign w:val="bottom"/>
          </w:tcPr>
          <w:p>
            <w:pPr>
              <w:jc w:val="center"/>
              <w:ind w:left="1969"/>
              <w:spacing w:after="0"/>
              <w:rPr>
                <w:sz w:val="20"/>
                <w:szCs w:val="20"/>
                <w:color w:val="auto"/>
              </w:rPr>
            </w:pPr>
            <w:r>
              <w:rPr>
                <w:rFonts w:ascii="Arial" w:cs="Arial" w:eastAsia="Arial" w:hAnsi="Arial"/>
                <w:sz w:val="12"/>
                <w:szCs w:val="12"/>
                <w:b w:val="1"/>
                <w:bCs w:val="1"/>
                <w:color w:val="auto"/>
                <w:w w:val="96"/>
              </w:rPr>
              <w:t>Identification No.)</w:t>
            </w:r>
          </w:p>
        </w:tc>
      </w:tr>
      <w:tr>
        <w:trPr>
          <w:trHeight w:val="291"/>
        </w:trPr>
        <w:tc>
          <w:tcPr>
            <w:tcW w:w="4100" w:type="dxa"/>
            <w:vAlign w:val="bottom"/>
          </w:tcPr>
          <w:p>
            <w:pPr>
              <w:jc w:val="center"/>
              <w:ind w:right="2005"/>
              <w:spacing w:after="0"/>
              <w:rPr>
                <w:sz w:val="20"/>
                <w:szCs w:val="20"/>
                <w:color w:val="auto"/>
              </w:rPr>
            </w:pPr>
            <w:r>
              <w:rPr>
                <w:rFonts w:ascii="Arial" w:cs="Arial" w:eastAsia="Arial" w:hAnsi="Arial"/>
                <w:sz w:val="18"/>
                <w:szCs w:val="18"/>
                <w:b w:val="1"/>
                <w:bCs w:val="1"/>
                <w:color w:val="auto"/>
                <w:w w:val="91"/>
              </w:rPr>
              <w:t>200 Powder Mill Road</w:t>
            </w:r>
          </w:p>
        </w:tc>
        <w:tc>
          <w:tcPr>
            <w:tcW w:w="3020" w:type="dxa"/>
            <w:vAlign w:val="bottom"/>
          </w:tcPr>
          <w:p>
            <w:pPr>
              <w:spacing w:after="0"/>
              <w:rPr>
                <w:sz w:val="24"/>
                <w:szCs w:val="24"/>
                <w:color w:val="auto"/>
              </w:rPr>
            </w:pPr>
          </w:p>
        </w:tc>
      </w:tr>
      <w:tr>
        <w:trPr>
          <w:trHeight w:val="213"/>
        </w:trPr>
        <w:tc>
          <w:tcPr>
            <w:tcW w:w="4100" w:type="dxa"/>
            <w:vAlign w:val="bottom"/>
          </w:tcPr>
          <w:p>
            <w:pPr>
              <w:jc w:val="center"/>
              <w:ind w:right="2005"/>
              <w:spacing w:after="0"/>
              <w:rPr>
                <w:sz w:val="20"/>
                <w:szCs w:val="20"/>
                <w:color w:val="auto"/>
              </w:rPr>
            </w:pPr>
            <w:r>
              <w:rPr>
                <w:rFonts w:ascii="Arial" w:cs="Arial" w:eastAsia="Arial" w:hAnsi="Arial"/>
                <w:sz w:val="18"/>
                <w:szCs w:val="18"/>
                <w:b w:val="1"/>
                <w:bCs w:val="1"/>
                <w:color w:val="auto"/>
                <w:w w:val="90"/>
              </w:rPr>
              <w:t>Wilmington, Delaware</w:t>
            </w:r>
          </w:p>
        </w:tc>
        <w:tc>
          <w:tcPr>
            <w:tcW w:w="3020" w:type="dxa"/>
            <w:vAlign w:val="bottom"/>
          </w:tcPr>
          <w:p>
            <w:pPr>
              <w:jc w:val="right"/>
              <w:ind w:right="209"/>
              <w:spacing w:after="0"/>
              <w:rPr>
                <w:sz w:val="20"/>
                <w:szCs w:val="20"/>
                <w:color w:val="auto"/>
              </w:rPr>
            </w:pPr>
            <w:r>
              <w:rPr>
                <w:rFonts w:ascii="Arial" w:cs="Arial" w:eastAsia="Arial" w:hAnsi="Arial"/>
                <w:sz w:val="16"/>
                <w:szCs w:val="16"/>
                <w:b w:val="1"/>
                <w:bCs w:val="1"/>
                <w:color w:val="auto"/>
              </w:rPr>
              <w:t>19803</w:t>
            </w:r>
          </w:p>
        </w:tc>
      </w:tr>
      <w:tr>
        <w:trPr>
          <w:trHeight w:val="160"/>
        </w:trPr>
        <w:tc>
          <w:tcPr>
            <w:tcW w:w="4100" w:type="dxa"/>
            <w:vAlign w:val="bottom"/>
          </w:tcPr>
          <w:p>
            <w:pPr>
              <w:jc w:val="center"/>
              <w:ind w:right="1985"/>
              <w:spacing w:after="0"/>
              <w:rPr>
                <w:sz w:val="20"/>
                <w:szCs w:val="20"/>
                <w:color w:val="auto"/>
              </w:rPr>
            </w:pPr>
            <w:r>
              <w:rPr>
                <w:rFonts w:ascii="Arial" w:cs="Arial" w:eastAsia="Arial" w:hAnsi="Arial"/>
                <w:sz w:val="12"/>
                <w:szCs w:val="12"/>
                <w:b w:val="1"/>
                <w:bCs w:val="1"/>
                <w:color w:val="auto"/>
                <w:w w:val="91"/>
              </w:rPr>
              <w:t>(Address of principal executive offices)</w:t>
            </w:r>
          </w:p>
        </w:tc>
        <w:tc>
          <w:tcPr>
            <w:tcW w:w="3020" w:type="dxa"/>
            <w:vAlign w:val="bottom"/>
          </w:tcPr>
          <w:p>
            <w:pPr>
              <w:jc w:val="center"/>
              <w:ind w:left="1969"/>
              <w:spacing w:after="0"/>
              <w:rPr>
                <w:sz w:val="20"/>
                <w:szCs w:val="20"/>
                <w:color w:val="auto"/>
              </w:rPr>
            </w:pPr>
            <w:r>
              <w:rPr>
                <w:rFonts w:ascii="Arial" w:cs="Arial" w:eastAsia="Arial" w:hAnsi="Arial"/>
                <w:sz w:val="12"/>
                <w:szCs w:val="12"/>
                <w:b w:val="1"/>
                <w:bCs w:val="1"/>
                <w:color w:val="auto"/>
                <w:w w:val="97"/>
              </w:rPr>
              <w:t>(Zip Code)</w:t>
            </w:r>
          </w:p>
        </w:tc>
      </w:tr>
    </w:tbl>
    <w:p>
      <w:pPr>
        <w:spacing w:after="0" w:line="52" w:lineRule="exact"/>
        <w:rPr>
          <w:sz w:val="24"/>
          <w:szCs w:val="24"/>
          <w:color w:val="auto"/>
        </w:rPr>
      </w:pPr>
    </w:p>
    <w:p>
      <w:pPr>
        <w:ind w:left="3080"/>
        <w:spacing w:after="0"/>
        <w:rPr>
          <w:sz w:val="20"/>
          <w:szCs w:val="20"/>
          <w:color w:val="auto"/>
        </w:rPr>
      </w:pPr>
      <w:r>
        <w:rPr>
          <w:rFonts w:ascii="Arial" w:cs="Arial" w:eastAsia="Arial" w:hAnsi="Arial"/>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2854325</wp:posOffset>
            </wp:positionH>
            <wp:positionV relativeFrom="paragraph">
              <wp:posOffset>74295</wp:posOffset>
            </wp:positionV>
            <wp:extent cx="14338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3830" cy="8255"/>
                    </a:xfrm>
                    <a:prstGeom prst="rect">
                      <a:avLst/>
                    </a:prstGeom>
                    <a:noFill/>
                  </pic:spPr>
                </pic:pic>
              </a:graphicData>
            </a:graphic>
          </wp:anchor>
        </w:drawing>
      </w:r>
    </w:p>
    <w:p>
      <w:pPr>
        <w:spacing w:after="0" w:line="180" w:lineRule="exact"/>
        <w:rPr>
          <w:sz w:val="24"/>
          <w:szCs w:val="24"/>
          <w:color w:val="auto"/>
        </w:rPr>
      </w:pPr>
    </w:p>
    <w:p>
      <w:pPr>
        <w:ind w:left="48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67"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7"/>
              </w:rPr>
              <w:t>Title of each class</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4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0" w:type="dxa"/>
            <w:vAlign w:val="bottom"/>
          </w:tcPr>
          <w:p>
            <w:pPr>
              <w:spacing w:after="0"/>
              <w:rPr>
                <w:sz w:val="1"/>
                <w:szCs w:val="1"/>
                <w:color w:val="auto"/>
              </w:rPr>
            </w:pPr>
          </w:p>
        </w:tc>
      </w:tr>
      <w:tr>
        <w:trPr>
          <w:trHeight w:val="169"/>
        </w:trPr>
        <w:tc>
          <w:tcPr>
            <w:tcW w:w="4500" w:type="dxa"/>
            <w:vAlign w:val="bottom"/>
            <w:gridSpan w:val="2"/>
            <w:vMerge w:val="continue"/>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43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3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Common Stock, par value $0.0001 per share</w:t>
            </w:r>
          </w:p>
        </w:tc>
        <w:tc>
          <w:tcPr>
            <w:tcW w:w="120" w:type="dxa"/>
            <w:vAlign w:val="bottom"/>
          </w:tcPr>
          <w:p>
            <w:pPr>
              <w:spacing w:after="0"/>
              <w:rPr>
                <w:sz w:val="17"/>
                <w:szCs w:val="17"/>
                <w:color w:val="auto"/>
              </w:rPr>
            </w:pPr>
          </w:p>
        </w:tc>
        <w:tc>
          <w:tcPr>
            <w:tcW w:w="22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3"/>
              </w:rPr>
              <w:t>PRLD</w:t>
            </w:r>
          </w:p>
        </w:tc>
        <w:tc>
          <w:tcPr>
            <w:tcW w:w="120" w:type="dxa"/>
            <w:vAlign w:val="bottom"/>
          </w:tcPr>
          <w:p>
            <w:pPr>
              <w:spacing w:after="0"/>
              <w:rPr>
                <w:sz w:val="17"/>
                <w:szCs w:val="17"/>
                <w:color w:val="auto"/>
              </w:rPr>
            </w:pPr>
          </w:p>
        </w:tc>
        <w:tc>
          <w:tcPr>
            <w:tcW w:w="43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The Nasdaq Stock Market LLC</w:t>
            </w:r>
          </w:p>
        </w:tc>
        <w:tc>
          <w:tcPr>
            <w:tcW w:w="0" w:type="dxa"/>
            <w:vAlign w:val="bottom"/>
          </w:tcPr>
          <w:p>
            <w:pPr>
              <w:spacing w:after="0"/>
              <w:rPr>
                <w:sz w:val="1"/>
                <w:szCs w:val="1"/>
                <w:color w:val="auto"/>
              </w:rPr>
            </w:pPr>
          </w:p>
        </w:tc>
      </w:tr>
    </w:tbl>
    <w:p>
      <w:pPr>
        <w:spacing w:after="0" w:line="65" w:lineRule="exact"/>
        <w:rPr>
          <w:sz w:val="24"/>
          <w:szCs w:val="24"/>
          <w:color w:val="auto"/>
        </w:rPr>
      </w:pPr>
    </w:p>
    <w:p>
      <w:pPr>
        <w:ind w:right="180" w:firstLine="479"/>
        <w:spacing w:after="0" w:line="300"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60"/>
        <w:spacing w:after="0" w:line="184" w:lineRule="exact"/>
        <w:tabs>
          <w:tab w:leader="none" w:pos="76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7" w:lineRule="exact"/>
        <w:rPr>
          <w:sz w:val="24"/>
          <w:szCs w:val="24"/>
          <w:color w:val="auto"/>
        </w:rPr>
      </w:pPr>
    </w:p>
    <w:p>
      <w:pPr>
        <w:ind w:right="100" w:firstLine="479"/>
        <w:spacing w:after="0" w:line="21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6" w:lineRule="exact"/>
        <w:rPr>
          <w:sz w:val="24"/>
          <w:szCs w:val="24"/>
          <w:color w:val="auto"/>
        </w:rPr>
      </w:pPr>
    </w:p>
    <w:p>
      <w:pPr>
        <w:ind w:firstLine="479"/>
        <w:spacing w:after="0" w:line="33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0" w:type="dxa"/>
        <w:tblCellMar>
          <w:top w:w="0" w:type="dxa"/>
          <w:left w:w="0" w:type="dxa"/>
          <w:bottom w:w="0" w:type="dxa"/>
          <w:right w:w="0" w:type="dxa"/>
        </w:tblCellMar>
      </w:tblPr>
      <w:tr>
        <w:trPr>
          <w:trHeight w:val="239"/>
        </w:trPr>
        <w:tc>
          <w:tcPr>
            <w:tcW w:w="20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9"/>
        </w:trPr>
        <w:tc>
          <w:tcPr>
            <w:tcW w:w="2000" w:type="dxa"/>
            <w:vAlign w:val="bottom"/>
          </w:tcPr>
          <w:p>
            <w:pPr>
              <w:spacing w:after="0"/>
              <w:rPr>
                <w:sz w:val="20"/>
                <w:szCs w:val="20"/>
                <w:color w:val="auto"/>
              </w:rPr>
            </w:pPr>
            <w:r>
              <w:rPr>
                <w:rFonts w:ascii="Arial" w:cs="Arial" w:eastAsia="Arial" w:hAnsi="Arial"/>
                <w:sz w:val="16"/>
                <w:szCs w:val="16"/>
                <w:color w:val="auto"/>
              </w:rPr>
              <w:t>Non-accelerated filer</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0"/>
        </w:trPr>
        <w:tc>
          <w:tcPr>
            <w:tcW w:w="20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2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spacing w:after="0"/>
              <w:rPr>
                <w:sz w:val="21"/>
                <w:szCs w:val="21"/>
                <w:color w:val="auto"/>
              </w:rPr>
            </w:pPr>
          </w:p>
        </w:tc>
        <w:tc>
          <w:tcPr>
            <w:tcW w:w="460" w:type="dxa"/>
            <w:vAlign w:val="bottom"/>
          </w:tcPr>
          <w:p>
            <w:pPr>
              <w:spacing w:after="0"/>
              <w:rPr>
                <w:sz w:val="21"/>
                <w:szCs w:val="21"/>
                <w:color w:val="auto"/>
              </w:rPr>
            </w:pPr>
          </w:p>
        </w:tc>
      </w:tr>
    </w:tbl>
    <w:p>
      <w:pPr>
        <w:spacing w:after="0" w:line="59" w:lineRule="exact"/>
        <w:rPr>
          <w:sz w:val="24"/>
          <w:szCs w:val="24"/>
          <w:color w:val="auto"/>
        </w:rPr>
      </w:pPr>
    </w:p>
    <w:p>
      <w:pPr>
        <w:ind w:right="280" w:firstLine="479"/>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69" w:lineRule="exact"/>
        <w:rPr>
          <w:sz w:val="24"/>
          <w:szCs w:val="24"/>
          <w:color w:val="auto"/>
        </w:rPr>
      </w:pPr>
    </w:p>
    <w:p>
      <w:pPr>
        <w:ind w:left="480"/>
        <w:spacing w:after="0" w:line="184" w:lineRule="exact"/>
        <w:tabs>
          <w:tab w:leader="none" w:pos="7900" w:val="left"/>
          <w:tab w:leader="none" w:pos="856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1" w:lineRule="exact"/>
        <w:rPr>
          <w:sz w:val="24"/>
          <w:szCs w:val="24"/>
          <w:color w:val="auto"/>
        </w:rPr>
      </w:pPr>
    </w:p>
    <w:p>
      <w:pPr>
        <w:ind w:right="340" w:firstLine="479"/>
        <w:spacing w:after="0" w:line="210" w:lineRule="exact"/>
        <w:rPr>
          <w:sz w:val="20"/>
          <w:szCs w:val="20"/>
          <w:color w:val="auto"/>
        </w:rPr>
      </w:pPr>
      <w:r>
        <w:rPr>
          <w:rFonts w:ascii="Arial" w:cs="Arial" w:eastAsia="Arial" w:hAnsi="Arial"/>
          <w:sz w:val="16"/>
          <w:szCs w:val="16"/>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ind w:left="480"/>
        <w:spacing w:after="0"/>
        <w:rPr>
          <w:sz w:val="20"/>
          <w:szCs w:val="20"/>
          <w:color w:val="auto"/>
        </w:rPr>
      </w:pPr>
      <w:r>
        <w:rPr>
          <w:rFonts w:ascii="Arial" w:cs="Arial" w:eastAsia="Arial" w:hAnsi="Arial"/>
          <w:sz w:val="16"/>
          <w:szCs w:val="16"/>
          <w:color w:val="auto"/>
        </w:rPr>
        <w:t>As of November 8, 2021, the registrant had 47,215,352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66675</wp:posOffset>
            </wp:positionV>
            <wp:extent cx="71348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83185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551180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2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0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560" w:type="dxa"/>
            <w:vAlign w:val="bottom"/>
            <w:gridSpan w:val="18"/>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9"/>
        </w:trPr>
        <w:tc>
          <w:tcPr>
            <w:tcW w:w="1020" w:type="dxa"/>
            <w:vAlign w:val="bottom"/>
            <w:gridSpan w:val="2"/>
            <w:vMerge w:val="continue"/>
          </w:tcPr>
          <w:p>
            <w:pPr>
              <w:spacing w:after="0"/>
              <w:rPr>
                <w:sz w:val="15"/>
                <w:szCs w:val="15"/>
                <w:color w:val="auto"/>
              </w:rPr>
            </w:pPr>
          </w:p>
        </w:tc>
        <w:tc>
          <w:tcPr>
            <w:tcW w:w="9560" w:type="dxa"/>
            <w:vAlign w:val="bottom"/>
            <w:gridSpan w:val="18"/>
            <w:vMerge w:val="continue"/>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1.</w:t>
            </w:r>
          </w:p>
        </w:tc>
        <w:tc>
          <w:tcPr>
            <w:tcW w:w="2220" w:type="dxa"/>
            <w:vAlign w:val="bottom"/>
            <w:tcBorders>
              <w:top w:val="single" w:sz="8" w:color="0000EE"/>
            </w:tcBorders>
            <w:gridSpan w:val="9"/>
          </w:tcPr>
          <w:p>
            <w:pPr>
              <w:spacing w:after="0" w:line="20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340" w:type="dxa"/>
            <w:vAlign w:val="bottom"/>
            <w:gridSpan w:val="9"/>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560" w:type="dxa"/>
            <w:vAlign w:val="bottom"/>
            <w:gridSpan w:val="18"/>
          </w:tcPr>
          <w:p>
            <w:pPr>
              <w:spacing w:after="0" w:line="206" w:lineRule="exact"/>
              <w:rPr>
                <w:rFonts w:ascii="Arial" w:cs="Arial" w:eastAsia="Arial" w:hAnsi="Arial"/>
                <w:sz w:val="18"/>
                <w:szCs w:val="18"/>
                <w:color w:val="0000EE"/>
              </w:rPr>
            </w:pPr>
            <w:hyperlink w:anchor="page3">
              <w:r>
                <w:rPr>
                  <w:rFonts w:ascii="Arial" w:cs="Arial" w:eastAsia="Arial" w:hAnsi="Arial"/>
                  <w:sz w:val="18"/>
                  <w:szCs w:val="18"/>
                  <w:color w:val="0000EE"/>
                </w:rPr>
                <w:t>Balance Sheets (Unaudited)</w:t>
              </w:r>
            </w:hyperlink>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540" w:type="dxa"/>
            <w:vAlign w:val="bottom"/>
            <w:tcBorders>
              <w:bottom w:val="single" w:sz="8" w:color="0000EE"/>
            </w:tcBorders>
            <w:gridSpan w:val="15"/>
          </w:tcPr>
          <w:p>
            <w:pPr>
              <w:spacing w:after="0" w:line="20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Statements of Operations and Comprehensive Loss (Unaudited)</w:t>
              </w:r>
            </w:hyperlink>
          </w:p>
        </w:tc>
        <w:tc>
          <w:tcPr>
            <w:tcW w:w="5020" w:type="dxa"/>
            <w:vAlign w:val="bottom"/>
            <w:gridSpan w:val="3"/>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40" w:type="dxa"/>
            <w:vAlign w:val="bottom"/>
            <w:tcBorders>
              <w:bottom w:val="single" w:sz="8" w:color="0000EE"/>
            </w:tcBorders>
            <w:gridSpan w:val="17"/>
          </w:tcPr>
          <w:p>
            <w:pPr>
              <w:spacing w:after="0" w:line="20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Statements of Changes in Convertible Preferred Stock and Stockholder’s Equity (Deficit) (Unaudited)</w:t>
              </w:r>
            </w:hyperlink>
          </w:p>
        </w:tc>
        <w:tc>
          <w:tcPr>
            <w:tcW w:w="232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60" w:type="dxa"/>
            <w:vAlign w:val="bottom"/>
            <w:tcBorders>
              <w:bottom w:val="single" w:sz="8" w:color="0000EE"/>
            </w:tcBorders>
            <w:gridSpan w:val="11"/>
          </w:tcPr>
          <w:p>
            <w:pPr>
              <w:spacing w:after="0" w:line="20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Statements of Cash Flows (Unaudited)</w:t>
              </w:r>
            </w:hyperlink>
          </w:p>
        </w:tc>
        <w:tc>
          <w:tcPr>
            <w:tcW w:w="6800" w:type="dxa"/>
            <w:vAlign w:val="bottom"/>
            <w:gridSpan w:val="7"/>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6"/>
        </w:trPr>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80" w:type="dxa"/>
            <w:vAlign w:val="bottom"/>
            <w:tcBorders>
              <w:bottom w:val="single" w:sz="8" w:color="0000EE"/>
            </w:tcBorders>
            <w:gridSpan w:val="12"/>
          </w:tcPr>
          <w:p>
            <w:pPr>
              <w:spacing w:after="0" w:line="20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Interim Financial Statements</w:t>
              </w:r>
            </w:hyperlink>
          </w:p>
        </w:tc>
        <w:tc>
          <w:tcPr>
            <w:tcW w:w="6080" w:type="dxa"/>
            <w:vAlign w:val="bottom"/>
            <w:gridSpan w:val="6"/>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line="20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3.</w:t>
            </w:r>
          </w:p>
        </w:tc>
        <w:tc>
          <w:tcPr>
            <w:tcW w:w="4300" w:type="dxa"/>
            <w:vAlign w:val="bottom"/>
            <w:tcBorders>
              <w:top w:val="single" w:sz="8" w:color="0000EE"/>
              <w:bottom w:val="single" w:sz="8" w:color="0000EE"/>
            </w:tcBorders>
            <w:gridSpan w:val="14"/>
          </w:tcPr>
          <w:p>
            <w:pPr>
              <w:spacing w:after="0" w:line="20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Quantitative and Qualitative Disclosures About Market Risk</w:t>
              </w:r>
            </w:hyperlink>
          </w:p>
        </w:tc>
        <w:tc>
          <w:tcPr>
            <w:tcW w:w="2060" w:type="dxa"/>
            <w:vAlign w:val="bottom"/>
            <w:tcBorders>
              <w:top w:val="single" w:sz="8" w:color="0000EE"/>
            </w:tcBorders>
            <w:gridSpan w:val="2"/>
          </w:tcPr>
          <w:p>
            <w:pPr>
              <w:spacing w:after="0"/>
              <w:rPr>
                <w:sz w:val="17"/>
                <w:szCs w:val="17"/>
                <w:color w:val="auto"/>
              </w:rPr>
            </w:pPr>
          </w:p>
        </w:tc>
        <w:tc>
          <w:tcPr>
            <w:tcW w:w="3200" w:type="dxa"/>
            <w:vAlign w:val="bottom"/>
            <w:gridSpan w:val="2"/>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4.</w:t>
            </w:r>
          </w:p>
        </w:tc>
        <w:tc>
          <w:tcPr>
            <w:tcW w:w="1760" w:type="dxa"/>
            <w:vAlign w:val="bottom"/>
            <w:tcBorders>
              <w:bottom w:val="single" w:sz="8" w:color="0000EE"/>
            </w:tcBorders>
            <w:gridSpan w:val="7"/>
          </w:tcPr>
          <w:p>
            <w:pPr>
              <w:spacing w:after="0" w:line="206" w:lineRule="exact"/>
              <w:rPr>
                <w:rFonts w:ascii="Arial" w:cs="Arial" w:eastAsia="Arial" w:hAnsi="Arial"/>
                <w:sz w:val="18"/>
                <w:szCs w:val="18"/>
                <w:color w:val="0000EE"/>
                <w:w w:val="87"/>
              </w:rPr>
            </w:pPr>
            <w:hyperlink w:anchor="page27">
              <w:r>
                <w:rPr>
                  <w:rFonts w:ascii="Arial" w:cs="Arial" w:eastAsia="Arial" w:hAnsi="Arial"/>
                  <w:sz w:val="18"/>
                  <w:szCs w:val="18"/>
                  <w:color w:val="0000EE"/>
                  <w:w w:val="87"/>
                </w:rPr>
                <w:t>Controls and Procedures</w:t>
              </w:r>
            </w:hyperlink>
          </w:p>
        </w:tc>
        <w:tc>
          <w:tcPr>
            <w:tcW w:w="7800" w:type="dxa"/>
            <w:vAlign w:val="bottom"/>
            <w:gridSpan w:val="11"/>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9560" w:type="dxa"/>
            <w:vAlign w:val="bottom"/>
            <w:gridSpan w:val="18"/>
          </w:tcPr>
          <w:p>
            <w:pPr>
              <w:spacing w:after="0"/>
              <w:rPr>
                <w:sz w:val="20"/>
                <w:szCs w:val="20"/>
                <w:color w:val="auto"/>
              </w:rPr>
            </w:pPr>
            <w:r>
              <w:rPr>
                <w:rFonts w:ascii="Arial" w:cs="Arial" w:eastAsia="Arial" w:hAnsi="Arial"/>
                <w:sz w:val="18"/>
                <w:szCs w:val="18"/>
                <w:color w:val="auto"/>
              </w:rPr>
              <w:t>OTHER INFORMATION</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1020" w:type="dxa"/>
            <w:vAlign w:val="bottom"/>
            <w:gridSpan w:val="2"/>
          </w:tcPr>
          <w:p>
            <w:pPr>
              <w:spacing w:after="0" w:line="187" w:lineRule="exact"/>
              <w:rPr>
                <w:sz w:val="20"/>
                <w:szCs w:val="20"/>
                <w:color w:val="auto"/>
              </w:rPr>
            </w:pPr>
            <w:r>
              <w:rPr>
                <w:rFonts w:ascii="Arial" w:cs="Arial" w:eastAsia="Arial" w:hAnsi="Arial"/>
                <w:sz w:val="18"/>
                <w:szCs w:val="18"/>
                <w:color w:val="auto"/>
              </w:rPr>
              <w:t>Item 1.</w:t>
            </w:r>
          </w:p>
        </w:tc>
        <w:tc>
          <w:tcPr>
            <w:tcW w:w="9560" w:type="dxa"/>
            <w:vAlign w:val="bottom"/>
            <w:gridSpan w:val="18"/>
          </w:tcPr>
          <w:p>
            <w:pPr>
              <w:spacing w:after="0" w:line="187" w:lineRule="exact"/>
              <w:rPr>
                <w:rFonts w:ascii="Arial" w:cs="Arial" w:eastAsia="Arial" w:hAnsi="Arial"/>
                <w:sz w:val="18"/>
                <w:szCs w:val="18"/>
                <w:color w:val="0000EE"/>
              </w:rPr>
            </w:pPr>
            <w:hyperlink w:anchor="page27">
              <w:r>
                <w:rPr>
                  <w:rFonts w:ascii="Arial" w:cs="Arial" w:eastAsia="Arial" w:hAnsi="Arial"/>
                  <w:sz w:val="18"/>
                  <w:szCs w:val="18"/>
                  <w:color w:val="0000EE"/>
                </w:rPr>
                <w:t>Legal Proceedings</w:t>
              </w:r>
            </w:hyperlink>
          </w:p>
        </w:tc>
        <w:tc>
          <w:tcPr>
            <w:tcW w:w="660" w:type="dxa"/>
            <w:vAlign w:val="bottom"/>
          </w:tcPr>
          <w:p>
            <w:pPr>
              <w:jc w:val="right"/>
              <w:spacing w:after="0" w:line="187"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2"/>
          </w:tcPr>
          <w:p>
            <w:pPr>
              <w:spacing w:after="0" w:line="20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17"/>
                <w:szCs w:val="17"/>
                <w:color w:val="auto"/>
              </w:rPr>
            </w:pPr>
          </w:p>
        </w:tc>
        <w:tc>
          <w:tcPr>
            <w:tcW w:w="8240" w:type="dxa"/>
            <w:vAlign w:val="bottom"/>
            <w:gridSpan w:val="14"/>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2.</w:t>
            </w:r>
          </w:p>
        </w:tc>
        <w:tc>
          <w:tcPr>
            <w:tcW w:w="9560" w:type="dxa"/>
            <w:vAlign w:val="bottom"/>
            <w:gridSpan w:val="18"/>
          </w:tcPr>
          <w:p>
            <w:pPr>
              <w:spacing w:after="0" w:line="206" w:lineRule="exact"/>
              <w:rPr>
                <w:rFonts w:ascii="Arial" w:cs="Arial" w:eastAsia="Arial" w:hAnsi="Arial"/>
                <w:sz w:val="18"/>
                <w:szCs w:val="18"/>
                <w:color w:val="0000EE"/>
              </w:rPr>
            </w:pPr>
            <w:hyperlink w:anchor="page75">
              <w:r>
                <w:rPr>
                  <w:rFonts w:ascii="Arial" w:cs="Arial" w:eastAsia="Arial" w:hAnsi="Arial"/>
                  <w:sz w:val="18"/>
                  <w:szCs w:val="18"/>
                  <w:color w:val="0000EE"/>
                </w:rPr>
                <w:t>Unregistered Sales of Equity Securities and Use of Proceeds</w:t>
              </w:r>
            </w:hyperlink>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3.</w:t>
            </w:r>
          </w:p>
        </w:tc>
        <w:tc>
          <w:tcPr>
            <w:tcW w:w="2300" w:type="dxa"/>
            <w:vAlign w:val="bottom"/>
            <w:tcBorders>
              <w:top w:val="single" w:sz="8" w:color="0000EE"/>
              <w:bottom w:val="single" w:sz="8" w:color="0000EE"/>
            </w:tcBorders>
            <w:gridSpan w:val="10"/>
          </w:tcPr>
          <w:p>
            <w:pPr>
              <w:spacing w:after="0" w:line="20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Defaults Upon Senior Securities</w:t>
              </w:r>
            </w:hyperlink>
          </w:p>
        </w:tc>
        <w:tc>
          <w:tcPr>
            <w:tcW w:w="1980" w:type="dxa"/>
            <w:vAlign w:val="bottom"/>
            <w:tcBorders>
              <w:top w:val="single" w:sz="8" w:color="0000EE"/>
            </w:tcBorders>
            <w:gridSpan w:val="3"/>
          </w:tcPr>
          <w:p>
            <w:pPr>
              <w:spacing w:after="0"/>
              <w:rPr>
                <w:sz w:val="17"/>
                <w:szCs w:val="17"/>
                <w:color w:val="auto"/>
              </w:rPr>
            </w:pPr>
          </w:p>
        </w:tc>
        <w:tc>
          <w:tcPr>
            <w:tcW w:w="5280" w:type="dxa"/>
            <w:vAlign w:val="bottom"/>
            <w:gridSpan w:val="5"/>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4.</w:t>
            </w:r>
          </w:p>
        </w:tc>
        <w:tc>
          <w:tcPr>
            <w:tcW w:w="9560" w:type="dxa"/>
            <w:vAlign w:val="bottom"/>
            <w:gridSpan w:val="18"/>
          </w:tcPr>
          <w:p>
            <w:pPr>
              <w:spacing w:after="0" w:line="206" w:lineRule="exact"/>
              <w:rPr>
                <w:rFonts w:ascii="Arial" w:cs="Arial" w:eastAsia="Arial" w:hAnsi="Arial"/>
                <w:sz w:val="18"/>
                <w:szCs w:val="18"/>
                <w:color w:val="0000EE"/>
              </w:rPr>
            </w:pPr>
            <w:hyperlink w:anchor="page75">
              <w:r>
                <w:rPr>
                  <w:rFonts w:ascii="Arial" w:cs="Arial" w:eastAsia="Arial" w:hAnsi="Arial"/>
                  <w:sz w:val="18"/>
                  <w:szCs w:val="18"/>
                  <w:color w:val="0000EE"/>
                </w:rPr>
                <w:t>Mine Safety Disclosures</w:t>
              </w:r>
            </w:hyperlink>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5.</w:t>
            </w:r>
          </w:p>
        </w:tc>
        <w:tc>
          <w:tcPr>
            <w:tcW w:w="1740" w:type="dxa"/>
            <w:vAlign w:val="bottom"/>
            <w:tcBorders>
              <w:top w:val="single" w:sz="8" w:color="0000EE"/>
            </w:tcBorders>
            <w:gridSpan w:val="6"/>
          </w:tcPr>
          <w:p>
            <w:pPr>
              <w:spacing w:after="0" w:line="206" w:lineRule="exact"/>
              <w:rPr>
                <w:rFonts w:ascii="Arial" w:cs="Arial" w:eastAsia="Arial" w:hAnsi="Arial"/>
                <w:sz w:val="18"/>
                <w:szCs w:val="18"/>
                <w:color w:val="0000EE"/>
              </w:rPr>
            </w:pPr>
            <w:hyperlink w:anchor="page75">
              <w:r>
                <w:rPr>
                  <w:rFonts w:ascii="Arial" w:cs="Arial" w:eastAsia="Arial" w:hAnsi="Arial"/>
                  <w:sz w:val="18"/>
                  <w:szCs w:val="18"/>
                  <w:color w:val="0000EE"/>
                </w:rPr>
                <w:t>Other Information</w:t>
              </w:r>
            </w:hyperlink>
          </w:p>
        </w:tc>
        <w:tc>
          <w:tcPr>
            <w:tcW w:w="7820" w:type="dxa"/>
            <w:vAlign w:val="bottom"/>
            <w:gridSpan w:val="12"/>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06"/>
        </w:trPr>
        <w:tc>
          <w:tcPr>
            <w:tcW w:w="1020" w:type="dxa"/>
            <w:vAlign w:val="bottom"/>
            <w:gridSpan w:val="2"/>
          </w:tcPr>
          <w:p>
            <w:pPr>
              <w:spacing w:after="0" w:line="206" w:lineRule="exact"/>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line="206" w:lineRule="exact"/>
              <w:rPr>
                <w:rFonts w:ascii="Arial" w:cs="Arial" w:eastAsia="Arial" w:hAnsi="Arial"/>
                <w:sz w:val="18"/>
                <w:szCs w:val="18"/>
                <w:color w:val="0000EE"/>
              </w:rPr>
            </w:pPr>
            <w:hyperlink w:anchor="page76">
              <w:r>
                <w:rPr>
                  <w:rFonts w:ascii="Arial" w:cs="Arial" w:eastAsia="Arial" w:hAnsi="Arial"/>
                  <w:sz w:val="18"/>
                  <w:szCs w:val="18"/>
                  <w:color w:val="0000EE"/>
                </w:rPr>
                <w:t>Exhibits</w:t>
              </w:r>
            </w:hyperlink>
          </w:p>
        </w:tc>
        <w:tc>
          <w:tcPr>
            <w:tcW w:w="8260" w:type="dxa"/>
            <w:vAlign w:val="bottom"/>
            <w:gridSpan w:val="15"/>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6"/>
        </w:trPr>
        <w:tc>
          <w:tcPr>
            <w:tcW w:w="760" w:type="dxa"/>
            <w:vAlign w:val="bottom"/>
            <w:tcBorders>
              <w:bottom w:val="single" w:sz="8" w:color="0000EE"/>
            </w:tcBorders>
          </w:tcPr>
          <w:p>
            <w:pPr>
              <w:spacing w:after="0" w:line="206" w:lineRule="exact"/>
              <w:rPr>
                <w:rFonts w:ascii="Arial" w:cs="Arial" w:eastAsia="Arial" w:hAnsi="Arial"/>
                <w:sz w:val="18"/>
                <w:szCs w:val="18"/>
                <w:color w:val="0000EE"/>
                <w:w w:val="85"/>
              </w:rPr>
            </w:pPr>
            <w:hyperlink w:anchor="page77">
              <w:r>
                <w:rPr>
                  <w:rFonts w:ascii="Arial" w:cs="Arial" w:eastAsia="Arial" w:hAnsi="Arial"/>
                  <w:sz w:val="18"/>
                  <w:szCs w:val="18"/>
                  <w:color w:val="0000EE"/>
                  <w:w w:val="85"/>
                </w:rPr>
                <w:t>Signatures</w:t>
              </w:r>
            </w:hyperlink>
          </w:p>
        </w:tc>
        <w:tc>
          <w:tcPr>
            <w:tcW w:w="260" w:type="dxa"/>
            <w:vAlign w:val="bottom"/>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660" w:type="dxa"/>
            <w:vAlign w:val="bottom"/>
          </w:tcPr>
          <w:p>
            <w:pPr>
              <w:jc w:val="right"/>
              <w:spacing w:after="0" w:line="20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data)</w:t>
            </w:r>
          </w:p>
        </w:tc>
        <w:tc>
          <w:tcPr>
            <w:tcW w:w="240" w:type="dxa"/>
            <w:vAlign w:val="bottom"/>
          </w:tcPr>
          <w:p>
            <w:pPr>
              <w:spacing w:after="0"/>
              <w:rPr>
                <w:sz w:val="14"/>
                <w:szCs w:val="14"/>
                <w:color w:val="auto"/>
              </w:rPr>
            </w:pPr>
          </w:p>
        </w:tc>
        <w:tc>
          <w:tcPr>
            <w:tcW w:w="166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5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758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61,424</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40"/>
              <w:spacing w:after="0"/>
              <w:rPr>
                <w:sz w:val="20"/>
                <w:szCs w:val="20"/>
                <w:color w:val="auto"/>
              </w:rPr>
            </w:pPr>
            <w:r>
              <w:rPr>
                <w:rFonts w:ascii="Arial" w:cs="Arial" w:eastAsia="Arial" w:hAnsi="Arial"/>
                <w:sz w:val="18"/>
                <w:szCs w:val="18"/>
                <w:color w:val="auto"/>
              </w:rPr>
              <w:t>Marketable securities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259,441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5,032</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325,897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220,809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3,213</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spacing w:after="0"/>
              <w:rPr>
                <w:sz w:val="20"/>
                <w:szCs w:val="20"/>
                <w:color w:val="auto"/>
              </w:rPr>
            </w:pPr>
            <w:r>
              <w:rPr>
                <w:rFonts w:ascii="Arial" w:cs="Arial" w:eastAsia="Arial" w:hAnsi="Arial"/>
                <w:sz w:val="18"/>
                <w:szCs w:val="18"/>
                <w:color w:val="auto"/>
              </w:rPr>
              <w:t>Right-of-use asset</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2,107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Deferred offering costs</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58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assets</w:t>
            </w:r>
          </w:p>
        </w:tc>
        <w:tc>
          <w:tcPr>
            <w:tcW w:w="2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331,217</w:t>
            </w:r>
          </w:p>
        </w:tc>
        <w:tc>
          <w:tcPr>
            <w:tcW w:w="280" w:type="dxa"/>
            <w:vAlign w:val="bottom"/>
            <w:tcBorders>
              <w:bottom w:val="single" w:sz="8" w:color="CFF0FC"/>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58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75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24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11,062</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6,765</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lease liability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758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19,663</w:t>
            </w:r>
          </w:p>
        </w:tc>
        <w:tc>
          <w:tcPr>
            <w:tcW w:w="2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spacing w:after="0"/>
              <w:rPr>
                <w:sz w:val="20"/>
                <w:szCs w:val="20"/>
                <w:color w:val="auto"/>
              </w:rPr>
            </w:pPr>
            <w:r>
              <w:rPr>
                <w:rFonts w:ascii="Arial" w:cs="Arial" w:eastAsia="Arial" w:hAnsi="Arial"/>
                <w:sz w:val="18"/>
                <w:szCs w:val="18"/>
                <w:color w:val="auto"/>
              </w:rPr>
              <w:t>Operating lease liability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312</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0"/>
        </w:trPr>
        <w:tc>
          <w:tcPr>
            <w:tcW w:w="7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19,975</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11,407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spacing w:after="0"/>
              <w:rPr>
                <w:sz w:val="20"/>
                <w:szCs w:val="20"/>
                <w:color w:val="auto"/>
              </w:rPr>
            </w:pPr>
            <w:r>
              <w:rPr>
                <w:rFonts w:ascii="Arial" w:cs="Arial" w:eastAsia="Arial" w:hAnsi="Arial"/>
                <w:sz w:val="18"/>
                <w:szCs w:val="18"/>
                <w:color w:val="auto"/>
              </w:rPr>
              <w:t>Commitments (Note 8)</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580" w:type="dxa"/>
            <w:vAlign w:val="bottom"/>
          </w:tcPr>
          <w:p>
            <w:pPr>
              <w:ind w:left="240"/>
              <w:spacing w:after="0"/>
              <w:rPr>
                <w:sz w:val="20"/>
                <w:szCs w:val="20"/>
                <w:color w:val="auto"/>
              </w:rPr>
            </w:pPr>
            <w:r>
              <w:rPr>
                <w:rFonts w:ascii="Arial" w:cs="Arial" w:eastAsia="Arial" w:hAnsi="Arial"/>
                <w:sz w:val="18"/>
                <w:szCs w:val="18"/>
                <w:color w:val="auto"/>
              </w:rPr>
              <w:t>Voting common stock, $0.0001 par value: 487,149,741 shares authorized; 35,789,759 and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tcPr>
          <w:p>
            <w:pPr>
              <w:ind w:left="240"/>
              <w:spacing w:after="0"/>
              <w:rPr>
                <w:sz w:val="20"/>
                <w:szCs w:val="20"/>
                <w:color w:val="auto"/>
              </w:rPr>
            </w:pPr>
            <w:r>
              <w:rPr>
                <w:rFonts w:ascii="Arial" w:cs="Arial" w:eastAsia="Arial" w:hAnsi="Arial"/>
                <w:sz w:val="18"/>
                <w:szCs w:val="18"/>
                <w:color w:val="auto"/>
              </w:rPr>
              <w:t>32,595,301 shares issued and outstanding at September 30, 2021 and December 31, 2020,</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80" w:type="dxa"/>
            <w:vAlign w:val="bottom"/>
          </w:tcPr>
          <w:p>
            <w:pPr>
              <w:ind w:left="240"/>
              <w:spacing w:after="0"/>
              <w:rPr>
                <w:sz w:val="20"/>
                <w:szCs w:val="20"/>
                <w:color w:val="auto"/>
              </w:rPr>
            </w:pPr>
            <w:r>
              <w:rPr>
                <w:rFonts w:ascii="Arial" w:cs="Arial" w:eastAsia="Arial" w:hAnsi="Arial"/>
                <w:sz w:val="18"/>
                <w:szCs w:val="18"/>
                <w:color w:val="auto"/>
              </w:rPr>
              <w:t>respectively</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8"/>
              </w:rPr>
              <w:t>Non-voting common stock, $0.0001 par value; 12,850,259 shares authorized; 11,402,037 and</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11,110,371 shares issued and outstanding at September 30, 2021 and December 31, 2020,</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respectively</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80" w:type="dxa"/>
            <w:vAlign w:val="bottom"/>
          </w:tcPr>
          <w:p>
            <w:pPr>
              <w:ind w:left="24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497,691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319,605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Accumulated other comprehensive income (loss)</w:t>
            </w:r>
          </w:p>
        </w:tc>
        <w:tc>
          <w:tcPr>
            <w:tcW w:w="2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(176)</w:t>
            </w:r>
          </w:p>
        </w:tc>
        <w:tc>
          <w:tcPr>
            <w:tcW w:w="2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580" w:type="dxa"/>
            <w:vAlign w:val="bottom"/>
          </w:tcPr>
          <w:p>
            <w:pPr>
              <w:ind w:left="24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(186,278)</w:t>
            </w:r>
          </w:p>
        </w:tc>
        <w:tc>
          <w:tcPr>
            <w:tcW w:w="26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(107,426)</w:t>
            </w:r>
          </w:p>
        </w:tc>
        <w:tc>
          <w:tcPr>
            <w:tcW w:w="0" w:type="dxa"/>
            <w:vAlign w:val="bottom"/>
          </w:tcPr>
          <w:p>
            <w:pPr>
              <w:spacing w:after="0"/>
              <w:rPr>
                <w:sz w:val="1"/>
                <w:szCs w:val="1"/>
                <w:color w:val="auto"/>
              </w:rPr>
            </w:pPr>
          </w:p>
        </w:tc>
      </w:tr>
      <w:tr>
        <w:trPr>
          <w:trHeight w:val="220"/>
        </w:trPr>
        <w:tc>
          <w:tcPr>
            <w:tcW w:w="75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311,242</w:t>
            </w:r>
          </w:p>
        </w:tc>
        <w:tc>
          <w:tcPr>
            <w:tcW w:w="2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212,183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58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331,217</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223,590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 AND COMPREHENSIVE LOSS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4"/>
                <w:szCs w:val="14"/>
                <w:color w:val="auto"/>
              </w:rPr>
            </w:pPr>
          </w:p>
        </w:tc>
        <w:tc>
          <w:tcPr>
            <w:tcW w:w="280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4"/>
              </w:rPr>
              <w:t>Three Months Ended September 30,</w:t>
            </w:r>
          </w:p>
        </w:tc>
        <w:tc>
          <w:tcPr>
            <w:tcW w:w="200" w:type="dxa"/>
            <w:vAlign w:val="bottom"/>
          </w:tcPr>
          <w:p>
            <w:pPr>
              <w:spacing w:after="0"/>
              <w:rPr>
                <w:sz w:val="14"/>
                <w:szCs w:val="14"/>
                <w:color w:val="auto"/>
              </w:rPr>
            </w:pPr>
          </w:p>
        </w:tc>
        <w:tc>
          <w:tcPr>
            <w:tcW w:w="266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53"/>
        </w:trPr>
        <w:tc>
          <w:tcPr>
            <w:tcW w:w="5420" w:type="dxa"/>
            <w:vAlign w:val="bottom"/>
            <w:tcBorders>
              <w:bottom w:val="single" w:sz="8" w:color="CFF0FC"/>
            </w:tcBorders>
            <w:vMerge w:val="continue"/>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394"/>
              <w:spacing w:after="0" w:line="153"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3"/>
              <w:spacing w:after="0" w:line="153"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22,721</w:t>
            </w:r>
          </w:p>
        </w:tc>
        <w:tc>
          <w:tcPr>
            <w:tcW w:w="2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15,293</w:t>
            </w:r>
          </w:p>
        </w:tc>
        <w:tc>
          <w:tcPr>
            <w:tcW w:w="240" w:type="dxa"/>
            <w:vAlign w:val="bottom"/>
          </w:tcPr>
          <w:p>
            <w:pPr>
              <w:spacing w:after="0"/>
              <w:rPr>
                <w:sz w:val="19"/>
                <w:szCs w:val="19"/>
                <w:color w:val="auto"/>
              </w:rPr>
            </w:pP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61,600</w:t>
            </w:r>
          </w:p>
        </w:tc>
        <w:tc>
          <w:tcPr>
            <w:tcW w:w="260" w:type="dxa"/>
            <w:vAlign w:val="bottom"/>
          </w:tcPr>
          <w:p>
            <w:pPr>
              <w:spacing w:after="0"/>
              <w:rPr>
                <w:sz w:val="19"/>
                <w:szCs w:val="19"/>
                <w:color w:val="auto"/>
              </w:rPr>
            </w:pP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33,605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2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19,125</w:t>
            </w:r>
          </w:p>
        </w:tc>
        <w:tc>
          <w:tcPr>
            <w:tcW w:w="26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80,725</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4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(30,836)</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(18,144)</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(80,725)</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(39,317)</w:t>
            </w:r>
          </w:p>
        </w:tc>
        <w:tc>
          <w:tcPr>
            <w:tcW w:w="0" w:type="dxa"/>
            <w:vAlign w:val="bottom"/>
          </w:tcPr>
          <w:p>
            <w:pPr>
              <w:spacing w:after="0"/>
              <w:rPr>
                <w:sz w:val="1"/>
                <w:szCs w:val="1"/>
                <w:color w:val="auto"/>
              </w:rPr>
            </w:pPr>
          </w:p>
        </w:tc>
      </w:tr>
      <w:tr>
        <w:trPr>
          <w:trHeight w:val="225"/>
        </w:trPr>
        <w:tc>
          <w:tcPr>
            <w:tcW w:w="5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w:t>
            </w:r>
          </w:p>
        </w:tc>
        <w:tc>
          <w:tcPr>
            <w:tcW w:w="2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(30,687)</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(16,760)</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(78,852)</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Per share information:</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4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5420" w:type="dxa"/>
            <w:vAlign w:val="bottom"/>
            <w:shd w:val="clear" w:color="auto" w:fill="CFF0FC"/>
          </w:tcPr>
          <w:p>
            <w:pPr>
              <w:spacing w:after="0"/>
              <w:rPr>
                <w:sz w:val="20"/>
                <w:szCs w:val="20"/>
                <w:color w:val="auto"/>
              </w:rPr>
            </w:pPr>
            <w:r>
              <w:rPr>
                <w:rFonts w:ascii="Arial" w:cs="Arial" w:eastAsia="Arial" w:hAnsi="Arial"/>
                <w:sz w:val="18"/>
                <w:szCs w:val="18"/>
                <w:color w:val="auto"/>
              </w:rPr>
              <w:t>Net loss per share of common stock, basic and diluted</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(0.66)</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(5.25)</w:t>
            </w: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(1.72)</w:t>
            </w:r>
          </w:p>
        </w:tc>
        <w:tc>
          <w:tcPr>
            <w:tcW w:w="280" w:type="dxa"/>
            <w:vAlign w:val="bottom"/>
            <w:shd w:val="clear" w:color="auto" w:fill="CFF0FC"/>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0"/>
        </w:trPr>
        <w:tc>
          <w:tcPr>
            <w:tcW w:w="5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Weighted average common shares outstanding, basic</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42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46,330,794</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3,194,471</w:t>
            </w:r>
          </w:p>
        </w:tc>
        <w:tc>
          <w:tcPr>
            <w:tcW w:w="24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45,841,049</w:t>
            </w:r>
          </w:p>
        </w:tc>
        <w:tc>
          <w:tcPr>
            <w:tcW w:w="26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2,380,100</w:t>
            </w:r>
          </w:p>
        </w:tc>
        <w:tc>
          <w:tcPr>
            <w:tcW w:w="12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5420" w:type="dxa"/>
            <w:vAlign w:val="bottom"/>
            <w:shd w:val="clear" w:color="auto" w:fill="CFF0FC"/>
          </w:tcPr>
          <w:p>
            <w:pPr>
              <w:spacing w:after="0" w:line="205" w:lineRule="exact"/>
              <w:rPr>
                <w:sz w:val="20"/>
                <w:szCs w:val="20"/>
                <w:color w:val="auto"/>
              </w:rPr>
            </w:pPr>
            <w:r>
              <w:rPr>
                <w:rFonts w:ascii="Arial" w:cs="Arial" w:eastAsia="Arial" w:hAnsi="Arial"/>
                <w:sz w:val="18"/>
                <w:szCs w:val="18"/>
                <w:color w:val="auto"/>
              </w:rPr>
              <w:t>Comprehensive loss</w:t>
            </w:r>
          </w:p>
        </w:tc>
        <w:tc>
          <w:tcPr>
            <w:tcW w:w="1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5420" w:type="dxa"/>
            <w:vAlign w:val="bottom"/>
          </w:tcPr>
          <w:p>
            <w:pPr>
              <w:ind w:left="24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(30,687)</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(16,760)</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(78,852)</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26"/>
        </w:trPr>
        <w:tc>
          <w:tcPr>
            <w:tcW w:w="5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Unrealized gain (loss) on marketable securities, net of tax</w:t>
            </w:r>
          </w:p>
        </w:tc>
        <w:tc>
          <w:tcPr>
            <w:tcW w:w="16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(176)</w:t>
            </w: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5420" w:type="dxa"/>
            <w:vAlign w:val="bottom"/>
            <w:vMerge w:val="continue"/>
          </w:tcPr>
          <w:p>
            <w:pPr>
              <w:spacing w:after="0"/>
              <w:rPr>
                <w:sz w:val="19"/>
                <w:szCs w:val="19"/>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(30,863)</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(16,760)</w:t>
            </w:r>
          </w:p>
        </w:tc>
        <w:tc>
          <w:tcPr>
            <w:tcW w:w="200" w:type="dxa"/>
            <w:vAlign w:val="bottom"/>
          </w:tcPr>
          <w:p>
            <w:pPr>
              <w:jc w:val="right"/>
              <w:ind w:right="1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(79,028)</w:t>
            </w:r>
          </w:p>
        </w:tc>
        <w:tc>
          <w:tcPr>
            <w:tcW w:w="280" w:type="dxa"/>
            <w:vAlign w:val="bottom"/>
          </w:tcPr>
          <w:p>
            <w:pPr>
              <w:jc w:val="right"/>
              <w:ind w:right="123"/>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5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Stockholders’ equity (deficit)</w:t>
            </w: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2260" w:type="dxa"/>
            <w:vAlign w:val="bottom"/>
            <w:gridSpan w:val="5"/>
            <w:vMerge w:val="restart"/>
          </w:tcPr>
          <w:p>
            <w:pPr>
              <w:ind w:left="360"/>
              <w:spacing w:after="0"/>
              <w:rPr>
                <w:sz w:val="20"/>
                <w:szCs w:val="20"/>
                <w:color w:val="auto"/>
              </w:rPr>
            </w:pPr>
            <w:r>
              <w:rPr>
                <w:rFonts w:ascii="Arial" w:cs="Arial" w:eastAsia="Arial" w:hAnsi="Arial"/>
                <w:sz w:val="14"/>
                <w:szCs w:val="14"/>
                <w:b w:val="1"/>
                <w:bCs w:val="1"/>
                <w:color w:val="auto"/>
              </w:rPr>
              <w:t>Voting common stock</w:t>
            </w:r>
          </w:p>
        </w:tc>
        <w:tc>
          <w:tcPr>
            <w:tcW w:w="2160" w:type="dxa"/>
            <w:vAlign w:val="bottom"/>
            <w:gridSpan w:val="5"/>
          </w:tcPr>
          <w:p>
            <w:pPr>
              <w:ind w:left="360"/>
              <w:spacing w:after="0" w:line="130" w:lineRule="exact"/>
              <w:rPr>
                <w:sz w:val="20"/>
                <w:szCs w:val="20"/>
                <w:color w:val="auto"/>
              </w:rPr>
            </w:pPr>
            <w:r>
              <w:rPr>
                <w:rFonts w:ascii="Arial" w:cs="Arial" w:eastAsia="Arial" w:hAnsi="Arial"/>
                <w:sz w:val="14"/>
                <w:szCs w:val="14"/>
                <w:b w:val="1"/>
                <w:bCs w:val="1"/>
                <w:color w:val="auto"/>
              </w:rPr>
              <w:t>Non-voting common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tcPr>
          <w:p>
            <w:pPr>
              <w:jc w:val="center"/>
              <w:ind w:right="320"/>
              <w:spacing w:after="0" w:line="130" w:lineRule="exact"/>
              <w:rPr>
                <w:sz w:val="20"/>
                <w:szCs w:val="20"/>
                <w:color w:val="auto"/>
              </w:rPr>
            </w:pPr>
            <w:r>
              <w:rPr>
                <w:rFonts w:ascii="Arial" w:cs="Arial" w:eastAsia="Arial" w:hAnsi="Arial"/>
                <w:sz w:val="14"/>
                <w:szCs w:val="14"/>
                <w:b w:val="1"/>
                <w:bCs w:val="1"/>
                <w:color w:val="auto"/>
                <w:w w:val="90"/>
              </w:rPr>
              <w:t>Accumulated</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5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shares)</w:t>
            </w:r>
          </w:p>
        </w:tc>
        <w:tc>
          <w:tcPr>
            <w:tcW w:w="2260" w:type="dxa"/>
            <w:vAlign w:val="bottom"/>
            <w:gridSpan w:val="5"/>
            <w:vMerge w:val="continue"/>
          </w:tcPr>
          <w:p>
            <w:pPr>
              <w:spacing w:after="0"/>
              <w:rPr>
                <w:sz w:val="14"/>
                <w:szCs w:val="14"/>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stock</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520" w:type="dxa"/>
            <w:vAlign w:val="bottom"/>
            <w:vMerge w:val="continue"/>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Comprehensive</w:t>
            </w:r>
          </w:p>
        </w:tc>
        <w:tc>
          <w:tcPr>
            <w:tcW w:w="1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20" w:type="dxa"/>
            <w:vAlign w:val="bottom"/>
          </w:tcPr>
          <w:p>
            <w:pPr>
              <w:spacing w:after="0"/>
              <w:rPr>
                <w:sz w:val="12"/>
                <w:szCs w:val="12"/>
                <w:color w:val="auto"/>
              </w:rPr>
            </w:pPr>
          </w:p>
        </w:tc>
        <w:tc>
          <w:tcPr>
            <w:tcW w:w="900" w:type="dxa"/>
            <w:vAlign w:val="bottom"/>
            <w:vMerge w:val="restart"/>
          </w:tcPr>
          <w:p>
            <w:pPr>
              <w:jc w:val="right"/>
              <w:ind w:right="165"/>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ind w:right="125"/>
              <w:spacing w:after="0"/>
              <w:rPr>
                <w:sz w:val="20"/>
                <w:szCs w:val="20"/>
                <w:color w:val="auto"/>
              </w:rPr>
            </w:pPr>
            <w:r>
              <w:rPr>
                <w:rFonts w:ascii="Arial" w:cs="Arial" w:eastAsia="Arial" w:hAnsi="Arial"/>
                <w:sz w:val="14"/>
                <w:szCs w:val="14"/>
                <w:b w:val="1"/>
                <w:bCs w:val="1"/>
                <w:color w:val="auto"/>
                <w:w w:val="98"/>
              </w:rPr>
              <w:t>Amount</w:t>
            </w:r>
          </w:p>
        </w:tc>
        <w:tc>
          <w:tcPr>
            <w:tcW w:w="240" w:type="dxa"/>
            <w:vAlign w:val="bottom"/>
            <w:vMerge w:val="restart"/>
          </w:tcPr>
          <w:p>
            <w:pPr>
              <w:spacing w:after="0"/>
              <w:rPr>
                <w:sz w:val="12"/>
                <w:szCs w:val="12"/>
                <w:color w:val="auto"/>
              </w:rPr>
            </w:pPr>
          </w:p>
        </w:tc>
        <w:tc>
          <w:tcPr>
            <w:tcW w:w="880" w:type="dxa"/>
            <w:vAlign w:val="bottom"/>
            <w:vMerge w:val="restart"/>
          </w:tcPr>
          <w:p>
            <w:pPr>
              <w:jc w:val="right"/>
              <w:ind w:right="166"/>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320"/>
              <w:spacing w:after="0" w:line="146" w:lineRule="exact"/>
              <w:rPr>
                <w:sz w:val="20"/>
                <w:szCs w:val="20"/>
                <w:color w:val="auto"/>
              </w:rPr>
            </w:pPr>
            <w:r>
              <w:rPr>
                <w:rFonts w:ascii="Arial" w:cs="Arial" w:eastAsia="Arial" w:hAnsi="Arial"/>
                <w:sz w:val="14"/>
                <w:szCs w:val="14"/>
                <w:b w:val="1"/>
                <w:bCs w:val="1"/>
                <w:color w:val="auto"/>
                <w:w w:val="95"/>
              </w:rPr>
              <w:t>paid-in</w:t>
            </w: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vMerge w:val="restart"/>
          </w:tcPr>
          <w:p>
            <w:pPr>
              <w:jc w:val="right"/>
              <w:ind w:right="105"/>
              <w:spacing w:after="0"/>
              <w:rPr>
                <w:sz w:val="20"/>
                <w:szCs w:val="20"/>
                <w:color w:val="auto"/>
              </w:rPr>
            </w:pPr>
            <w:r>
              <w:rPr>
                <w:rFonts w:ascii="Arial" w:cs="Arial" w:eastAsia="Arial" w:hAnsi="Arial"/>
                <w:sz w:val="14"/>
                <w:szCs w:val="14"/>
                <w:b w:val="1"/>
                <w:bCs w:val="1"/>
                <w:color w:val="auto"/>
              </w:rPr>
              <w:t>Total</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520" w:type="dxa"/>
            <w:vAlign w:val="bottom"/>
            <w:tcBorders>
              <w:bottom w:val="single" w:sz="8" w:color="CFF0FC"/>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b w:val="1"/>
                <w:bCs w:val="1"/>
                <w:color w:val="auto"/>
                <w:w w:val="90"/>
              </w:rPr>
              <w:t>capital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b w:val="1"/>
                <w:bCs w:val="1"/>
                <w:color w:val="auto"/>
                <w:w w:val="90"/>
              </w:rPr>
              <w:t>Income (Loss)</w:t>
            </w:r>
          </w:p>
        </w:tc>
        <w:tc>
          <w:tcPr>
            <w:tcW w:w="2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85"/>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6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520" w:type="dxa"/>
            <w:vAlign w:val="bottom"/>
            <w:shd w:val="clear" w:color="auto" w:fill="CFF0FC"/>
          </w:tcPr>
          <w:p>
            <w:pPr>
              <w:spacing w:after="0" w:line="166" w:lineRule="exact"/>
              <w:rPr>
                <w:sz w:val="20"/>
                <w:szCs w:val="20"/>
                <w:color w:val="auto"/>
              </w:rPr>
            </w:pPr>
            <w:r>
              <w:rPr>
                <w:rFonts w:ascii="Arial" w:cs="Arial" w:eastAsia="Arial" w:hAnsi="Arial"/>
                <w:sz w:val="15"/>
                <w:szCs w:val="15"/>
                <w:b w:val="1"/>
                <w:bCs w:val="1"/>
                <w:color w:val="auto"/>
              </w:rPr>
              <w:t>Balance at January 1, 2021</w:t>
            </w:r>
          </w:p>
        </w:tc>
        <w:tc>
          <w:tcPr>
            <w:tcW w:w="9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32,595,301</w:t>
            </w:r>
          </w:p>
        </w:tc>
        <w:tc>
          <w:tcPr>
            <w:tcW w:w="380" w:type="dxa"/>
            <w:vAlign w:val="bottom"/>
            <w:gridSpan w:val="2"/>
            <w:shd w:val="clear" w:color="auto" w:fill="CFF0FC"/>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11,110,371</w:t>
            </w:r>
          </w:p>
        </w:tc>
        <w:tc>
          <w:tcPr>
            <w:tcW w:w="300" w:type="dxa"/>
            <w:vAlign w:val="bottom"/>
            <w:gridSpan w:val="2"/>
            <w:shd w:val="clear" w:color="auto" w:fill="CFF0FC"/>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319,605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80"/>
              <w:spacing w:after="0" w:line="166" w:lineRule="exact"/>
              <w:rPr>
                <w:sz w:val="20"/>
                <w:szCs w:val="20"/>
                <w:color w:val="auto"/>
              </w:rPr>
            </w:pPr>
            <w:r>
              <w:rPr>
                <w:rFonts w:ascii="Arial" w:cs="Arial" w:eastAsia="Arial" w:hAnsi="Arial"/>
                <w:sz w:val="15"/>
                <w:szCs w:val="15"/>
                <w:color w:val="auto"/>
              </w:rPr>
              <w:t>(107,426)</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w w:val="95"/>
              </w:rPr>
              <w:t>212,183</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Arial" w:cs="Arial" w:eastAsia="Arial" w:hAnsi="Arial"/>
                <w:sz w:val="15"/>
                <w:szCs w:val="15"/>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5"/>
                <w:szCs w:val="15"/>
                <w:color w:val="auto"/>
              </w:rPr>
              <w:t>210,274</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shd w:val="clear" w:color="auto" w:fill="CFF0FC"/>
          </w:tcPr>
          <w:p>
            <w:pPr>
              <w:spacing w:after="0" w:line="159" w:lineRule="exact"/>
              <w:rPr>
                <w:sz w:val="20"/>
                <w:szCs w:val="20"/>
                <w:color w:val="auto"/>
              </w:rPr>
            </w:pPr>
            <w:r>
              <w:rPr>
                <w:rFonts w:ascii="Arial" w:cs="Arial" w:eastAsia="Arial" w:hAnsi="Arial"/>
                <w:sz w:val="15"/>
                <w:szCs w:val="15"/>
                <w:color w:val="auto"/>
              </w:rPr>
              <w:t>Sale of common stock,</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net of offering costs of $739</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2,583,334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291,666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161,411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161,412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line="159" w:lineRule="exact"/>
              <w:rPr>
                <w:sz w:val="20"/>
                <w:szCs w:val="20"/>
                <w:color w:val="auto"/>
              </w:rPr>
            </w:pPr>
            <w:r>
              <w:rPr>
                <w:rFonts w:ascii="Arial" w:cs="Arial" w:eastAsia="Arial" w:hAnsi="Arial"/>
                <w:sz w:val="15"/>
                <w:szCs w:val="15"/>
                <w:color w:val="auto"/>
              </w:rPr>
              <w:t>Stock-based compensation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20"/>
              <w:spacing w:after="0"/>
              <w:rPr>
                <w:sz w:val="20"/>
                <w:szCs w:val="20"/>
                <w:color w:val="auto"/>
              </w:rPr>
            </w:pPr>
            <w:r>
              <w:rPr>
                <w:rFonts w:ascii="Arial" w:cs="Arial" w:eastAsia="Arial" w:hAnsi="Arial"/>
                <w:sz w:val="15"/>
                <w:szCs w:val="15"/>
                <w:color w:val="auto"/>
              </w:rPr>
              <w:t>expense</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3,886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3,886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(21,300)</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(21,300)</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5"/>
                <w:szCs w:val="15"/>
                <w:b w:val="1"/>
                <w:bCs w:val="1"/>
                <w:color w:val="auto"/>
              </w:rPr>
              <w:t>Balance at March 31,2021</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520" w:type="dxa"/>
            <w:vAlign w:val="bottom"/>
            <w:vMerge w:val="continue"/>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5"/>
                <w:szCs w:val="15"/>
                <w:color w:val="auto"/>
              </w:rPr>
              <w:t>35,388,909</w:t>
            </w:r>
          </w:p>
        </w:tc>
        <w:tc>
          <w:tcPr>
            <w:tcW w:w="3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4</w:t>
            </w: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11,402,037</w:t>
            </w:r>
          </w:p>
        </w:tc>
        <w:tc>
          <w:tcPr>
            <w:tcW w:w="30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485,288</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(128,726)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w w:val="95"/>
              </w:rPr>
              <w:t>356,567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247,786</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422</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line="159" w:lineRule="exact"/>
              <w:rPr>
                <w:sz w:val="20"/>
                <w:szCs w:val="20"/>
                <w:color w:val="auto"/>
              </w:rPr>
            </w:pPr>
            <w:r>
              <w:rPr>
                <w:rFonts w:ascii="Arial" w:cs="Arial" w:eastAsia="Arial" w:hAnsi="Arial"/>
                <w:sz w:val="15"/>
                <w:szCs w:val="15"/>
                <w:color w:val="auto"/>
              </w:rPr>
              <w:t>Stock-based compensation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20"/>
              <w:spacing w:after="0"/>
              <w:rPr>
                <w:sz w:val="20"/>
                <w:szCs w:val="20"/>
                <w:color w:val="auto"/>
              </w:rPr>
            </w:pPr>
            <w:r>
              <w:rPr>
                <w:rFonts w:ascii="Arial" w:cs="Arial" w:eastAsia="Arial" w:hAnsi="Arial"/>
                <w:sz w:val="15"/>
                <w:szCs w:val="15"/>
                <w:color w:val="auto"/>
              </w:rPr>
              <w:t>expense</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4,237</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4,237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5"/>
                <w:szCs w:val="15"/>
                <w:color w:val="auto"/>
              </w:rPr>
              <w:t>(26,865)</w:t>
            </w:r>
          </w:p>
        </w:tc>
        <w:tc>
          <w:tcPr>
            <w:tcW w:w="100" w:type="dxa"/>
            <w:vAlign w:val="bottom"/>
            <w:shd w:val="clear" w:color="auto" w:fill="CFF0FC"/>
          </w:tcPr>
          <w:p>
            <w:pPr>
              <w:spacing w:after="0"/>
              <w:rPr>
                <w:sz w:val="15"/>
                <w:szCs w:val="15"/>
                <w:color w:val="auto"/>
              </w:rPr>
            </w:pPr>
          </w:p>
        </w:tc>
        <w:tc>
          <w:tcPr>
            <w:tcW w:w="6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(26,865)</w:t>
            </w:r>
          </w:p>
        </w:tc>
        <w:tc>
          <w:tcPr>
            <w:tcW w:w="0" w:type="dxa"/>
            <w:vAlign w:val="bottom"/>
          </w:tcPr>
          <w:p>
            <w:pPr>
              <w:spacing w:after="0"/>
              <w:rPr>
                <w:sz w:val="1"/>
                <w:szCs w:val="1"/>
                <w:color w:val="auto"/>
              </w:rPr>
            </w:pPr>
          </w:p>
        </w:tc>
      </w:tr>
      <w:tr>
        <w:trPr>
          <w:trHeight w:val="20"/>
        </w:trPr>
        <w:tc>
          <w:tcPr>
            <w:tcW w:w="2520" w:type="dxa"/>
            <w:vAlign w:val="bottom"/>
            <w:vMerge w:val="restart"/>
          </w:tcPr>
          <w:p>
            <w:pPr>
              <w:spacing w:after="0"/>
              <w:rPr>
                <w:sz w:val="20"/>
                <w:szCs w:val="20"/>
                <w:color w:val="auto"/>
              </w:rPr>
            </w:pPr>
            <w:r>
              <w:rPr>
                <w:rFonts w:ascii="Arial" w:cs="Arial" w:eastAsia="Arial" w:hAnsi="Arial"/>
                <w:sz w:val="15"/>
                <w:szCs w:val="15"/>
                <w:b w:val="1"/>
                <w:bCs w:val="1"/>
                <w:color w:val="auto"/>
              </w:rPr>
              <w:t>Balance at June 30,2021</w:t>
            </w: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520" w:type="dxa"/>
            <w:vAlign w:val="bottom"/>
            <w:vMerge w:val="continue"/>
          </w:tcPr>
          <w:p>
            <w:pPr>
              <w:spacing w:after="0"/>
              <w:rPr>
                <w:sz w:val="14"/>
                <w:szCs w:val="14"/>
                <w:color w:val="auto"/>
              </w:rPr>
            </w:pPr>
          </w:p>
        </w:tc>
        <w:tc>
          <w:tcPr>
            <w:tcW w:w="900" w:type="dxa"/>
            <w:vAlign w:val="bottom"/>
          </w:tcPr>
          <w:p>
            <w:pPr>
              <w:jc w:val="right"/>
              <w:spacing w:after="0" w:line="166" w:lineRule="exact"/>
              <w:rPr>
                <w:sz w:val="20"/>
                <w:szCs w:val="20"/>
                <w:color w:val="auto"/>
              </w:rPr>
            </w:pPr>
            <w:r>
              <w:rPr>
                <w:rFonts w:ascii="Arial" w:cs="Arial" w:eastAsia="Arial" w:hAnsi="Arial"/>
                <w:sz w:val="15"/>
                <w:szCs w:val="15"/>
                <w:color w:val="auto"/>
              </w:rPr>
              <w:t>35,636,695</w:t>
            </w:r>
          </w:p>
        </w:tc>
        <w:tc>
          <w:tcPr>
            <w:tcW w:w="380" w:type="dxa"/>
            <w:vAlign w:val="bottom"/>
            <w:gridSpan w:val="2"/>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4</w:t>
            </w:r>
          </w:p>
        </w:tc>
        <w:tc>
          <w:tcPr>
            <w:tcW w:w="240" w:type="dxa"/>
            <w:vAlign w:val="bottom"/>
          </w:tcPr>
          <w:p>
            <w:pPr>
              <w:spacing w:after="0"/>
              <w:rPr>
                <w:sz w:val="14"/>
                <w:szCs w:val="14"/>
                <w:color w:val="auto"/>
              </w:rPr>
            </w:pPr>
          </w:p>
        </w:tc>
        <w:tc>
          <w:tcPr>
            <w:tcW w:w="880" w:type="dxa"/>
            <w:vAlign w:val="bottom"/>
          </w:tcPr>
          <w:p>
            <w:pPr>
              <w:jc w:val="right"/>
              <w:spacing w:after="0" w:line="166" w:lineRule="exact"/>
              <w:rPr>
                <w:sz w:val="20"/>
                <w:szCs w:val="20"/>
                <w:color w:val="auto"/>
              </w:rPr>
            </w:pPr>
            <w:r>
              <w:rPr>
                <w:rFonts w:ascii="Arial" w:cs="Arial" w:eastAsia="Arial" w:hAnsi="Arial"/>
                <w:sz w:val="15"/>
                <w:szCs w:val="15"/>
                <w:color w:val="auto"/>
              </w:rPr>
              <w:t>11,402,037</w:t>
            </w:r>
          </w:p>
        </w:tc>
        <w:tc>
          <w:tcPr>
            <w:tcW w:w="30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760" w:type="dxa"/>
            <w:vAlign w:val="bottom"/>
          </w:tcPr>
          <w:p>
            <w:pPr>
              <w:jc w:val="right"/>
              <w:spacing w:after="0" w:line="166" w:lineRule="exact"/>
              <w:rPr>
                <w:sz w:val="20"/>
                <w:szCs w:val="20"/>
                <w:color w:val="auto"/>
              </w:rPr>
            </w:pPr>
            <w:r>
              <w:rPr>
                <w:rFonts w:ascii="Arial" w:cs="Arial" w:eastAsia="Arial" w:hAnsi="Arial"/>
                <w:sz w:val="15"/>
                <w:szCs w:val="15"/>
                <w:color w:val="auto"/>
              </w:rPr>
              <w:t>1</w:t>
            </w:r>
          </w:p>
        </w:tc>
        <w:tc>
          <w:tcPr>
            <w:tcW w:w="220" w:type="dxa"/>
            <w:vAlign w:val="bottom"/>
          </w:tcPr>
          <w:p>
            <w:pPr>
              <w:spacing w:after="0"/>
              <w:rPr>
                <w:sz w:val="14"/>
                <w:szCs w:val="14"/>
                <w:color w:val="auto"/>
              </w:rPr>
            </w:pPr>
          </w:p>
        </w:tc>
        <w:tc>
          <w:tcPr>
            <w:tcW w:w="8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166" w:lineRule="exact"/>
              <w:rPr>
                <w:sz w:val="20"/>
                <w:szCs w:val="20"/>
                <w:color w:val="auto"/>
              </w:rPr>
            </w:pPr>
            <w:r>
              <w:rPr>
                <w:rFonts w:ascii="Arial" w:cs="Arial" w:eastAsia="Arial" w:hAnsi="Arial"/>
                <w:sz w:val="15"/>
                <w:szCs w:val="15"/>
                <w:color w:val="auto"/>
              </w:rPr>
              <w:t>489,947</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240"/>
              <w:spacing w:after="0" w:line="166" w:lineRule="exact"/>
              <w:rPr>
                <w:sz w:val="20"/>
                <w:szCs w:val="20"/>
                <w:color w:val="auto"/>
              </w:rPr>
            </w:pPr>
            <w:r>
              <w:rPr>
                <w:rFonts w:ascii="Arial" w:cs="Arial" w:eastAsia="Arial" w:hAnsi="Arial"/>
                <w:sz w:val="15"/>
                <w:szCs w:val="15"/>
                <w:color w:val="auto"/>
              </w:rPr>
              <w:t>—</w:t>
            </w:r>
          </w:p>
        </w:tc>
        <w:tc>
          <w:tcPr>
            <w:tcW w:w="160" w:type="dxa"/>
            <w:vAlign w:val="bottom"/>
          </w:tcPr>
          <w:p>
            <w:pPr>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tcPr>
          <w:p>
            <w:pPr>
              <w:jc w:val="right"/>
              <w:ind w:right="180"/>
              <w:spacing w:after="0" w:line="166" w:lineRule="exact"/>
              <w:rPr>
                <w:sz w:val="20"/>
                <w:szCs w:val="20"/>
                <w:color w:val="auto"/>
              </w:rPr>
            </w:pPr>
            <w:r>
              <w:rPr>
                <w:rFonts w:ascii="Arial" w:cs="Arial" w:eastAsia="Arial" w:hAnsi="Arial"/>
                <w:sz w:val="15"/>
                <w:szCs w:val="15"/>
                <w:color w:val="auto"/>
              </w:rPr>
              <w:t>(155,591)</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66" w:lineRule="exact"/>
              <w:rPr>
                <w:sz w:val="20"/>
                <w:szCs w:val="20"/>
                <w:color w:val="auto"/>
              </w:rPr>
            </w:pPr>
            <w:r>
              <w:rPr>
                <w:rFonts w:ascii="Arial" w:cs="Arial" w:eastAsia="Arial" w:hAnsi="Arial"/>
                <w:sz w:val="15"/>
                <w:szCs w:val="15"/>
                <w:color w:val="auto"/>
                <w:w w:val="95"/>
              </w:rPr>
              <w:t>334,361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spacing w:after="0"/>
              <w:rPr>
                <w:sz w:val="20"/>
                <w:szCs w:val="20"/>
                <w:color w:val="auto"/>
              </w:rPr>
            </w:pPr>
            <w:r>
              <w:rPr>
                <w:rFonts w:ascii="Arial" w:cs="Arial" w:eastAsia="Arial" w:hAnsi="Arial"/>
                <w:sz w:val="15"/>
                <w:szCs w:val="15"/>
                <w:color w:val="auto"/>
              </w:rPr>
              <w:t>Exercise of stock options</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153,064</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711</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2520" w:type="dxa"/>
            <w:vAlign w:val="bottom"/>
          </w:tcPr>
          <w:p>
            <w:pPr>
              <w:spacing w:after="0" w:line="159" w:lineRule="exact"/>
              <w:rPr>
                <w:sz w:val="20"/>
                <w:szCs w:val="20"/>
                <w:color w:val="auto"/>
              </w:rPr>
            </w:pPr>
            <w:r>
              <w:rPr>
                <w:rFonts w:ascii="Arial" w:cs="Arial" w:eastAsia="Arial" w:hAnsi="Arial"/>
                <w:sz w:val="15"/>
                <w:szCs w:val="15"/>
                <w:color w:val="auto"/>
              </w:rPr>
              <w:t>Unrealized gain (loss) on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tcPr>
          <w:p>
            <w:pPr>
              <w:ind w:left="120"/>
              <w:spacing w:after="0"/>
              <w:rPr>
                <w:sz w:val="20"/>
                <w:szCs w:val="20"/>
                <w:color w:val="auto"/>
              </w:rPr>
            </w:pPr>
            <w:r>
              <w:rPr>
                <w:rFonts w:ascii="Arial" w:cs="Arial" w:eastAsia="Arial" w:hAnsi="Arial"/>
                <w:sz w:val="15"/>
                <w:szCs w:val="15"/>
                <w:color w:val="auto"/>
              </w:rPr>
              <w:t>marketable securities</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5"/>
                <w:szCs w:val="15"/>
                <w:color w:val="auto"/>
              </w:rPr>
              <w:t>(176)</w:t>
            </w:r>
          </w:p>
        </w:tc>
        <w:tc>
          <w:tcPr>
            <w:tcW w:w="16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(176)</w:t>
            </w:r>
          </w:p>
        </w:tc>
        <w:tc>
          <w:tcPr>
            <w:tcW w:w="0" w:type="dxa"/>
            <w:vAlign w:val="bottom"/>
          </w:tcPr>
          <w:p>
            <w:pPr>
              <w:spacing w:after="0"/>
              <w:rPr>
                <w:sz w:val="1"/>
                <w:szCs w:val="1"/>
                <w:color w:val="auto"/>
              </w:rPr>
            </w:pPr>
          </w:p>
        </w:tc>
      </w:tr>
      <w:tr>
        <w:trPr>
          <w:trHeight w:val="159"/>
        </w:trPr>
        <w:tc>
          <w:tcPr>
            <w:tcW w:w="2520" w:type="dxa"/>
            <w:vAlign w:val="bottom"/>
            <w:shd w:val="clear" w:color="auto" w:fill="CFF0FC"/>
          </w:tcPr>
          <w:p>
            <w:pPr>
              <w:spacing w:after="0" w:line="159" w:lineRule="exact"/>
              <w:rPr>
                <w:sz w:val="20"/>
                <w:szCs w:val="20"/>
                <w:color w:val="auto"/>
              </w:rPr>
            </w:pPr>
            <w:r>
              <w:rPr>
                <w:rFonts w:ascii="Arial" w:cs="Arial" w:eastAsia="Arial" w:hAnsi="Arial"/>
                <w:sz w:val="15"/>
                <w:szCs w:val="15"/>
                <w:color w:val="auto"/>
              </w:rPr>
              <w:t>Stock-based compensation</w:t>
            </w:r>
          </w:p>
        </w:tc>
        <w:tc>
          <w:tcPr>
            <w:tcW w:w="90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520" w:type="dxa"/>
            <w:vAlign w:val="bottom"/>
            <w:shd w:val="clear" w:color="auto" w:fill="CFF0FC"/>
          </w:tcPr>
          <w:p>
            <w:pPr>
              <w:ind w:left="120"/>
              <w:spacing w:after="0"/>
              <w:rPr>
                <w:sz w:val="20"/>
                <w:szCs w:val="20"/>
                <w:color w:val="auto"/>
              </w:rPr>
            </w:pPr>
            <w:r>
              <w:rPr>
                <w:rFonts w:ascii="Arial" w:cs="Arial" w:eastAsia="Arial" w:hAnsi="Arial"/>
                <w:sz w:val="15"/>
                <w:szCs w:val="15"/>
                <w:color w:val="auto"/>
              </w:rPr>
              <w:t>expense</w:t>
            </w:r>
          </w:p>
        </w:tc>
        <w:tc>
          <w:tcPr>
            <w:tcW w:w="90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gridSpan w:val="2"/>
            <w:shd w:val="clear" w:color="auto" w:fill="CFF0FC"/>
          </w:tcPr>
          <w:p>
            <w:pPr>
              <w:jc w:val="right"/>
              <w:ind w:right="220"/>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7,033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7,033</w:t>
            </w:r>
          </w:p>
        </w:tc>
        <w:tc>
          <w:tcPr>
            <w:tcW w:w="6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Arial" w:cs="Arial" w:eastAsia="Arial" w:hAnsi="Arial"/>
                <w:sz w:val="15"/>
                <w:szCs w:val="15"/>
                <w:color w:val="auto"/>
              </w:rPr>
              <w:t>Net loss</w:t>
            </w: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5"/>
                <w:szCs w:val="15"/>
                <w:color w:val="auto"/>
              </w:rPr>
              <w:t>(30,687)</w:t>
            </w:r>
          </w:p>
        </w:tc>
        <w:tc>
          <w:tcPr>
            <w:tcW w:w="100" w:type="dxa"/>
            <w:vAlign w:val="bottom"/>
          </w:tcPr>
          <w:p>
            <w:pPr>
              <w:spacing w:after="0"/>
              <w:rPr>
                <w:sz w:val="15"/>
                <w:szCs w:val="15"/>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5"/>
                <w:szCs w:val="15"/>
                <w:color w:val="auto"/>
              </w:rPr>
              <w:t>(30,687)</w:t>
            </w:r>
          </w:p>
        </w:tc>
        <w:tc>
          <w:tcPr>
            <w:tcW w:w="0" w:type="dxa"/>
            <w:vAlign w:val="bottom"/>
          </w:tcPr>
          <w:p>
            <w:pPr>
              <w:spacing w:after="0"/>
              <w:rPr>
                <w:sz w:val="1"/>
                <w:szCs w:val="1"/>
                <w:color w:val="auto"/>
              </w:rPr>
            </w:pPr>
          </w:p>
        </w:tc>
      </w:tr>
      <w:tr>
        <w:trPr>
          <w:trHeight w:val="20"/>
        </w:trPr>
        <w:tc>
          <w:tcPr>
            <w:tcW w:w="2520" w:type="dxa"/>
            <w:vAlign w:val="bottom"/>
            <w:vMerge w:val="restart"/>
            <w:shd w:val="clear" w:color="auto" w:fill="CFF0FC"/>
          </w:tcPr>
          <w:p>
            <w:pPr>
              <w:spacing w:after="0"/>
              <w:rPr>
                <w:sz w:val="20"/>
                <w:szCs w:val="20"/>
                <w:color w:val="auto"/>
              </w:rPr>
            </w:pPr>
            <w:r>
              <w:rPr>
                <w:rFonts w:ascii="Arial" w:cs="Arial" w:eastAsia="Arial" w:hAnsi="Arial"/>
                <w:sz w:val="15"/>
                <w:szCs w:val="15"/>
                <w:b w:val="1"/>
                <w:bCs w:val="1"/>
                <w:color w:val="auto"/>
              </w:rPr>
              <w:t>Balance at September 30,2021</w:t>
            </w: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520" w:type="dxa"/>
            <w:vAlign w:val="bottom"/>
            <w:vMerge w:val="continue"/>
            <w:shd w:val="clear" w:color="auto" w:fill="CFF0FC"/>
          </w:tcPr>
          <w:p>
            <w:pPr>
              <w:spacing w:after="0"/>
              <w:rPr>
                <w:sz w:val="14"/>
                <w:szCs w:val="14"/>
                <w:color w:val="auto"/>
              </w:rPr>
            </w:pPr>
          </w:p>
        </w:tc>
        <w:tc>
          <w:tcPr>
            <w:tcW w:w="90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35,789,759</w:t>
            </w:r>
          </w:p>
        </w:tc>
        <w:tc>
          <w:tcPr>
            <w:tcW w:w="380" w:type="dxa"/>
            <w:vAlign w:val="bottom"/>
            <w:gridSpan w:val="2"/>
            <w:shd w:val="clear" w:color="auto" w:fill="CFF0FC"/>
          </w:tcPr>
          <w:p>
            <w:pPr>
              <w:jc w:val="right"/>
              <w:ind w:right="60"/>
              <w:spacing w:after="0" w:line="166" w:lineRule="exact"/>
              <w:rPr>
                <w:sz w:val="20"/>
                <w:szCs w:val="20"/>
                <w:color w:val="auto"/>
              </w:rPr>
            </w:pPr>
            <w:r>
              <w:rPr>
                <w:rFonts w:ascii="Arial" w:cs="Arial" w:eastAsia="Arial" w:hAnsi="Arial"/>
                <w:sz w:val="15"/>
                <w:szCs w:val="15"/>
                <w:color w:val="auto"/>
              </w:rPr>
              <w:t>$</w:t>
            </w:r>
          </w:p>
        </w:tc>
        <w:tc>
          <w:tcPr>
            <w:tcW w:w="74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w:t>
            </w:r>
          </w:p>
        </w:tc>
        <w:tc>
          <w:tcPr>
            <w:tcW w:w="240" w:type="dxa"/>
            <w:vAlign w:val="bottom"/>
            <w:shd w:val="clear" w:color="auto" w:fill="CFF0FC"/>
          </w:tcPr>
          <w:p>
            <w:pPr>
              <w:spacing w:after="0"/>
              <w:rPr>
                <w:sz w:val="14"/>
                <w:szCs w:val="14"/>
                <w:color w:val="auto"/>
              </w:rPr>
            </w:pPr>
          </w:p>
        </w:tc>
        <w:tc>
          <w:tcPr>
            <w:tcW w:w="8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11,402,037</w:t>
            </w:r>
          </w:p>
        </w:tc>
        <w:tc>
          <w:tcPr>
            <w:tcW w:w="300" w:type="dxa"/>
            <w:vAlign w:val="bottom"/>
            <w:gridSpan w:val="2"/>
            <w:shd w:val="clear" w:color="auto" w:fill="CFF0FC"/>
          </w:tcPr>
          <w:p>
            <w:pPr>
              <w:jc w:val="right"/>
              <w:ind w:right="20"/>
              <w:spacing w:after="0" w:line="166" w:lineRule="exact"/>
              <w:rPr>
                <w:sz w:val="20"/>
                <w:szCs w:val="20"/>
                <w:color w:val="auto"/>
              </w:rPr>
            </w:pPr>
            <w:r>
              <w:rPr>
                <w:rFonts w:ascii="Arial" w:cs="Arial" w:eastAsia="Arial" w:hAnsi="Arial"/>
                <w:sz w:val="15"/>
                <w:szCs w:val="15"/>
                <w:color w:val="auto"/>
              </w:rPr>
              <w:t>$</w:t>
            </w:r>
          </w:p>
        </w:tc>
        <w:tc>
          <w:tcPr>
            <w:tcW w:w="7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1</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rPr>
              <w:t>497,691</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160"/>
              <w:spacing w:after="0" w:line="166" w:lineRule="exact"/>
              <w:rPr>
                <w:sz w:val="20"/>
                <w:szCs w:val="20"/>
                <w:color w:val="auto"/>
              </w:rPr>
            </w:pPr>
            <w:r>
              <w:rPr>
                <w:rFonts w:ascii="Arial" w:cs="Arial" w:eastAsia="Arial" w:hAnsi="Arial"/>
                <w:sz w:val="15"/>
                <w:szCs w:val="15"/>
                <w:color w:val="auto"/>
              </w:rPr>
              <w:t>(176)</w:t>
            </w:r>
          </w:p>
        </w:tc>
        <w:tc>
          <w:tcPr>
            <w:tcW w:w="160" w:type="dxa"/>
            <w:vAlign w:val="bottom"/>
            <w:shd w:val="clear" w:color="auto" w:fill="CFF0FC"/>
          </w:tcPr>
          <w:p>
            <w:pPr>
              <w:spacing w:after="0" w:line="166" w:lineRule="exact"/>
              <w:rPr>
                <w:sz w:val="20"/>
                <w:szCs w:val="20"/>
                <w:color w:val="auto"/>
              </w:rPr>
            </w:pPr>
            <w:r>
              <w:rPr>
                <w:rFonts w:ascii="Arial" w:cs="Arial" w:eastAsia="Arial" w:hAnsi="Arial"/>
                <w:sz w:val="15"/>
                <w:szCs w:val="15"/>
                <w:color w:val="auto"/>
              </w:rPr>
              <w:t>$</w:t>
            </w:r>
          </w:p>
        </w:tc>
        <w:tc>
          <w:tcPr>
            <w:tcW w:w="920" w:type="dxa"/>
            <w:vAlign w:val="bottom"/>
            <w:gridSpan w:val="2"/>
            <w:shd w:val="clear" w:color="auto" w:fill="CFF0FC"/>
          </w:tcPr>
          <w:p>
            <w:pPr>
              <w:jc w:val="right"/>
              <w:ind w:right="180"/>
              <w:spacing w:after="0" w:line="166" w:lineRule="exact"/>
              <w:rPr>
                <w:sz w:val="20"/>
                <w:szCs w:val="20"/>
                <w:color w:val="auto"/>
              </w:rPr>
            </w:pPr>
            <w:r>
              <w:rPr>
                <w:rFonts w:ascii="Arial" w:cs="Arial" w:eastAsia="Arial" w:hAnsi="Arial"/>
                <w:sz w:val="15"/>
                <w:szCs w:val="15"/>
                <w:color w:val="auto"/>
              </w:rPr>
              <w:t>(186,278)</w:t>
            </w: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FF0FC"/>
          </w:tcPr>
          <w:p>
            <w:pPr>
              <w:jc w:val="right"/>
              <w:spacing w:after="0" w:line="166" w:lineRule="exact"/>
              <w:rPr>
                <w:sz w:val="20"/>
                <w:szCs w:val="20"/>
                <w:color w:val="auto"/>
              </w:rPr>
            </w:pPr>
            <w:r>
              <w:rPr>
                <w:rFonts w:ascii="Arial" w:cs="Arial" w:eastAsia="Arial" w:hAnsi="Arial"/>
                <w:sz w:val="15"/>
                <w:szCs w:val="15"/>
                <w:color w:val="auto"/>
                <w:w w:val="95"/>
              </w:rPr>
              <w:t>311,242</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2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5" w:name="page6"/>
    <w:bookmarkEnd w:id="5"/>
    <w:p>
      <w:pPr>
        <w:jc w:val="center"/>
        <w:ind w:right="100"/>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STATEMENTS OF CHANGES IN CONVERTIBLE PREFERRED STOCK AND STOCKHOLDERS’ EQUITY (DEFICIT) (CONTINUED)</w:t>
      </w:r>
    </w:p>
    <w:p>
      <w:pPr>
        <w:spacing w:after="0" w:line="23"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9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780" w:type="dxa"/>
            <w:vAlign w:val="bottom"/>
            <w:gridSpan w:val="7"/>
          </w:tcPr>
          <w:p>
            <w:pPr>
              <w:jc w:val="right"/>
              <w:ind w:right="100"/>
              <w:spacing w:after="0"/>
              <w:rPr>
                <w:sz w:val="20"/>
                <w:szCs w:val="20"/>
                <w:color w:val="auto"/>
              </w:rPr>
            </w:pPr>
            <w:r>
              <w:rPr>
                <w:rFonts w:ascii="Arial" w:cs="Arial" w:eastAsia="Arial" w:hAnsi="Arial"/>
                <w:sz w:val="14"/>
                <w:szCs w:val="14"/>
                <w:b w:val="1"/>
                <w:bCs w:val="1"/>
                <w:color w:val="auto"/>
                <w:w w:val="90"/>
              </w:rPr>
              <w:t>Convertible preferred stock</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9"/>
          </w:tcPr>
          <w:p>
            <w:pPr>
              <w:jc w:val="right"/>
              <w:ind w:right="220"/>
              <w:spacing w:after="0"/>
              <w:rPr>
                <w:sz w:val="20"/>
                <w:szCs w:val="20"/>
                <w:color w:val="auto"/>
              </w:rPr>
            </w:pPr>
            <w:r>
              <w:rPr>
                <w:rFonts w:ascii="Arial" w:cs="Arial" w:eastAsia="Arial" w:hAnsi="Arial"/>
                <w:sz w:val="14"/>
                <w:szCs w:val="14"/>
                <w:b w:val="1"/>
                <w:bCs w:val="1"/>
                <w:color w:val="auto"/>
              </w:rPr>
              <w:t>Stockholders’ equity (deficit)</w:t>
            </w: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960" w:type="dxa"/>
            <w:vAlign w:val="bottom"/>
          </w:tcPr>
          <w:p>
            <w:pPr>
              <w:spacing w:after="0"/>
              <w:rPr>
                <w:sz w:val="11"/>
                <w:szCs w:val="11"/>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A</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Series B</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4"/>
            <w:vMerge w:val="restart"/>
          </w:tcPr>
          <w:p>
            <w:pPr>
              <w:jc w:val="right"/>
              <w:ind w:right="420"/>
              <w:spacing w:after="0"/>
              <w:rPr>
                <w:sz w:val="20"/>
                <w:szCs w:val="20"/>
                <w:color w:val="auto"/>
              </w:rPr>
            </w:pPr>
            <w:r>
              <w:rPr>
                <w:rFonts w:ascii="Arial" w:cs="Arial" w:eastAsia="Arial" w:hAnsi="Arial"/>
                <w:sz w:val="14"/>
                <w:szCs w:val="14"/>
                <w:b w:val="1"/>
                <w:bCs w:val="1"/>
                <w:color w:val="auto"/>
              </w:rPr>
              <w:t>Series C</w:t>
            </w:r>
          </w:p>
        </w:tc>
        <w:tc>
          <w:tcPr>
            <w:tcW w:w="140" w:type="dxa"/>
            <w:vAlign w:val="bottom"/>
            <w:tcBorders>
              <w:right w:val="single" w:sz="8" w:color="auto"/>
            </w:tcBorders>
            <w:vMerge w:val="restart"/>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1"/>
              </w:rPr>
              <w:t>Voting common stock</w:t>
            </w:r>
          </w:p>
        </w:tc>
        <w:tc>
          <w:tcPr>
            <w:tcW w:w="120" w:type="dxa"/>
            <w:vAlign w:val="bottom"/>
            <w:vMerge w:val="restart"/>
          </w:tcPr>
          <w:p>
            <w:pPr>
              <w:spacing w:after="0"/>
              <w:rPr>
                <w:sz w:val="11"/>
                <w:szCs w:val="11"/>
                <w:color w:val="auto"/>
              </w:rPr>
            </w:pPr>
          </w:p>
        </w:tc>
        <w:tc>
          <w:tcPr>
            <w:tcW w:w="1500" w:type="dxa"/>
            <w:vAlign w:val="bottom"/>
            <w:gridSpan w:val="6"/>
          </w:tcPr>
          <w:p>
            <w:pPr>
              <w:jc w:val="center"/>
              <w:ind w:right="140"/>
              <w:spacing w:after="0" w:line="130" w:lineRule="exact"/>
              <w:rPr>
                <w:sz w:val="20"/>
                <w:szCs w:val="20"/>
                <w:color w:val="auto"/>
              </w:rPr>
            </w:pPr>
            <w:r>
              <w:rPr>
                <w:rFonts w:ascii="Arial" w:cs="Arial" w:eastAsia="Arial" w:hAnsi="Arial"/>
                <w:sz w:val="14"/>
                <w:szCs w:val="14"/>
                <w:b w:val="1"/>
                <w:bCs w:val="1"/>
                <w:color w:val="auto"/>
                <w:w w:val="91"/>
              </w:rPr>
              <w:t>Non-voting common</w:t>
            </w:r>
          </w:p>
        </w:tc>
        <w:tc>
          <w:tcPr>
            <w:tcW w:w="740" w:type="dxa"/>
            <w:vAlign w:val="bottom"/>
            <w:gridSpan w:val="3"/>
          </w:tcPr>
          <w:p>
            <w:pPr>
              <w:spacing w:after="0" w:line="130" w:lineRule="exact"/>
              <w:rPr>
                <w:sz w:val="20"/>
                <w:szCs w:val="20"/>
                <w:color w:val="auto"/>
              </w:rPr>
            </w:pPr>
            <w:r>
              <w:rPr>
                <w:rFonts w:ascii="Arial" w:cs="Arial" w:eastAsia="Arial" w:hAnsi="Arial"/>
                <w:sz w:val="14"/>
                <w:szCs w:val="14"/>
                <w:b w:val="1"/>
                <w:bCs w:val="1"/>
                <w:color w:val="auto"/>
              </w:rPr>
              <w:t>Additional</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60" w:type="dxa"/>
            <w:vAlign w:val="bottom"/>
            <w:vMerge w:val="restart"/>
          </w:tcPr>
          <w:p>
            <w:pPr>
              <w:spacing w:after="0"/>
              <w:rPr>
                <w:sz w:val="20"/>
                <w:szCs w:val="20"/>
                <w:color w:val="auto"/>
              </w:rPr>
            </w:pPr>
            <w:r>
              <w:rPr>
                <w:rFonts w:ascii="Arial" w:cs="Arial" w:eastAsia="Arial" w:hAnsi="Arial"/>
                <w:sz w:val="14"/>
                <w:szCs w:val="14"/>
                <w:b w:val="1"/>
                <w:bCs w:val="1"/>
                <w:color w:val="auto"/>
                <w:w w:val="98"/>
              </w:rPr>
              <w:t>(in thousands,</w:t>
            </w:r>
          </w:p>
        </w:tc>
        <w:tc>
          <w:tcPr>
            <w:tcW w:w="1040" w:type="dxa"/>
            <w:vAlign w:val="bottom"/>
            <w:tcBorders>
              <w:bottom w:val="single" w:sz="8" w:color="auto"/>
            </w:tcBorders>
            <w:gridSpan w:val="4"/>
            <w:vMerge w:val="continue"/>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Borders>
              <w:bottom w:val="single" w:sz="8" w:color="auto"/>
            </w:tcBorders>
            <w:gridSpan w:val="4"/>
            <w:vMerge w:val="continue"/>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Borders>
              <w:bottom w:val="single" w:sz="8" w:color="auto"/>
            </w:tcBorders>
            <w:gridSpan w:val="4"/>
            <w:vMerge w:val="continue"/>
          </w:tcPr>
          <w:p>
            <w:pPr>
              <w:spacing w:after="0"/>
              <w:rPr>
                <w:sz w:val="14"/>
                <w:szCs w:val="14"/>
                <w:color w:val="auto"/>
              </w:rPr>
            </w:pPr>
          </w:p>
        </w:tc>
        <w:tc>
          <w:tcPr>
            <w:tcW w:w="14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1400" w:type="dxa"/>
            <w:vAlign w:val="bottom"/>
            <w:tcBorders>
              <w:bottom w:val="single" w:sz="8" w:color="auto"/>
            </w:tcBorders>
            <w:gridSpan w:val="4"/>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60" w:type="dxa"/>
            <w:vAlign w:val="bottom"/>
            <w:tcBorders>
              <w:bottom w:val="single" w:sz="8" w:color="auto"/>
            </w:tcBorders>
            <w:gridSpan w:val="2"/>
          </w:tcPr>
          <w:p>
            <w:pPr>
              <w:jc w:val="center"/>
              <w:ind w:left="422"/>
              <w:spacing w:after="0"/>
              <w:rPr>
                <w:sz w:val="20"/>
                <w:szCs w:val="20"/>
                <w:color w:val="auto"/>
              </w:rPr>
            </w:pPr>
            <w:r>
              <w:rPr>
                <w:rFonts w:ascii="Arial" w:cs="Arial" w:eastAsia="Arial" w:hAnsi="Arial"/>
                <w:sz w:val="14"/>
                <w:szCs w:val="14"/>
                <w:b w:val="1"/>
                <w:bCs w:val="1"/>
                <w:color w:val="auto"/>
                <w:w w:val="87"/>
              </w:rPr>
              <w:t>stock</w:t>
            </w: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paid-in</w:t>
            </w:r>
          </w:p>
        </w:tc>
        <w:tc>
          <w:tcPr>
            <w:tcW w:w="94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960" w:type="dxa"/>
            <w:vAlign w:val="bottom"/>
            <w:vMerge w:val="continue"/>
          </w:tcPr>
          <w:p>
            <w:pPr>
              <w:spacing w:after="0"/>
              <w:rPr>
                <w:sz w:val="11"/>
                <w:szCs w:val="11"/>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1"/>
                <w:szCs w:val="11"/>
                <w:color w:val="auto"/>
              </w:rPr>
            </w:pPr>
          </w:p>
        </w:tc>
        <w:tc>
          <w:tcPr>
            <w:tcW w:w="720" w:type="dxa"/>
            <w:vAlign w:val="bottom"/>
            <w:gridSpan w:val="3"/>
            <w:vMerge w:val="restart"/>
          </w:tcPr>
          <w:p>
            <w:pPr>
              <w:jc w:val="right"/>
              <w:ind w:right="109"/>
              <w:spacing w:after="0"/>
              <w:rPr>
                <w:sz w:val="20"/>
                <w:szCs w:val="20"/>
                <w:color w:val="auto"/>
              </w:rPr>
            </w:pPr>
            <w:r>
              <w:rPr>
                <w:rFonts w:ascii="Arial" w:cs="Arial" w:eastAsia="Arial" w:hAnsi="Arial"/>
                <w:sz w:val="14"/>
                <w:szCs w:val="14"/>
                <w:b w:val="1"/>
                <w:bCs w:val="1"/>
                <w:color w:val="auto"/>
                <w:w w:val="98"/>
              </w:rPr>
              <w:t>Amount</w:t>
            </w: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1"/>
                <w:szCs w:val="11"/>
                <w:color w:val="auto"/>
              </w:rPr>
            </w:pPr>
          </w:p>
        </w:tc>
        <w:tc>
          <w:tcPr>
            <w:tcW w:w="70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40" w:type="dxa"/>
            <w:vAlign w:val="bottom"/>
            <w:tcBorders>
              <w:right w:val="single" w:sz="8" w:color="auto"/>
            </w:tcBorders>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8"/>
              </w:rPr>
              <w:t>Amount</w:t>
            </w:r>
          </w:p>
        </w:tc>
        <w:tc>
          <w:tcPr>
            <w:tcW w:w="40" w:type="dxa"/>
            <w:vAlign w:val="bottom"/>
          </w:tcPr>
          <w:p>
            <w:pPr>
              <w:spacing w:after="0"/>
              <w:rPr>
                <w:sz w:val="11"/>
                <w:szCs w:val="11"/>
                <w:color w:val="auto"/>
              </w:rPr>
            </w:pPr>
          </w:p>
        </w:tc>
        <w:tc>
          <w:tcPr>
            <w:tcW w:w="9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8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6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1"/>
                <w:szCs w:val="11"/>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20"/>
                <w:szCs w:val="20"/>
                <w:color w:val="auto"/>
              </w:rPr>
            </w:pPr>
            <w:r>
              <w:rPr>
                <w:rFonts w:ascii="Arial" w:cs="Arial" w:eastAsia="Arial" w:hAnsi="Arial"/>
                <w:sz w:val="14"/>
                <w:szCs w:val="14"/>
                <w:b w:val="1"/>
                <w:bCs w:val="1"/>
                <w:color w:val="auto"/>
                <w:w w:val="95"/>
              </w:rPr>
              <w:t>except shares)</w:t>
            </w: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3"/>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740" w:type="dxa"/>
            <w:vAlign w:val="bottom"/>
            <w:tcBorders>
              <w:right w:val="single" w:sz="8" w:color="auto"/>
            </w:tcBorders>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64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w:t>
            </w: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January 1,</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11,736,119</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36,595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7,628,846</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29,848</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3,161,653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(50,497)</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 (49,412)</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w w:val="94"/>
              </w:rPr>
              <w:t>Sale of Series</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B convertible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preferred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stock, net of</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offering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20"/>
                <w:szCs w:val="20"/>
                <w:color w:val="auto"/>
              </w:rPr>
            </w:pPr>
            <w:r>
              <w:rPr>
                <w:rFonts w:ascii="Arial" w:cs="Arial" w:eastAsia="Arial" w:hAnsi="Arial"/>
                <w:sz w:val="16"/>
                <w:szCs w:val="16"/>
                <w:color w:val="auto"/>
              </w:rPr>
              <w:t>costs of $58</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7,628,846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29,942</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5"/>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Stock-based</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w w:val="94"/>
              </w:rPr>
              <w:t>compensation</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including</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issuance of</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RSAs</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432,301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(9,511)</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(9,511)</w:t>
            </w:r>
          </w:p>
        </w:tc>
        <w:tc>
          <w:tcPr>
            <w:tcW w:w="0" w:type="dxa"/>
            <w:vAlign w:val="bottom"/>
          </w:tcPr>
          <w:p>
            <w:pPr>
              <w:spacing w:after="0"/>
              <w:rPr>
                <w:sz w:val="1"/>
                <w:szCs w:val="1"/>
                <w:color w:val="auto"/>
              </w:rPr>
            </w:pPr>
          </w:p>
        </w:tc>
      </w:tr>
      <w:tr>
        <w:trPr>
          <w:trHeight w:val="194"/>
        </w:trPr>
        <w:tc>
          <w:tcPr>
            <w:tcW w:w="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w:t>
            </w: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March 31,</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11,736,119</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36,595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15,257,692</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59,790</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3,593,954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1,447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(60,008)</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 (58,561)</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Exercise of</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20"/>
                <w:szCs w:val="20"/>
                <w:color w:val="auto"/>
              </w:rPr>
            </w:pPr>
            <w:r>
              <w:rPr>
                <w:rFonts w:ascii="Arial" w:cs="Arial" w:eastAsia="Arial" w:hAnsi="Arial"/>
                <w:sz w:val="16"/>
                <w:szCs w:val="16"/>
                <w:color w:val="auto"/>
              </w:rPr>
              <w:t>stock options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36,745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31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Stock-based</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w w:val="94"/>
              </w:rPr>
              <w:t>compensation</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expense</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60" w:type="dxa"/>
            <w:vAlign w:val="bottom"/>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(11,408)</w:t>
            </w:r>
          </w:p>
        </w:tc>
        <w:tc>
          <w:tcPr>
            <w:tcW w:w="680" w:type="dxa"/>
            <w:vAlign w:val="bottom"/>
            <w:gridSpan w:val="2"/>
          </w:tcPr>
          <w:p>
            <w:pPr>
              <w:jc w:val="right"/>
              <w:spacing w:after="0"/>
              <w:rPr>
                <w:sz w:val="20"/>
                <w:szCs w:val="20"/>
                <w:color w:val="auto"/>
              </w:rPr>
            </w:pPr>
            <w:r>
              <w:rPr>
                <w:rFonts w:ascii="Arial" w:cs="Arial" w:eastAsia="Arial" w:hAnsi="Arial"/>
                <w:sz w:val="16"/>
                <w:szCs w:val="16"/>
                <w:color w:val="auto"/>
              </w:rPr>
              <w:t>(11,408)</w:t>
            </w:r>
          </w:p>
        </w:tc>
        <w:tc>
          <w:tcPr>
            <w:tcW w:w="0" w:type="dxa"/>
            <w:vAlign w:val="bottom"/>
          </w:tcPr>
          <w:p>
            <w:pPr>
              <w:spacing w:after="0"/>
              <w:rPr>
                <w:sz w:val="1"/>
                <w:szCs w:val="1"/>
                <w:color w:val="auto"/>
              </w:rPr>
            </w:pPr>
          </w:p>
        </w:tc>
      </w:tr>
      <w:tr>
        <w:trPr>
          <w:trHeight w:val="194"/>
        </w:trPr>
        <w:tc>
          <w:tcPr>
            <w:tcW w:w="9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at</w:t>
            </w: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4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50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right w:val="single" w:sz="8" w:color="auto"/>
            </w:tcBorders>
            <w:shd w:val="clear" w:color="auto" w:fill="CFF0FC"/>
          </w:tcPr>
          <w:p>
            <w:pPr>
              <w:spacing w:after="0"/>
              <w:rPr>
                <w:sz w:val="16"/>
                <w:szCs w:val="16"/>
                <w:color w:val="auto"/>
              </w:rPr>
            </w:pPr>
          </w:p>
        </w:tc>
        <w:tc>
          <w:tcPr>
            <w:tcW w:w="4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78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20" w:type="dxa"/>
            <w:vAlign w:val="bottom"/>
            <w:tcBorders>
              <w:top w:val="single" w:sz="8" w:color="CFF0FC"/>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auto"/>
            </w:tcBorders>
            <w:shd w:val="clear" w:color="auto" w:fill="CFF0FC"/>
          </w:tcPr>
          <w:p>
            <w:pPr>
              <w:spacing w:after="0"/>
              <w:rPr>
                <w:sz w:val="16"/>
                <w:szCs w:val="16"/>
                <w:color w:val="auto"/>
              </w:rPr>
            </w:pPr>
          </w:p>
        </w:tc>
        <w:tc>
          <w:tcPr>
            <w:tcW w:w="56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June 30,</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9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2020</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11,736,119</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36,595</w:t>
            </w: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15,257,692</w:t>
            </w:r>
          </w:p>
        </w:tc>
        <w:tc>
          <w:tcPr>
            <w:tcW w:w="80" w:type="dxa"/>
            <w:vAlign w:val="bottom"/>
            <w:shd w:val="clear" w:color="auto" w:fill="CFF0FC"/>
          </w:tcPr>
          <w:p>
            <w:pPr>
              <w:spacing w:after="0"/>
              <w:rPr>
                <w:sz w:val="18"/>
                <w:szCs w:val="18"/>
                <w:color w:val="auto"/>
              </w:rPr>
            </w:pPr>
          </w:p>
        </w:tc>
        <w:tc>
          <w:tcPr>
            <w:tcW w:w="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59,790</w:t>
            </w: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3,630,699</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2,105</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6"/>
                <w:szCs w:val="16"/>
                <w:color w:val="auto"/>
              </w:rPr>
              <w:t>$</w:t>
            </w: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(71,416)</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90"/>
              </w:rPr>
              <w:t>$ (69,311)</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Exercise of</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20"/>
                <w:szCs w:val="20"/>
                <w:color w:val="auto"/>
              </w:rPr>
            </w:pPr>
            <w:r>
              <w:rPr>
                <w:rFonts w:ascii="Arial" w:cs="Arial" w:eastAsia="Arial" w:hAnsi="Arial"/>
                <w:sz w:val="16"/>
                <w:szCs w:val="16"/>
                <w:color w:val="auto"/>
              </w:rPr>
              <w:t>stock options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61,509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65</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w w:val="94"/>
              </w:rPr>
              <w:t>Sale of Series</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C convertible</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preferred</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stock, net of</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offering</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w w:val="98"/>
              </w:rPr>
              <w:t>costs of $174</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3,443,612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8"/>
              </w:rPr>
              <w:t>49,826</w:t>
            </w:r>
          </w:p>
        </w:tc>
        <w:tc>
          <w:tcPr>
            <w:tcW w:w="140" w:type="dxa"/>
            <w:vAlign w:val="bottom"/>
            <w:tcBorders>
              <w:right w:val="single" w:sz="8" w:color="auto"/>
            </w:tcBorders>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Conversion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w w:val="98"/>
              </w:rPr>
              <w:t>of convertible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preferred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stock into</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voting and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non-voting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common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stock upon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initial</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public</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20"/>
                <w:szCs w:val="20"/>
                <w:color w:val="auto"/>
              </w:rPr>
            </w:pPr>
            <w:r>
              <w:rPr>
                <w:rFonts w:ascii="Arial" w:cs="Arial" w:eastAsia="Arial" w:hAnsi="Arial"/>
                <w:sz w:val="16"/>
                <w:szCs w:val="16"/>
                <w:color w:val="auto"/>
              </w:rPr>
              <w:t>offering</w:t>
            </w:r>
          </w:p>
        </w:tc>
        <w:tc>
          <w:tcPr>
            <w:tcW w:w="920" w:type="dxa"/>
            <w:vAlign w:val="bottom"/>
            <w:gridSpan w:val="2"/>
          </w:tcPr>
          <w:p>
            <w:pPr>
              <w:jc w:val="right"/>
              <w:ind w:right="20"/>
              <w:spacing w:after="0"/>
              <w:rPr>
                <w:sz w:val="20"/>
                <w:szCs w:val="20"/>
                <w:color w:val="auto"/>
              </w:rPr>
            </w:pPr>
            <w:r>
              <w:rPr>
                <w:rFonts w:ascii="Arial" w:cs="Arial" w:eastAsia="Arial" w:hAnsi="Arial"/>
                <w:sz w:val="16"/>
                <w:szCs w:val="16"/>
                <w:color w:val="auto"/>
                <w:w w:val="96"/>
              </w:rPr>
              <w:t>(11,736,119)</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9"/>
              <w:spacing w:after="0"/>
              <w:rPr>
                <w:sz w:val="20"/>
                <w:szCs w:val="20"/>
                <w:color w:val="auto"/>
              </w:rPr>
            </w:pPr>
            <w:r>
              <w:rPr>
                <w:rFonts w:ascii="Arial" w:cs="Arial" w:eastAsia="Arial" w:hAnsi="Arial"/>
                <w:sz w:val="16"/>
                <w:szCs w:val="16"/>
                <w:color w:val="auto"/>
                <w:w w:val="90"/>
              </w:rPr>
              <w:t>(36,595)</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w w:val="94"/>
              </w:rPr>
              <w:t>(15,257,692)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6"/>
                <w:szCs w:val="16"/>
                <w:color w:val="auto"/>
                <w:w w:val="90"/>
              </w:rPr>
              <w:t>(59,790)</w:t>
            </w: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(3,443,612)</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6"/>
                <w:szCs w:val="16"/>
                <w:color w:val="auto"/>
                <w:w w:val="90"/>
              </w:rPr>
              <w:t>(49,826)</w:t>
            </w:r>
          </w:p>
        </w:tc>
        <w:tc>
          <w:tcPr>
            <w:tcW w:w="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19,327,052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11,110,371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89"/>
              </w:rPr>
              <w:t>146,208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146,211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Sale of</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common</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stock in</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initial</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public</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offering,</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net of</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w w:val="98"/>
              </w:rPr>
              <w:t>offering costs</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of</w:t>
            </w: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40" w:type="dxa"/>
            <w:vAlign w:val="bottom"/>
            <w:tcBorders>
              <w:right w:val="single" w:sz="8" w:color="auto"/>
            </w:tcBorders>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shd w:val="clear" w:color="auto" w:fill="CFF0FC"/>
          </w:tcPr>
          <w:p>
            <w:pPr>
              <w:ind w:left="120"/>
              <w:spacing w:after="0"/>
              <w:rPr>
                <w:sz w:val="20"/>
                <w:szCs w:val="20"/>
                <w:color w:val="auto"/>
              </w:rPr>
            </w:pPr>
            <w:r>
              <w:rPr>
                <w:rFonts w:ascii="Arial" w:cs="Arial" w:eastAsia="Arial" w:hAnsi="Arial"/>
                <w:sz w:val="16"/>
                <w:szCs w:val="16"/>
                <w:color w:val="auto"/>
              </w:rPr>
              <w:t>$2,538</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9,573,750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166,629</w:t>
            </w: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166,630</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960" w:type="dxa"/>
            <w:vAlign w:val="bottom"/>
          </w:tcPr>
          <w:p>
            <w:pPr>
              <w:spacing w:after="0"/>
              <w:rPr>
                <w:sz w:val="20"/>
                <w:szCs w:val="20"/>
                <w:color w:val="auto"/>
              </w:rPr>
            </w:pPr>
            <w:r>
              <w:rPr>
                <w:rFonts w:ascii="Arial" w:cs="Arial" w:eastAsia="Arial" w:hAnsi="Arial"/>
                <w:sz w:val="16"/>
                <w:szCs w:val="16"/>
                <w:color w:val="auto"/>
              </w:rPr>
              <w:t>Stock-based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w w:val="94"/>
              </w:rPr>
              <w:t>compensation</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rPr>
              <w:t>expense,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including</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color w:val="auto"/>
              </w:rPr>
              <w:t>issuance</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60" w:type="dxa"/>
            <w:vAlign w:val="bottom"/>
          </w:tcPr>
          <w:p>
            <w:pPr>
              <w:ind w:left="120"/>
              <w:spacing w:after="0"/>
              <w:rPr>
                <w:sz w:val="20"/>
                <w:szCs w:val="20"/>
                <w:color w:val="auto"/>
              </w:rPr>
            </w:pPr>
            <w:r>
              <w:rPr>
                <w:rFonts w:ascii="Arial" w:cs="Arial" w:eastAsia="Arial" w:hAnsi="Arial"/>
                <w:sz w:val="16"/>
                <w:szCs w:val="16"/>
                <w:color w:val="auto"/>
                <w:w w:val="98"/>
              </w:rPr>
              <w:t>of restricted</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960" w:type="dxa"/>
            <w:vAlign w:val="bottom"/>
          </w:tcPr>
          <w:p>
            <w:pPr>
              <w:spacing w:after="0"/>
              <w:rPr>
                <w:sz w:val="20"/>
                <w:szCs w:val="20"/>
                <w:color w:val="auto"/>
              </w:rPr>
            </w:pPr>
            <w:r>
              <w:rPr>
                <w:rFonts w:ascii="Arial" w:cs="Arial" w:eastAsia="Arial" w:hAnsi="Arial"/>
                <w:sz w:val="16"/>
                <w:szCs w:val="16"/>
                <w:color w:val="auto"/>
              </w:rPr>
              <w:t>stock awards</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1,472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1,472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96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64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(16,760)</w:t>
            </w:r>
          </w:p>
        </w:tc>
        <w:tc>
          <w:tcPr>
            <w:tcW w:w="68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(16,760)</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20"/>
                <w:szCs w:val="20"/>
                <w:color w:val="auto"/>
              </w:rPr>
            </w:pPr>
            <w:r>
              <w:rPr>
                <w:rFonts w:ascii="Arial" w:cs="Arial" w:eastAsia="Arial" w:hAnsi="Arial"/>
                <w:sz w:val="16"/>
                <w:szCs w:val="16"/>
                <w:b w:val="1"/>
                <w:bCs w:val="1"/>
                <w:color w:val="auto"/>
              </w:rPr>
              <w:t>Balance at</w:t>
            </w: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960" w:type="dxa"/>
            <w:vAlign w:val="bottom"/>
          </w:tcPr>
          <w:p>
            <w:pPr>
              <w:spacing w:after="0"/>
              <w:rPr>
                <w:sz w:val="20"/>
                <w:szCs w:val="20"/>
                <w:color w:val="auto"/>
              </w:rPr>
            </w:pPr>
            <w:r>
              <w:rPr>
                <w:rFonts w:ascii="Arial" w:cs="Arial" w:eastAsia="Arial" w:hAnsi="Arial"/>
                <w:sz w:val="16"/>
                <w:szCs w:val="16"/>
                <w:b w:val="1"/>
                <w:bCs w:val="1"/>
                <w:color w:val="auto"/>
              </w:rPr>
              <w:t>September</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tcPr>
          <w:p>
            <w:pPr>
              <w:spacing w:after="0"/>
              <w:rPr>
                <w:sz w:val="20"/>
                <w:szCs w:val="20"/>
                <w:color w:val="auto"/>
              </w:rPr>
            </w:pPr>
            <w:r>
              <w:rPr>
                <w:rFonts w:ascii="Arial" w:cs="Arial" w:eastAsia="Arial" w:hAnsi="Arial"/>
                <w:sz w:val="16"/>
                <w:szCs w:val="16"/>
                <w:b w:val="1"/>
                <w:bCs w:val="1"/>
                <w:color w:val="auto"/>
              </w:rPr>
              <w:t>30, 2020</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40" w:type="dxa"/>
            <w:vAlign w:val="bottom"/>
            <w:gridSpan w:val="2"/>
          </w:tcPr>
          <w:p>
            <w:pPr>
              <w:jc w:val="right"/>
              <w:ind w:right="69"/>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w w:val="94"/>
              </w:rPr>
              <w:t>32,593,010</w:t>
            </w:r>
          </w:p>
        </w:tc>
        <w:tc>
          <w:tcPr>
            <w:tcW w:w="1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2"/>
              </w:rPr>
              <w:t>11,110,371</w:t>
            </w:r>
          </w:p>
        </w:tc>
        <w:tc>
          <w:tcPr>
            <w:tcW w:w="80" w:type="dxa"/>
            <w:vAlign w:val="bottom"/>
          </w:tcPr>
          <w:p>
            <w:pPr>
              <w:spacing w:after="0"/>
              <w:rPr>
                <w:sz w:val="18"/>
                <w:szCs w:val="18"/>
                <w:color w:val="auto"/>
              </w:rPr>
            </w:pPr>
          </w:p>
        </w:tc>
        <w:tc>
          <w:tcPr>
            <w:tcW w:w="22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89"/>
              </w:rPr>
              <w:t>316,479</w:t>
            </w:r>
          </w:p>
        </w:tc>
        <w:tc>
          <w:tcPr>
            <w:tcW w:w="1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 xml:space="preserve">(88,176) </w:t>
            </w:r>
            <w:r>
              <w:rPr>
                <w:rFonts w:ascii="Arial" w:cs="Arial" w:eastAsia="Arial" w:hAnsi="Arial"/>
                <w:sz w:val="16"/>
                <w:szCs w:val="16"/>
                <w:u w:val="single" w:color="auto"/>
                <w:color w:val="auto"/>
              </w:rPr>
              <w:t>$</w:t>
            </w:r>
            <w:r>
              <w:rPr>
                <w:rFonts w:ascii="Arial" w:cs="Arial" w:eastAsia="Arial" w:hAnsi="Arial"/>
                <w:sz w:val="16"/>
                <w:szCs w:val="16"/>
                <w:color w:val="auto"/>
              </w:rPr>
              <w:t>228,307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See accompanying notes to unaudited interim financial statements.</w:t>
      </w:r>
    </w:p>
    <w:p>
      <w:pPr>
        <w:sectPr>
          <w:pgSz w:w="11900" w:h="16838" w:orient="portrait"/>
          <w:cols w:equalWidth="0" w:num="1">
            <w:col w:w="11340"/>
          </w:cols>
          <w:pgMar w:left="320" w:top="334"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95250</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552"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3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53"/>
        </w:trPr>
        <w:tc>
          <w:tcPr>
            <w:tcW w:w="7320" w:type="dxa"/>
            <w:vAlign w:val="bottom"/>
            <w:tcBorders>
              <w:bottom w:val="single" w:sz="8" w:color="CFF0FC"/>
            </w:tcBorders>
            <w:vMerge w:val="continue"/>
          </w:tcPr>
          <w:p>
            <w:pPr>
              <w:spacing w:after="0"/>
              <w:rPr>
                <w:sz w:val="13"/>
                <w:szCs w:val="13"/>
                <w:color w:val="auto"/>
              </w:rPr>
            </w:pPr>
          </w:p>
        </w:tc>
        <w:tc>
          <w:tcPr>
            <w:tcW w:w="420" w:type="dxa"/>
            <w:vAlign w:val="bottom"/>
            <w:tcBorders>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53"/>
              <w:spacing w:after="0" w:line="15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52"/>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flows used in operating activities: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tcPr>
          <w:p>
            <w:pPr>
              <w:spacing w:after="0"/>
              <w:rPr>
                <w:sz w:val="20"/>
                <w:szCs w:val="20"/>
                <w:color w:val="auto"/>
              </w:rPr>
            </w:pPr>
            <w:r>
              <w:rPr>
                <w:rFonts w:ascii="Arial" w:cs="Arial" w:eastAsia="Arial" w:hAnsi="Arial"/>
                <w:sz w:val="18"/>
                <w:szCs w:val="18"/>
                <w:color w:val="auto"/>
              </w:rPr>
              <w:t>Net loss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(78,852)</w:t>
            </w: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(37,679)</w:t>
            </w: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625</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Noncash lease expense</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928</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15,156</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premium and discount on marketable securities, net</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w:t>
            </w: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Changes in operating assets and liabilities: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(2,532)</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(1,924)</w:t>
            </w:r>
          </w:p>
        </w:tc>
        <w:tc>
          <w:tcPr>
            <w:tcW w:w="0" w:type="dxa"/>
            <w:vAlign w:val="bottom"/>
          </w:tcPr>
          <w:p>
            <w:pPr>
              <w:spacing w:after="0"/>
              <w:rPr>
                <w:sz w:val="1"/>
                <w:szCs w:val="1"/>
                <w:color w:val="auto"/>
              </w:rPr>
            </w:pPr>
          </w:p>
        </w:tc>
      </w:tr>
      <w:tr>
        <w:trPr>
          <w:trHeight w:val="225"/>
        </w:trPr>
        <w:tc>
          <w:tcPr>
            <w:tcW w:w="7320" w:type="dxa"/>
            <w:vAlign w:val="bottom"/>
          </w:tcPr>
          <w:p>
            <w:pPr>
              <w:ind w:left="500"/>
              <w:spacing w:after="0"/>
              <w:rPr>
                <w:sz w:val="20"/>
                <w:szCs w:val="20"/>
                <w:color w:val="auto"/>
              </w:rPr>
            </w:pPr>
            <w:r>
              <w:rPr>
                <w:rFonts w:ascii="Arial" w:cs="Arial" w:eastAsia="Arial" w:hAnsi="Arial"/>
                <w:sz w:val="18"/>
                <w:szCs w:val="18"/>
                <w:color w:val="auto"/>
              </w:rPr>
              <w:t>Accounts payable</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7,834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(393)</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(951)</w:t>
            </w: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(57,829)</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(31,330)</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(259,973)</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Purchases of property and equipment</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(2,026)</w:t>
            </w:r>
          </w:p>
        </w:tc>
        <w:tc>
          <w:tcPr>
            <w:tcW w:w="36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0"/>
        </w:trPr>
        <w:tc>
          <w:tcPr>
            <w:tcW w:w="73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4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vMerge w:val="continue"/>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(261,999)</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Cash flows provided by financing activities:</w:t>
            </w:r>
          </w:p>
        </w:tc>
        <w:tc>
          <w:tcPr>
            <w:tcW w:w="42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5"/>
              </w:rPr>
              <w:t>Proceeds from the issuance of common stock upon initial public offering, net of offering costs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167,929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the sale of common stock, net of offering costs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161,424</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the sale of Series C convertible preferred stock, net of offering costs</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49,826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320" w:type="dxa"/>
            <w:vAlign w:val="bottom"/>
          </w:tcPr>
          <w:p>
            <w:pPr>
              <w:ind w:left="240"/>
              <w:spacing w:after="0"/>
              <w:rPr>
                <w:sz w:val="20"/>
                <w:szCs w:val="20"/>
                <w:color w:val="auto"/>
              </w:rPr>
            </w:pPr>
            <w:r>
              <w:rPr>
                <w:rFonts w:ascii="Arial" w:cs="Arial" w:eastAsia="Arial" w:hAnsi="Arial"/>
                <w:sz w:val="18"/>
                <w:szCs w:val="18"/>
                <w:color w:val="auto"/>
              </w:rPr>
              <w:t>Proceeds from the sale of Series B convertible preferred stock, net of offering costs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capital lease obligation</w:t>
            </w:r>
          </w:p>
        </w:tc>
        <w:tc>
          <w:tcPr>
            <w:tcW w:w="4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25"/>
        </w:trPr>
        <w:tc>
          <w:tcPr>
            <w:tcW w:w="73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Proceeds from the exercise of stock options</w:t>
            </w:r>
          </w:p>
        </w:tc>
        <w:tc>
          <w:tcPr>
            <w:tcW w:w="4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30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4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162,943</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3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(156,885)</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32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at beginning of period</w:t>
            </w:r>
          </w:p>
        </w:tc>
        <w:tc>
          <w:tcPr>
            <w:tcW w:w="4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218,309</w:t>
            </w:r>
          </w:p>
        </w:tc>
        <w:tc>
          <w:tcPr>
            <w:tcW w:w="30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732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61,424</w:t>
            </w:r>
          </w:p>
        </w:tc>
        <w:tc>
          <w:tcPr>
            <w:tcW w:w="300" w:type="dxa"/>
            <w:vAlign w:val="bottom"/>
          </w:tcPr>
          <w:p>
            <w:pPr>
              <w:spacing w:after="0"/>
              <w:rPr>
                <w:sz w:val="22"/>
                <w:szCs w:val="22"/>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234,792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7320" w:type="dxa"/>
            <w:vAlign w:val="bottom"/>
            <w:tcBorders>
              <w:top w:val="single" w:sz="8" w:color="CFF0FC"/>
            </w:tcBorders>
            <w:shd w:val="clear" w:color="auto" w:fill="CFF0FC"/>
          </w:tcPr>
          <w:p>
            <w:pPr>
              <w:spacing w:after="0" w:line="205" w:lineRule="exact"/>
              <w:rPr>
                <w:sz w:val="20"/>
                <w:szCs w:val="20"/>
                <w:color w:val="auto"/>
              </w:rPr>
            </w:pPr>
            <w:r>
              <w:rPr>
                <w:rFonts w:ascii="Arial" w:cs="Arial" w:eastAsia="Arial" w:hAnsi="Arial"/>
                <w:sz w:val="18"/>
                <w:szCs w:val="18"/>
                <w:color w:val="auto"/>
              </w:rPr>
              <w:t>Supplemental disclosures:</w:t>
            </w:r>
          </w:p>
        </w:tc>
        <w:tc>
          <w:tcPr>
            <w:tcW w:w="42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CFF0FC"/>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120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7320" w:type="dxa"/>
            <w:vAlign w:val="bottom"/>
          </w:tcPr>
          <w:p>
            <w:pPr>
              <w:ind w:left="240"/>
              <w:spacing w:after="0"/>
              <w:rPr>
                <w:sz w:val="20"/>
                <w:szCs w:val="20"/>
                <w:color w:val="auto"/>
              </w:rPr>
            </w:pPr>
            <w:r>
              <w:rPr>
                <w:rFonts w:ascii="Arial" w:cs="Arial" w:eastAsia="Arial" w:hAnsi="Arial"/>
                <w:sz w:val="18"/>
                <w:szCs w:val="18"/>
                <w:color w:val="auto"/>
              </w:rPr>
              <w:t>Operating lease right-of-use assets obtained in exchange for operating lease liabilities</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c>
          <w:tcPr>
            <w:tcW w:w="300" w:type="dxa"/>
            <w:vAlign w:val="bottom"/>
          </w:tcPr>
          <w:p>
            <w:pPr>
              <w:spacing w:after="0"/>
              <w:rPr>
                <w:sz w:val="21"/>
                <w:szCs w:val="21"/>
                <w:color w:val="auto"/>
              </w:rPr>
            </w:pPr>
          </w:p>
        </w:tc>
        <w:tc>
          <w:tcPr>
            <w:tcW w:w="360" w:type="dxa"/>
            <w:vAlign w:val="bottom"/>
          </w:tcPr>
          <w:p>
            <w:pPr>
              <w:jc w:val="right"/>
              <w:ind w:right="171"/>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Property and equipment in accounts payable</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shd w:val="clear" w:color="auto" w:fill="CFF0FC"/>
          </w:tcPr>
          <w:p>
            <w:pPr>
              <w:spacing w:after="0"/>
              <w:rPr>
                <w:sz w:val="17"/>
                <w:szCs w:val="17"/>
                <w:color w:val="auto"/>
              </w:rPr>
            </w:pPr>
          </w:p>
        </w:tc>
        <w:tc>
          <w:tcPr>
            <w:tcW w:w="780" w:type="dxa"/>
            <w:vAlign w:val="bottom"/>
            <w:gridSpan w:val="2"/>
            <w:shd w:val="clear" w:color="auto" w:fill="CFF0FC"/>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97</w:t>
            </w:r>
          </w:p>
        </w:tc>
        <w:tc>
          <w:tcPr>
            <w:tcW w:w="30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Unrealized gain (loss) on marketable securities</w:t>
            </w:r>
          </w:p>
        </w:tc>
        <w:tc>
          <w:tcPr>
            <w:tcW w:w="4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320" w:type="dxa"/>
            <w:vAlign w:val="bottom"/>
            <w:vMerge w:val="continue"/>
          </w:tcPr>
          <w:p>
            <w:pPr>
              <w:spacing w:after="0"/>
              <w:rPr>
                <w:sz w:val="19"/>
                <w:szCs w:val="19"/>
                <w:color w:val="auto"/>
              </w:rPr>
            </w:pPr>
          </w:p>
        </w:tc>
        <w:tc>
          <w:tcPr>
            <w:tcW w:w="78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line="206" w:lineRule="exact"/>
              <w:rPr>
                <w:sz w:val="20"/>
                <w:szCs w:val="20"/>
                <w:color w:val="auto"/>
              </w:rPr>
            </w:pPr>
            <w:r>
              <w:rPr>
                <w:rFonts w:ascii="Arial" w:cs="Arial" w:eastAsia="Arial" w:hAnsi="Arial"/>
                <w:sz w:val="18"/>
                <w:szCs w:val="18"/>
                <w:color w:val="auto"/>
              </w:rPr>
              <w:t>(176)</w:t>
            </w:r>
          </w:p>
        </w:tc>
        <w:tc>
          <w:tcPr>
            <w:tcW w:w="360" w:type="dxa"/>
            <w:vAlign w:val="bottom"/>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tcBorders>
            <w:vMerge w:val="restart"/>
            <w:shd w:val="clear" w:color="auto" w:fill="CFF0FC"/>
          </w:tcPr>
          <w:p>
            <w:pPr>
              <w:ind w:left="240"/>
              <w:spacing w:after="0"/>
              <w:rPr>
                <w:sz w:val="20"/>
                <w:szCs w:val="20"/>
                <w:color w:val="auto"/>
              </w:rPr>
            </w:pPr>
            <w:r>
              <w:rPr>
                <w:rFonts w:ascii="Arial" w:cs="Arial" w:eastAsia="Arial" w:hAnsi="Arial"/>
                <w:sz w:val="18"/>
                <w:szCs w:val="18"/>
                <w:color w:val="auto"/>
              </w:rPr>
              <w:t>Offering costs in accounts payable</w:t>
            </w:r>
          </w:p>
        </w:tc>
        <w:tc>
          <w:tcPr>
            <w:tcW w:w="4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shd w:val="clear" w:color="auto" w:fill="CFF0FC"/>
          </w:tcPr>
          <w:p>
            <w:pPr>
              <w:spacing w:after="0"/>
              <w:rPr>
                <w:sz w:val="17"/>
                <w:szCs w:val="17"/>
                <w:color w:val="auto"/>
              </w:rPr>
            </w:pPr>
          </w:p>
        </w:tc>
        <w:tc>
          <w:tcPr>
            <w:tcW w:w="780" w:type="dxa"/>
            <w:vAlign w:val="bottom"/>
            <w:gridSpan w:val="2"/>
            <w:shd w:val="clear" w:color="auto" w:fill="CFF0FC"/>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300"/>
              <w:spacing w:after="0" w:line="206" w:lineRule="exact"/>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1,079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Offering costs in accrued expenses and other current liabilities</w:t>
            </w:r>
          </w:p>
        </w:tc>
        <w:tc>
          <w:tcPr>
            <w:tcW w:w="42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7320" w:type="dxa"/>
            <w:vAlign w:val="bottom"/>
            <w:vMerge w:val="continue"/>
          </w:tcPr>
          <w:p>
            <w:pPr>
              <w:spacing w:after="0"/>
              <w:rPr>
                <w:sz w:val="17"/>
                <w:szCs w:val="17"/>
                <w:color w:val="auto"/>
              </w:rPr>
            </w:pPr>
          </w:p>
        </w:tc>
        <w:tc>
          <w:tcPr>
            <w:tcW w:w="780" w:type="dxa"/>
            <w:vAlign w:val="bottom"/>
            <w:gridSpan w:val="2"/>
          </w:tcPr>
          <w:p>
            <w:pPr>
              <w:jc w:val="right"/>
              <w:ind w:right="280"/>
              <w:spacing w:after="0" w:line="206"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300"/>
              <w:spacing w:after="0" w:line="206" w:lineRule="exact"/>
              <w:rPr>
                <w:sz w:val="20"/>
                <w:szCs w:val="20"/>
                <w:color w:val="auto"/>
              </w:rPr>
            </w:pPr>
            <w:r>
              <w:rPr>
                <w:rFonts w:ascii="Arial" w:cs="Arial" w:eastAsia="Arial" w:hAnsi="Arial"/>
                <w:sz w:val="18"/>
                <w:szCs w:val="18"/>
                <w:color w:val="auto"/>
              </w:rPr>
              <w:t>—</w:t>
            </w:r>
          </w:p>
        </w:tc>
        <w:tc>
          <w:tcPr>
            <w:tcW w:w="360" w:type="dxa"/>
            <w:vAlign w:val="bottom"/>
          </w:tcPr>
          <w:p>
            <w:pPr>
              <w:jc w:val="right"/>
              <w:ind w:right="171"/>
              <w:spacing w:after="0" w:line="206"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206" w:lineRule="exact"/>
              <w:rPr>
                <w:sz w:val="20"/>
                <w:szCs w:val="20"/>
                <w:color w:val="auto"/>
              </w:rPr>
            </w:pPr>
            <w:r>
              <w:rPr>
                <w:rFonts w:ascii="Arial" w:cs="Arial" w:eastAsia="Arial" w:hAnsi="Arial"/>
                <w:sz w:val="18"/>
                <w:szCs w:val="18"/>
                <w:color w:val="auto"/>
              </w:rPr>
              <w:t>220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PRELUDE THERAPEUTICS INCORPORATED</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INTERIM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Background</w:t>
      </w:r>
    </w:p>
    <w:p>
      <w:pPr>
        <w:spacing w:after="0" w:line="118" w:lineRule="exact"/>
        <w:rPr>
          <w:sz w:val="20"/>
          <w:szCs w:val="20"/>
          <w:color w:val="auto"/>
        </w:rPr>
      </w:pPr>
    </w:p>
    <w:p>
      <w:pPr>
        <w:ind w:right="220" w:firstLine="479"/>
        <w:spacing w:after="0" w:line="272" w:lineRule="auto"/>
        <w:rPr>
          <w:sz w:val="20"/>
          <w:szCs w:val="20"/>
          <w:color w:val="auto"/>
        </w:rPr>
      </w:pPr>
      <w:r>
        <w:rPr>
          <w:rFonts w:ascii="Arial" w:cs="Arial" w:eastAsia="Arial" w:hAnsi="Arial"/>
          <w:sz w:val="17"/>
          <w:szCs w:val="17"/>
          <w:color w:val="auto"/>
        </w:rPr>
        <w:t>Prelude Therapeutics Incorporated (the “Company”) was incorporated in Delaware on February 5, 2016 and is a clinical-stage precision oncology company focused on discovering and developing small molecule therapies optimized to target the key driver mechanisms in cancers with high unmet need. Since beginning operations, the Company has devoted substantially all its efforts to research and development, conducting preclinical and clinical studies, recruiting management and technical staff, administration, and raising capital.</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Risks and liquidity</w:t>
      </w:r>
    </w:p>
    <w:p>
      <w:pPr>
        <w:spacing w:after="0" w:line="118" w:lineRule="exact"/>
        <w:rPr>
          <w:sz w:val="20"/>
          <w:szCs w:val="20"/>
          <w:color w:val="auto"/>
        </w:rPr>
      </w:pPr>
    </w:p>
    <w:p>
      <w:pPr>
        <w:ind w:right="60" w:firstLine="479"/>
        <w:spacing w:after="0" w:line="264" w:lineRule="auto"/>
        <w:rPr>
          <w:sz w:val="20"/>
          <w:szCs w:val="20"/>
          <w:color w:val="auto"/>
        </w:rPr>
      </w:pPr>
      <w:r>
        <w:rPr>
          <w:rFonts w:ascii="Arial" w:cs="Arial" w:eastAsia="Arial" w:hAnsi="Arial"/>
          <w:sz w:val="17"/>
          <w:szCs w:val="17"/>
          <w:color w:val="auto"/>
        </w:rPr>
        <w:t>The Company is subject to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pharmaceutical and biotechnology companies. In addition, the Company is dependent upon the services of its employees, consultants and contractors.</w:t>
      </w:r>
    </w:p>
    <w:p>
      <w:pPr>
        <w:spacing w:after="0" w:line="187" w:lineRule="exact"/>
        <w:rPr>
          <w:sz w:val="20"/>
          <w:szCs w:val="20"/>
          <w:color w:val="auto"/>
        </w:rPr>
      </w:pPr>
    </w:p>
    <w:p>
      <w:pPr>
        <w:jc w:val="both"/>
        <w:ind w:firstLine="479"/>
        <w:spacing w:after="0" w:line="256" w:lineRule="auto"/>
        <w:rPr>
          <w:sz w:val="20"/>
          <w:szCs w:val="20"/>
          <w:color w:val="auto"/>
        </w:rPr>
      </w:pPr>
      <w:r>
        <w:rPr>
          <w:rFonts w:ascii="Arial" w:cs="Arial" w:eastAsia="Arial" w:hAnsi="Arial"/>
          <w:sz w:val="18"/>
          <w:szCs w:val="18"/>
          <w:color w:val="auto"/>
        </w:rPr>
        <w:t>Since its inception, the Company has incurred operating losses and has an accumulated deficit of $186.3 million at September 30, 2021. The Company has no revenue to date and devotes its efforts to research and development. The Company anticipates incurring additional losses until such time, if ever, that it can generate significant sales of its product candidates currently in development.</w:t>
      </w:r>
    </w:p>
    <w:p>
      <w:pPr>
        <w:spacing w:after="0" w:line="188" w:lineRule="exact"/>
        <w:rPr>
          <w:sz w:val="20"/>
          <w:szCs w:val="20"/>
          <w:color w:val="auto"/>
        </w:rPr>
      </w:pPr>
    </w:p>
    <w:p>
      <w:pPr>
        <w:ind w:right="500" w:firstLine="479"/>
        <w:spacing w:after="0" w:line="265" w:lineRule="auto"/>
        <w:rPr>
          <w:sz w:val="20"/>
          <w:szCs w:val="20"/>
          <w:color w:val="auto"/>
        </w:rPr>
      </w:pPr>
      <w:r>
        <w:rPr>
          <w:rFonts w:ascii="Arial" w:cs="Arial" w:eastAsia="Arial" w:hAnsi="Arial"/>
          <w:sz w:val="18"/>
          <w:szCs w:val="18"/>
          <w:color w:val="auto"/>
        </w:rPr>
        <w:t>The Company believes that its cash, cash equivalents, and marketable securities as of September 30, 2021 will be sufficient to fund its operating expenses and capital expenditure requirements into the second half of 2023.</w:t>
      </w:r>
    </w:p>
    <w:p>
      <w:pPr>
        <w:spacing w:after="0" w:line="180" w:lineRule="exact"/>
        <w:rPr>
          <w:sz w:val="20"/>
          <w:szCs w:val="20"/>
          <w:color w:val="auto"/>
        </w:rPr>
      </w:pPr>
    </w:p>
    <w:p>
      <w:pPr>
        <w:ind w:right="40" w:firstLine="479"/>
        <w:spacing w:after="0" w:line="250" w:lineRule="auto"/>
        <w:rPr>
          <w:sz w:val="20"/>
          <w:szCs w:val="20"/>
          <w:color w:val="auto"/>
        </w:rPr>
      </w:pPr>
      <w:r>
        <w:rPr>
          <w:rFonts w:ascii="Arial" w:cs="Arial" w:eastAsia="Arial" w:hAnsi="Arial"/>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the Company could be required to delay, reduce or eliminate research and development programs, product portfolio expansion or future commercialization efforts, which could adversely affect its business prospects.</w:t>
      </w:r>
    </w:p>
    <w:p>
      <w:pPr>
        <w:spacing w:after="0" w:line="194" w:lineRule="exact"/>
        <w:rPr>
          <w:sz w:val="20"/>
          <w:szCs w:val="20"/>
          <w:color w:val="auto"/>
        </w:rPr>
      </w:pPr>
    </w:p>
    <w:p>
      <w:pPr>
        <w:ind w:firstLine="479"/>
        <w:spacing w:after="0" w:line="266" w:lineRule="auto"/>
        <w:rPr>
          <w:sz w:val="20"/>
          <w:szCs w:val="20"/>
          <w:color w:val="auto"/>
        </w:rPr>
      </w:pPr>
      <w:r>
        <w:rPr>
          <w:rFonts w:ascii="Arial" w:cs="Arial" w:eastAsia="Arial" w:hAnsi="Arial"/>
          <w:sz w:val="17"/>
          <w:szCs w:val="17"/>
          <w:color w:val="auto"/>
        </w:rPr>
        <w:t>On March 10, 2020, the World Health Organization characterized the novel COVID-19 virus as a global pandemic. There is significant uncertainty as to the likely effects of this disease and emerging variants which may, among other things, materially impact the Company’s planned clinical trials. This pandemic or outbreak could result in difficulty securing clinical trial site locations, CROs, and/or trial monitors and other critical vendors and consultants supporting the trial. In addition, outbreaks or the perception of an outbreak near a clinical trial site location could impact the Company’s ability to enroll patients. These situations, or others associated with COVID-19, could cause delays in the Company’s clinical trial plans and could increase expected costs, all of which could have a material adverse effect on the Company’s business and its financial condition. At the current time, the Company is unable to quantify the potential effects of this pandemic on its future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75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18" w:lineRule="exact"/>
        <w:rPr>
          <w:sz w:val="20"/>
          <w:szCs w:val="20"/>
          <w:color w:val="auto"/>
        </w:rPr>
      </w:pPr>
    </w:p>
    <w:p>
      <w:pPr>
        <w:ind w:firstLine="479"/>
        <w:spacing w:after="0" w:line="256" w:lineRule="auto"/>
        <w:rPr>
          <w:sz w:val="20"/>
          <w:szCs w:val="20"/>
          <w:color w:val="auto"/>
        </w:rPr>
      </w:pPr>
      <w:r>
        <w:rPr>
          <w:rFonts w:ascii="Arial" w:cs="Arial" w:eastAsia="Arial" w:hAnsi="Arial"/>
          <w:sz w:val="18"/>
          <w:szCs w:val="18"/>
          <w:color w:val="auto"/>
        </w:rPr>
        <w:t>The summary of significant accounting policies included in the Company’s financial statements for the year ended December 31, 2020 can be found in “Note 3. Summary of significant accounting policies” of the Company’s Form 10-K filed with the Securities and Exchange Commission (the “SEC”) on March 16, 2021. Those policies have not materially changed, except as set forth below.</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2" w:lineRule="exact"/>
        <w:rPr>
          <w:sz w:val="20"/>
          <w:szCs w:val="20"/>
          <w:color w:val="auto"/>
        </w:rPr>
      </w:pPr>
    </w:p>
    <w:p>
      <w:pPr>
        <w:ind w:right="20" w:firstLine="479"/>
        <w:spacing w:after="0" w:line="305" w:lineRule="auto"/>
        <w:rPr>
          <w:sz w:val="20"/>
          <w:szCs w:val="20"/>
          <w:color w:val="auto"/>
        </w:rPr>
      </w:pPr>
      <w:r>
        <w:rPr>
          <w:rFonts w:ascii="Arial" w:cs="Arial" w:eastAsia="Arial" w:hAnsi="Arial"/>
          <w:sz w:val="15"/>
          <w:szCs w:val="15"/>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months ended September 30, 2021 are not necessarily indicative of the results that may be expected for the year ending December 31, 2021. The accompanying unaudited interim financial statements should be read in conjunction with the annual audited financial statements and related notes as of and for the year ended December 31, 2020 found in the Form 10-K filed with the SEC on March 16, 2021. Any reference in these notes to applicable guidance is meant to refer to GAAP as found in the Accounting Standards Codification (“ASC”) and Accounting Standards Updates (“ASU”) of the Financial Accounting Standards Board (“FASB”).</w:t>
      </w:r>
    </w:p>
    <w:p>
      <w:pPr>
        <w:spacing w:after="0" w:line="26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2" w:lineRule="exact"/>
        <w:rPr>
          <w:sz w:val="20"/>
          <w:szCs w:val="20"/>
          <w:color w:val="auto"/>
        </w:rPr>
      </w:pPr>
    </w:p>
    <w:p>
      <w:pPr>
        <w:jc w:val="both"/>
        <w:ind w:right="40" w:firstLine="479"/>
        <w:spacing w:after="0" w:line="331" w:lineRule="auto"/>
        <w:rPr>
          <w:sz w:val="20"/>
          <w:szCs w:val="20"/>
          <w:color w:val="auto"/>
        </w:rPr>
      </w:pPr>
      <w:r>
        <w:rPr>
          <w:rFonts w:ascii="Arial" w:cs="Arial" w:eastAsia="Arial" w:hAnsi="Arial"/>
          <w:sz w:val="15"/>
          <w:szCs w:val="15"/>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36" w:lineRule="exact"/>
        <w:rPr>
          <w:sz w:val="20"/>
          <w:szCs w:val="20"/>
          <w:color w:val="auto"/>
        </w:rPr>
      </w:pPr>
    </w:p>
    <w:p>
      <w:pPr>
        <w:ind w:right="320" w:firstLine="479"/>
        <w:spacing w:after="0" w:line="295" w:lineRule="auto"/>
        <w:rPr>
          <w:sz w:val="20"/>
          <w:szCs w:val="20"/>
          <w:color w:val="auto"/>
        </w:rPr>
      </w:pPr>
      <w:r>
        <w:rPr>
          <w:rFonts w:ascii="Arial" w:cs="Arial" w:eastAsia="Arial" w:hAnsi="Arial"/>
          <w:sz w:val="17"/>
          <w:szCs w:val="17"/>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112" w:lineRule="exact"/>
        <w:rPr>
          <w:sz w:val="20"/>
          <w:szCs w:val="20"/>
          <w:color w:val="auto"/>
        </w:rPr>
      </w:pPr>
    </w:p>
    <w:p>
      <w:pPr>
        <w:jc w:val="both"/>
        <w:ind w:right="100" w:firstLine="479"/>
        <w:spacing w:after="0" w:line="256" w:lineRule="auto"/>
        <w:rPr>
          <w:sz w:val="20"/>
          <w:szCs w:val="20"/>
          <w:color w:val="auto"/>
        </w:rPr>
      </w:pPr>
      <w:r>
        <w:rPr>
          <w:rFonts w:ascii="Arial" w:cs="Arial" w:eastAsia="Arial" w:hAnsi="Arial"/>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2021 and December 31, 2020.</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112" w:lineRule="exact"/>
        <w:rPr>
          <w:sz w:val="20"/>
          <w:szCs w:val="20"/>
          <w:color w:val="auto"/>
        </w:rPr>
      </w:pPr>
    </w:p>
    <w:p>
      <w:pPr>
        <w:ind w:right="40" w:firstLine="464"/>
        <w:spacing w:after="0" w:line="251" w:lineRule="auto"/>
        <w:rPr>
          <w:sz w:val="20"/>
          <w:szCs w:val="20"/>
          <w:color w:val="auto"/>
        </w:rPr>
      </w:pPr>
      <w:r>
        <w:rPr>
          <w:rFonts w:ascii="Arial" w:cs="Arial" w:eastAsia="Arial" w:hAnsi="Arial"/>
          <w:sz w:val="18"/>
          <w:szCs w:val="18"/>
          <w:color w:val="auto"/>
        </w:rPr>
        <w:t>The Company’s marketable securities consist of investments in corporate debt securities and commercial paper that are classified as available-for-sale. The securities are carried at fair value with the unrealized gains and losses, net of tax, included in accumulated other comprehensive income (loss), a component of stockholders’ equity (deficit). Realized gains and losses and declines in value determined to be other than temporary are included in the Company's statements of operations. The Company classifies marketable securities that are available for use in current operations as current assets on the balance sheets.</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Net Loss Per Share</w:t>
      </w:r>
    </w:p>
    <w:p>
      <w:pPr>
        <w:spacing w:after="0" w:line="112" w:lineRule="exact"/>
        <w:rPr>
          <w:sz w:val="20"/>
          <w:szCs w:val="20"/>
          <w:color w:val="auto"/>
        </w:rPr>
      </w:pPr>
    </w:p>
    <w:p>
      <w:pPr>
        <w:ind w:right="80" w:firstLine="480"/>
        <w:spacing w:after="0" w:line="304" w:lineRule="auto"/>
        <w:rPr>
          <w:sz w:val="20"/>
          <w:szCs w:val="20"/>
          <w:color w:val="auto"/>
        </w:rPr>
      </w:pPr>
      <w:r>
        <w:rPr>
          <w:rFonts w:ascii="Arial" w:cs="Arial" w:eastAsia="Arial" w:hAnsi="Arial"/>
          <w:sz w:val="15"/>
          <w:szCs w:val="15"/>
          <w:color w:val="auto"/>
        </w:rPr>
        <w:t>Basic net loss per share of common stock is computed by dividing net loss by the weighted-average number of shares of common stock outstanding during each period.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or conversion of securities, such as stock options and convertible preferred stock, and the effect from unvested restricted stock awards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convertible preferred stock and unvested restricted stock entitles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convertible preferred stock and unvested restricted stock have no obligation to fund losses.</w:t>
      </w: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60"/>
          </w:cols>
          <w:pgMar w:left="320" w:top="865" w:right="419" w:bottom="1440" w:gutter="0" w:footer="0" w:header="0"/>
        </w:sectPr>
      </w:pPr>
    </w:p>
    <w:bookmarkStart w:id="10" w:name="page11"/>
    <w:bookmarkEnd w:id="10"/>
    <w:p>
      <w:pPr>
        <w:ind w:right="840" w:firstLine="479"/>
        <w:spacing w:after="0" w:line="265" w:lineRule="auto"/>
        <w:rPr>
          <w:sz w:val="20"/>
          <w:szCs w:val="20"/>
          <w:color w:val="auto"/>
        </w:rPr>
      </w:pPr>
      <w:r>
        <w:rPr>
          <w:rFonts w:ascii="Arial" w:cs="Arial" w:eastAsia="Arial" w:hAnsi="Arial"/>
          <w:sz w:val="18"/>
          <w:szCs w:val="18"/>
          <w:color w:val="auto"/>
        </w:rPr>
        <w:t>The following potentially dilutive securities have been excluded from the computation of diluted weighted-average shares of common stock outstanding, as they would be anti-dilutive: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2300" w:type="dxa"/>
            <w:vAlign w:val="bottom"/>
            <w:tcBorders>
              <w:bottom w:val="single" w:sz="8" w:color="auto"/>
            </w:tcBorders>
            <w:gridSpan w:val="3"/>
          </w:tcPr>
          <w:p>
            <w:pPr>
              <w:ind w:left="1260"/>
              <w:spacing w:after="0"/>
              <w:rPr>
                <w:sz w:val="20"/>
                <w:szCs w:val="20"/>
                <w:color w:val="auto"/>
              </w:rPr>
            </w:pPr>
            <w:r>
              <w:rPr>
                <w:rFonts w:ascii="Arial" w:cs="Arial" w:eastAsia="Arial" w:hAnsi="Arial"/>
                <w:sz w:val="14"/>
                <w:szCs w:val="14"/>
                <w:b w:val="1"/>
                <w:bCs w:val="1"/>
                <w:color w:val="auto"/>
              </w:rPr>
              <w:t>September 30,</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7740" w:type="dxa"/>
            <w:vAlign w:val="bottom"/>
            <w:tcBorders>
              <w:bottom w:val="single" w:sz="8" w:color="CFF0FC"/>
            </w:tcBorders>
          </w:tcPr>
          <w:p>
            <w:pPr>
              <w:spacing w:after="0"/>
              <w:rPr>
                <w:sz w:val="13"/>
                <w:szCs w:val="13"/>
                <w:color w:val="auto"/>
              </w:rPr>
            </w:pPr>
          </w:p>
        </w:tc>
        <w:tc>
          <w:tcPr>
            <w:tcW w:w="1540" w:type="dxa"/>
            <w:vAlign w:val="bottom"/>
            <w:tcBorders>
              <w:bottom w:val="single" w:sz="8" w:color="auto"/>
            </w:tcBorders>
          </w:tcPr>
          <w:p>
            <w:pPr>
              <w:jc w:val="right"/>
              <w:ind w:right="557"/>
              <w:spacing w:after="0" w:line="15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stock awards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717,698</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1,312,024</w:t>
            </w:r>
          </w:p>
        </w:tc>
        <w:tc>
          <w:tcPr>
            <w:tcW w:w="10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Unvested restricted stock units</w:t>
            </w:r>
          </w:p>
        </w:tc>
        <w:tc>
          <w:tcPr>
            <w:tcW w:w="1540" w:type="dxa"/>
            <w:vAlign w:val="bottom"/>
          </w:tcPr>
          <w:p>
            <w:pPr>
              <w:jc w:val="right"/>
              <w:spacing w:after="0"/>
              <w:rPr>
                <w:sz w:val="20"/>
                <w:szCs w:val="20"/>
                <w:color w:val="auto"/>
              </w:rPr>
            </w:pPr>
            <w:r>
              <w:rPr>
                <w:rFonts w:ascii="Arial" w:cs="Arial" w:eastAsia="Arial" w:hAnsi="Arial"/>
                <w:sz w:val="18"/>
                <w:szCs w:val="18"/>
                <w:color w:val="auto"/>
              </w:rPr>
              <w:t>25,000</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8,091,689</w:t>
            </w:r>
          </w:p>
        </w:tc>
        <w:tc>
          <w:tcPr>
            <w:tcW w:w="3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6,649,882</w:t>
            </w:r>
          </w:p>
        </w:tc>
        <w:tc>
          <w:tcPr>
            <w:tcW w:w="100" w:type="dxa"/>
            <w:vAlign w:val="bottom"/>
            <w:shd w:val="clear" w:color="auto" w:fill="CFF0FC"/>
          </w:tcPr>
          <w:p>
            <w:pPr>
              <w:spacing w:after="0"/>
              <w:rPr>
                <w:sz w:val="19"/>
                <w:szCs w:val="19"/>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1540" w:type="dxa"/>
            <w:vAlign w:val="bottom"/>
          </w:tcPr>
          <w:p>
            <w:pPr>
              <w:jc w:val="right"/>
              <w:spacing w:after="0"/>
              <w:rPr>
                <w:sz w:val="20"/>
                <w:szCs w:val="20"/>
                <w:color w:val="auto"/>
              </w:rPr>
            </w:pPr>
            <w:r>
              <w:rPr>
                <w:rFonts w:ascii="Arial" w:cs="Arial" w:eastAsia="Arial" w:hAnsi="Arial"/>
                <w:sz w:val="18"/>
                <w:szCs w:val="18"/>
                <w:color w:val="auto"/>
              </w:rPr>
              <w:t>8,742</w:t>
            </w: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9"/>
        </w:trPr>
        <w:tc>
          <w:tcPr>
            <w:tcW w:w="7740" w:type="dxa"/>
            <w:vAlign w:val="bottom"/>
            <w:tcBorders>
              <w:top w:val="single" w:sz="8" w:color="CFF0FC"/>
              <w:bottom w:val="single" w:sz="8" w:color="CFF0FC"/>
            </w:tcBorders>
            <w:shd w:val="clear" w:color="auto" w:fill="CFF0FC"/>
          </w:tcPr>
          <w:p>
            <w:pPr>
              <w:spacing w:after="0"/>
              <w:rPr>
                <w:sz w:val="19"/>
                <w:szCs w:val="19"/>
                <w:color w:val="auto"/>
              </w:rPr>
            </w:pP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8,843,129</w:t>
            </w:r>
          </w:p>
        </w:tc>
        <w:tc>
          <w:tcPr>
            <w:tcW w:w="30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7,961,906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Amounts in the above table reflect the common stock equivalents.</w:t>
      </w:r>
    </w:p>
    <w:p>
      <w:pPr>
        <w:spacing w:after="0" w:line="32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Emerging Growth Company Status</w:t>
      </w:r>
    </w:p>
    <w:p>
      <w:pPr>
        <w:spacing w:after="0" w:line="112" w:lineRule="exact"/>
        <w:rPr>
          <w:sz w:val="20"/>
          <w:szCs w:val="20"/>
          <w:color w:val="auto"/>
        </w:rPr>
      </w:pPr>
    </w:p>
    <w:p>
      <w:pPr>
        <w:ind w:right="60" w:firstLine="479"/>
        <w:spacing w:after="0" w:line="309"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2" w:lineRule="exact"/>
        <w:rPr>
          <w:sz w:val="20"/>
          <w:szCs w:val="20"/>
          <w:color w:val="auto"/>
        </w:rPr>
      </w:pPr>
    </w:p>
    <w:p>
      <w:pPr>
        <w:ind w:right="80" w:firstLine="479"/>
        <w:spacing w:after="0" w:line="252" w:lineRule="auto"/>
        <w:rPr>
          <w:sz w:val="20"/>
          <w:szCs w:val="20"/>
          <w:color w:val="auto"/>
        </w:rPr>
      </w:pPr>
      <w:r>
        <w:rPr>
          <w:rFonts w:ascii="Arial" w:cs="Arial" w:eastAsia="Arial" w:hAnsi="Arial"/>
          <w:sz w:val="18"/>
          <w:szCs w:val="18"/>
          <w:color w:val="auto"/>
        </w:rPr>
        <w:t>On January 1, 2021, the Company adopted ASC 842 issued by the FASB in February 2016, which was subsequently supplemented by clarifying guidance to improve financial reporting of leasing transactions. The new lease accounting guidance requires lessees to recognize lease liabilities and right-of-use assets on the balance sheet for all leases with initial terms longer than 12 months and provides enhanced disclosures on key information of leasing arrangements.</w:t>
      </w:r>
    </w:p>
    <w:p>
      <w:pPr>
        <w:spacing w:after="0" w:line="233" w:lineRule="exact"/>
        <w:rPr>
          <w:sz w:val="20"/>
          <w:szCs w:val="20"/>
          <w:color w:val="auto"/>
        </w:rPr>
      </w:pPr>
    </w:p>
    <w:p>
      <w:pPr>
        <w:ind w:right="20" w:firstLine="479"/>
        <w:spacing w:after="0" w:line="307" w:lineRule="auto"/>
        <w:rPr>
          <w:sz w:val="20"/>
          <w:szCs w:val="20"/>
          <w:color w:val="auto"/>
        </w:rPr>
      </w:pPr>
      <w:r>
        <w:rPr>
          <w:rFonts w:ascii="Arial" w:cs="Arial" w:eastAsia="Arial" w:hAnsi="Arial"/>
          <w:sz w:val="15"/>
          <w:szCs w:val="15"/>
          <w:color w:val="auto"/>
        </w:rPr>
        <w:t>The Company adopted the new standard using the modified retrospective transition method utilizing the optional transition method and elected the package of practical expedients. Accordingly, prior periods were not restated to reflect the adopted standard. In accordance with the guidance in ASC 842, components of a lease should be split into three categories: lease components (e.g., land, building, etc.), non-lease components (e.g., common area maintenance, maintenance, consumables, etc.), and non-components (e.g., property taxes, insurance, etc.). The Company has elected the practical expedient to account for the lease and non-lease components of each of its operating leases as a single lease component and allocate all of the contract consideration to the lease component only. Upon adoption, the Company recorded a right of use asset of $2.5 million and corresponding operating lease liabilities of $2.5 million, with an offset to accrued expenses and other current liabilities of approximately $64,000 to eliminate deferred rent on the balance sheets.</w:t>
      </w:r>
    </w:p>
    <w:p>
      <w:pPr>
        <w:spacing w:after="0" w:line="182" w:lineRule="exact"/>
        <w:rPr>
          <w:sz w:val="20"/>
          <w:szCs w:val="20"/>
          <w:color w:val="auto"/>
        </w:rPr>
      </w:pPr>
    </w:p>
    <w:p>
      <w:pPr>
        <w:ind w:firstLine="479"/>
        <w:spacing w:after="0" w:line="264" w:lineRule="auto"/>
        <w:rPr>
          <w:sz w:val="20"/>
          <w:szCs w:val="20"/>
          <w:color w:val="auto"/>
        </w:rPr>
      </w:pPr>
      <w:r>
        <w:rPr>
          <w:rFonts w:ascii="Arial" w:cs="Arial" w:eastAsia="Arial" w:hAnsi="Arial"/>
          <w:sz w:val="17"/>
          <w:szCs w:val="17"/>
          <w:color w:val="auto"/>
        </w:rPr>
        <w:t>At lease commencement, the Company records a lease liability based on the present value of lease payments over the expected lease term including any options to extend the lease that the Company is reasonably certain to exercise. The Company calculates the present value of lease payments using an incremental borrowing rate as the Company’s leases do not provide an implicit interest rate. The Company’s incremental borrowing rate for a lease is the rate of interest it would have to pay on a collateralized basis to borrow an amount equal to the lease payments under similar terms. At the lease commencement date, the Company records a corresponding right-of-use lease asset based on the lease liability, adjusted for any lease incentives received and any initial direct costs paid to the lessor prior to the lease commencement date. The Company may enter into leases with an initial term of 12 months or less (“Short-Term Leases”). For Short-Term Leases, the Company records the rent expense on a straight-line basis and does not record the leases on the balance sheet. The Company entered into a short-term lease in June 2021 and elected the short-term lease exemption that allows the Company to record the rent expense on a straight-line basis and does not require the recognition of a right-of-use asset or corresponding operating lease liability. Refer to Note 8 for the Company’s lease disclosures.</w:t>
      </w:r>
    </w:p>
    <w:p>
      <w:pPr>
        <w:spacing w:after="0" w:line="187" w:lineRule="exact"/>
        <w:rPr>
          <w:sz w:val="20"/>
          <w:szCs w:val="20"/>
          <w:color w:val="auto"/>
        </w:rPr>
      </w:pPr>
    </w:p>
    <w:p>
      <w:pPr>
        <w:ind w:right="100" w:firstLine="479"/>
        <w:spacing w:after="0" w:line="269" w:lineRule="auto"/>
        <w:rPr>
          <w:sz w:val="20"/>
          <w:szCs w:val="20"/>
          <w:color w:val="auto"/>
        </w:rPr>
      </w:pPr>
      <w:r>
        <w:rPr>
          <w:rFonts w:ascii="Arial" w:cs="Arial" w:eastAsia="Arial" w:hAnsi="Arial"/>
          <w:sz w:val="17"/>
          <w:szCs w:val="17"/>
          <w:color w:val="auto"/>
        </w:rPr>
        <w:t>After lease commencement, the Company measures its leases as follows: (i) the lease liability based on the present value of the remaining lease payments using the discount rate determined at lease commencement and (ii) the right-of-use lease asset based on the re-measured lease liability, adjusted for any unamortized lease incentives received, any unamortized initial direct costs and the cumulative difference between rent expense and amounts paid under the lease agreement. Any lease incentives received, and any initial direct costs incurred are amortized on a straight-line basis over the expected lease term. Rent expense is recorded on a straight-line basis over the expected lease term.</w:t>
      </w:r>
    </w:p>
    <w:p>
      <w:pPr>
        <w:spacing w:after="0" w:line="179" w:lineRule="exact"/>
        <w:rPr>
          <w:sz w:val="20"/>
          <w:szCs w:val="20"/>
          <w:color w:val="auto"/>
        </w:rPr>
      </w:pPr>
    </w:p>
    <w:p>
      <w:pPr>
        <w:ind w:right="300" w:firstLine="479"/>
        <w:spacing w:after="0" w:line="265" w:lineRule="auto"/>
        <w:rPr>
          <w:sz w:val="20"/>
          <w:szCs w:val="20"/>
          <w:color w:val="auto"/>
        </w:rPr>
      </w:pPr>
      <w:r>
        <w:rPr>
          <w:rFonts w:ascii="Arial" w:cs="Arial" w:eastAsia="Arial" w:hAnsi="Arial"/>
          <w:sz w:val="18"/>
          <w:szCs w:val="18"/>
          <w:color w:val="auto"/>
        </w:rPr>
        <w:t>The adoption of the new lease accounting standard did not have a material impact on the Company’s results of operations or cash flows for the nine months ended September 30, 2021.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1" w:name="page12"/>
    <w:bookmarkEnd w:id="11"/>
    <w:p>
      <w:pPr>
        <w:ind w:left="480"/>
        <w:spacing w:after="0"/>
        <w:rPr>
          <w:sz w:val="20"/>
          <w:szCs w:val="20"/>
          <w:color w:val="auto"/>
        </w:rPr>
      </w:pPr>
      <w:r>
        <w:rPr>
          <w:rFonts w:ascii="Arial" w:cs="Arial" w:eastAsia="Arial" w:hAnsi="Arial"/>
          <w:sz w:val="18"/>
          <w:szCs w:val="18"/>
          <w:b w:val="1"/>
          <w:bCs w:val="1"/>
          <w:i w:val="1"/>
          <w:iCs w:val="1"/>
          <w:color w:val="auto"/>
        </w:rPr>
        <w:t>Accounting guidance not yet adopted</w:t>
      </w:r>
    </w:p>
    <w:p>
      <w:pPr>
        <w:spacing w:after="0" w:line="218" w:lineRule="exact"/>
        <w:rPr>
          <w:sz w:val="20"/>
          <w:szCs w:val="20"/>
          <w:color w:val="auto"/>
        </w:rPr>
      </w:pPr>
    </w:p>
    <w:p>
      <w:pPr>
        <w:ind w:right="60" w:firstLine="479"/>
        <w:spacing w:after="0" w:line="249" w:lineRule="auto"/>
        <w:rPr>
          <w:sz w:val="20"/>
          <w:szCs w:val="20"/>
          <w:color w:val="auto"/>
        </w:rPr>
      </w:pPr>
      <w:r>
        <w:rPr>
          <w:rFonts w:ascii="Arial" w:cs="Arial" w:eastAsia="Arial" w:hAnsi="Arial"/>
          <w:sz w:val="18"/>
          <w:szCs w:val="18"/>
          <w:color w:val="auto"/>
        </w:rPr>
        <w:t>In June 2016, the FASB issued ASU No. 2016-13, “</w:t>
      </w:r>
      <w:r>
        <w:rPr>
          <w:rFonts w:ascii="Arial" w:cs="Arial" w:eastAsia="Arial" w:hAnsi="Arial"/>
          <w:sz w:val="18"/>
          <w:szCs w:val="18"/>
          <w:i w:val="1"/>
          <w:iCs w:val="1"/>
          <w:color w:val="auto"/>
        </w:rPr>
        <w:t>Financial Instruments-Credit Losses: Measurement of Credit Losses on Financial Instruments</w:t>
      </w:r>
      <w:r>
        <w:rPr>
          <w:rFonts w:ascii="Arial" w:cs="Arial" w:eastAsia="Arial" w:hAnsi="Arial"/>
          <w:sz w:val="18"/>
          <w:szCs w:val="18"/>
          <w:color w:val="auto"/>
        </w:rPr>
        <w:t>” which has subsequently been amended by ASU No. 2019-04, ASU No. 2019-05, ASU No. 2019-10, ASU No. 2019-11, and ASU No. 2020-03 (“ASU 2016-03”). This guidance replaces the incurred loss impairment methodology under current U.S. GAAP with a methodology that reflects expected credit losses and requires consideration of a broader range of reasonable and supportable information to inform credit loss estimates. This guidance is effective for the Company for fiscal years, and interim periods within those fiscal years, beginning after December 15, 2022 and must be adopted using a modified retrospective approach, with certain exceptions. The Company is currently evaluating the impact of this standard on its financial statements and related disclosures.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Marketable Securities</w:t>
      </w:r>
    </w:p>
    <w:p>
      <w:pPr>
        <w:spacing w:after="0" w:line="158" w:lineRule="exact"/>
        <w:rPr>
          <w:sz w:val="20"/>
          <w:szCs w:val="20"/>
          <w:color w:val="auto"/>
        </w:rPr>
      </w:pPr>
    </w:p>
    <w:p>
      <w:pPr>
        <w:ind w:right="20" w:firstLine="468"/>
        <w:spacing w:after="0" w:line="265" w:lineRule="auto"/>
        <w:rPr>
          <w:sz w:val="20"/>
          <w:szCs w:val="20"/>
          <w:color w:val="auto"/>
        </w:rPr>
      </w:pPr>
      <w:r>
        <w:rPr>
          <w:rFonts w:ascii="Arial" w:cs="Arial" w:eastAsia="Arial" w:hAnsi="Arial"/>
          <w:sz w:val="18"/>
          <w:szCs w:val="18"/>
          <w:color w:val="auto"/>
        </w:rPr>
        <w:t>The following is a summary of the Company’s marketable securities as of September 30, 2021. The Company did not have any marketable securities as of December 31, 2020.</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Amortized Cost</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 unrealized gain</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7"/>
              </w:rPr>
              <w:t>Gross unrealized loss</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ind w:left="180"/>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2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Marketable securities</w:t>
            </w:r>
          </w:p>
        </w:tc>
        <w:tc>
          <w:tcPr>
            <w:tcW w:w="9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3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5"/>
        </w:trPr>
        <w:tc>
          <w:tcPr>
            <w:tcW w:w="290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193,322</w:t>
            </w:r>
          </w:p>
        </w:tc>
        <w:tc>
          <w:tcPr>
            <w:tcW w:w="1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(205)</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193,147</w:t>
            </w:r>
          </w:p>
        </w:tc>
        <w:tc>
          <w:tcPr>
            <w:tcW w:w="100" w:type="dxa"/>
            <w:vAlign w:val="bottom"/>
          </w:tcPr>
          <w:p>
            <w:pPr>
              <w:spacing w:after="0"/>
              <w:rPr>
                <w:sz w:val="19"/>
                <w:szCs w:val="19"/>
                <w:color w:val="auto"/>
              </w:rPr>
            </w:pPr>
          </w:p>
        </w:tc>
      </w:tr>
      <w:tr>
        <w:trPr>
          <w:trHeight w:val="226"/>
        </w:trPr>
        <w:tc>
          <w:tcPr>
            <w:tcW w:w="29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66,295</w:t>
            </w:r>
          </w:p>
        </w:tc>
        <w:tc>
          <w:tcPr>
            <w:tcW w:w="1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66,294</w:t>
            </w:r>
          </w:p>
        </w:tc>
        <w:tc>
          <w:tcPr>
            <w:tcW w:w="100" w:type="dxa"/>
            <w:vAlign w:val="bottom"/>
            <w:shd w:val="clear" w:color="auto" w:fill="CFF0FC"/>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290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259,617</w:t>
            </w:r>
          </w:p>
        </w:tc>
        <w:tc>
          <w:tcPr>
            <w:tcW w:w="120" w:type="dxa"/>
            <w:vAlign w:val="bottom"/>
          </w:tcPr>
          <w:p>
            <w:pPr>
              <w:spacing w:after="0"/>
              <w:rPr>
                <w:sz w:val="19"/>
                <w:szCs w:val="19"/>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(210)</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259,441</w:t>
            </w:r>
          </w:p>
        </w:tc>
        <w:tc>
          <w:tcPr>
            <w:tcW w:w="100" w:type="dxa"/>
            <w:vAlign w:val="bottom"/>
          </w:tcPr>
          <w:p>
            <w:pPr>
              <w:spacing w:after="0"/>
              <w:rPr>
                <w:sz w:val="19"/>
                <w:szCs w:val="19"/>
                <w:color w:val="auto"/>
              </w:rPr>
            </w:pPr>
          </w:p>
        </w:tc>
      </w:tr>
      <w:tr>
        <w:trPr>
          <w:trHeight w:val="20"/>
        </w:trPr>
        <w:tc>
          <w:tcPr>
            <w:tcW w:w="2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Company’s marketable securities generally have contractual maturity dates of between four and 21 months.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118" w:lineRule="exact"/>
        <w:rPr>
          <w:sz w:val="20"/>
          <w:szCs w:val="20"/>
          <w:color w:val="auto"/>
        </w:rPr>
      </w:pPr>
    </w:p>
    <w:p>
      <w:pPr>
        <w:ind w:right="140" w:firstLine="479"/>
        <w:spacing w:after="0" w:line="309" w:lineRule="auto"/>
        <w:rPr>
          <w:sz w:val="20"/>
          <w:szCs w:val="20"/>
          <w:color w:val="auto"/>
        </w:rPr>
      </w:pPr>
      <w:r>
        <w:rPr>
          <w:rFonts w:ascii="Arial" w:cs="Arial" w:eastAsia="Arial" w:hAnsi="Arial"/>
          <w:sz w:val="15"/>
          <w:szCs w:val="15"/>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for financial assets and liabilities measured on a recurring basis. The guidance requires fair value measurements be classified and disclosed in one of the following three categories:</w:t>
      </w:r>
    </w:p>
    <w:p>
      <w:pPr>
        <w:spacing w:after="0" w:line="49" w:lineRule="exact"/>
        <w:rPr>
          <w:sz w:val="20"/>
          <w:szCs w:val="20"/>
          <w:color w:val="auto"/>
        </w:rPr>
      </w:pPr>
    </w:p>
    <w:p>
      <w:pPr>
        <w:ind w:left="960" w:hanging="476"/>
        <w:spacing w:after="0"/>
        <w:tabs>
          <w:tab w:leader="none" w:pos="96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 xml:space="preserve">Level 1: </w:t>
      </w:r>
      <w:r>
        <w:rPr>
          <w:rFonts w:ascii="Arial" w:cs="Arial" w:eastAsia="Arial" w:hAnsi="Arial"/>
          <w:sz w:val="15"/>
          <w:szCs w:val="15"/>
          <w:color w:val="auto"/>
        </w:rPr>
        <w:t>Unadjusted quoted prices in active markets that are accessible at the measurement date for identical, unrestricted assets or liabilities.</w:t>
      </w:r>
    </w:p>
    <w:p>
      <w:pPr>
        <w:spacing w:after="0" w:line="146" w:lineRule="exact"/>
        <w:rPr>
          <w:rFonts w:ascii="Arial" w:cs="Arial" w:eastAsia="Arial" w:hAnsi="Arial"/>
          <w:sz w:val="15"/>
          <w:szCs w:val="15"/>
          <w:color w:val="auto"/>
        </w:rPr>
      </w:pPr>
    </w:p>
    <w:p>
      <w:pPr>
        <w:ind w:left="960" w:right="180" w:hanging="476"/>
        <w:spacing w:after="0" w:line="265"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Quoted prices in markets that are not active, or inputs which are observable, either directly or indirectly, for substantially the full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 or liabilities.</w:t>
      </w:r>
    </w:p>
    <w:p>
      <w:pPr>
        <w:spacing w:after="0" w:line="74" w:lineRule="exact"/>
        <w:rPr>
          <w:rFonts w:ascii="Arial" w:cs="Arial" w:eastAsia="Arial" w:hAnsi="Arial"/>
          <w:sz w:val="18"/>
          <w:szCs w:val="18"/>
          <w:color w:val="auto"/>
        </w:rPr>
      </w:pPr>
    </w:p>
    <w:p>
      <w:pPr>
        <w:ind w:left="960" w:right="1040" w:hanging="476"/>
        <w:spacing w:after="0" w:line="265"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Prices or valuation techniques that require inputs that are both significant to the fair value measurement and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(i.e., supported by little or no market activity).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2" w:name="page13"/>
    <w:bookmarkEnd w:id="12"/>
    <w:p>
      <w:pPr>
        <w:ind w:left="480"/>
        <w:spacing w:after="0"/>
        <w:rPr>
          <w:sz w:val="20"/>
          <w:szCs w:val="20"/>
          <w:color w:val="auto"/>
        </w:rPr>
      </w:pPr>
      <w:r>
        <w:rPr>
          <w:rFonts w:ascii="Arial" w:cs="Arial" w:eastAsia="Arial" w:hAnsi="Arial"/>
          <w:sz w:val="15"/>
          <w:szCs w:val="15"/>
          <w:color w:val="auto"/>
        </w:rPr>
        <w:t>The following fair value hierarchy table presents information about the Company’s assets and liabilities measured at fair value on a recurring basis: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40" w:type="dxa"/>
            <w:vAlign w:val="bottom"/>
            <w:gridSpan w:val="14"/>
          </w:tcPr>
          <w:p>
            <w:pPr>
              <w:jc w:val="center"/>
              <w:ind w:right="280"/>
              <w:spacing w:after="0"/>
              <w:rPr>
                <w:sz w:val="20"/>
                <w:szCs w:val="20"/>
                <w:color w:val="auto"/>
              </w:rPr>
            </w:pPr>
            <w:r>
              <w:rPr>
                <w:rFonts w:ascii="Arial" w:cs="Arial" w:eastAsia="Arial" w:hAnsi="Arial"/>
                <w:sz w:val="14"/>
                <w:szCs w:val="14"/>
                <w:b w:val="1"/>
                <w:bCs w:val="1"/>
                <w:color w:val="auto"/>
                <w:w w:val="91"/>
              </w:rPr>
              <w:t>Fair value measurement at reporting date using</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center"/>
              <w:ind w:right="300"/>
              <w:spacing w:after="0" w:line="130" w:lineRule="exact"/>
              <w:rPr>
                <w:sz w:val="20"/>
                <w:szCs w:val="20"/>
                <w:color w:val="auto"/>
              </w:rPr>
            </w:pPr>
            <w:r>
              <w:rPr>
                <w:rFonts w:ascii="Arial" w:cs="Arial" w:eastAsia="Arial" w:hAnsi="Arial"/>
                <w:sz w:val="14"/>
                <w:szCs w:val="14"/>
                <w:b w:val="1"/>
                <w:bCs w:val="1"/>
                <w:color w:val="auto"/>
                <w:w w:val="89"/>
              </w:rPr>
              <w:t>Quoted prices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vMerge w:val="restart"/>
          </w:tcPr>
          <w:p>
            <w:pPr>
              <w:jc w:val="center"/>
              <w:ind w:right="51"/>
              <w:spacing w:after="0"/>
              <w:rPr>
                <w:sz w:val="20"/>
                <w:szCs w:val="20"/>
                <w:color w:val="auto"/>
              </w:rPr>
            </w:pPr>
            <w:r>
              <w:rPr>
                <w:rFonts w:ascii="Arial" w:cs="Arial" w:eastAsia="Arial" w:hAnsi="Arial"/>
                <w:sz w:val="14"/>
                <w:szCs w:val="14"/>
                <w:b w:val="1"/>
                <w:bCs w:val="1"/>
                <w:color w:val="auto"/>
                <w:w w:val="92"/>
              </w:rPr>
              <w:t>Significant</w:t>
            </w: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6" w:lineRule="exact"/>
              <w:rPr>
                <w:sz w:val="20"/>
                <w:szCs w:val="20"/>
                <w:color w:val="auto"/>
              </w:rPr>
            </w:pPr>
            <w:r>
              <w:rPr>
                <w:rFonts w:ascii="Arial" w:cs="Arial" w:eastAsia="Arial" w:hAnsi="Arial"/>
                <w:sz w:val="14"/>
                <w:szCs w:val="14"/>
                <w:b w:val="1"/>
                <w:bCs w:val="1"/>
                <w:color w:val="auto"/>
                <w:w w:val="89"/>
              </w:rPr>
              <w:t>in active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94"/>
              </w:rPr>
              <w:t>markets for</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31"/>
              <w:spacing w:after="0" w:line="146" w:lineRule="exact"/>
              <w:rPr>
                <w:sz w:val="20"/>
                <w:szCs w:val="20"/>
                <w:color w:val="auto"/>
              </w:rPr>
            </w:pPr>
            <w:r>
              <w:rPr>
                <w:rFonts w:ascii="Arial" w:cs="Arial" w:eastAsia="Arial" w:hAnsi="Arial"/>
                <w:sz w:val="14"/>
                <w:szCs w:val="14"/>
                <w:b w:val="1"/>
                <w:bCs w:val="1"/>
                <w:color w:val="auto"/>
                <w:w w:val="91"/>
              </w:rPr>
              <w:t>other</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center"/>
              <w:ind w:right="300"/>
              <w:spacing w:after="0" w:line="146" w:lineRule="exact"/>
              <w:rPr>
                <w:sz w:val="20"/>
                <w:szCs w:val="20"/>
                <w:color w:val="auto"/>
              </w:rPr>
            </w:pPr>
            <w:r>
              <w:rPr>
                <w:rFonts w:ascii="Arial" w:cs="Arial" w:eastAsia="Arial" w:hAnsi="Arial"/>
                <w:sz w:val="14"/>
                <w:szCs w:val="14"/>
                <w:b w:val="1"/>
                <w:bCs w:val="1"/>
                <w:color w:val="auto"/>
                <w:w w:val="91"/>
              </w:rPr>
              <w:t>identical</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1"/>
              <w:spacing w:after="0" w:line="146" w:lineRule="exact"/>
              <w:rPr>
                <w:sz w:val="20"/>
                <w:szCs w:val="20"/>
                <w:color w:val="auto"/>
              </w:rPr>
            </w:pPr>
            <w:r>
              <w:rPr>
                <w:rFonts w:ascii="Arial" w:cs="Arial" w:eastAsia="Arial" w:hAnsi="Arial"/>
                <w:sz w:val="14"/>
                <w:szCs w:val="14"/>
                <w:b w:val="1"/>
                <w:bCs w:val="1"/>
                <w:color w:val="auto"/>
                <w:w w:val="89"/>
              </w:rPr>
              <w:t>observable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87"/>
              </w:rPr>
              <w:t>unobservable</w:t>
            </w:r>
          </w:p>
        </w:tc>
        <w:tc>
          <w:tcPr>
            <w:tcW w:w="0" w:type="dxa"/>
            <w:vAlign w:val="bottom"/>
          </w:tcPr>
          <w:p>
            <w:pPr>
              <w:spacing w:after="0"/>
              <w:rPr>
                <w:sz w:val="1"/>
                <w:szCs w:val="1"/>
                <w:color w:val="auto"/>
              </w:rPr>
            </w:pPr>
          </w:p>
        </w:tc>
      </w:tr>
      <w:tr>
        <w:trPr>
          <w:trHeight w:val="146"/>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2"/>
                <w:szCs w:val="12"/>
                <w:color w:val="auto"/>
              </w:rPr>
            </w:pPr>
          </w:p>
        </w:tc>
        <w:tc>
          <w:tcPr>
            <w:tcW w:w="1260" w:type="dxa"/>
            <w:vAlign w:val="bottom"/>
            <w:gridSpan w:val="3"/>
          </w:tcPr>
          <w:p>
            <w:pPr>
              <w:jc w:val="center"/>
              <w:ind w:right="280"/>
              <w:spacing w:after="0" w:line="146" w:lineRule="exact"/>
              <w:rPr>
                <w:sz w:val="20"/>
                <w:szCs w:val="20"/>
                <w:color w:val="auto"/>
              </w:rPr>
            </w:pPr>
            <w:r>
              <w:rPr>
                <w:rFonts w:ascii="Arial" w:cs="Arial" w:eastAsia="Arial" w:hAnsi="Arial"/>
                <w:sz w:val="14"/>
                <w:szCs w:val="14"/>
                <w:b w:val="1"/>
                <w:bCs w:val="1"/>
                <w:color w:val="auto"/>
                <w:w w:val="77"/>
              </w:rPr>
              <w:t>assets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51"/>
              <w:spacing w:after="0" w:line="146" w:lineRule="exact"/>
              <w:rPr>
                <w:sz w:val="20"/>
                <w:szCs w:val="20"/>
                <w:color w:val="auto"/>
              </w:rPr>
            </w:pPr>
            <w:r>
              <w:rPr>
                <w:rFonts w:ascii="Arial" w:cs="Arial" w:eastAsia="Arial" w:hAnsi="Arial"/>
                <w:sz w:val="14"/>
                <w:szCs w:val="14"/>
                <w:b w:val="1"/>
                <w:bCs w:val="1"/>
                <w:color w:val="auto"/>
                <w:w w:val="90"/>
              </w:rPr>
              <w:t>inputs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69"/>
        </w:trPr>
        <w:tc>
          <w:tcPr>
            <w:tcW w:w="6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(Level 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51"/>
              <w:spacing w:after="0"/>
              <w:rPr>
                <w:sz w:val="20"/>
                <w:szCs w:val="20"/>
                <w:color w:val="auto"/>
              </w:rPr>
            </w:pPr>
            <w:r>
              <w:rPr>
                <w:rFonts w:ascii="Arial" w:cs="Arial" w:eastAsia="Arial" w:hAnsi="Arial"/>
                <w:sz w:val="14"/>
                <w:szCs w:val="14"/>
                <w:b w:val="1"/>
                <w:bCs w:val="1"/>
                <w:color w:val="auto"/>
                <w:w w:val="94"/>
              </w:rPr>
              <w:t>(Level 2)</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September 30, 2021:</w:t>
            </w:r>
          </w:p>
        </w:tc>
        <w:tc>
          <w:tcPr>
            <w:tcW w:w="16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equivalents (Money Market Funds)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57,580</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tcPr>
          <w:p>
            <w:pPr>
              <w:ind w:left="2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Corporate debt securities</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193,147</w:t>
            </w: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620" w:type="dxa"/>
            <w:vAlign w:val="bottom"/>
            <w:tcBorders>
              <w:bottom w:val="single" w:sz="8" w:color="CFF0FC"/>
            </w:tcBorders>
          </w:tcPr>
          <w:p>
            <w:pPr>
              <w:ind w:left="36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66,294</w:t>
            </w:r>
          </w:p>
        </w:tc>
        <w:tc>
          <w:tcPr>
            <w:tcW w:w="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57,580</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259,441</w:t>
            </w:r>
          </w:p>
        </w:tc>
        <w:tc>
          <w:tcPr>
            <w:tcW w:w="3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restart"/>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December 31, 2020:</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gridSpan w:val="2"/>
          </w:tcPr>
          <w:p>
            <w:pPr>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shd w:val="clear" w:color="auto" w:fill="CFF0FC"/>
          </w:tcPr>
          <w:p>
            <w:pPr>
              <w:ind w:left="220"/>
              <w:spacing w:after="0"/>
              <w:rPr>
                <w:sz w:val="20"/>
                <w:szCs w:val="20"/>
                <w:color w:val="auto"/>
              </w:rPr>
            </w:pPr>
            <w:r>
              <w:rPr>
                <w:rFonts w:ascii="Arial" w:cs="Arial" w:eastAsia="Arial" w:hAnsi="Arial"/>
                <w:sz w:val="18"/>
                <w:szCs w:val="18"/>
                <w:color w:val="auto"/>
              </w:rPr>
              <w:t>Cash equivalents (Money Market Funds)</w:t>
            </w:r>
          </w:p>
        </w:tc>
        <w:tc>
          <w:tcPr>
            <w:tcW w:w="160" w:type="dxa"/>
            <w:vAlign w:val="bottom"/>
            <w:shd w:val="clear" w:color="auto" w:fill="CFF0FC"/>
          </w:tcPr>
          <w:p>
            <w:pPr>
              <w:jc w:val="right"/>
              <w:ind w:right="3"/>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217,072</w:t>
            </w:r>
          </w:p>
        </w:tc>
        <w:tc>
          <w:tcPr>
            <w:tcW w:w="12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9"/>
                <w:szCs w:val="19"/>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57"/>
        </w:trPr>
        <w:tc>
          <w:tcPr>
            <w:tcW w:w="6640" w:type="dxa"/>
            <w:vAlign w:val="bottom"/>
            <w:gridSpan w:val="2"/>
          </w:tcPr>
          <w:p>
            <w:pPr>
              <w:spacing w:after="0"/>
              <w:rPr>
                <w:sz w:val="20"/>
                <w:szCs w:val="20"/>
                <w:color w:val="auto"/>
              </w:rPr>
            </w:pPr>
            <w:r>
              <w:rPr>
                <w:rFonts w:ascii="Arial" w:cs="Arial" w:eastAsia="Arial" w:hAnsi="Arial"/>
                <w:sz w:val="18"/>
                <w:szCs w:val="18"/>
                <w:b w:val="1"/>
                <w:bCs w:val="1"/>
                <w:color w:val="auto"/>
              </w:rPr>
              <w:t>6. Accrued Expenses and Other Current Liabilities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6620" w:type="dxa"/>
            <w:vAlign w:val="bottom"/>
          </w:tcPr>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w w:val="89"/>
              </w:rPr>
              <w:t>September 30,</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9"/>
        </w:trPr>
        <w:tc>
          <w:tcPr>
            <w:tcW w:w="66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560"/>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Compensation and related benefits</w:t>
            </w:r>
          </w:p>
        </w:tc>
        <w:tc>
          <w:tcPr>
            <w:tcW w:w="1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60" w:type="dxa"/>
            <w:vAlign w:val="bottom"/>
            <w:gridSpan w:val="2"/>
            <w:shd w:val="clear" w:color="auto" w:fill="CFF0FC"/>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3,508</w:t>
            </w:r>
          </w:p>
        </w:tc>
        <w:tc>
          <w:tcPr>
            <w:tcW w:w="260" w:type="dxa"/>
            <w:vAlign w:val="bottom"/>
            <w:shd w:val="clear" w:color="auto" w:fill="CFF0FC"/>
          </w:tcPr>
          <w:p>
            <w:pPr>
              <w:spacing w:after="0"/>
              <w:rPr>
                <w:sz w:val="19"/>
                <w:szCs w:val="19"/>
                <w:color w:val="auto"/>
              </w:rPr>
            </w:pPr>
          </w:p>
        </w:tc>
        <w:tc>
          <w:tcPr>
            <w:tcW w:w="260" w:type="dxa"/>
            <w:vAlign w:val="bottom"/>
            <w:gridSpan w:val="4"/>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2,687</w:t>
            </w:r>
          </w:p>
        </w:tc>
        <w:tc>
          <w:tcPr>
            <w:tcW w:w="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62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3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6,765</w:t>
            </w:r>
          </w:p>
        </w:tc>
        <w:tc>
          <w:tcPr>
            <w:tcW w:w="260" w:type="dxa"/>
            <w:vAlign w:val="bottom"/>
          </w:tcPr>
          <w:p>
            <w:pPr>
              <w:spacing w:after="0"/>
              <w:rPr>
                <w:sz w:val="19"/>
                <w:szCs w:val="19"/>
                <w:color w:val="auto"/>
              </w:rPr>
            </w:pPr>
          </w:p>
        </w:tc>
        <w:tc>
          <w:tcPr>
            <w:tcW w:w="260" w:type="dxa"/>
            <w:vAlign w:val="bottom"/>
            <w:gridSpan w:val="4"/>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Common Stock Offering</w:t>
      </w:r>
    </w:p>
    <w:p>
      <w:pPr>
        <w:spacing w:after="0" w:line="112" w:lineRule="exact"/>
        <w:rPr>
          <w:sz w:val="20"/>
          <w:szCs w:val="20"/>
          <w:color w:val="auto"/>
        </w:rPr>
      </w:pPr>
    </w:p>
    <w:p>
      <w:pPr>
        <w:ind w:right="320" w:firstLine="479"/>
        <w:spacing w:after="0" w:line="295" w:lineRule="auto"/>
        <w:rPr>
          <w:sz w:val="20"/>
          <w:szCs w:val="20"/>
          <w:color w:val="auto"/>
        </w:rPr>
      </w:pPr>
      <w:r>
        <w:rPr>
          <w:rFonts w:ascii="Arial" w:cs="Arial" w:eastAsia="Arial" w:hAnsi="Arial"/>
          <w:sz w:val="17"/>
          <w:szCs w:val="17"/>
          <w:color w:val="auto"/>
        </w:rPr>
        <w:t>In January 2021, the Company sold 2,875,000 shares of its common stock at a public offering price of $60.00 per share. The Company received net proceeds of $161.4 million after deducting underwriting discounts, commissions, and other offering expenses paid by the Company.</w:t>
      </w:r>
    </w:p>
    <w:p>
      <w:pPr>
        <w:spacing w:after="0" w:line="51" w:lineRule="exact"/>
        <w:rPr>
          <w:sz w:val="20"/>
          <w:szCs w:val="20"/>
          <w:color w:val="auto"/>
        </w:rPr>
      </w:pPr>
    </w:p>
    <w:p>
      <w:pPr>
        <w:ind w:firstLine="479"/>
        <w:spacing w:after="0" w:line="264" w:lineRule="auto"/>
        <w:rPr>
          <w:sz w:val="20"/>
          <w:szCs w:val="20"/>
          <w:color w:val="auto"/>
        </w:rPr>
      </w:pPr>
      <w:r>
        <w:rPr>
          <w:rFonts w:ascii="Arial" w:cs="Arial" w:eastAsia="Arial" w:hAnsi="Arial"/>
          <w:sz w:val="17"/>
          <w:szCs w:val="17"/>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8</w:t>
      </w:r>
      <w:r>
        <w:rPr>
          <w:rFonts w:ascii="Arial" w:cs="Arial" w:eastAsia="Arial" w:hAnsi="Arial"/>
          <w:sz w:val="18"/>
          <w:szCs w:val="18"/>
          <w:b w:val="1"/>
          <w:bCs w:val="1"/>
          <w:color w:val="231F20"/>
        </w:rPr>
        <w:t>. Commitments</w:t>
      </w:r>
    </w:p>
    <w:p>
      <w:pPr>
        <w:spacing w:after="0" w:line="11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231F20"/>
        </w:rPr>
        <w:t>Leases</w:t>
      </w:r>
    </w:p>
    <w:p>
      <w:pPr>
        <w:spacing w:after="0" w:line="218" w:lineRule="exact"/>
        <w:rPr>
          <w:sz w:val="20"/>
          <w:szCs w:val="20"/>
          <w:color w:val="auto"/>
        </w:rPr>
      </w:pPr>
    </w:p>
    <w:p>
      <w:pPr>
        <w:ind w:right="40" w:firstLine="510"/>
        <w:spacing w:after="0" w:line="265" w:lineRule="auto"/>
        <w:rPr>
          <w:sz w:val="20"/>
          <w:szCs w:val="20"/>
          <w:color w:val="auto"/>
        </w:rPr>
      </w:pPr>
      <w:r>
        <w:rPr>
          <w:rFonts w:ascii="Arial" w:cs="Arial" w:eastAsia="Arial" w:hAnsi="Arial"/>
          <w:sz w:val="17"/>
          <w:szCs w:val="17"/>
          <w:color w:val="auto"/>
        </w:rPr>
        <w:t xml:space="preserve">The Company leases office and laboratory space in Wilmington, Delaware under a noncancelable lease (the “Lease”), which expires in December 2022, which was amended during the third quarter of 2021 to include additional office and laboratory space to accommodate the Company’s growth. The Company has an option to renew the Lease for an additional 1-year period. </w:t>
      </w:r>
      <w:r>
        <w:rPr>
          <w:rFonts w:ascii="Arial" w:cs="Arial" w:eastAsia="Arial" w:hAnsi="Arial"/>
          <w:sz w:val="17"/>
          <w:szCs w:val="17"/>
          <w:color w:val="231F20"/>
        </w:rPr>
        <w:t>This option to extend was not recognized as part of the Company’s measurement</w:t>
      </w:r>
      <w:r>
        <w:rPr>
          <w:rFonts w:ascii="Arial" w:cs="Arial" w:eastAsia="Arial" w:hAnsi="Arial"/>
          <w:sz w:val="17"/>
          <w:szCs w:val="17"/>
          <w:color w:val="auto"/>
        </w:rPr>
        <w:t xml:space="preserve"> </w:t>
      </w:r>
      <w:r>
        <w:rPr>
          <w:rFonts w:ascii="Arial" w:cs="Arial" w:eastAsia="Arial" w:hAnsi="Arial"/>
          <w:sz w:val="17"/>
          <w:szCs w:val="17"/>
          <w:color w:val="231F20"/>
        </w:rPr>
        <w:t>of the right-of-use asset and operating lease liability as of September 30, 2021</w:t>
      </w:r>
      <w:r>
        <w:rPr>
          <w:rFonts w:ascii="Arial" w:cs="Arial" w:eastAsia="Arial" w:hAnsi="Arial"/>
          <w:sz w:val="17"/>
          <w:szCs w:val="17"/>
          <w:color w:val="000000"/>
        </w:rPr>
        <w:t>.</w:t>
      </w:r>
      <w:r>
        <w:rPr>
          <w:rFonts w:ascii="Arial" w:cs="Arial" w:eastAsia="Arial" w:hAnsi="Arial"/>
          <w:sz w:val="17"/>
          <w:szCs w:val="17"/>
          <w:color w:val="231F20"/>
        </w:rPr>
        <w:t xml:space="preserve"> The discount rate used to account for the Company’s operating lease under ASC 842 is the Company’s estimated incremental borrowing rate of 10.0</w:t>
      </w:r>
      <w:r>
        <w:rPr>
          <w:rFonts w:ascii="Arial" w:cs="Arial" w:eastAsia="Arial" w:hAnsi="Arial"/>
          <w:sz w:val="17"/>
          <w:szCs w:val="17"/>
          <w:color w:val="000000"/>
        </w:rPr>
        <w:t>%.</w:t>
      </w:r>
      <w:r>
        <w:rPr>
          <w:rFonts w:ascii="Arial" w:cs="Arial" w:eastAsia="Arial" w:hAnsi="Arial"/>
          <w:sz w:val="17"/>
          <w:szCs w:val="17"/>
          <w:color w:val="231F20"/>
        </w:rPr>
        <w:t xml:space="preserve"> In June 2021, the Company entered into a 12-month noncancelable lease, which commenced on July 1, 2021 and will expir</w:t>
      </w:r>
      <w:r>
        <w:rPr>
          <w:rFonts w:ascii="Arial" w:cs="Arial" w:eastAsia="Arial" w:hAnsi="Arial"/>
          <w:sz w:val="17"/>
          <w:szCs w:val="17"/>
          <w:color w:val="000000"/>
        </w:rPr>
        <w:t>e on June 30, 2022 and has remaining lease payments of approximately $0.1 million and $0.2 million in 2021 and</w:t>
      </w:r>
      <w:r>
        <w:rPr>
          <w:rFonts w:ascii="Arial" w:cs="Arial" w:eastAsia="Arial" w:hAnsi="Arial"/>
          <w:sz w:val="17"/>
          <w:szCs w:val="17"/>
          <w:color w:val="231F20"/>
        </w:rPr>
        <w:t xml:space="preserve"> </w:t>
      </w:r>
      <w:r>
        <w:rPr>
          <w:rFonts w:ascii="Arial" w:cs="Arial" w:eastAsia="Arial" w:hAnsi="Arial"/>
          <w:sz w:val="17"/>
          <w:szCs w:val="17"/>
          <w:color w:val="000000"/>
        </w:rPr>
        <w:t xml:space="preserve">2022, respectively. </w:t>
      </w:r>
      <w:r>
        <w:rPr>
          <w:rFonts w:ascii="Arial" w:cs="Arial" w:eastAsia="Arial" w:hAnsi="Arial"/>
          <w:sz w:val="17"/>
          <w:szCs w:val="17"/>
          <w:color w:val="231F20"/>
        </w:rPr>
        <w:t>The Company adopted the short-term lease election as afforded by ASC 842 and did not recognize a right-of-use asset and operating</w:t>
      </w:r>
      <w:r>
        <w:rPr>
          <w:rFonts w:ascii="Arial" w:cs="Arial" w:eastAsia="Arial" w:hAnsi="Arial"/>
          <w:sz w:val="17"/>
          <w:szCs w:val="17"/>
          <w:color w:val="000000"/>
        </w:rPr>
        <w:t xml:space="preserve"> </w:t>
      </w:r>
      <w:r>
        <w:rPr>
          <w:rFonts w:ascii="Arial" w:cs="Arial" w:eastAsia="Arial" w:hAnsi="Arial"/>
          <w:sz w:val="17"/>
          <w:szCs w:val="17"/>
          <w:color w:val="231F20"/>
        </w:rPr>
        <w:t>lease liability related to this short-term lease.</w:t>
      </w:r>
    </w:p>
    <w:p>
      <w:pPr>
        <w:spacing w:after="0" w:line="186" w:lineRule="exact"/>
        <w:rPr>
          <w:sz w:val="20"/>
          <w:szCs w:val="20"/>
          <w:color w:val="auto"/>
        </w:rPr>
      </w:pPr>
    </w:p>
    <w:p>
      <w:pPr>
        <w:ind w:right="380" w:firstLine="510"/>
        <w:spacing w:after="0" w:line="265" w:lineRule="auto"/>
        <w:rPr>
          <w:sz w:val="20"/>
          <w:szCs w:val="20"/>
          <w:color w:val="auto"/>
        </w:rPr>
      </w:pPr>
      <w:r>
        <w:rPr>
          <w:rFonts w:ascii="Arial" w:cs="Arial" w:eastAsia="Arial" w:hAnsi="Arial"/>
          <w:sz w:val="18"/>
          <w:szCs w:val="18"/>
          <w:color w:val="231F20"/>
        </w:rPr>
        <w:t xml:space="preserve">Rent expense for the three months ended September 30, 2021 and 2020 </w:t>
      </w:r>
      <w:r>
        <w:rPr>
          <w:rFonts w:ascii="Arial" w:cs="Arial" w:eastAsia="Arial" w:hAnsi="Arial"/>
          <w:sz w:val="18"/>
          <w:szCs w:val="18"/>
          <w:color w:val="000000"/>
        </w:rPr>
        <w:t>was $0.5 million and $0.3 million, respectively. Rent expense for the nine</w:t>
      </w:r>
      <w:r>
        <w:rPr>
          <w:rFonts w:ascii="Arial" w:cs="Arial" w:eastAsia="Arial" w:hAnsi="Arial"/>
          <w:sz w:val="18"/>
          <w:szCs w:val="18"/>
          <w:color w:val="231F20"/>
        </w:rPr>
        <w:t xml:space="preserve"> </w:t>
      </w:r>
      <w:r>
        <w:rPr>
          <w:rFonts w:ascii="Arial" w:cs="Arial" w:eastAsia="Arial" w:hAnsi="Arial"/>
          <w:sz w:val="18"/>
          <w:szCs w:val="18"/>
          <w:color w:val="000000"/>
        </w:rPr>
        <w:t>months ended September 30, 2021 and 2020 was $1.2 million and $0.8 million, respectively</w:t>
      </w:r>
      <w:r>
        <w:rPr>
          <w:rFonts w:ascii="Arial" w:cs="Arial" w:eastAsia="Arial" w:hAnsi="Arial"/>
          <w:sz w:val="18"/>
          <w:szCs w:val="18"/>
          <w:color w:val="231F20"/>
        </w:rPr>
        <w: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Future minimum annual lease payments under the Lease at September 30, 2021 is as follows: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2021 (remaining)</w:t>
            </w:r>
          </w:p>
        </w:tc>
        <w:tc>
          <w:tcPr>
            <w:tcW w:w="4080" w:type="dxa"/>
            <w:vAlign w:val="bottom"/>
            <w:gridSpan w:val="2"/>
            <w:shd w:val="clear" w:color="auto" w:fill="CFF0FC"/>
          </w:tcPr>
          <w:p>
            <w:pPr>
              <w:jc w:val="right"/>
              <w:ind w:right="611"/>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w:t>
            </w:r>
          </w:p>
        </w:tc>
        <w:tc>
          <w:tcPr>
            <w:tcW w:w="100" w:type="dxa"/>
            <w:vAlign w:val="bottom"/>
            <w:shd w:val="clear" w:color="auto" w:fill="CFF0FC"/>
          </w:tcPr>
          <w:p>
            <w:pPr>
              <w:spacing w:after="0"/>
              <w:rPr>
                <w:sz w:val="19"/>
                <w:szCs w:val="19"/>
                <w:color w:val="auto"/>
              </w:rPr>
            </w:pPr>
          </w:p>
        </w:tc>
      </w:tr>
      <w:tr>
        <w:trPr>
          <w:trHeight w:val="225"/>
        </w:trPr>
        <w:tc>
          <w:tcPr>
            <w:tcW w:w="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2022</w:t>
            </w:r>
          </w:p>
        </w:tc>
        <w:tc>
          <w:tcPr>
            <w:tcW w:w="5100" w:type="dxa"/>
            <w:vAlign w:val="bottom"/>
            <w:tcBorders>
              <w:bottom w:val="single" w:sz="8" w:color="CFF0FC"/>
            </w:tcBorders>
          </w:tcPr>
          <w:p>
            <w:pPr>
              <w:spacing w:after="0"/>
              <w:rPr>
                <w:sz w:val="19"/>
                <w:szCs w:val="19"/>
                <w:color w:val="auto"/>
              </w:rPr>
            </w:pPr>
          </w:p>
        </w:tc>
        <w:tc>
          <w:tcPr>
            <w:tcW w:w="328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FF0FC"/>
            </w:tcBorders>
          </w:tcPr>
          <w:p>
            <w:pPr>
              <w:spacing w:after="0"/>
              <w:rPr>
                <w:sz w:val="19"/>
                <w:szCs w:val="19"/>
                <w:color w:val="auto"/>
              </w:rPr>
            </w:pPr>
          </w:p>
        </w:tc>
      </w:tr>
      <w:tr>
        <w:trPr>
          <w:trHeight w:val="220"/>
        </w:trPr>
        <w:tc>
          <w:tcPr>
            <w:tcW w:w="59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undiscounted lease payments</w:t>
            </w:r>
          </w:p>
        </w:tc>
        <w:tc>
          <w:tcPr>
            <w:tcW w:w="32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2,295</w:t>
            </w:r>
          </w:p>
        </w:tc>
        <w:tc>
          <w:tcPr>
            <w:tcW w:w="100" w:type="dxa"/>
            <w:vAlign w:val="bottom"/>
            <w:shd w:val="clear" w:color="auto" w:fill="CFF0FC"/>
          </w:tcPr>
          <w:p>
            <w:pPr>
              <w:spacing w:after="0"/>
              <w:rPr>
                <w:sz w:val="19"/>
                <w:szCs w:val="19"/>
                <w:color w:val="auto"/>
              </w:rPr>
            </w:pPr>
          </w:p>
        </w:tc>
      </w:tr>
      <w:tr>
        <w:trPr>
          <w:trHeight w:val="218"/>
        </w:trPr>
        <w:tc>
          <w:tcPr>
            <w:tcW w:w="59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3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r>
      <w:tr>
        <w:trPr>
          <w:trHeight w:val="219"/>
        </w:trPr>
        <w:tc>
          <w:tcPr>
            <w:tcW w:w="596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Current and noncurrent lease liability</w:t>
            </w:r>
          </w:p>
        </w:tc>
        <w:tc>
          <w:tcPr>
            <w:tcW w:w="328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2,148</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86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2" w:lineRule="exact"/>
        <w:rPr>
          <w:sz w:val="20"/>
          <w:szCs w:val="20"/>
          <w:color w:val="auto"/>
        </w:rPr>
      </w:pPr>
    </w:p>
    <w:p>
      <w:pPr>
        <w:jc w:val="both"/>
        <w:ind w:right="40" w:firstLine="510"/>
        <w:spacing w:after="0" w:line="265" w:lineRule="auto"/>
        <w:rPr>
          <w:sz w:val="20"/>
          <w:szCs w:val="20"/>
          <w:color w:val="auto"/>
        </w:rPr>
      </w:pPr>
      <w:r>
        <w:rPr>
          <w:rFonts w:ascii="Arial" w:cs="Arial" w:eastAsia="Arial" w:hAnsi="Arial"/>
          <w:sz w:val="18"/>
          <w:szCs w:val="18"/>
          <w:color w:val="auto"/>
        </w:rPr>
        <w:t>The Company entered into employment agreements with key personnel providing for compensation and severance in certain circumstances, as defined in the respective employment agreements.</w:t>
      </w:r>
    </w:p>
    <w:p>
      <w:pPr>
        <w:spacing w:after="0" w:line="287"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401(k) Defined Contribution Plan</w:t>
      </w:r>
    </w:p>
    <w:p>
      <w:pPr>
        <w:spacing w:after="0" w:line="112" w:lineRule="exact"/>
        <w:rPr>
          <w:sz w:val="20"/>
          <w:szCs w:val="20"/>
          <w:color w:val="auto"/>
        </w:rPr>
      </w:pPr>
    </w:p>
    <w:p>
      <w:pPr>
        <w:ind w:right="40" w:firstLine="510"/>
        <w:spacing w:after="0" w:line="215" w:lineRule="exact"/>
        <w:rPr>
          <w:sz w:val="20"/>
          <w:szCs w:val="20"/>
          <w:color w:val="auto"/>
        </w:rPr>
      </w:pPr>
      <w:r>
        <w:rPr>
          <w:rFonts w:ascii="Arial" w:cs="Arial" w:eastAsia="Arial" w:hAnsi="Arial"/>
          <w:sz w:val="18"/>
          <w:szCs w:val="18"/>
          <w:color w:val="auto"/>
        </w:rPr>
        <w:t>The Company sponsors a 401(k) defined</w:t>
      </w:r>
      <w:r>
        <w:rPr>
          <w:rFonts w:ascii="MS PGothic" w:cs="MS PGothic" w:eastAsia="MS PGothic" w:hAnsi="MS PGothic"/>
          <w:sz w:val="18"/>
          <w:szCs w:val="18"/>
          <w:color w:val="auto"/>
        </w:rPr>
        <w:t>‑</w:t>
      </w:r>
      <w:r>
        <w:rPr>
          <w:rFonts w:ascii="Arial" w:cs="Arial" w:eastAsia="Arial" w:hAnsi="Arial"/>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safe harbor match with a maximum amount of 3% of the participant’s compensation. During the three and nine months ended September 30, 2021, the Company made matching contributions of $0.1 million and $0.4 million, respectively.</w:t>
      </w:r>
    </w:p>
    <w:p>
      <w:pPr>
        <w:spacing w:after="0" w:line="310"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Research Collaboration Agreement</w:t>
      </w:r>
    </w:p>
    <w:p>
      <w:pPr>
        <w:spacing w:after="0" w:line="112" w:lineRule="exact"/>
        <w:rPr>
          <w:sz w:val="20"/>
          <w:szCs w:val="20"/>
          <w:color w:val="auto"/>
        </w:rPr>
      </w:pPr>
    </w:p>
    <w:p>
      <w:pPr>
        <w:ind w:firstLine="510"/>
        <w:spacing w:after="0" w:line="264" w:lineRule="auto"/>
        <w:rPr>
          <w:sz w:val="20"/>
          <w:szCs w:val="20"/>
          <w:color w:val="auto"/>
        </w:rPr>
      </w:pPr>
      <w:r>
        <w:rPr>
          <w:rFonts w:ascii="Arial" w:cs="Arial" w:eastAsia="Arial" w:hAnsi="Arial"/>
          <w:sz w:val="17"/>
          <w:szCs w:val="17"/>
          <w:color w:val="auto"/>
        </w:rPr>
        <w:t>In September 2021, the Company entered into a research collaboration agreement estimated to last for approximately one year (the “Darwin Health Agreement”) with Darwin Health, Inc. (“DarwinHealth”). Under the terms of the Darwin Health Agreement, DarwinHealth will utilize their drug discovery technologies and certified methodologies in precision oncology to advance and accelerate clinical development for certain of the Company’s programs across a broad range of tumor subtypes. The Company will pay DarwinHealth a total of $3.0 million in three equal installments over the one-year term (the “Research Term”) to fund the research and, if the Company adopts any of DarwinHealth’s development ideas, the Company will be responsible for the development, manufacturing, and commercialization of any such products. In addition to research funding, DarwinHealth is eligible to receive future research, development and regulatory milestones of up to $3.0 million for each product candidate and is also eligible to receive tiered royalties in the low single digits on net sales of each product developed using DarwinHealth’s development technologies or methods. However, within eighteen-months following the Research Term, the Company, in its sole discretion, may notify DarwinHealth that it will not utilize its development ideas and will be entitled to receive a refund of $0.5 million.</w:t>
      </w:r>
    </w:p>
    <w:p>
      <w:pPr>
        <w:spacing w:after="0" w:line="29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 Research and Development Arrangements</w:t>
      </w:r>
    </w:p>
    <w:p>
      <w:pPr>
        <w:spacing w:after="0" w:line="112" w:lineRule="exact"/>
        <w:rPr>
          <w:sz w:val="20"/>
          <w:szCs w:val="20"/>
          <w:color w:val="auto"/>
        </w:rPr>
      </w:pPr>
    </w:p>
    <w:p>
      <w:pPr>
        <w:ind w:right="660" w:firstLine="510"/>
        <w:spacing w:after="0" w:line="265" w:lineRule="auto"/>
        <w:rPr>
          <w:sz w:val="20"/>
          <w:szCs w:val="20"/>
          <w:color w:val="auto"/>
        </w:rPr>
      </w:pPr>
      <w:r>
        <w:rPr>
          <w:rFonts w:ascii="Arial" w:cs="Arial" w:eastAsia="Arial" w:hAnsi="Arial"/>
          <w:sz w:val="18"/>
          <w:szCs w:val="18"/>
          <w:color w:val="auto"/>
        </w:rPr>
        <w:t>The Company enters into agreements with contract research organizations (“CROs”) to assist in the performance of research and development activities. Expenditures to CROs will represent a significant cost in clinical development for the Company.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9. Stock-Based Compensation</w:t>
      </w:r>
    </w:p>
    <w:p>
      <w:pPr>
        <w:spacing w:after="0" w:line="118" w:lineRule="exact"/>
        <w:rPr>
          <w:sz w:val="20"/>
          <w:szCs w:val="20"/>
          <w:color w:val="auto"/>
        </w:rPr>
      </w:pPr>
    </w:p>
    <w:p>
      <w:pPr>
        <w:ind w:firstLine="479"/>
        <w:spacing w:after="0" w:line="305" w:lineRule="auto"/>
        <w:rPr>
          <w:sz w:val="20"/>
          <w:szCs w:val="20"/>
          <w:color w:val="auto"/>
        </w:rPr>
      </w:pPr>
      <w:r>
        <w:rPr>
          <w:rFonts w:ascii="Arial" w:cs="Arial" w:eastAsia="Arial" w:hAnsi="Arial"/>
          <w:sz w:val="15"/>
          <w:szCs w:val="15"/>
          <w:color w:val="auto"/>
        </w:rPr>
        <w:t>The Company has two equity incentive plans: the 2016 Equity Incentive Plan, as amended, and the 2020 Equity Incentive Plan. New awards can only be granted under the 2020 Equity Incentive Plan (the “Plan”) and as of September 30, 2021, 4,782,468 shares were available for future grants. The number of shares of the Company’s common stock that may be issued pursuant to rights granted under the Plan shall automatically increase on January 1st of each year, commencing on January 1, 2021, and continuing for ten years, in an amount equal to five percent of the total number of shares of the Company’s common stock outstanding on December 31st of the preceding calendar year, subject to the discretion of the board of directors or compensation committee to determine a lesser number of shares shall be added for such year. The Plan provides for the granting of common stock, incentive stock options, nonqualified stock options, restricted stock awards, and/or stock appreciation rights to employees, directors, and other persons, as determined by the Company’s board of directors. The Company’s stock options vest based on the terms in each award agreement, generally over four-year periods with 25% of options vesting after 1 year and then monthly thereafter, and have a term of ten years.</w:t>
      </w:r>
    </w:p>
    <w:p>
      <w:pPr>
        <w:spacing w:after="0" w:line="371" w:lineRule="exact"/>
        <w:rPr>
          <w:sz w:val="20"/>
          <w:szCs w:val="20"/>
          <w:color w:val="auto"/>
        </w:rPr>
      </w:pPr>
    </w:p>
    <w:p>
      <w:pPr>
        <w:ind w:right="280" w:firstLine="479"/>
        <w:spacing w:after="0" w:line="256" w:lineRule="auto"/>
        <w:rPr>
          <w:sz w:val="20"/>
          <w:szCs w:val="20"/>
          <w:color w:val="auto"/>
        </w:rPr>
      </w:pPr>
      <w:r>
        <w:rPr>
          <w:rFonts w:ascii="Arial" w:cs="Arial" w:eastAsia="Arial" w:hAnsi="Arial"/>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4"/>
          </w:tcPr>
          <w:p>
            <w:pPr>
              <w:jc w:val="right"/>
              <w:ind w:right="12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Nine Months Ended</w:t>
            </w:r>
          </w:p>
        </w:tc>
        <w:tc>
          <w:tcPr>
            <w:tcW w:w="0" w:type="dxa"/>
            <w:vAlign w:val="bottom"/>
          </w:tcPr>
          <w:p>
            <w:pPr>
              <w:spacing w:after="0"/>
              <w:rPr>
                <w:sz w:val="1"/>
                <w:szCs w:val="1"/>
                <w:color w:val="auto"/>
              </w:rPr>
            </w:pPr>
          </w:p>
        </w:tc>
      </w:tr>
      <w:tr>
        <w:trPr>
          <w:trHeight w:val="169"/>
        </w:trPr>
        <w:tc>
          <w:tcPr>
            <w:tcW w:w="5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00" w:type="dxa"/>
            <w:vAlign w:val="bottom"/>
            <w:gridSpan w:val="3"/>
          </w:tcPr>
          <w:p>
            <w:pPr>
              <w:jc w:val="right"/>
              <w:ind w:right="349"/>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7"/>
          </w:tcPr>
          <w:p>
            <w:pPr>
              <w:jc w:val="center"/>
              <w:ind w:right="3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53"/>
        </w:trPr>
        <w:tc>
          <w:tcPr>
            <w:tcW w:w="5840" w:type="dxa"/>
            <w:vAlign w:val="bottom"/>
            <w:tcBorders>
              <w:bottom w:val="single" w:sz="8" w:color="CFF0FC"/>
            </w:tcBorders>
            <w:vMerge w:val="continue"/>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ind w:right="19"/>
              <w:spacing w:after="0" w:line="153" w:lineRule="exact"/>
              <w:rPr>
                <w:sz w:val="20"/>
                <w:szCs w:val="20"/>
                <w:color w:val="auto"/>
              </w:rPr>
            </w:pPr>
            <w:r>
              <w:rPr>
                <w:rFonts w:ascii="Arial" w:cs="Arial" w:eastAsia="Arial" w:hAnsi="Arial"/>
                <w:sz w:val="14"/>
                <w:szCs w:val="14"/>
                <w:b w:val="1"/>
                <w:bCs w:val="1"/>
                <w:color w:val="auto"/>
              </w:rPr>
              <w:t>2021</w:t>
            </w:r>
          </w:p>
        </w:tc>
        <w:tc>
          <w:tcPr>
            <w:tcW w:w="34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CFF0FC"/>
            </w:tcBorders>
          </w:tcPr>
          <w:p>
            <w:pPr>
              <w:spacing w:after="0"/>
              <w:rPr>
                <w:sz w:val="13"/>
                <w:szCs w:val="13"/>
                <w:color w:val="auto"/>
              </w:rPr>
            </w:pPr>
          </w:p>
        </w:tc>
        <w:tc>
          <w:tcPr>
            <w:tcW w:w="720" w:type="dxa"/>
            <w:vAlign w:val="bottom"/>
            <w:tcBorders>
              <w:top w:val="single" w:sz="8" w:color="auto"/>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56"/>
              <w:spacing w:after="0" w:line="153"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360"/>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3,262</w:t>
            </w:r>
          </w:p>
        </w:tc>
        <w:tc>
          <w:tcPr>
            <w:tcW w:w="96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w w:val="93"/>
              </w:rPr>
              <w:t>630</w:t>
            </w: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7,305</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3,771</w:t>
            </w:r>
          </w:p>
        </w:tc>
        <w:tc>
          <w:tcPr>
            <w:tcW w:w="240" w:type="dxa"/>
            <w:vAlign w:val="bottom"/>
            <w:tcBorders>
              <w:bottom w:val="single" w:sz="8" w:color="CFF0FC"/>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93"/>
              </w:rPr>
              <w:t>842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7,851</w:t>
            </w:r>
          </w:p>
        </w:tc>
        <w:tc>
          <w:tcPr>
            <w:tcW w:w="6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51"/>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7,033</w:t>
            </w:r>
          </w:p>
        </w:tc>
        <w:tc>
          <w:tcPr>
            <w:tcW w:w="960" w:type="dxa"/>
            <w:vAlign w:val="bottom"/>
            <w:gridSpan w:val="2"/>
            <w:shd w:val="clear" w:color="auto" w:fill="CFF0FC"/>
          </w:tcPr>
          <w:p>
            <w:pPr>
              <w:jc w:val="right"/>
              <w:ind w:right="569"/>
              <w:spacing w:after="0"/>
              <w:rPr>
                <w:sz w:val="20"/>
                <w:szCs w:val="20"/>
                <w:color w:val="auto"/>
              </w:rPr>
            </w:pPr>
            <w:r>
              <w:rPr>
                <w:rFonts w:ascii="Arial" w:cs="Arial" w:eastAsia="Arial" w:hAnsi="Arial"/>
                <w:sz w:val="18"/>
                <w:szCs w:val="18"/>
                <w:color w:val="auto"/>
              </w:rPr>
              <w:t>$</w:t>
            </w:r>
          </w:p>
        </w:tc>
        <w:tc>
          <w:tcPr>
            <w:tcW w:w="4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w w:val="84"/>
              </w:rPr>
              <w:t>1,472</w:t>
            </w:r>
          </w:p>
        </w:tc>
        <w:tc>
          <w:tcPr>
            <w:tcW w:w="5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15,156</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Borders>
              <w:top w:val="single" w:sz="8" w:color="CFF0FC"/>
              <w:bottom w:val="single" w:sz="8" w:color="CFF0FC"/>
            </w:tcBorders>
            <w:vMerge w:val="restart"/>
          </w:tcPr>
          <w:p>
            <w:pPr>
              <w:ind w:left="480"/>
              <w:spacing w:after="0"/>
              <w:rPr>
                <w:sz w:val="20"/>
                <w:szCs w:val="20"/>
                <w:color w:val="auto"/>
              </w:rPr>
            </w:pPr>
            <w:r>
              <w:rPr>
                <w:rFonts w:ascii="Arial" w:cs="Arial" w:eastAsia="Arial" w:hAnsi="Arial"/>
                <w:sz w:val="18"/>
                <w:szCs w:val="18"/>
                <w:b w:val="1"/>
                <w:bCs w:val="1"/>
                <w:i w:val="1"/>
                <w:iCs w:val="1"/>
                <w:color w:val="auto"/>
              </w:rPr>
              <w:t>Stock Options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5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6180" w:type="dxa"/>
            <w:vAlign w:val="bottom"/>
            <w:gridSpan w:val="2"/>
          </w:tcPr>
          <w:p>
            <w:pPr>
              <w:ind w:left="480"/>
              <w:spacing w:after="0"/>
              <w:rPr>
                <w:sz w:val="20"/>
                <w:szCs w:val="20"/>
                <w:color w:val="auto"/>
              </w:rPr>
            </w:pPr>
            <w:r>
              <w:rPr>
                <w:rFonts w:ascii="Arial" w:cs="Arial" w:eastAsia="Arial" w:hAnsi="Arial"/>
                <w:sz w:val="18"/>
                <w:szCs w:val="18"/>
                <w:color w:val="auto"/>
                <w:w w:val="92"/>
              </w:rPr>
              <w:t>The following table summarizes stock option activity for the periods indicated:</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Weighted</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400"/>
              <w:spacing w:after="0" w:line="14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vMerge w:val="restart"/>
          </w:tcPr>
          <w:p>
            <w:pPr>
              <w:jc w:val="right"/>
              <w:ind w:right="329"/>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right"/>
              <w:ind w:right="640"/>
              <w:spacing w:after="0" w:line="146" w:lineRule="exact"/>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6"/>
        </w:trPr>
        <w:tc>
          <w:tcPr>
            <w:tcW w:w="5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ind w:left="100"/>
              <w:spacing w:after="0" w:line="146" w:lineRule="exact"/>
              <w:rPr>
                <w:sz w:val="20"/>
                <w:szCs w:val="20"/>
                <w:color w:val="auto"/>
              </w:rPr>
            </w:pPr>
            <w:r>
              <w:rPr>
                <w:rFonts w:ascii="Arial" w:cs="Arial" w:eastAsia="Arial" w:hAnsi="Arial"/>
                <w:sz w:val="14"/>
                <w:szCs w:val="14"/>
                <w:b w:val="1"/>
                <w:bCs w:val="1"/>
                <w:color w:val="auto"/>
              </w:rPr>
              <w:t>exercise price</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2"/>
              </w:rPr>
              <w:t>contractual</w:t>
            </w:r>
          </w:p>
        </w:tc>
        <w:tc>
          <w:tcPr>
            <w:tcW w:w="0" w:type="dxa"/>
            <w:vAlign w:val="bottom"/>
          </w:tcPr>
          <w:p>
            <w:pPr>
              <w:spacing w:after="0"/>
              <w:rPr>
                <w:sz w:val="1"/>
                <w:szCs w:val="1"/>
                <w:color w:val="auto"/>
              </w:rPr>
            </w:pPr>
          </w:p>
        </w:tc>
      </w:tr>
      <w:tr>
        <w:trPr>
          <w:trHeight w:val="169"/>
        </w:trPr>
        <w:tc>
          <w:tcPr>
            <w:tcW w:w="5840" w:type="dxa"/>
            <w:vAlign w:val="bottom"/>
            <w:tcBorders>
              <w:bottom w:val="single" w:sz="8" w:color="CFF0FC"/>
            </w:tcBorders>
          </w:tcPr>
          <w:p>
            <w:pPr>
              <w:spacing w:after="0"/>
              <w:rPr>
                <w:sz w:val="14"/>
                <w:szCs w:val="14"/>
                <w:color w:val="auto"/>
              </w:rPr>
            </w:pPr>
          </w:p>
        </w:tc>
        <w:tc>
          <w:tcPr>
            <w:tcW w:w="340" w:type="dxa"/>
            <w:vAlign w:val="bottom"/>
            <w:tcBorders>
              <w:bottom w:val="single" w:sz="8" w:color="CFF0FC"/>
            </w:tcBorders>
          </w:tcPr>
          <w:p>
            <w:pPr>
              <w:spacing w:after="0"/>
              <w:rPr>
                <w:sz w:val="14"/>
                <w:szCs w:val="14"/>
                <w:color w:val="auto"/>
              </w:rPr>
            </w:pPr>
          </w:p>
        </w:tc>
        <w:tc>
          <w:tcPr>
            <w:tcW w:w="460" w:type="dxa"/>
            <w:vAlign w:val="bottom"/>
            <w:tcBorders>
              <w:bottom w:val="single" w:sz="8" w:color="CFF0FC"/>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309"/>
              <w:spacing w:after="0"/>
              <w:rPr>
                <w:sz w:val="20"/>
                <w:szCs w:val="20"/>
                <w:color w:val="auto"/>
              </w:rPr>
            </w:pPr>
            <w:r>
              <w:rPr>
                <w:rFonts w:ascii="Arial" w:cs="Arial" w:eastAsia="Arial" w:hAnsi="Arial"/>
                <w:sz w:val="14"/>
                <w:szCs w:val="14"/>
                <w:b w:val="1"/>
                <w:bCs w:val="1"/>
                <w:color w:val="auto"/>
                <w:w w:val="89"/>
              </w:rPr>
              <w:t>of shares</w:t>
            </w:r>
          </w:p>
        </w:tc>
        <w:tc>
          <w:tcPr>
            <w:tcW w:w="100" w:type="dxa"/>
            <w:vAlign w:val="bottom"/>
            <w:tcBorders>
              <w:bottom w:val="single" w:sz="8" w:color="CFF0FC"/>
            </w:tcBorders>
          </w:tcPr>
          <w:p>
            <w:pPr>
              <w:spacing w:after="0"/>
              <w:rPr>
                <w:sz w:val="14"/>
                <w:szCs w:val="14"/>
                <w:color w:val="auto"/>
              </w:rPr>
            </w:pPr>
          </w:p>
        </w:tc>
        <w:tc>
          <w:tcPr>
            <w:tcW w:w="18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per share</w:t>
            </w:r>
          </w:p>
        </w:tc>
        <w:tc>
          <w:tcPr>
            <w:tcW w:w="2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00"/>
              <w:spacing w:after="0"/>
              <w:rPr>
                <w:sz w:val="20"/>
                <w:szCs w:val="20"/>
                <w:color w:val="auto"/>
              </w:rPr>
            </w:pPr>
            <w:r>
              <w:rPr>
                <w:rFonts w:ascii="Arial" w:cs="Arial" w:eastAsia="Arial" w:hAnsi="Arial"/>
                <w:sz w:val="14"/>
                <w:szCs w:val="14"/>
                <w:b w:val="1"/>
                <w:bCs w:val="1"/>
                <w:color w:val="auto"/>
                <w:w w:val="92"/>
              </w:rPr>
              <w:t>term (years)</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January 1, 2021</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6,839,091</w:t>
            </w:r>
          </w:p>
        </w:tc>
        <w:tc>
          <w:tcPr>
            <w:tcW w:w="10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240"/>
              <w:spacing w:after="0"/>
              <w:rPr>
                <w:sz w:val="20"/>
                <w:szCs w:val="20"/>
                <w:color w:val="auto"/>
              </w:rPr>
            </w:pPr>
            <w:r>
              <w:rPr>
                <w:rFonts w:ascii="Arial" w:cs="Arial" w:eastAsia="Arial" w:hAnsi="Arial"/>
                <w:sz w:val="18"/>
                <w:szCs w:val="18"/>
                <w:color w:val="auto"/>
              </w:rPr>
              <w:t>Granted</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2,228,869</w:t>
            </w:r>
          </w:p>
        </w:tc>
        <w:tc>
          <w:tcPr>
            <w:tcW w:w="100" w:type="dxa"/>
            <w:vAlign w:val="bottom"/>
          </w:tcPr>
          <w:p>
            <w:pPr>
              <w:spacing w:after="0"/>
              <w:rPr>
                <w:sz w:val="19"/>
                <w:szCs w:val="19"/>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33.82</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Exercised</w:t>
            </w:r>
          </w:p>
        </w:tc>
        <w:tc>
          <w:tcPr>
            <w:tcW w:w="3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(611,124)</w:t>
            </w:r>
          </w:p>
        </w:tc>
        <w:tc>
          <w:tcPr>
            <w:tcW w:w="3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w:t>
            </w:r>
          </w:p>
        </w:tc>
        <w:tc>
          <w:tcPr>
            <w:tcW w:w="20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40" w:type="dxa"/>
            <w:vAlign w:val="bottom"/>
          </w:tcPr>
          <w:p>
            <w:pPr>
              <w:ind w:left="240"/>
              <w:spacing w:after="0"/>
              <w:rPr>
                <w:sz w:val="20"/>
                <w:szCs w:val="20"/>
                <w:color w:val="auto"/>
              </w:rPr>
            </w:pPr>
            <w:r>
              <w:rPr>
                <w:rFonts w:ascii="Arial" w:cs="Arial" w:eastAsia="Arial" w:hAnsi="Arial"/>
                <w:sz w:val="18"/>
                <w:szCs w:val="18"/>
                <w:color w:val="auto"/>
              </w:rPr>
              <w:t>Forfeited</w:t>
            </w: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(365,147)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21.68</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460" w:type="dxa"/>
            <w:vAlign w:val="bottom"/>
            <w:tcBorders>
              <w:top w:val="single" w:sz="8" w:color="CFF0FC"/>
              <w:bottom w:val="single" w:sz="8" w:color="CFF0FC"/>
            </w:tcBorders>
            <w:shd w:val="clear" w:color="auto" w:fill="CFF0FC"/>
          </w:tcPr>
          <w:p>
            <w:pPr>
              <w:spacing w:after="0"/>
              <w:rPr>
                <w:sz w:val="19"/>
                <w:szCs w:val="19"/>
                <w:color w:val="auto"/>
              </w:rPr>
            </w:pPr>
          </w:p>
        </w:tc>
        <w:tc>
          <w:tcPr>
            <w:tcW w:w="34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8,091,689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6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15.30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Exercisable at September 30, 2021</w:t>
            </w: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6.10</w:t>
            </w: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spacing w:after="0" w:line="206" w:lineRule="exact"/>
              <w:rPr>
                <w:sz w:val="20"/>
                <w:szCs w:val="20"/>
                <w:color w:val="auto"/>
              </w:rPr>
            </w:pPr>
            <w:r>
              <w:rPr>
                <w:rFonts w:ascii="Arial" w:cs="Arial" w:eastAsia="Arial" w:hAnsi="Arial"/>
                <w:sz w:val="18"/>
                <w:szCs w:val="18"/>
                <w:color w:val="auto"/>
              </w:rPr>
              <w:t>2,094,067</w:t>
            </w:r>
          </w:p>
        </w:tc>
        <w:tc>
          <w:tcPr>
            <w:tcW w:w="100" w:type="dxa"/>
            <w:vAlign w:val="bottom"/>
          </w:tcPr>
          <w:p>
            <w:pPr>
              <w:spacing w:after="0"/>
              <w:rPr>
                <w:sz w:val="17"/>
                <w:szCs w:val="17"/>
                <w:color w:val="auto"/>
              </w:rPr>
            </w:pPr>
          </w:p>
        </w:tc>
        <w:tc>
          <w:tcPr>
            <w:tcW w:w="32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At September 30, 2021, the aggregate intrinsic value of outstanding options and exercisable options was $139.3 million and $52.8 million, respectively.</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information about stock options outstanding at September 30, 2021 under the Plan:</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0"/>
              </w:rPr>
              <w:t>Options Outstanding</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20" w:type="dxa"/>
            <w:vAlign w:val="bottom"/>
            <w:gridSpan w:val="5"/>
          </w:tcPr>
          <w:p>
            <w:pPr>
              <w:ind w:left="50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130"/>
        </w:trPr>
        <w:tc>
          <w:tcPr>
            <w:tcW w:w="420" w:type="dxa"/>
            <w:vAlign w:val="bottom"/>
          </w:tcPr>
          <w:p>
            <w:pPr>
              <w:spacing w:after="0"/>
              <w:rPr>
                <w:sz w:val="11"/>
                <w:szCs w:val="11"/>
                <w:color w:val="auto"/>
              </w:rPr>
            </w:pPr>
          </w:p>
        </w:tc>
        <w:tc>
          <w:tcPr>
            <w:tcW w:w="47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2"/>
          </w:tcPr>
          <w:p>
            <w:pPr>
              <w:jc w:val="center"/>
              <w:ind w:right="240"/>
              <w:spacing w:after="0" w:line="130" w:lineRule="exact"/>
              <w:rPr>
                <w:sz w:val="20"/>
                <w:szCs w:val="20"/>
                <w:color w:val="auto"/>
              </w:rPr>
            </w:pPr>
            <w:r>
              <w:rPr>
                <w:rFonts w:ascii="Arial" w:cs="Arial" w:eastAsia="Arial" w:hAnsi="Arial"/>
                <w:sz w:val="14"/>
                <w:szCs w:val="14"/>
                <w:b w:val="1"/>
                <w:bCs w:val="1"/>
                <w:color w:val="auto"/>
                <w:w w:val="90"/>
              </w:rPr>
              <w:t>Weighted Average</w:t>
            </w: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30" w:lineRule="exact"/>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center"/>
              <w:ind w:right="82"/>
              <w:spacing w:after="0" w:line="130"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42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100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vMerge w:val="restart"/>
          </w:tcPr>
          <w:p>
            <w:pPr>
              <w:jc w:val="right"/>
              <w:ind w:right="179"/>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6"/>
        </w:trPr>
        <w:tc>
          <w:tcPr>
            <w:tcW w:w="5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240"/>
              <w:spacing w:after="0" w:line="146" w:lineRule="exact"/>
              <w:rPr>
                <w:sz w:val="20"/>
                <w:szCs w:val="20"/>
                <w:color w:val="auto"/>
              </w:rPr>
            </w:pPr>
            <w:r>
              <w:rPr>
                <w:rFonts w:ascii="Arial" w:cs="Arial" w:eastAsia="Arial" w:hAnsi="Arial"/>
                <w:sz w:val="14"/>
                <w:szCs w:val="14"/>
                <w:b w:val="1"/>
                <w:bCs w:val="1"/>
                <w:color w:val="auto"/>
                <w:w w:val="95"/>
              </w:rPr>
              <w:t>Contractual Life</w:t>
            </w:r>
          </w:p>
        </w:tc>
        <w:tc>
          <w:tcPr>
            <w:tcW w:w="140" w:type="dxa"/>
            <w:vAlign w:val="bottom"/>
          </w:tcPr>
          <w:p>
            <w:pPr>
              <w:spacing w:after="0"/>
              <w:rPr>
                <w:sz w:val="12"/>
                <w:szCs w:val="12"/>
                <w:color w:val="auto"/>
              </w:rPr>
            </w:pPr>
          </w:p>
        </w:tc>
        <w:tc>
          <w:tcPr>
            <w:tcW w:w="1080" w:type="dxa"/>
            <w:vAlign w:val="bottom"/>
            <w:gridSpan w:val="2"/>
          </w:tcPr>
          <w:p>
            <w:pPr>
              <w:jc w:val="center"/>
              <w:ind w:right="380"/>
              <w:spacing w:after="0" w:line="146" w:lineRule="exact"/>
              <w:rPr>
                <w:sz w:val="20"/>
                <w:szCs w:val="20"/>
                <w:color w:val="auto"/>
              </w:rPr>
            </w:pPr>
            <w:r>
              <w:rPr>
                <w:rFonts w:ascii="Arial" w:cs="Arial" w:eastAsia="Arial" w:hAnsi="Arial"/>
                <w:sz w:val="14"/>
                <w:szCs w:val="14"/>
                <w:b w:val="1"/>
                <w:bCs w:val="1"/>
                <w:color w:val="auto"/>
                <w:w w:val="86"/>
              </w:rPr>
              <w:t>Exercise</w:t>
            </w:r>
          </w:p>
        </w:tc>
        <w:tc>
          <w:tcPr>
            <w:tcW w:w="10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69"/>
        </w:trPr>
        <w:tc>
          <w:tcPr>
            <w:tcW w:w="5140" w:type="dxa"/>
            <w:vAlign w:val="bottom"/>
            <w:tcBorders>
              <w:bottom w:val="single" w:sz="8" w:color="CFF0FC"/>
            </w:tcBorders>
            <w:gridSpan w:val="2"/>
            <w:vMerge w:val="continue"/>
          </w:tcPr>
          <w:p>
            <w:pPr>
              <w:spacing w:after="0"/>
              <w:rPr>
                <w:sz w:val="14"/>
                <w:szCs w:val="14"/>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Outstanding</w:t>
            </w:r>
          </w:p>
        </w:tc>
        <w:tc>
          <w:tcPr>
            <w:tcW w:w="220" w:type="dxa"/>
            <w:vAlign w:val="bottom"/>
            <w:tcBorders>
              <w:bottom w:val="single" w:sz="8" w:color="CFF0FC"/>
            </w:tcBorders>
          </w:tcPr>
          <w:p>
            <w:pPr>
              <w:spacing w:after="0"/>
              <w:rPr>
                <w:sz w:val="14"/>
                <w:szCs w:val="1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7"/>
              </w:rPr>
              <w:t>Price</w:t>
            </w:r>
          </w:p>
        </w:tc>
        <w:tc>
          <w:tcPr>
            <w:tcW w:w="220" w:type="dxa"/>
            <w:vAlign w:val="bottom"/>
            <w:tcBorders>
              <w:bottom w:val="single" w:sz="8" w:color="CFF0FC"/>
            </w:tcBorders>
          </w:tcPr>
          <w:p>
            <w:pPr>
              <w:spacing w:after="0"/>
              <w:rPr>
                <w:sz w:val="14"/>
                <w:szCs w:val="14"/>
                <w:color w:val="auto"/>
              </w:rPr>
            </w:pPr>
          </w:p>
        </w:tc>
        <w:tc>
          <w:tcPr>
            <w:tcW w:w="10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Exercisable</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7"/>
              </w:rPr>
              <w:t>Price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420" w:type="dxa"/>
            <w:vAlign w:val="bottom"/>
            <w:shd w:val="clear" w:color="auto" w:fill="CFF0FC"/>
          </w:tcPr>
          <w:p>
            <w:pPr>
              <w:spacing w:after="0"/>
              <w:rPr>
                <w:sz w:val="20"/>
                <w:szCs w:val="20"/>
                <w:color w:val="auto"/>
              </w:rPr>
            </w:pPr>
            <w:r>
              <w:rPr>
                <w:rFonts w:ascii="Arial" w:cs="Arial" w:eastAsia="Arial" w:hAnsi="Arial"/>
                <w:sz w:val="18"/>
                <w:szCs w:val="18"/>
                <w:color w:val="auto"/>
                <w:w w:val="88"/>
              </w:rPr>
              <w:t>$0.31</w:t>
            </w:r>
          </w:p>
        </w:tc>
        <w:tc>
          <w:tcPr>
            <w:tcW w:w="4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$7.37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2,938,521</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1,306,386</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20" w:type="dxa"/>
            <w:vAlign w:val="bottom"/>
          </w:tcPr>
          <w:p>
            <w:pPr>
              <w:spacing w:after="0"/>
              <w:rPr>
                <w:sz w:val="20"/>
                <w:szCs w:val="20"/>
                <w:color w:val="auto"/>
              </w:rPr>
            </w:pPr>
            <w:r>
              <w:rPr>
                <w:rFonts w:ascii="Arial" w:cs="Arial" w:eastAsia="Arial" w:hAnsi="Arial"/>
                <w:sz w:val="18"/>
                <w:szCs w:val="18"/>
                <w:color w:val="auto"/>
                <w:w w:val="88"/>
              </w:rPr>
              <w:t>$7.38</w:t>
            </w:r>
          </w:p>
        </w:tc>
        <w:tc>
          <w:tcPr>
            <w:tcW w:w="4720" w:type="dxa"/>
            <w:vAlign w:val="bottom"/>
          </w:tcPr>
          <w:p>
            <w:pPr>
              <w:ind w:left="20"/>
              <w:spacing w:after="0"/>
              <w:rPr>
                <w:sz w:val="20"/>
                <w:szCs w:val="20"/>
                <w:color w:val="auto"/>
              </w:rPr>
            </w:pPr>
            <w:r>
              <w:rPr>
                <w:rFonts w:ascii="Arial" w:cs="Arial" w:eastAsia="Arial" w:hAnsi="Arial"/>
                <w:sz w:val="18"/>
                <w:szCs w:val="18"/>
                <w:color w:val="auto"/>
              </w:rPr>
              <w:t>- $15.93</w:t>
            </w:r>
          </w:p>
        </w:tc>
        <w:tc>
          <w:tcPr>
            <w:tcW w:w="1000" w:type="dxa"/>
            <w:vAlign w:val="bottom"/>
          </w:tcPr>
          <w:p>
            <w:pPr>
              <w:jc w:val="right"/>
              <w:spacing w:after="0"/>
              <w:rPr>
                <w:sz w:val="20"/>
                <w:szCs w:val="20"/>
                <w:color w:val="auto"/>
              </w:rPr>
            </w:pPr>
            <w:r>
              <w:rPr>
                <w:rFonts w:ascii="Arial" w:cs="Arial" w:eastAsia="Arial" w:hAnsi="Arial"/>
                <w:sz w:val="18"/>
                <w:szCs w:val="18"/>
                <w:color w:val="auto"/>
              </w:rPr>
              <w:t>2,842,233</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8.92</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775,853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1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$15.94 - $88.98</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2,310,935</w:t>
            </w:r>
          </w:p>
        </w:tc>
        <w:tc>
          <w:tcPr>
            <w:tcW w:w="1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9.73</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35.46</w:t>
            </w:r>
          </w:p>
        </w:tc>
        <w:tc>
          <w:tcPr>
            <w:tcW w:w="2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11,828</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2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8,091,689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2,094,067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firstLine="479"/>
        <w:spacing w:after="0" w:line="252" w:lineRule="auto"/>
        <w:rPr>
          <w:sz w:val="20"/>
          <w:szCs w:val="20"/>
          <w:color w:val="auto"/>
        </w:rPr>
      </w:pPr>
      <w:r>
        <w:rPr>
          <w:rFonts w:ascii="Arial" w:cs="Arial" w:eastAsia="Arial" w:hAnsi="Arial"/>
          <w:sz w:val="18"/>
          <w:szCs w:val="18"/>
          <w:color w:val="auto"/>
        </w:rPr>
        <w:t>The weighted-average grant date fair value of options granted was $24.88 and $8.44 per share for the nine months ended September 30, 2021 and 2020, respectively. The aggregate intrinsic value of options exercised was $22.8 million for the nine months ended September 30, 2021. The Company recorded stock-based compensation expense of $6.7 million and $1.2 million for the three months ended September 30, 2021 and 2020, respectively, related to stock options. The Company recorded stock-based compensation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expense of $14.4 million and $1.9 million for the nine months ended September 30, 2021 and 2020, respectively, related to stock options. As of</w:t>
      </w:r>
    </w:p>
    <w:p>
      <w:pPr>
        <w:spacing w:after="0" w:line="2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September 30, 2021, the total unrecognized compensation expense related to unvested stock option awards was $83.1 million, which the Company expects to recognize over a weighted-average period of 3.22 years</w:t>
      </w:r>
      <w:r>
        <w:rPr>
          <w:rFonts w:ascii="Arial" w:cs="Arial" w:eastAsia="Arial" w:hAnsi="Arial"/>
          <w:sz w:val="18"/>
          <w:szCs w:val="18"/>
          <w:color w:val="FF0000"/>
        </w:rPr>
        <w:t>.</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fair value of each option was estimated on the date of grant using the weighted average assumptions in the table below:</w:t>
      </w:r>
    </w:p>
    <w:p>
      <w:pPr>
        <w:spacing w:after="0" w:line="248" w:lineRule="exact"/>
        <w:rPr>
          <w:sz w:val="20"/>
          <w:szCs w:val="20"/>
          <w:color w:val="auto"/>
        </w:rPr>
      </w:pPr>
    </w:p>
    <w:p>
      <w:pPr>
        <w:jc w:val="center"/>
        <w:ind w:left="7400"/>
        <w:spacing w:after="0"/>
        <w:rPr>
          <w:sz w:val="20"/>
          <w:szCs w:val="20"/>
          <w:color w:val="auto"/>
        </w:rPr>
      </w:pPr>
      <w:r>
        <w:rPr>
          <w:rFonts w:ascii="Arial" w:cs="Arial" w:eastAsia="Arial" w:hAnsi="Arial"/>
          <w:sz w:val="14"/>
          <w:szCs w:val="14"/>
          <w:b w:val="1"/>
          <w:bCs w:val="1"/>
          <w:color w:val="auto"/>
        </w:rPr>
        <w:t>Nine months ended</w:t>
      </w:r>
    </w:p>
    <w:p>
      <w:pPr>
        <w:jc w:val="center"/>
        <w:ind w:left="7400"/>
        <w:spacing w:after="0" w:line="229" w:lineRule="auto"/>
        <w:rPr>
          <w:sz w:val="20"/>
          <w:szCs w:val="20"/>
          <w:color w:val="auto"/>
        </w:rPr>
      </w:pPr>
      <w:r>
        <w:rPr>
          <w:rFonts w:ascii="Arial" w:cs="Arial" w:eastAsia="Arial" w:hAnsi="Arial"/>
          <w:sz w:val="14"/>
          <w:szCs w:val="14"/>
          <w:b w:val="1"/>
          <w:bCs w:val="1"/>
          <w:color w:val="auto"/>
        </w:rPr>
        <w:t>September 30,</w:t>
      </w:r>
    </w:p>
    <w:tbl>
      <w:tblPr>
        <w:tblLayout w:type="fixed"/>
        <w:tblInd w:w="0" w:type="dxa"/>
        <w:tblCellMar>
          <w:top w:w="0" w:type="dxa"/>
          <w:left w:w="0" w:type="dxa"/>
          <w:bottom w:w="0" w:type="dxa"/>
          <w:right w:w="0" w:type="dxa"/>
        </w:tblCellMar>
      </w:tblPr>
      <w:tr>
        <w:trPr>
          <w:trHeight w:val="153"/>
        </w:trPr>
        <w:tc>
          <w:tcPr>
            <w:tcW w:w="7600" w:type="dxa"/>
            <w:vAlign w:val="bottom"/>
            <w:tcBorders>
              <w:bottom w:val="single" w:sz="8" w:color="CFF0FC"/>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29"/>
              <w:spacing w:after="0" w:line="153" w:lineRule="exact"/>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CFF0FC"/>
            </w:tcBorders>
          </w:tcPr>
          <w:p>
            <w:pPr>
              <w:spacing w:after="0"/>
              <w:rPr>
                <w:sz w:val="13"/>
                <w:szCs w:val="13"/>
                <w:color w:val="auto"/>
              </w:rPr>
            </w:pPr>
          </w:p>
        </w:tc>
        <w:tc>
          <w:tcPr>
            <w:tcW w:w="1540" w:type="dxa"/>
            <w:vAlign w:val="bottom"/>
            <w:tcBorders>
              <w:top w:val="single" w:sz="8" w:color="auto"/>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3"/>
                <w:szCs w:val="13"/>
                <w:color w:val="auto"/>
              </w:rPr>
            </w:pPr>
          </w:p>
        </w:tc>
      </w:tr>
      <w:tr>
        <w:trPr>
          <w:trHeight w:val="219"/>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88.50%</w:t>
            </w:r>
          </w:p>
        </w:tc>
        <w:tc>
          <w:tcPr>
            <w:tcW w:w="17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115.09%</w:t>
            </w:r>
          </w:p>
        </w:tc>
      </w:tr>
      <w:tr>
        <w:trPr>
          <w:trHeight w:val="225"/>
        </w:trPr>
        <w:tc>
          <w:tcPr>
            <w:tcW w:w="862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0.87%</w:t>
            </w: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0.42%</w:t>
            </w:r>
          </w:p>
        </w:tc>
      </w:tr>
      <w:tr>
        <w:trPr>
          <w:trHeight w:val="226"/>
        </w:trPr>
        <w:tc>
          <w:tcPr>
            <w:tcW w:w="86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36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FF0FC"/>
          </w:tcPr>
          <w:p>
            <w:pPr>
              <w:spacing w:after="0"/>
              <w:rPr>
                <w:sz w:val="19"/>
                <w:szCs w:val="19"/>
                <w:color w:val="auto"/>
              </w:rPr>
            </w:pPr>
          </w:p>
        </w:tc>
      </w:tr>
      <w:tr>
        <w:trPr>
          <w:trHeight w:val="225"/>
        </w:trPr>
        <w:tc>
          <w:tcPr>
            <w:tcW w:w="862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bl>
    <w:p>
      <w:pPr>
        <w:spacing w:after="0" w:line="33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Restricted Stock Awards and Units</w:t>
      </w:r>
    </w:p>
    <w:p>
      <w:pPr>
        <w:spacing w:after="0" w:line="112" w:lineRule="exact"/>
        <w:rPr>
          <w:sz w:val="20"/>
          <w:szCs w:val="20"/>
          <w:color w:val="auto"/>
        </w:rPr>
      </w:pPr>
    </w:p>
    <w:p>
      <w:pPr>
        <w:ind w:right="260" w:firstLine="479"/>
        <w:spacing w:after="0" w:line="331" w:lineRule="auto"/>
        <w:rPr>
          <w:sz w:val="20"/>
          <w:szCs w:val="20"/>
          <w:color w:val="auto"/>
        </w:rPr>
      </w:pPr>
      <w:r>
        <w:rPr>
          <w:rFonts w:ascii="Arial" w:cs="Arial" w:eastAsia="Arial" w:hAnsi="Arial"/>
          <w:sz w:val="15"/>
          <w:szCs w:val="15"/>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activity related to RSA stock-based payment awards: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72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6"/>
        </w:trPr>
        <w:tc>
          <w:tcPr>
            <w:tcW w:w="774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60"/>
              <w:spacing w:after="0" w:line="146" w:lineRule="exact"/>
              <w:rPr>
                <w:sz w:val="20"/>
                <w:szCs w:val="20"/>
                <w:color w:val="auto"/>
              </w:rPr>
            </w:pPr>
            <w:r>
              <w:rPr>
                <w:rFonts w:ascii="Arial" w:cs="Arial" w:eastAsia="Arial" w:hAnsi="Arial"/>
                <w:sz w:val="14"/>
                <w:szCs w:val="14"/>
                <w:b w:val="1"/>
                <w:bCs w:val="1"/>
                <w:color w:val="auto"/>
                <w:w w:val="94"/>
              </w:rPr>
              <w:t>grant date fair</w:t>
            </w:r>
          </w:p>
        </w:tc>
        <w:tc>
          <w:tcPr>
            <w:tcW w:w="0" w:type="dxa"/>
            <w:vAlign w:val="bottom"/>
          </w:tcPr>
          <w:p>
            <w:pPr>
              <w:spacing w:after="0"/>
              <w:rPr>
                <w:sz w:val="1"/>
                <w:szCs w:val="1"/>
                <w:color w:val="auto"/>
              </w:rPr>
            </w:pPr>
          </w:p>
        </w:tc>
      </w:tr>
      <w:tr>
        <w:trPr>
          <w:trHeight w:val="169"/>
        </w:trPr>
        <w:tc>
          <w:tcPr>
            <w:tcW w:w="7740" w:type="dxa"/>
            <w:vAlign w:val="bottom"/>
            <w:tcBorders>
              <w:bottom w:val="single" w:sz="8" w:color="CFF0FC"/>
            </w:tcBorders>
          </w:tcPr>
          <w:p>
            <w:pPr>
              <w:spacing w:after="0"/>
              <w:rPr>
                <w:sz w:val="14"/>
                <w:szCs w:val="14"/>
                <w:color w:val="auto"/>
              </w:rPr>
            </w:pPr>
          </w:p>
        </w:tc>
        <w:tc>
          <w:tcPr>
            <w:tcW w:w="15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shares</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value</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740" w:type="dxa"/>
            <w:vAlign w:val="bottom"/>
            <w:shd w:val="clear" w:color="auto" w:fill="CFF0FC"/>
          </w:tcPr>
          <w:p>
            <w:pPr>
              <w:spacing w:after="0"/>
              <w:rPr>
                <w:sz w:val="20"/>
                <w:szCs w:val="20"/>
                <w:color w:val="auto"/>
              </w:rPr>
            </w:pPr>
            <w:r>
              <w:rPr>
                <w:rFonts w:ascii="Arial" w:cs="Arial" w:eastAsia="Arial" w:hAnsi="Arial"/>
                <w:sz w:val="18"/>
                <w:szCs w:val="18"/>
                <w:color w:val="auto"/>
              </w:rPr>
              <w:t>Unvested balance at January 1, 2021</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1,214,778</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740" w:type="dxa"/>
            <w:vAlign w:val="bottom"/>
          </w:tcPr>
          <w:p>
            <w:pPr>
              <w:spacing w:after="0"/>
              <w:rPr>
                <w:sz w:val="20"/>
                <w:szCs w:val="20"/>
                <w:color w:val="auto"/>
              </w:rPr>
            </w:pPr>
            <w:r>
              <w:rPr>
                <w:rFonts w:ascii="Arial" w:cs="Arial" w:eastAsia="Arial" w:hAnsi="Arial"/>
                <w:sz w:val="18"/>
                <w:szCs w:val="18"/>
                <w:color w:val="auto"/>
              </w:rPr>
              <w:t>Vested</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(497,080)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balance at September 30, 2021</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717,698</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4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ind w:right="100" w:firstLine="480"/>
        <w:spacing w:after="0" w:line="272" w:lineRule="auto"/>
        <w:rPr>
          <w:sz w:val="20"/>
          <w:szCs w:val="20"/>
          <w:color w:val="auto"/>
        </w:rPr>
      </w:pPr>
      <w:r>
        <w:rPr>
          <w:rFonts w:ascii="Arial" w:cs="Arial" w:eastAsia="Arial" w:hAnsi="Arial"/>
          <w:sz w:val="17"/>
          <w:szCs w:val="17"/>
          <w:color w:val="auto"/>
        </w:rPr>
        <w:t>The Company recorded stock-based compensation expense of $0.3 million and $0.3 million for the three months ended September 30, 2021 and 2020, respectively, related to RSAs. The Company recorded stock-based compensation expense of $0.7 million and $0.6 million for the nine months ended September 30, 2021 and 2020, respectively, related to RSAs. As of September 30, 2021, the total unrecognized expense related to all RSAs was $1.6 million, which the Company expects to recognize over a weighted-average period of 2.05 years.</w:t>
      </w:r>
    </w:p>
    <w:p>
      <w:pPr>
        <w:spacing w:after="0" w:line="203" w:lineRule="exact"/>
        <w:rPr>
          <w:sz w:val="20"/>
          <w:szCs w:val="20"/>
          <w:color w:val="auto"/>
        </w:rPr>
      </w:pPr>
    </w:p>
    <w:p>
      <w:pPr>
        <w:ind w:right="20" w:firstLine="480"/>
        <w:spacing w:after="0" w:line="319" w:lineRule="auto"/>
        <w:rPr>
          <w:sz w:val="20"/>
          <w:szCs w:val="20"/>
          <w:color w:val="auto"/>
        </w:rPr>
      </w:pPr>
      <w:r>
        <w:rPr>
          <w:rFonts w:ascii="Arial" w:cs="Arial" w:eastAsia="Arial" w:hAnsi="Arial"/>
          <w:sz w:val="15"/>
          <w:szCs w:val="15"/>
          <w:color w:val="auto"/>
        </w:rPr>
        <w:t>During the nine months ended September 30, 2021, the Company granted 25,000 restricted stock units (“RSU”) to an employee that vest over a four-year period with 25% of awards vesting after one year and then quarterly thereafter. Any unvested units will be forfeited upon termination of services. The Company recorded stock-based compensation expense of $0.1 million for the three and nine months ended September 30, 2021, respectively, related to RSUs. At September 30, 2021 the total unrecognized expense related to the RSUs was $0.8 million, which the Company expects to recognize over 3.70 years.</w:t>
      </w:r>
    </w:p>
    <w:p>
      <w:pPr>
        <w:spacing w:after="0" w:line="292"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2" w:lineRule="exact"/>
        <w:rPr>
          <w:sz w:val="20"/>
          <w:szCs w:val="20"/>
          <w:color w:val="auto"/>
        </w:rPr>
      </w:pPr>
    </w:p>
    <w:p>
      <w:pPr>
        <w:ind w:right="140" w:firstLine="480"/>
        <w:spacing w:after="0" w:line="250" w:lineRule="auto"/>
        <w:rPr>
          <w:sz w:val="20"/>
          <w:szCs w:val="20"/>
          <w:color w:val="auto"/>
        </w:rPr>
      </w:pPr>
      <w:r>
        <w:rPr>
          <w:rFonts w:ascii="Arial" w:cs="Arial" w:eastAsia="Arial" w:hAnsi="Arial"/>
          <w:sz w:val="18"/>
          <w:szCs w:val="18"/>
          <w:color w:val="auto"/>
        </w:rPr>
        <w:t>The Company has an Employee Stock Purchase Plan (the “ESPP”), which, as of September 30, 2021, had 957,056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board of directors or compensation committee to determine a lesser number of shares shall be added in any particular year. No shares have been issued from the ESPP as of September 30, 2021.</w:t>
      </w:r>
    </w:p>
    <w:p>
      <w:pPr>
        <w:spacing w:after="0" w:line="194" w:lineRule="exact"/>
        <w:rPr>
          <w:sz w:val="20"/>
          <w:szCs w:val="20"/>
          <w:color w:val="auto"/>
        </w:rPr>
      </w:pPr>
    </w:p>
    <w:p>
      <w:pPr>
        <w:ind w:right="60" w:firstLine="479"/>
        <w:spacing w:after="0" w:line="251" w:lineRule="auto"/>
        <w:rPr>
          <w:sz w:val="20"/>
          <w:szCs w:val="20"/>
          <w:color w:val="auto"/>
        </w:rPr>
      </w:pPr>
      <w:r>
        <w:rPr>
          <w:rFonts w:ascii="Arial" w:cs="Arial" w:eastAsia="Arial" w:hAnsi="Arial"/>
          <w:sz w:val="18"/>
          <w:szCs w:val="18"/>
          <w:color w:val="auto"/>
        </w:rPr>
        <w:t>Under the ESPP, eligible employees can purchase the Company’s common stock through accumulated payroll deductions at such times as are established by the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16" w:name="page17"/>
    <w:bookmarkEnd w:id="16"/>
    <w:p>
      <w:pPr>
        <w:ind w:firstLine="479"/>
        <w:spacing w:after="0" w:line="252" w:lineRule="auto"/>
        <w:rPr>
          <w:sz w:val="20"/>
          <w:szCs w:val="20"/>
          <w:color w:val="auto"/>
        </w:rPr>
      </w:pPr>
      <w:r>
        <w:rPr>
          <w:rFonts w:ascii="Arial" w:cs="Arial" w:eastAsia="Arial" w:hAnsi="Arial"/>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$0.1 million for the three and nine months ended September 30, 2021, respectively, related to the ESPP.</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8" w:lineRule="exact"/>
        <w:rPr>
          <w:sz w:val="20"/>
          <w:szCs w:val="20"/>
          <w:color w:val="auto"/>
        </w:rPr>
      </w:pPr>
    </w:p>
    <w:p>
      <w:pPr>
        <w:ind w:right="20" w:firstLine="479"/>
        <w:spacing w:after="0" w:line="302"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II, Item 1A below. These forward-looking statements may include, but are not limited to, statements regarding our future results of operations and financial position, the impact of the COVID-19 pandemic,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 “may,” “will,” “potentially,” “estimate,” “continue,” “anticipate,” “predict,” “target,” “intend,” “could,” “would,” “should,” “project,” “plan,” “expect,” and similar expressions that convey uncertainty of future events or outcomes are intended to identify forward-looking statements, although not all forward-looking statements contain these identifying words.</w:t>
      </w:r>
    </w:p>
    <w:p>
      <w:pPr>
        <w:spacing w:after="0" w:line="375" w:lineRule="exact"/>
        <w:rPr>
          <w:sz w:val="20"/>
          <w:szCs w:val="20"/>
          <w:color w:val="auto"/>
        </w:rPr>
      </w:pPr>
    </w:p>
    <w:p>
      <w:pPr>
        <w:ind w:right="60" w:firstLine="479"/>
        <w:spacing w:after="0" w:line="252" w:lineRule="auto"/>
        <w:rPr>
          <w:sz w:val="20"/>
          <w:szCs w:val="20"/>
          <w:color w:val="auto"/>
        </w:rPr>
      </w:pPr>
      <w:r>
        <w:rPr>
          <w:rFonts w:ascii="Arial" w:cs="Arial" w:eastAsia="Arial" w:hAnsi="Arial"/>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8" w:lineRule="exact"/>
        <w:rPr>
          <w:sz w:val="20"/>
          <w:szCs w:val="20"/>
          <w:color w:val="auto"/>
        </w:rPr>
      </w:pPr>
    </w:p>
    <w:p>
      <w:pPr>
        <w:ind w:firstLine="510"/>
        <w:spacing w:after="0" w:line="265" w:lineRule="auto"/>
        <w:rPr>
          <w:sz w:val="20"/>
          <w:szCs w:val="20"/>
          <w:color w:val="auto"/>
        </w:rPr>
      </w:pPr>
      <w:r>
        <w:rPr>
          <w:rFonts w:ascii="Arial" w:cs="Arial" w:eastAsia="Arial" w:hAnsi="Arial"/>
          <w:sz w:val="17"/>
          <w:szCs w:val="17"/>
          <w:color w:val="auto"/>
        </w:rPr>
        <w:t>We are a clinical-stage precision oncology company focused on discovering and developing small molecule therapies optimized to target the key driver mechanisms in cancers with high unmet need. By leveraging our core competencies in cancer biology and medicinal chemistry, combined with our target class- and technology platform-agnostic approach, we have built an efficient, fully-integrated drug discovery engine to identify compelling biological targets and create new chemical entities, or NCEs, that we rapidly advance into clinical development. We believe our approach could result in better targeted cancer therapies. Our discovery excellence has been validated by our rapid progress in creating a wholly-owned, internally developed pipeline. Since our inception in 2016, we have received clearance from the U.S. Food and Drug Administration, or the FDA, for four investigational new drug applications, or INDs, and successfully advanced these programs into clinical development. In addition, we have three unique programs in various stages of preclinical development that we plan to advance into clinical development beginning in 2021.</w:t>
      </w:r>
    </w:p>
    <w:p>
      <w:pPr>
        <w:spacing w:after="0" w:line="186" w:lineRule="exact"/>
        <w:rPr>
          <w:sz w:val="20"/>
          <w:szCs w:val="20"/>
          <w:color w:val="auto"/>
        </w:rPr>
      </w:pPr>
    </w:p>
    <w:p>
      <w:pPr>
        <w:ind w:firstLine="510"/>
        <w:spacing w:after="0" w:line="250" w:lineRule="auto"/>
        <w:rPr>
          <w:sz w:val="20"/>
          <w:szCs w:val="20"/>
          <w:color w:val="auto"/>
        </w:rPr>
      </w:pPr>
      <w:r>
        <w:rPr>
          <w:rFonts w:ascii="Arial" w:cs="Arial" w:eastAsia="Arial" w:hAnsi="Arial"/>
          <w:sz w:val="18"/>
          <w:szCs w:val="18"/>
          <w:color w:val="auto"/>
        </w:rPr>
        <w:t>By focusing on developing agents using broad mechanisms that have multiple links to oncogenic driver pathways in select patients, we have developed a diverse pipeline consisting of six distinct programs spanning methyltransferases, kinases, protein-protein interactions and targeted protein degraders. Our pipeline is geared towards serving patients with high unmet medical need where there are limited or no treatment options. We are exploring therapies in both solid tumors and hematological malignancies such as adenoid cystic carcinoma, or ACC, homologous recombination deficient positive, or HRD+, cancers, myelofibrosis, or MF, and glioblastoma multiforme, or GBM, amongst others. We believe we can best address these diseases by developing therapies that target primary and secondary resistance mechanisms.</w:t>
      </w:r>
    </w:p>
    <w:p>
      <w:pPr>
        <w:spacing w:after="0" w:line="194" w:lineRule="exact"/>
        <w:rPr>
          <w:sz w:val="20"/>
          <w:szCs w:val="20"/>
          <w:color w:val="auto"/>
        </w:rPr>
      </w:pPr>
    </w:p>
    <w:p>
      <w:pPr>
        <w:ind w:right="40" w:firstLine="510"/>
        <w:spacing w:after="0" w:line="302" w:lineRule="auto"/>
        <w:rPr>
          <w:sz w:val="20"/>
          <w:szCs w:val="20"/>
          <w:color w:val="auto"/>
        </w:rPr>
      </w:pPr>
      <w:r>
        <w:rPr>
          <w:rFonts w:ascii="Arial" w:cs="Arial" w:eastAsia="Arial" w:hAnsi="Arial"/>
          <w:sz w:val="15"/>
          <w:szCs w:val="15"/>
          <w:color w:val="auto"/>
        </w:rPr>
        <w:t>Our lead product candidates are designed to be oral, potent and selective inhibitors of protein arginine methyltransferase 5, or PRMT5. The potency and selectivity of our product candidates is supported by preclinical data demonstrating nanomolar inhibition of PRMT5 and no inhibition of related enzymes at 1,000 times higher concentration of our product candidates. Updated data from the dose escalation phase of the ongoing Phase 1 trial of PRT543 was presented at the AACR-NCI-EORTC Virtual International Conference on Molecular Targets and Cancer Therapeutics held October 7, 2021 through October 10, 2021. As of an August 6, 2021 data cutoff date, the dose escalation portion of the ongoing Phase 1 trial of PRT543 enrolled a total of 49 patients across 18 unselected advanced solid tumors and lymphoma. Patients enrolled received an average of three prior lines of therapy. PRT543 demonstrated target engagement and inhibition of PRMT5 functional activity as evidenced by a 69% reduction in serum symmetric dimethylarginine, or sDMA, at a dose of 45 mg/5x per week. In addition, PRT543 demonstrated signs of preliminary clinical activity, including a durable complete response, or CR, maintained for over 18 months in a patient with HRD+ ovarian cancer who remains on treatment and prolonged stable disease, or SD, persisting for over six months in five patients, including four patients with ACC and one patient with uveal melanoma. A complete response is defined as the disappearance of all target lesions. PRT543 was generally well tolerated: the most common grade 3 or higher treatment-related adverse events, or AE, occurring in at least 5% of patients were thrombocytopenia (27%) and anemia (12%), both of which were reversible upon treatment interruption. Patients were largely able to remain on therapy with few AE-related dose interruptions (27%), reductions (22%), or discontinuations (4%).</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46" w:right="339" w:bottom="1440" w:gutter="0" w:footer="0" w:header="0"/>
        </w:sectPr>
      </w:pPr>
    </w:p>
    <w:bookmarkStart w:id="18" w:name="page19"/>
    <w:bookmarkEnd w:id="18"/>
    <w:p>
      <w:pPr>
        <w:ind w:right="180" w:firstLine="510"/>
        <w:spacing w:after="0" w:line="265" w:lineRule="auto"/>
        <w:rPr>
          <w:sz w:val="20"/>
          <w:szCs w:val="20"/>
          <w:color w:val="auto"/>
        </w:rPr>
      </w:pPr>
      <w:r>
        <w:rPr>
          <w:rFonts w:ascii="Arial" w:cs="Arial" w:eastAsia="Arial" w:hAnsi="Arial"/>
          <w:sz w:val="18"/>
          <w:szCs w:val="18"/>
          <w:color w:val="auto"/>
        </w:rPr>
        <w:t>Patient enrollment is continuing in specific biomarker-selected solid tumor and hematologic malignancy expansion cohorts. We anticipate presenting data from the expansion cohorts of the trial at medical meetings throughout 2022.</w:t>
      </w:r>
    </w:p>
    <w:p>
      <w:pPr>
        <w:spacing w:after="0" w:line="180" w:lineRule="exact"/>
        <w:rPr>
          <w:sz w:val="20"/>
          <w:szCs w:val="20"/>
          <w:color w:val="auto"/>
        </w:rPr>
      </w:pPr>
    </w:p>
    <w:p>
      <w:pPr>
        <w:ind w:right="40" w:firstLine="510"/>
        <w:spacing w:after="0" w:line="302" w:lineRule="auto"/>
        <w:rPr>
          <w:sz w:val="20"/>
          <w:szCs w:val="20"/>
          <w:color w:val="auto"/>
        </w:rPr>
      </w:pPr>
      <w:r>
        <w:rPr>
          <w:rFonts w:ascii="Arial" w:cs="Arial" w:eastAsia="Arial" w:hAnsi="Arial"/>
          <w:sz w:val="15"/>
          <w:szCs w:val="15"/>
          <w:color w:val="auto"/>
        </w:rPr>
        <w:t>We are also advancing PRT811, a second PRMT5 inhibitor that we have optimized for high brain exposure, in a Phase 1 clinical trial in solid tumors, including GBM. Updated data from the dose escalation phase of the ongoing Phase 1 trial of PRT811 was presented at the AACR-NCI-EORTC Virtual International Conference on Molecular Targets and Cancer Therapeutics held October 7, 2021 through October 10, 2021. As of an August 13, 2021 data cutoff date, the dose escalation portion of the ongoing Phase 1 trial of PRT811 enrolled a total of 45 patients, including 27 patients across 16 unselected advanced solid tumors and 18 patients with high-grade gliomas, including 17 patients with glioblastoma multiforme, or GBM. PRT811 demonstrated dose dependent inhibition of PRMT5 activity as evidenced by an 83% reduction in serum sDMA at a dose of 600 mg daily (QD). In addition, PRT811 demonstrated signs of preliminary clinical activity, including an IDH1 mutated GBM patient who experienced a partial response, or PR, that evolved into a durable CR for more than 13 months and remains on treatment. In addition, a patient with splicing-mutant, or SF3B1, uveal melanoma demonstrated SD for more than six months with a 25% tumor regression and remains on treatment. At a post data-cutoff on September 20, 2021, one additional patient (800 mg QD) with SF3B1 uveal melanoma had an unconfirmed PR and 47% decrease in target lesion, and a patient with triple negative breast cancer (800 mg QD) demonstrated a 27% decrease in target lesions. Both patients continue treatment. PRT811 was generally well-tolerated; the most common grade 3 or higher treatment-related AE was thrombocytopenia (7%), which was reversible upon treatment interruption. Patients were largely able to remain on therapy with few AE-related dose interruptions (13%), reductions (4%), or discontinuations (3%).</w:t>
      </w:r>
    </w:p>
    <w:p>
      <w:pPr>
        <w:spacing w:after="0" w:line="198" w:lineRule="exact"/>
        <w:rPr>
          <w:sz w:val="20"/>
          <w:szCs w:val="20"/>
          <w:color w:val="auto"/>
        </w:rPr>
      </w:pPr>
    </w:p>
    <w:p>
      <w:pPr>
        <w:ind w:right="60" w:firstLine="510"/>
        <w:spacing w:after="0" w:line="265" w:lineRule="auto"/>
        <w:rPr>
          <w:sz w:val="20"/>
          <w:szCs w:val="20"/>
          <w:color w:val="auto"/>
        </w:rPr>
      </w:pPr>
      <w:r>
        <w:rPr>
          <w:rFonts w:ascii="Arial" w:cs="Arial" w:eastAsia="Arial" w:hAnsi="Arial"/>
          <w:sz w:val="18"/>
          <w:szCs w:val="18"/>
          <w:color w:val="auto"/>
        </w:rPr>
        <w:t>The study remains ongoing, and the Company expects to commence enrollment in the expansion portion of the trial in the fourth quarter of 2021. Data from the expansion cohorts are expected to be presented at medical meetings throughout 2022.</w:t>
      </w:r>
    </w:p>
    <w:p>
      <w:pPr>
        <w:spacing w:after="0" w:line="180" w:lineRule="exact"/>
        <w:rPr>
          <w:sz w:val="20"/>
          <w:szCs w:val="20"/>
          <w:color w:val="auto"/>
        </w:rPr>
      </w:pPr>
    </w:p>
    <w:p>
      <w:pPr>
        <w:ind w:firstLine="510"/>
        <w:spacing w:after="0" w:line="313" w:lineRule="auto"/>
        <w:rPr>
          <w:sz w:val="20"/>
          <w:szCs w:val="20"/>
          <w:color w:val="auto"/>
        </w:rPr>
      </w:pPr>
      <w:r>
        <w:rPr>
          <w:rFonts w:ascii="Arial" w:cs="Arial" w:eastAsia="Arial" w:hAnsi="Arial"/>
          <w:sz w:val="15"/>
          <w:szCs w:val="15"/>
          <w:color w:val="auto"/>
        </w:rPr>
        <w:t>PRT1419, our third clinical candidate, is designed to be a potent and selective inhibitor of the anti-apoptotic protein, MCL1. The potency and selectivity of PRT1419 is supported by preclinical data demonstrating nanomolar inhibition of MCL1 and no inhibition of related enzymes at 200 times higher concentration of our product candidate. We have begun enrolling patients with hematologic malignancies, including patients with myelodysplastic syndrome, or MDS, acute myeloid leukemia, or AML, non-Hodgkin’s lymphoma, or NHL, and multiple myeloma, or MM, into the dose escalation portion of a Phase 1 open-label, multicenter clinical trial for the oral formulation of PRT1419. We expect to add dose expansion and combination cohorts to the Phase 1 clinical trial in the second half of 2021. Additionally, in March 2021, the FDA cleared our IND for an intravenous, or IV, formulation of PRT1419. The Phase 1 trial of the IV formulation of PRT1419, which leverages the optimized physicochemical properties of PRT1419, is now underway in patients with solid tumors.</w:t>
      </w:r>
    </w:p>
    <w:p>
      <w:pPr>
        <w:spacing w:after="0" w:line="152" w:lineRule="exact"/>
        <w:rPr>
          <w:sz w:val="20"/>
          <w:szCs w:val="20"/>
          <w:color w:val="auto"/>
        </w:rPr>
      </w:pPr>
    </w:p>
    <w:p>
      <w:pPr>
        <w:ind w:right="360" w:firstLine="510"/>
        <w:spacing w:after="0" w:line="265" w:lineRule="auto"/>
        <w:rPr>
          <w:sz w:val="20"/>
          <w:szCs w:val="20"/>
          <w:color w:val="auto"/>
        </w:rPr>
      </w:pPr>
      <w:r>
        <w:rPr>
          <w:rFonts w:ascii="Arial" w:cs="Arial" w:eastAsia="Arial" w:hAnsi="Arial"/>
          <w:sz w:val="18"/>
          <w:szCs w:val="18"/>
          <w:color w:val="auto"/>
        </w:rPr>
        <w:t>We recently received clearance for an IND application for our fourth clinical candidate, PRT2527. We remain on track to initiate a clinical trial for PRT2527 by year end.</w:t>
      </w:r>
    </w:p>
    <w:p>
      <w:pPr>
        <w:spacing w:after="0" w:line="180" w:lineRule="exact"/>
        <w:rPr>
          <w:sz w:val="20"/>
          <w:szCs w:val="20"/>
          <w:color w:val="auto"/>
        </w:rPr>
      </w:pPr>
    </w:p>
    <w:p>
      <w:pPr>
        <w:ind w:right="80" w:firstLine="510"/>
        <w:spacing w:after="0" w:line="301" w:lineRule="auto"/>
        <w:rPr>
          <w:sz w:val="20"/>
          <w:szCs w:val="20"/>
          <w:color w:val="auto"/>
        </w:rPr>
      </w:pPr>
      <w:r>
        <w:rPr>
          <w:rFonts w:ascii="Arial" w:cs="Arial" w:eastAsia="Arial" w:hAnsi="Arial"/>
          <w:sz w:val="15"/>
          <w:szCs w:val="15"/>
          <w:color w:val="auto"/>
        </w:rPr>
        <w:t>We were incorporated in February 2016 under the laws of the State of Delaware. 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and common stock. Our net loss was $78.9 million for the nine months ended September 30, 2021 as compared to $37.7 million for the nine months ended September 30, 2020, and as of September 30, 2021, we had an accumulated deficit of $186.3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Furthermore, we expect to incur additional costs associated with operating as a public company, including significant legal, accounting, investor relations and other expenses that we did not incur as a private company. Our net losses may fluctuate significantly from quarter-to-quarter and year-to-year, depending on the timing of our clinical trials and our expenditures on other research and development activities.</w:t>
      </w:r>
    </w:p>
    <w:p>
      <w:pPr>
        <w:spacing w:after="0" w:line="375" w:lineRule="exact"/>
        <w:rPr>
          <w:sz w:val="20"/>
          <w:szCs w:val="20"/>
          <w:color w:val="auto"/>
        </w:rPr>
      </w:pPr>
    </w:p>
    <w:p>
      <w:pPr>
        <w:ind w:right="140" w:firstLine="510"/>
        <w:spacing w:after="0" w:line="250" w:lineRule="auto"/>
        <w:rPr>
          <w:sz w:val="20"/>
          <w:szCs w:val="20"/>
          <w:color w:val="auto"/>
        </w:rPr>
      </w:pPr>
      <w:r>
        <w:rPr>
          <w:rFonts w:ascii="Arial" w:cs="Arial" w:eastAsia="Arial" w:hAnsi="Arial"/>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19" w:name="page20"/>
    <w:bookmarkEnd w:id="19"/>
    <w:p>
      <w:pPr>
        <w:ind w:right="20"/>
        <w:spacing w:after="0" w:line="265" w:lineRule="auto"/>
        <w:rPr>
          <w:sz w:val="20"/>
          <w:szCs w:val="20"/>
          <w:color w:val="auto"/>
        </w:rPr>
      </w:pPr>
      <w:r>
        <w:rPr>
          <w:rFonts w:ascii="Arial" w:cs="Arial" w:eastAsia="Arial" w:hAnsi="Arial"/>
          <w:sz w:val="18"/>
          <w:szCs w:val="18"/>
          <w:color w:val="auto"/>
        </w:rPr>
        <w:t>funding, we may have to significantly delay, scale back or discontinue the development and commercialization of one or more product candidates or delay our pursuit of potential in-licenses or acquisitions.</w:t>
      </w:r>
    </w:p>
    <w:p>
      <w:pPr>
        <w:spacing w:after="0" w:line="180" w:lineRule="exact"/>
        <w:rPr>
          <w:sz w:val="20"/>
          <w:szCs w:val="20"/>
          <w:color w:val="auto"/>
        </w:rPr>
      </w:pPr>
    </w:p>
    <w:p>
      <w:pPr>
        <w:ind w:right="180" w:firstLine="510"/>
        <w:spacing w:after="0" w:line="295" w:lineRule="auto"/>
        <w:rPr>
          <w:sz w:val="20"/>
          <w:szCs w:val="20"/>
          <w:color w:val="auto"/>
        </w:rPr>
      </w:pPr>
      <w:r>
        <w:rPr>
          <w:rFonts w:ascii="Arial" w:cs="Arial" w:eastAsia="Arial" w:hAnsi="Arial"/>
          <w:sz w:val="17"/>
          <w:szCs w:val="17"/>
          <w:color w:val="auto"/>
        </w:rPr>
        <w:t>As of September 30, 2021, we had $320.9 million in cash, cash equivalents and marketable securities. We expect our existing cash, cash equivalents, and marketable securities will enable us to fund our operating expenses and capital expenditures into the second half of 2023.</w:t>
      </w:r>
    </w:p>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Departure of Chief Financial Officer, Hiring of New Chief Financial Officer</w:t>
      </w:r>
    </w:p>
    <w:p>
      <w:pPr>
        <w:spacing w:after="0" w:line="218" w:lineRule="exact"/>
        <w:rPr>
          <w:sz w:val="20"/>
          <w:szCs w:val="20"/>
          <w:color w:val="auto"/>
        </w:rPr>
      </w:pPr>
    </w:p>
    <w:p>
      <w:pPr>
        <w:ind w:firstLine="480"/>
        <w:spacing w:after="0" w:line="265" w:lineRule="auto"/>
        <w:rPr>
          <w:sz w:val="20"/>
          <w:szCs w:val="20"/>
          <w:color w:val="auto"/>
        </w:rPr>
      </w:pPr>
      <w:r>
        <w:rPr>
          <w:rFonts w:ascii="Arial" w:cs="Arial" w:eastAsia="Arial" w:hAnsi="Arial"/>
          <w:sz w:val="18"/>
          <w:szCs w:val="18"/>
          <w:color w:val="auto"/>
        </w:rPr>
        <w:t>On November 5, 2021, Brian Piper, the Chief Financial Officer of Prelude Therapeutics, Incorporated (the “Company”), notified the Company that he will be resigning from the Company, effective November 19, 2021, to pursue other opportunities.</w:t>
      </w:r>
    </w:p>
    <w:p>
      <w:pPr>
        <w:spacing w:after="0" w:line="180" w:lineRule="exact"/>
        <w:rPr>
          <w:sz w:val="20"/>
          <w:szCs w:val="20"/>
          <w:color w:val="auto"/>
        </w:rPr>
      </w:pPr>
    </w:p>
    <w:p>
      <w:pPr>
        <w:ind w:right="20" w:firstLine="480"/>
        <w:spacing w:after="0" w:line="269" w:lineRule="auto"/>
        <w:rPr>
          <w:sz w:val="20"/>
          <w:szCs w:val="20"/>
          <w:color w:val="auto"/>
        </w:rPr>
      </w:pPr>
      <w:r>
        <w:rPr>
          <w:rFonts w:ascii="Arial" w:cs="Arial" w:eastAsia="Arial" w:hAnsi="Arial"/>
          <w:sz w:val="17"/>
          <w:szCs w:val="17"/>
          <w:color w:val="auto"/>
        </w:rPr>
        <w:t>The Company has appointed Laurent Chardonnet, age 57, as Chief Financial officer, effective November 29, 2021. Mr. Chardonnet brings to Prelude more than 25 years of biopharma financial experience. Mr. Chardonnet served as Sr. VP, CFO of Axcella Health and prior to Axcella, he spent 15 years at Incyte where he held roles of increasing responsibilities including VP Finance, Treasurer and Principal Accounting Officer, Head of Finance and Administration for the company’s European division, VP Alliances and Global Strategy. Mr. Chardonnet received his Master of Business Administration from Vanderbilt University and his initial business degree from the Institut Supérieur de Gestion in Paris.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Departure of Chief Medical Officer</w:t>
      </w:r>
    </w:p>
    <w:p>
      <w:pPr>
        <w:spacing w:after="0" w:line="152" w:lineRule="exact"/>
        <w:rPr>
          <w:sz w:val="20"/>
          <w:szCs w:val="20"/>
          <w:color w:val="auto"/>
        </w:rPr>
      </w:pPr>
    </w:p>
    <w:p>
      <w:pPr>
        <w:ind w:right="40" w:firstLine="480"/>
        <w:spacing w:after="0" w:line="252" w:lineRule="auto"/>
        <w:rPr>
          <w:sz w:val="20"/>
          <w:szCs w:val="20"/>
          <w:color w:val="auto"/>
        </w:rPr>
      </w:pPr>
      <w:r>
        <w:rPr>
          <w:rFonts w:ascii="Arial" w:cs="Arial" w:eastAsia="Arial" w:hAnsi="Arial"/>
          <w:sz w:val="18"/>
          <w:szCs w:val="18"/>
          <w:color w:val="auto"/>
        </w:rPr>
        <w:t>The Company and Dr. David Mauro, the Company’s Chief Medical Officer, mutually agreed that Dr. Mauro would depart from the Company to pursue other opportunities. Dr. Mauro’s last day with the Company was on November 9, 2021. The Company has an ongoing search for a successor. Dr. Victor Sandor, former Chief Medical Officer of Array Biopharma and current board member and chair of the Science and Technology Committee, will provide strategic and operational oversight of clinical development during this time.</w:t>
      </w:r>
    </w:p>
    <w:p>
      <w:pPr>
        <w:spacing w:after="0" w:line="12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COVID-19 Impact</w:t>
      </w:r>
    </w:p>
    <w:p>
      <w:pPr>
        <w:spacing w:after="0" w:line="125" w:lineRule="exact"/>
        <w:rPr>
          <w:sz w:val="20"/>
          <w:szCs w:val="20"/>
          <w:color w:val="auto"/>
        </w:rPr>
      </w:pPr>
    </w:p>
    <w:p>
      <w:pPr>
        <w:ind w:firstLine="479"/>
        <w:spacing w:after="0" w:line="252" w:lineRule="auto"/>
        <w:rPr>
          <w:sz w:val="20"/>
          <w:szCs w:val="20"/>
          <w:color w:val="auto"/>
        </w:rPr>
      </w:pPr>
      <w:r>
        <w:rPr>
          <w:rFonts w:ascii="Arial" w:cs="Arial" w:eastAsia="Arial" w:hAnsi="Arial"/>
          <w:sz w:val="18"/>
          <w:szCs w:val="18"/>
          <w:color w:val="auto"/>
        </w:rPr>
        <w:t>We are continuing to proactively monitor and assess the current coronavirus disease 2019, or COVID-19, global pandemic. Since early March 2020, we have been monitoring the potential impact on our business that may result from this rapidly evolving crisis and to avoid any unnecessary potential delays to our programs. At this time, our lead programs and research activities remain on track. The safety and well-being of employees, patients and partners is our highest priority.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112" w:lineRule="exact"/>
        <w:rPr>
          <w:sz w:val="20"/>
          <w:szCs w:val="20"/>
          <w:color w:val="auto"/>
        </w:rPr>
      </w:pPr>
    </w:p>
    <w:p>
      <w:pPr>
        <w:ind w:firstLine="479"/>
        <w:spacing w:after="0" w:line="252" w:lineRule="auto"/>
        <w:rPr>
          <w:sz w:val="20"/>
          <w:szCs w:val="20"/>
          <w:color w:val="auto"/>
        </w:rPr>
      </w:pPr>
      <w:r>
        <w:rPr>
          <w:rFonts w:ascii="Arial" w:cs="Arial" w:eastAsia="Arial" w:hAnsi="Arial"/>
          <w:sz w:val="18"/>
          <w:szCs w:val="18"/>
          <w:color w:val="auto"/>
        </w:rPr>
        <w:t>To date, we have not recognized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5"/>
          <w:szCs w:val="15"/>
          <w:color w:val="auto"/>
        </w:rPr>
        <w:t>Research and development expenses consist primarily of costs incurred in connection with the discovery and development of our product candidates.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expense research and development costs as incurred, including:</w:t>
      </w:r>
    </w:p>
    <w:p>
      <w:pPr>
        <w:spacing w:after="0" w:line="101" w:lineRule="exact"/>
        <w:rPr>
          <w:sz w:val="20"/>
          <w:szCs w:val="20"/>
          <w:color w:val="auto"/>
        </w:rPr>
      </w:pPr>
    </w:p>
    <w:p>
      <w:pPr>
        <w:ind w:left="960" w:right="180" w:hanging="476"/>
        <w:spacing w:after="0" w:line="26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to conduct the necessary discovery-stage laboratory work, preclinical studies and clinical trials required to obtain regulatory approval;</w:t>
      </w:r>
    </w:p>
    <w:p>
      <w:pPr>
        <w:spacing w:after="0" w:line="74" w:lineRule="exact"/>
        <w:rPr>
          <w:rFonts w:ascii="Arial" w:cs="Arial" w:eastAsia="Arial" w:hAnsi="Arial"/>
          <w:sz w:val="18"/>
          <w:szCs w:val="18"/>
          <w:color w:val="auto"/>
        </w:rPr>
      </w:pPr>
    </w:p>
    <w:p>
      <w:pPr>
        <w:ind w:left="960" w:right="60" w:hanging="476"/>
        <w:spacing w:after="0" w:line="26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personnel expenses, including salaries, benefits and stock-based compensation expense for our employees engaged in research and development functions;</w:t>
      </w:r>
    </w:p>
    <w:p>
      <w:pPr>
        <w:spacing w:after="0" w:line="74" w:lineRule="exact"/>
        <w:rPr>
          <w:rFonts w:ascii="Arial" w:cs="Arial" w:eastAsia="Arial" w:hAnsi="Arial"/>
          <w:sz w:val="18"/>
          <w:szCs w:val="18"/>
          <w:color w:val="auto"/>
        </w:rPr>
      </w:pPr>
    </w:p>
    <w:p>
      <w:pPr>
        <w:ind w:left="960" w:right="540" w:hanging="476"/>
        <w:spacing w:after="0" w:line="366" w:lineRule="auto"/>
        <w:tabs>
          <w:tab w:leader="none" w:pos="960" w:val="left"/>
        </w:tabs>
        <w:numPr>
          <w:ilvl w:val="0"/>
          <w:numId w:val="4"/>
        </w:numPr>
        <w:rPr>
          <w:rFonts w:ascii="Arial" w:cs="Arial" w:eastAsia="Arial" w:hAnsi="Arial"/>
          <w:sz w:val="15"/>
          <w:szCs w:val="15"/>
          <w:color w:val="auto"/>
        </w:rPr>
      </w:pPr>
      <w:r>
        <w:rPr>
          <w:rFonts w:ascii="Arial" w:cs="Arial" w:eastAsia="Arial" w:hAnsi="Arial"/>
          <w:sz w:val="15"/>
          <w:szCs w:val="15"/>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 w:lineRule="exact"/>
        <w:rPr>
          <w:rFonts w:ascii="Arial" w:cs="Arial" w:eastAsia="Arial" w:hAnsi="Arial"/>
          <w:sz w:val="15"/>
          <w:szCs w:val="15"/>
          <w:color w:val="auto"/>
        </w:rPr>
      </w:pPr>
    </w:p>
    <w:p>
      <w:pPr>
        <w:ind w:left="960" w:right="200" w:hanging="476"/>
        <w:spacing w:after="0" w:line="265"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20" w:name="page21"/>
    <w:bookmarkEnd w:id="20"/>
    <w:p>
      <w:pPr>
        <w:ind w:left="960" w:hanging="47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fees paid to consultants who assist with research and development activities;</w:t>
      </w:r>
    </w:p>
    <w:p>
      <w:pPr>
        <w:spacing w:after="0" w:line="111" w:lineRule="exact"/>
        <w:rPr>
          <w:rFonts w:ascii="Arial" w:cs="Arial" w:eastAsia="Arial" w:hAnsi="Arial"/>
          <w:sz w:val="18"/>
          <w:szCs w:val="18"/>
          <w:color w:val="auto"/>
        </w:rPr>
      </w:pPr>
    </w:p>
    <w:p>
      <w:pPr>
        <w:ind w:left="960" w:hanging="47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expenses related to regulatory activities, including filing fees paid to regulatory agencies; and</w:t>
      </w:r>
    </w:p>
    <w:p>
      <w:pPr>
        <w:spacing w:after="0" w:line="111" w:lineRule="exact"/>
        <w:rPr>
          <w:rFonts w:ascii="Arial" w:cs="Arial" w:eastAsia="Arial" w:hAnsi="Arial"/>
          <w:sz w:val="18"/>
          <w:szCs w:val="18"/>
          <w:color w:val="auto"/>
        </w:rPr>
      </w:pPr>
    </w:p>
    <w:p>
      <w:pPr>
        <w:ind w:left="960" w:hanging="476"/>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allocated expenses for facility costs, including rent, utilities, depreciation and maintenance.</w:t>
      </w:r>
    </w:p>
    <w:p>
      <w:pPr>
        <w:spacing w:after="0" w:line="218" w:lineRule="exact"/>
        <w:rPr>
          <w:sz w:val="20"/>
          <w:szCs w:val="20"/>
          <w:color w:val="auto"/>
        </w:rPr>
      </w:pPr>
    </w:p>
    <w:p>
      <w:pPr>
        <w:ind w:right="120" w:firstLine="479"/>
        <w:spacing w:after="0" w:line="319" w:lineRule="auto"/>
        <w:rPr>
          <w:sz w:val="20"/>
          <w:szCs w:val="20"/>
          <w:color w:val="auto"/>
        </w:rPr>
      </w:pPr>
      <w:r>
        <w:rPr>
          <w:rFonts w:ascii="Arial" w:cs="Arial" w:eastAsia="Arial" w:hAnsi="Arial"/>
          <w:sz w:val="15"/>
          <w:szCs w:val="15"/>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45" w:lineRule="exact"/>
        <w:rPr>
          <w:sz w:val="20"/>
          <w:szCs w:val="20"/>
          <w:color w:val="auto"/>
        </w:rPr>
      </w:pPr>
    </w:p>
    <w:p>
      <w:pPr>
        <w:ind w:right="20" w:firstLine="479"/>
        <w:spacing w:after="0" w:line="251"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200" w:firstLine="479"/>
        <w:spacing w:after="0" w:line="319" w:lineRule="auto"/>
        <w:rPr>
          <w:sz w:val="20"/>
          <w:szCs w:val="20"/>
          <w:color w:val="auto"/>
        </w:rPr>
      </w:pPr>
      <w:r>
        <w:rPr>
          <w:rFonts w:ascii="Arial" w:cs="Arial" w:eastAsia="Arial" w:hAnsi="Arial"/>
          <w:sz w:val="15"/>
          <w:szCs w:val="15"/>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45" w:lineRule="exact"/>
        <w:rPr>
          <w:sz w:val="20"/>
          <w:szCs w:val="20"/>
          <w:color w:val="auto"/>
        </w:rPr>
      </w:pPr>
    </w:p>
    <w:p>
      <w:pPr>
        <w:ind w:firstLine="479"/>
        <w:spacing w:after="0" w:line="317" w:lineRule="auto"/>
        <w:rPr>
          <w:sz w:val="20"/>
          <w:szCs w:val="20"/>
          <w:color w:val="auto"/>
        </w:rPr>
      </w:pPr>
      <w:r>
        <w:rPr>
          <w:rFonts w:ascii="Arial" w:cs="Arial" w:eastAsia="Arial" w:hAnsi="Arial"/>
          <w:sz w:val="15"/>
          <w:szCs w:val="15"/>
          <w:color w:val="auto"/>
        </w:rPr>
        <w:t>We expect that our general and administrative expense will increase in the future to support our continued research and development activities, potential commercialization efforts and increased costs of operating as a public company. These increases will likely include increased costs related to the hiring of additional personnel and fees to outside consultants, legal support and accountants, among other expenses. Additionally, we anticipate increased costs associated with being a public company, including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180" w:firstLine="479"/>
        <w:spacing w:after="0" w:line="331" w:lineRule="auto"/>
        <w:rPr>
          <w:sz w:val="20"/>
          <w:szCs w:val="20"/>
          <w:color w:val="auto"/>
        </w:rPr>
      </w:pPr>
      <w:r>
        <w:rPr>
          <w:rFonts w:ascii="Arial" w:cs="Arial" w:eastAsia="Arial" w:hAnsi="Arial"/>
          <w:sz w:val="15"/>
          <w:szCs w:val="15"/>
          <w:color w:val="auto"/>
        </w:rPr>
        <w:t>Other income, net consists primarily of interest earned on our cash equivalents and marketable securities and grant income received from the State of Delaware. We anticipate re-applying for the grant from the State of Delaware from time to time as long as we maintain qualifying headcount levels in the State of Delaware. We expect our interest income, net to increase due to our investment of cash received from our stock offerings.</w:t>
      </w:r>
    </w:p>
    <w:p>
      <w:pPr>
        <w:spacing w:after="0" w:line="24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w:t>
      </w:r>
    </w:p>
    <w:p>
      <w:pPr>
        <w:spacing w:after="0" w:line="112" w:lineRule="exact"/>
        <w:rPr>
          <w:sz w:val="20"/>
          <w:szCs w:val="20"/>
          <w:color w:val="auto"/>
        </w:rPr>
      </w:pPr>
    </w:p>
    <w:p>
      <w:pPr>
        <w:ind w:right="240" w:firstLine="479"/>
        <w:spacing w:after="0" w:line="256" w:lineRule="auto"/>
        <w:rPr>
          <w:sz w:val="20"/>
          <w:szCs w:val="20"/>
          <w:color w:val="auto"/>
        </w:rPr>
      </w:pPr>
      <w:r>
        <w:rPr>
          <w:rFonts w:ascii="Arial" w:cs="Arial" w:eastAsia="Arial" w:hAnsi="Arial"/>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46"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Three Months Ended September 30, 2021 and 2020</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three months ended September 30, 2021 and 2020.</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780" w:type="dxa"/>
            <w:vAlign w:val="bottom"/>
            <w:gridSpan w:val="3"/>
          </w:tcPr>
          <w:p>
            <w:pPr>
              <w:jc w:val="right"/>
              <w:ind w:right="123"/>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4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50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22,721</w:t>
            </w:r>
          </w:p>
        </w:tc>
        <w:tc>
          <w:tcPr>
            <w:tcW w:w="280" w:type="dxa"/>
            <w:vAlign w:val="bottom"/>
          </w:tcPr>
          <w:p>
            <w:pPr>
              <w:spacing w:after="0"/>
              <w:rPr>
                <w:sz w:val="19"/>
                <w:szCs w:val="19"/>
                <w:color w:val="auto"/>
              </w:rPr>
            </w:pPr>
          </w:p>
        </w:tc>
        <w:tc>
          <w:tcPr>
            <w:tcW w:w="500" w:type="dxa"/>
            <w:vAlign w:val="bottom"/>
          </w:tcPr>
          <w:p>
            <w:pPr>
              <w:jc w:val="right"/>
              <w:ind w:right="34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15,293</w:t>
            </w:r>
          </w:p>
        </w:tc>
        <w:tc>
          <w:tcPr>
            <w:tcW w:w="1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7,428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8,115</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2,851</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30,836</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(30,836)</w:t>
            </w:r>
          </w:p>
        </w:tc>
        <w:tc>
          <w:tcPr>
            <w:tcW w:w="50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(18,144)</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225"/>
        </w:trPr>
        <w:tc>
          <w:tcPr>
            <w:tcW w:w="6640" w:type="dxa"/>
            <w:vAlign w:val="bottom"/>
          </w:tcPr>
          <w:p>
            <w:pPr>
              <w:spacing w:after="0"/>
              <w:rPr>
                <w:sz w:val="20"/>
                <w:szCs w:val="20"/>
                <w:color w:val="auto"/>
              </w:rPr>
            </w:pPr>
            <w:r>
              <w:rPr>
                <w:rFonts w:ascii="Arial" w:cs="Arial" w:eastAsia="Arial" w:hAnsi="Arial"/>
                <w:sz w:val="18"/>
                <w:szCs w:val="18"/>
                <w:color w:val="auto"/>
              </w:rPr>
              <w:t>Other income,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6640" w:type="dxa"/>
            <w:vAlign w:val="bottom"/>
            <w:vMerge w:val="continue"/>
            <w:shd w:val="clear" w:color="auto" w:fill="CFF0FC"/>
          </w:tcPr>
          <w:p>
            <w:pPr>
              <w:spacing w:after="0"/>
              <w:rPr>
                <w:sz w:val="19"/>
                <w:szCs w:val="19"/>
                <w:color w:val="auto"/>
              </w:rPr>
            </w:pP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(30,687)</w:t>
            </w:r>
          </w:p>
        </w:tc>
        <w:tc>
          <w:tcPr>
            <w:tcW w:w="500" w:type="dxa"/>
            <w:vAlign w:val="bottom"/>
            <w:shd w:val="clear" w:color="auto" w:fill="CFF0FC"/>
          </w:tcPr>
          <w:p>
            <w:pPr>
              <w:jc w:val="right"/>
              <w:ind w:right="343"/>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(16,760)</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(13,927)</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20" w:firstLine="479"/>
        <w:spacing w:after="0" w:line="266" w:lineRule="auto"/>
        <w:rPr>
          <w:sz w:val="20"/>
          <w:szCs w:val="20"/>
          <w:color w:val="auto"/>
        </w:rPr>
      </w:pPr>
      <w:r>
        <w:rPr>
          <w:rFonts w:ascii="Arial" w:cs="Arial" w:eastAsia="Arial" w:hAnsi="Arial"/>
          <w:sz w:val="17"/>
          <w:szCs w:val="17"/>
          <w:color w:val="auto"/>
        </w:rPr>
        <w:t>Research and development expenses increased by $7.4 million to $22.7 million for the three months ended September 30, 2021 from $15.3 million for the three months ended September 30, 2020. The increase was mainly due to increased clinical research costs to support the advancement of our clinical programs, as well as an increase in discovery-stage program expenses. Our chemistry, manufacturing and other costs for the trials also increased.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60" w:type="dxa"/>
            <w:vAlign w:val="bottom"/>
            <w:tcBorders>
              <w:bottom w:val="single" w:sz="8" w:color="CFF0FC"/>
            </w:tcBorders>
            <w:vMerge w:val="continue"/>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2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2,797</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PRT811</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2,588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PRT1419 (Oral and IV)</w:t>
            </w:r>
          </w:p>
        </w:tc>
        <w:tc>
          <w:tcPr>
            <w:tcW w:w="2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Discovery programs</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5,811</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23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9,512</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3,684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2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22,721</w:t>
            </w:r>
          </w:p>
        </w:tc>
        <w:tc>
          <w:tcPr>
            <w:tcW w:w="3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15,293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firstLine="479"/>
        <w:spacing w:after="0" w:line="252" w:lineRule="auto"/>
        <w:rPr>
          <w:sz w:val="20"/>
          <w:szCs w:val="20"/>
          <w:color w:val="auto"/>
        </w:rPr>
      </w:pPr>
      <w:r>
        <w:rPr>
          <w:rFonts w:ascii="Arial" w:cs="Arial" w:eastAsia="Arial" w:hAnsi="Arial"/>
          <w:sz w:val="18"/>
          <w:szCs w:val="18"/>
          <w:color w:val="auto"/>
        </w:rPr>
        <w:t>General and administrative expenses increased by $5.2 million to $8.1 million for the three months ended September 30, 2021 from $2.9 million for the three months ended September 30, 2020. The increase was primarily due to an increase in personnel related expense due to an increase in employee headcount and an increase in our professional fees as we expanded our operations to support our research and development efforts and incurred additional costs to operate as a public company.</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340" w:firstLine="479"/>
        <w:spacing w:after="0" w:line="295" w:lineRule="auto"/>
        <w:rPr>
          <w:sz w:val="20"/>
          <w:szCs w:val="20"/>
          <w:color w:val="auto"/>
        </w:rPr>
      </w:pPr>
      <w:r>
        <w:rPr>
          <w:rFonts w:ascii="Arial" w:cs="Arial" w:eastAsia="Arial" w:hAnsi="Arial"/>
          <w:sz w:val="17"/>
          <w:szCs w:val="17"/>
          <w:color w:val="auto"/>
        </w:rPr>
        <w:t>Other income, net decreased by $1.2 million primarily due to the receipt and recognition of a research and development tax credit from the State of Delaware in the third quarter of 2020. We did not receive any research and development tax credits in the third quarter of 2021.</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Comparison of the Nine Months Ended September 30, 2021 and 2020</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our results of operations for the nine months ended September 30, 2021 and 2020.</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66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76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40" w:type="dxa"/>
            <w:vAlign w:val="bottom"/>
            <w:tcBorders>
              <w:bottom w:val="single" w:sz="8" w:color="CFF0FC"/>
            </w:tcBorders>
            <w:vMerge w:val="continue"/>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7"/>
              <w:spacing w:after="0" w:line="153"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FF0FC"/>
            </w:tcBorders>
          </w:tcPr>
          <w:p>
            <w:pPr>
              <w:spacing w:after="0"/>
              <w:rPr>
                <w:sz w:val="13"/>
                <w:szCs w:val="13"/>
                <w:color w:val="auto"/>
              </w:rPr>
            </w:pPr>
          </w:p>
        </w:tc>
        <w:tc>
          <w:tcPr>
            <w:tcW w:w="48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434"/>
              <w:spacing w:after="0" w:line="153"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CFF0FC"/>
            </w:tcBorders>
          </w:tcPr>
          <w:p>
            <w:pPr>
              <w:spacing w:after="0"/>
              <w:rPr>
                <w:sz w:val="13"/>
                <w:szCs w:val="13"/>
                <w:color w:val="auto"/>
              </w:rPr>
            </w:pPr>
          </w:p>
        </w:tc>
        <w:tc>
          <w:tcPr>
            <w:tcW w:w="1080" w:type="dxa"/>
            <w:vAlign w:val="bottom"/>
            <w:tcBorders>
              <w:top w:val="single" w:sz="8" w:color="auto"/>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61,600</w:t>
            </w:r>
          </w:p>
        </w:tc>
        <w:tc>
          <w:tcPr>
            <w:tcW w:w="280" w:type="dxa"/>
            <w:vAlign w:val="bottom"/>
          </w:tcPr>
          <w:p>
            <w:pPr>
              <w:spacing w:after="0"/>
              <w:rPr>
                <w:sz w:val="19"/>
                <w:szCs w:val="19"/>
                <w:color w:val="auto"/>
              </w:rPr>
            </w:pPr>
          </w:p>
        </w:tc>
        <w:tc>
          <w:tcPr>
            <w:tcW w:w="480" w:type="dxa"/>
            <w:vAlign w:val="bottom"/>
          </w:tcPr>
          <w:p>
            <w:pPr>
              <w:jc w:val="right"/>
              <w:ind w:right="32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33,605</w:t>
            </w:r>
          </w:p>
        </w:tc>
        <w:tc>
          <w:tcPr>
            <w:tcW w:w="160" w:type="dxa"/>
            <w:vAlign w:val="bottom"/>
          </w:tcPr>
          <w:p>
            <w:pPr>
              <w:spacing w:after="0"/>
              <w:rPr>
                <w:sz w:val="19"/>
                <w:szCs w:val="19"/>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27,995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6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19,125</w:t>
            </w:r>
          </w:p>
        </w:tc>
        <w:tc>
          <w:tcPr>
            <w:tcW w:w="280" w:type="dxa"/>
            <w:vAlign w:val="bottom"/>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80,725</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39,317</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41,408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(80,725)</w:t>
            </w:r>
          </w:p>
        </w:tc>
        <w:tc>
          <w:tcPr>
            <w:tcW w:w="48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(39,317)</w:t>
            </w:r>
          </w:p>
        </w:tc>
        <w:tc>
          <w:tcPr>
            <w:tcW w:w="1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(41,408)</w:t>
            </w:r>
          </w:p>
        </w:tc>
        <w:tc>
          <w:tcPr>
            <w:tcW w:w="0" w:type="dxa"/>
            <w:vAlign w:val="bottom"/>
          </w:tcPr>
          <w:p>
            <w:pPr>
              <w:spacing w:after="0"/>
              <w:rPr>
                <w:sz w:val="1"/>
                <w:szCs w:val="1"/>
                <w:color w:val="auto"/>
              </w:rPr>
            </w:pPr>
          </w:p>
        </w:tc>
      </w:tr>
      <w:tr>
        <w:trPr>
          <w:trHeight w:val="225"/>
        </w:trPr>
        <w:tc>
          <w:tcPr>
            <w:tcW w:w="6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1,873</w:t>
            </w:r>
          </w:p>
        </w:tc>
        <w:tc>
          <w:tcPr>
            <w:tcW w:w="28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1,638</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4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300" w:type="dxa"/>
            <w:vAlign w:val="bottom"/>
            <w:shd w:val="clear" w:color="auto" w:fill="CFF0FC"/>
          </w:tcPr>
          <w:p>
            <w:pPr>
              <w:jc w:val="right"/>
              <w:ind w:right="14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(78,852)</w:t>
            </w:r>
          </w:p>
        </w:tc>
        <w:tc>
          <w:tcPr>
            <w:tcW w:w="480" w:type="dxa"/>
            <w:vAlign w:val="bottom"/>
            <w:shd w:val="clear" w:color="auto" w:fill="CFF0FC"/>
          </w:tcPr>
          <w:p>
            <w:pPr>
              <w:jc w:val="right"/>
              <w:ind w:right="32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(37,679)</w:t>
            </w: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(41,173)</w:t>
            </w:r>
          </w:p>
        </w:tc>
        <w:tc>
          <w:tcPr>
            <w:tcW w:w="0" w:type="dxa"/>
            <w:vAlign w:val="bottom"/>
          </w:tcPr>
          <w:p>
            <w:pPr>
              <w:spacing w:after="0"/>
              <w:rPr>
                <w:sz w:val="1"/>
                <w:szCs w:val="1"/>
                <w:color w:val="auto"/>
              </w:rPr>
            </w:pPr>
          </w:p>
        </w:tc>
      </w:tr>
      <w:tr>
        <w:trPr>
          <w:trHeight w:val="20"/>
        </w:trPr>
        <w:tc>
          <w:tcPr>
            <w:tcW w:w="66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 Expenses</w:t>
      </w:r>
    </w:p>
    <w:p>
      <w:pPr>
        <w:spacing w:after="0" w:line="112" w:lineRule="exact"/>
        <w:rPr>
          <w:sz w:val="20"/>
          <w:szCs w:val="20"/>
          <w:color w:val="auto"/>
        </w:rPr>
      </w:pPr>
    </w:p>
    <w:p>
      <w:pPr>
        <w:ind w:right="20" w:firstLine="479"/>
        <w:spacing w:after="0" w:line="266" w:lineRule="auto"/>
        <w:rPr>
          <w:sz w:val="20"/>
          <w:szCs w:val="20"/>
          <w:color w:val="auto"/>
        </w:rPr>
      </w:pPr>
      <w:r>
        <w:rPr>
          <w:rFonts w:ascii="Arial" w:cs="Arial" w:eastAsia="Arial" w:hAnsi="Arial"/>
          <w:sz w:val="17"/>
          <w:szCs w:val="17"/>
          <w:color w:val="auto"/>
        </w:rPr>
        <w:t>Research and development expenses increased by $28.0 million to $61.6 million for the nine months ended September 30, 2021 from $33.6 million for the nine months ended September 30, 2020. The increase was mainly due to increased clinical research costs to support the advancement of our clinical programs, as well as an increase in discovery-stage program expenses. Our chemistry, manufacturing and other costs for the trials also increased. We track our external research and development expenses on a program-by-program basis, such as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Research and development expenses by program are summarized in the table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3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360" w:type="dxa"/>
            <w:vAlign w:val="bottom"/>
            <w:tcBorders>
              <w:bottom w:val="single" w:sz="8" w:color="CFF0FC"/>
            </w:tcBorders>
            <w:vMerge w:val="continue"/>
          </w:tcPr>
          <w:p>
            <w:pPr>
              <w:spacing w:after="0"/>
              <w:rPr>
                <w:sz w:val="13"/>
                <w:szCs w:val="13"/>
                <w:color w:val="auto"/>
              </w:rPr>
            </w:pPr>
          </w:p>
        </w:tc>
        <w:tc>
          <w:tcPr>
            <w:tcW w:w="238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7"/>
              <w:spacing w:after="0" w:line="15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4"/>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PRT543</w:t>
            </w:r>
          </w:p>
        </w:tc>
        <w:tc>
          <w:tcPr>
            <w:tcW w:w="27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10,477</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PRT811</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8,928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PRT1419 (Oral and IV)</w:t>
            </w:r>
          </w:p>
        </w:tc>
        <w:tc>
          <w:tcPr>
            <w:tcW w:w="23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5,813</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360" w:type="dxa"/>
            <w:vAlign w:val="bottom"/>
          </w:tcPr>
          <w:p>
            <w:pPr>
              <w:spacing w:after="0"/>
              <w:rPr>
                <w:sz w:val="20"/>
                <w:szCs w:val="20"/>
                <w:color w:val="auto"/>
              </w:rPr>
            </w:pPr>
            <w:r>
              <w:rPr>
                <w:rFonts w:ascii="Arial" w:cs="Arial" w:eastAsia="Arial" w:hAnsi="Arial"/>
                <w:sz w:val="18"/>
                <w:szCs w:val="18"/>
                <w:color w:val="auto"/>
              </w:rPr>
              <w:t>Discovery programs</w:t>
            </w:r>
          </w:p>
        </w:tc>
        <w:tc>
          <w:tcPr>
            <w:tcW w:w="2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13,198</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Internal costs, including personnel related</w:t>
            </w:r>
          </w:p>
        </w:tc>
        <w:tc>
          <w:tcPr>
            <w:tcW w:w="23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23,184</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5360" w:type="dxa"/>
            <w:vAlign w:val="bottom"/>
          </w:tcPr>
          <w:p>
            <w:pPr>
              <w:spacing w:after="0"/>
              <w:rPr>
                <w:sz w:val="19"/>
                <w:szCs w:val="19"/>
                <w:color w:val="auto"/>
              </w:rPr>
            </w:pPr>
          </w:p>
        </w:tc>
        <w:tc>
          <w:tcPr>
            <w:tcW w:w="2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61,600</w:t>
            </w:r>
          </w:p>
        </w:tc>
        <w:tc>
          <w:tcPr>
            <w:tcW w:w="300" w:type="dxa"/>
            <w:vAlign w:val="bottom"/>
          </w:tcPr>
          <w:p>
            <w:pPr>
              <w:spacing w:after="0"/>
              <w:rPr>
                <w:sz w:val="19"/>
                <w:szCs w:val="19"/>
                <w:color w:val="auto"/>
              </w:rPr>
            </w:pP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2" w:lineRule="exact"/>
        <w:rPr>
          <w:sz w:val="20"/>
          <w:szCs w:val="20"/>
          <w:color w:val="auto"/>
        </w:rPr>
      </w:pPr>
    </w:p>
    <w:p>
      <w:pPr>
        <w:ind w:right="140" w:firstLine="479"/>
        <w:spacing w:after="0" w:line="252" w:lineRule="auto"/>
        <w:rPr>
          <w:sz w:val="20"/>
          <w:szCs w:val="20"/>
          <w:color w:val="auto"/>
        </w:rPr>
      </w:pPr>
      <w:r>
        <w:rPr>
          <w:rFonts w:ascii="Arial" w:cs="Arial" w:eastAsia="Arial" w:hAnsi="Arial"/>
          <w:sz w:val="18"/>
          <w:szCs w:val="18"/>
          <w:color w:val="auto"/>
        </w:rPr>
        <w:t>General and administrative expenses increased by $13.4 million to $19.1 million for the nine months ended September 30, 2021 from $5.7 million for the nine months ended September 30, 2020. The increase was primarily due to an increase in personnel related expense due to increases in employee headcount and an increase in our professional fees as we expanded our operations to support our research and development efforts and incurred additional costs to operate as a public company.</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Income, net</w:t>
      </w:r>
    </w:p>
    <w:p>
      <w:pPr>
        <w:spacing w:after="0" w:line="112" w:lineRule="exact"/>
        <w:rPr>
          <w:sz w:val="20"/>
          <w:szCs w:val="20"/>
          <w:color w:val="auto"/>
        </w:rPr>
      </w:pPr>
    </w:p>
    <w:p>
      <w:pPr>
        <w:ind w:right="360" w:firstLine="479"/>
        <w:spacing w:after="0" w:line="265" w:lineRule="auto"/>
        <w:rPr>
          <w:sz w:val="20"/>
          <w:szCs w:val="20"/>
          <w:color w:val="auto"/>
        </w:rPr>
      </w:pPr>
      <w:r>
        <w:rPr>
          <w:rFonts w:ascii="Arial" w:cs="Arial" w:eastAsia="Arial" w:hAnsi="Arial"/>
          <w:sz w:val="18"/>
          <w:szCs w:val="18"/>
          <w:color w:val="auto"/>
        </w:rPr>
        <w:t>Other income, net increased by $0.2 million primarily due to the receipt and recognition of a research and development tax credit from the State of Delaware in the first and second quarter of 2021.</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Overview</w:t>
      </w:r>
    </w:p>
    <w:p>
      <w:pPr>
        <w:spacing w:after="0" w:line="112" w:lineRule="exact"/>
        <w:rPr>
          <w:sz w:val="20"/>
          <w:szCs w:val="20"/>
          <w:color w:val="auto"/>
        </w:rPr>
      </w:pPr>
    </w:p>
    <w:p>
      <w:pPr>
        <w:ind w:right="60" w:firstLine="479"/>
        <w:spacing w:after="0" w:line="309" w:lineRule="auto"/>
        <w:rPr>
          <w:sz w:val="20"/>
          <w:szCs w:val="20"/>
          <w:color w:val="auto"/>
        </w:rPr>
      </w:pPr>
      <w:r>
        <w:rPr>
          <w:rFonts w:ascii="Arial" w:cs="Arial" w:eastAsia="Arial" w:hAnsi="Arial"/>
          <w:sz w:val="15"/>
          <w:szCs w:val="15"/>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 Since our inception, we have funded our operations through the sale of convertible preferred stock and common stock. As of September 30, 2021, we had $320.9 million in cash, cash equivalents and marketable securities and had an accumulated deficit of $186.3 million. We expect our existing cash, cash equivalents and marketable securities to enable us to fund our operating expenses and capital expenditure requirements into the second half of 2023. We have based these estimates on assumptions that may prove to be imprecise, and we could utilize our available capital resources sooner than we expect.</w:t>
      </w:r>
    </w:p>
    <w:p>
      <w:pPr>
        <w:spacing w:after="0" w:line="26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2" w:lineRule="exact"/>
        <w:rPr>
          <w:sz w:val="20"/>
          <w:szCs w:val="20"/>
          <w:color w:val="auto"/>
        </w:rPr>
      </w:pPr>
    </w:p>
    <w:p>
      <w:pPr>
        <w:ind w:right="420" w:firstLine="479"/>
        <w:spacing w:after="0" w:line="256" w:lineRule="auto"/>
        <w:rPr>
          <w:sz w:val="20"/>
          <w:szCs w:val="20"/>
          <w:color w:val="auto"/>
        </w:rPr>
      </w:pPr>
      <w:r>
        <w:rPr>
          <w:rFonts w:ascii="Arial" w:cs="Arial" w:eastAsia="Arial" w:hAnsi="Arial"/>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88" w:lineRule="exact"/>
        <w:rPr>
          <w:sz w:val="20"/>
          <w:szCs w:val="20"/>
          <w:color w:val="auto"/>
        </w:rPr>
      </w:pPr>
    </w:p>
    <w:p>
      <w:pPr>
        <w:ind w:right="220" w:firstLine="479"/>
        <w:spacing w:after="0" w:line="256" w:lineRule="auto"/>
        <w:rPr>
          <w:sz w:val="20"/>
          <w:szCs w:val="20"/>
          <w:color w:val="auto"/>
        </w:rPr>
      </w:pPr>
      <w:r>
        <w:rPr>
          <w:rFonts w:ascii="Arial" w:cs="Arial" w:eastAsia="Arial" w:hAnsi="Arial"/>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81" w:lineRule="exact"/>
        <w:rPr>
          <w:sz w:val="20"/>
          <w:szCs w:val="20"/>
          <w:color w:val="auto"/>
        </w:rPr>
      </w:pPr>
    </w:p>
    <w:p>
      <w:pPr>
        <w:ind w:left="960" w:hanging="476"/>
        <w:spacing w:after="0"/>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the scope, timing, progress and results of discovery, preclinical development, laboratory testing and clinical trials for our product candidates;</w:t>
      </w:r>
    </w:p>
    <w:p>
      <w:pPr>
        <w:spacing w:after="0" w:line="146" w:lineRule="exact"/>
        <w:rPr>
          <w:rFonts w:ascii="Arial" w:cs="Arial" w:eastAsia="Arial" w:hAnsi="Arial"/>
          <w:sz w:val="15"/>
          <w:szCs w:val="15"/>
          <w:color w:val="auto"/>
        </w:rPr>
      </w:pPr>
    </w:p>
    <w:p>
      <w:pPr>
        <w:ind w:left="960" w:hanging="476"/>
        <w:spacing w:after="0"/>
        <w:tabs>
          <w:tab w:leader="none" w:pos="9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costs of manufacturing our product candidates for clinical trials and in preparation for marketing approval and commercialization;</w:t>
      </w:r>
    </w:p>
    <w:p>
      <w:pPr>
        <w:spacing w:after="0" w:line="123" w:lineRule="exact"/>
        <w:rPr>
          <w:rFonts w:ascii="Arial" w:cs="Arial" w:eastAsia="Arial" w:hAnsi="Arial"/>
          <w:sz w:val="17"/>
          <w:szCs w:val="17"/>
          <w:color w:val="auto"/>
        </w:rPr>
      </w:pPr>
    </w:p>
    <w:p>
      <w:pPr>
        <w:ind w:left="960" w:right="540" w:hanging="476"/>
        <w:spacing w:after="0" w:line="26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we enter into collaborations or other arrangements with additional third parties in order to further develop our product candidates;</w:t>
      </w:r>
    </w:p>
    <w:p>
      <w:pPr>
        <w:spacing w:after="0" w:line="74" w:lineRule="exact"/>
        <w:rPr>
          <w:rFonts w:ascii="Arial" w:cs="Arial" w:eastAsia="Arial" w:hAnsi="Arial"/>
          <w:sz w:val="18"/>
          <w:szCs w:val="18"/>
          <w:color w:val="auto"/>
        </w:rPr>
      </w:pPr>
    </w:p>
    <w:p>
      <w:pPr>
        <w:ind w:left="960" w:right="520" w:hanging="476"/>
        <w:spacing w:after="0" w:line="26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our intellectual property rights and defending intellectual property-related claims;</w:t>
      </w:r>
    </w:p>
    <w:p>
      <w:pPr>
        <w:spacing w:after="0" w:line="74" w:lineRule="exact"/>
        <w:rPr>
          <w:rFonts w:ascii="Arial" w:cs="Arial" w:eastAsia="Arial" w:hAnsi="Arial"/>
          <w:sz w:val="18"/>
          <w:szCs w:val="18"/>
          <w:color w:val="auto"/>
        </w:rPr>
      </w:pPr>
    </w:p>
    <w:p>
      <w:pPr>
        <w:ind w:left="960" w:hanging="47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and fees associated with the discovery, acquisition or in-license of additional product candidates or technologies;</w:t>
      </w:r>
    </w:p>
    <w:p>
      <w:pPr>
        <w:spacing w:after="0" w:line="111" w:lineRule="exact"/>
        <w:rPr>
          <w:rFonts w:ascii="Arial" w:cs="Arial" w:eastAsia="Arial" w:hAnsi="Arial"/>
          <w:sz w:val="18"/>
          <w:szCs w:val="18"/>
          <w:color w:val="auto"/>
        </w:rPr>
      </w:pPr>
    </w:p>
    <w:p>
      <w:pPr>
        <w:ind w:left="960" w:hanging="47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expenses needed to attract and retain skilled personnel;</w:t>
      </w:r>
    </w:p>
    <w:p>
      <w:pPr>
        <w:spacing w:after="0" w:line="111" w:lineRule="exact"/>
        <w:rPr>
          <w:rFonts w:ascii="Arial" w:cs="Arial" w:eastAsia="Arial" w:hAnsi="Arial"/>
          <w:sz w:val="18"/>
          <w:szCs w:val="18"/>
          <w:color w:val="auto"/>
        </w:rPr>
      </w:pPr>
    </w:p>
    <w:p>
      <w:pPr>
        <w:ind w:left="960" w:hanging="47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costs associated with being a public company;</w:t>
      </w:r>
    </w:p>
    <w:p>
      <w:pPr>
        <w:spacing w:after="0" w:line="111" w:lineRule="exact"/>
        <w:rPr>
          <w:rFonts w:ascii="Arial" w:cs="Arial" w:eastAsia="Arial" w:hAnsi="Arial"/>
          <w:sz w:val="18"/>
          <w:szCs w:val="18"/>
          <w:color w:val="auto"/>
        </w:rPr>
      </w:pPr>
    </w:p>
    <w:p>
      <w:pPr>
        <w:ind w:left="960" w:hanging="476"/>
        <w:spacing w:after="0"/>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required to scale up our clinical, regulatory and manufacturing capabilities;</w:t>
      </w:r>
    </w:p>
    <w:p>
      <w:pPr>
        <w:spacing w:after="0" w:line="111" w:lineRule="exact"/>
        <w:rPr>
          <w:rFonts w:ascii="Arial" w:cs="Arial" w:eastAsia="Arial" w:hAnsi="Arial"/>
          <w:sz w:val="18"/>
          <w:szCs w:val="18"/>
          <w:color w:val="auto"/>
        </w:rPr>
      </w:pPr>
    </w:p>
    <w:p>
      <w:pPr>
        <w:ind w:left="960" w:right="200" w:hanging="476"/>
        <w:spacing w:after="0" w:line="265"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74" w:lineRule="exact"/>
        <w:rPr>
          <w:rFonts w:ascii="Arial" w:cs="Arial" w:eastAsia="Arial" w:hAnsi="Arial"/>
          <w:sz w:val="18"/>
          <w:szCs w:val="18"/>
          <w:color w:val="auto"/>
        </w:rPr>
      </w:pPr>
    </w:p>
    <w:p>
      <w:pPr>
        <w:ind w:left="960" w:hanging="476"/>
        <w:spacing w:after="0"/>
        <w:tabs>
          <w:tab w:leader="none" w:pos="960" w:val="left"/>
        </w:tabs>
        <w:numPr>
          <w:ilvl w:val="0"/>
          <w:numId w:val="6"/>
        </w:numPr>
        <w:rPr>
          <w:rFonts w:ascii="Arial" w:cs="Arial" w:eastAsia="Arial" w:hAnsi="Arial"/>
          <w:sz w:val="15"/>
          <w:szCs w:val="15"/>
          <w:color w:val="auto"/>
        </w:rPr>
      </w:pPr>
      <w:r>
        <w:rPr>
          <w:rFonts w:ascii="Arial" w:cs="Arial" w:eastAsia="Arial" w:hAnsi="Arial"/>
          <w:sz w:val="15"/>
          <w:szCs w:val="15"/>
          <w:color w:val="auto"/>
        </w:rPr>
        <w:t>revenue, if any, received from commercial sales of our product candidates, should any of our product candidates receive marketing approval.</w:t>
      </w:r>
    </w:p>
    <w:p>
      <w:pPr>
        <w:spacing w:after="0" w:line="253" w:lineRule="exact"/>
        <w:rPr>
          <w:sz w:val="20"/>
          <w:szCs w:val="20"/>
          <w:color w:val="auto"/>
        </w:rPr>
      </w:pPr>
    </w:p>
    <w:p>
      <w:pPr>
        <w:ind w:right="140" w:firstLine="479"/>
        <w:spacing w:after="0" w:line="252" w:lineRule="auto"/>
        <w:rPr>
          <w:sz w:val="20"/>
          <w:szCs w:val="20"/>
          <w:color w:val="auto"/>
        </w:rPr>
      </w:pPr>
      <w:r>
        <w:rPr>
          <w:rFonts w:ascii="Arial" w:cs="Arial" w:eastAsia="Arial" w:hAnsi="Arial"/>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193" w:lineRule="exact"/>
        <w:rPr>
          <w:sz w:val="20"/>
          <w:szCs w:val="20"/>
          <w:color w:val="auto"/>
        </w:rPr>
      </w:pPr>
    </w:p>
    <w:p>
      <w:pPr>
        <w:ind w:firstLine="479"/>
        <w:spacing w:after="0" w:line="303" w:lineRule="auto"/>
        <w:rPr>
          <w:sz w:val="20"/>
          <w:szCs w:val="20"/>
          <w:color w:val="auto"/>
        </w:rPr>
      </w:pPr>
      <w:r>
        <w:rPr>
          <w:rFonts w:ascii="Arial" w:cs="Arial" w:eastAsia="Arial" w:hAnsi="Arial"/>
          <w:sz w:val="15"/>
          <w:szCs w:val="15"/>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65" w:right="339" w:bottom="1440" w:gutter="0" w:footer="0" w:header="0"/>
        </w:sectPr>
      </w:pPr>
    </w:p>
    <w:bookmarkStart w:id="24" w:name="page25"/>
    <w:bookmarkEnd w:id="24"/>
    <w:p>
      <w:pPr>
        <w:ind w:left="480"/>
        <w:spacing w:after="0"/>
        <w:rPr>
          <w:sz w:val="20"/>
          <w:szCs w:val="20"/>
          <w:color w:val="auto"/>
        </w:rPr>
      </w:pPr>
      <w:r>
        <w:rPr>
          <w:rFonts w:ascii="Arial" w:cs="Arial" w:eastAsia="Arial" w:hAnsi="Arial"/>
          <w:sz w:val="18"/>
          <w:szCs w:val="18"/>
          <w:b w:val="1"/>
          <w:bCs w:val="1"/>
          <w:i w:val="1"/>
          <w:iCs w:val="1"/>
          <w:color w:val="auto"/>
        </w:rPr>
        <w:t>Cash Flows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shows a summary of our cash flows for the periods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3"/>
          </w:tcPr>
          <w:p>
            <w:pPr>
              <w:jc w:val="right"/>
              <w:ind w:right="11"/>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7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4"/>
                <w:szCs w:val="14"/>
                <w:b w:val="1"/>
                <w:bCs w:val="1"/>
                <w:color w:val="auto"/>
              </w:rPr>
              <w:t>September 30,</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5720" w:type="dxa"/>
            <w:vAlign w:val="bottom"/>
            <w:tcBorders>
              <w:bottom w:val="single" w:sz="8" w:color="CFF0FC"/>
            </w:tcBorders>
            <w:vMerge w:val="continue"/>
          </w:tcPr>
          <w:p>
            <w:pPr>
              <w:spacing w:after="0"/>
              <w:rPr>
                <w:sz w:val="13"/>
                <w:szCs w:val="13"/>
                <w:color w:val="auto"/>
              </w:rPr>
            </w:pPr>
          </w:p>
        </w:tc>
        <w:tc>
          <w:tcPr>
            <w:tcW w:w="20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59"/>
              <w:spacing w:after="0" w:line="153" w:lineRule="exact"/>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CFF0FC"/>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55"/>
              <w:spacing w:after="0" w:line="153"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used in operating activities</w:t>
            </w:r>
          </w:p>
        </w:tc>
        <w:tc>
          <w:tcPr>
            <w:tcW w:w="2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(57,829)</w:t>
            </w:r>
          </w:p>
        </w:tc>
        <w:tc>
          <w:tcPr>
            <w:tcW w:w="540" w:type="dxa"/>
            <w:vAlign w:val="bottom"/>
            <w:shd w:val="clear" w:color="auto" w:fill="CFF0FC"/>
          </w:tcPr>
          <w:p>
            <w:pPr>
              <w:jc w:val="right"/>
              <w:ind w:right="351"/>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(31,330)</w:t>
            </w:r>
          </w:p>
        </w:tc>
        <w:tc>
          <w:tcPr>
            <w:tcW w:w="0" w:type="dxa"/>
            <w:vAlign w:val="bottom"/>
          </w:tcPr>
          <w:p>
            <w:pPr>
              <w:spacing w:after="0"/>
              <w:rPr>
                <w:sz w:val="1"/>
                <w:szCs w:val="1"/>
                <w:color w:val="auto"/>
              </w:rPr>
            </w:pPr>
          </w:p>
        </w:tc>
      </w:tr>
      <w:tr>
        <w:trPr>
          <w:trHeight w:val="225"/>
        </w:trPr>
        <w:tc>
          <w:tcPr>
            <w:tcW w:w="572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(261,999)</w:t>
            </w:r>
          </w:p>
        </w:tc>
        <w:tc>
          <w:tcPr>
            <w:tcW w:w="54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(292)</w:t>
            </w:r>
          </w:p>
        </w:tc>
        <w:tc>
          <w:tcPr>
            <w:tcW w:w="0" w:type="dxa"/>
            <w:vAlign w:val="bottom"/>
          </w:tcPr>
          <w:p>
            <w:pPr>
              <w:spacing w:after="0"/>
              <w:rPr>
                <w:sz w:val="1"/>
                <w:szCs w:val="1"/>
                <w:color w:val="auto"/>
              </w:rPr>
            </w:pPr>
          </w:p>
        </w:tc>
      </w:tr>
      <w:tr>
        <w:trPr>
          <w:trHeight w:val="226"/>
        </w:trPr>
        <w:tc>
          <w:tcPr>
            <w:tcW w:w="5720" w:type="dxa"/>
            <w:vAlign w:val="bottom"/>
            <w:shd w:val="clear" w:color="auto" w:fill="CFF0FC"/>
          </w:tcPr>
          <w:p>
            <w:pPr>
              <w:spacing w:after="0"/>
              <w:rPr>
                <w:sz w:val="20"/>
                <w:szCs w:val="20"/>
                <w:color w:val="auto"/>
              </w:rPr>
            </w:pPr>
            <w:r>
              <w:rPr>
                <w:rFonts w:ascii="Arial" w:cs="Arial" w:eastAsia="Arial" w:hAnsi="Arial"/>
                <w:sz w:val="18"/>
                <w:szCs w:val="18"/>
                <w:color w:val="auto"/>
              </w:rPr>
              <w:t>Cash provided by financing activities</w:t>
            </w:r>
          </w:p>
        </w:tc>
        <w:tc>
          <w:tcPr>
            <w:tcW w:w="20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162,943</w:t>
            </w:r>
          </w:p>
        </w:tc>
        <w:tc>
          <w:tcPr>
            <w:tcW w:w="3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247,535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72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2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40"/>
              <w:spacing w:after="0"/>
              <w:rPr>
                <w:sz w:val="20"/>
                <w:szCs w:val="20"/>
                <w:color w:val="auto"/>
              </w:rPr>
            </w:pPr>
            <w:r>
              <w:rPr>
                <w:rFonts w:ascii="Arial" w:cs="Arial" w:eastAsia="Arial" w:hAnsi="Arial"/>
                <w:sz w:val="18"/>
                <w:szCs w:val="18"/>
                <w:color w:val="auto"/>
              </w:rPr>
              <w:t>(156,885)</w:t>
            </w:r>
          </w:p>
        </w:tc>
        <w:tc>
          <w:tcPr>
            <w:tcW w:w="540" w:type="dxa"/>
            <w:vAlign w:val="bottom"/>
          </w:tcPr>
          <w:p>
            <w:pPr>
              <w:jc w:val="right"/>
              <w:ind w:right="351"/>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215,913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Operating Activities</w:t>
      </w:r>
    </w:p>
    <w:p>
      <w:pPr>
        <w:spacing w:after="0" w:line="112" w:lineRule="exact"/>
        <w:rPr>
          <w:sz w:val="20"/>
          <w:szCs w:val="20"/>
          <w:color w:val="auto"/>
        </w:rPr>
      </w:pPr>
    </w:p>
    <w:p>
      <w:pPr>
        <w:ind w:right="20" w:firstLine="479"/>
        <w:spacing w:after="0" w:line="319" w:lineRule="auto"/>
        <w:rPr>
          <w:sz w:val="20"/>
          <w:szCs w:val="20"/>
          <w:color w:val="auto"/>
        </w:rPr>
      </w:pPr>
      <w:r>
        <w:rPr>
          <w:rFonts w:ascii="Arial" w:cs="Arial" w:eastAsia="Arial" w:hAnsi="Arial"/>
          <w:sz w:val="15"/>
          <w:szCs w:val="15"/>
          <w:color w:val="auto"/>
        </w:rPr>
        <w:t>During the nine months ended September 30, 2021, we used $57.8 million of cash in operating activities. Cash used in operating activities reflected our net loss of $78.9 million, offset by a $4.0 million net decrease in our operating assets and liabilities and noncash charges of $17.1 million, which consisted of $15.2 million in stock-based compensation, $0.6 million in depreciation, $0.9 million noncash lease expense, and $0.4 million in amortization of premiums and discounts on marketable securities. The primary use of cash was to fund our operations related to the development of our product candidates.</w:t>
      </w:r>
    </w:p>
    <w:p>
      <w:pPr>
        <w:spacing w:after="0" w:line="145" w:lineRule="exact"/>
        <w:rPr>
          <w:sz w:val="20"/>
          <w:szCs w:val="20"/>
          <w:color w:val="auto"/>
        </w:rPr>
      </w:pPr>
    </w:p>
    <w:p>
      <w:pPr>
        <w:ind w:right="20" w:firstLine="479"/>
        <w:spacing w:after="0" w:line="252" w:lineRule="auto"/>
        <w:rPr>
          <w:sz w:val="20"/>
          <w:szCs w:val="20"/>
          <w:color w:val="auto"/>
        </w:rPr>
      </w:pPr>
      <w:r>
        <w:rPr>
          <w:rFonts w:ascii="Arial" w:cs="Arial" w:eastAsia="Arial" w:hAnsi="Arial"/>
          <w:sz w:val="18"/>
          <w:szCs w:val="18"/>
          <w:color w:val="auto"/>
        </w:rPr>
        <w:t>During the nine months ended September 30, 2020, we used $31.3 million of cash in operating activities. Cash used in operating activities reflected our net loss of $37.7 million, offset by a $3.5 million net decrease in our operating assets and liabilities and noncash charges of $2.9 million, which consisted of $0.4 million in depreciation and $2.5 million in stock-based compensation. The primary use of cash was to fund our operations related to the development of our product candidates.</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Investing Activities</w:t>
      </w:r>
    </w:p>
    <w:p>
      <w:pPr>
        <w:spacing w:after="0" w:line="112" w:lineRule="exact"/>
        <w:rPr>
          <w:sz w:val="20"/>
          <w:szCs w:val="20"/>
          <w:color w:val="auto"/>
        </w:rPr>
      </w:pPr>
    </w:p>
    <w:p>
      <w:pPr>
        <w:ind w:right="180" w:firstLine="479"/>
        <w:spacing w:after="0" w:line="256" w:lineRule="auto"/>
        <w:rPr>
          <w:sz w:val="20"/>
          <w:szCs w:val="20"/>
          <w:color w:val="auto"/>
        </w:rPr>
      </w:pPr>
      <w:r>
        <w:rPr>
          <w:rFonts w:ascii="Arial" w:cs="Arial" w:eastAsia="Arial" w:hAnsi="Arial"/>
          <w:sz w:val="18"/>
          <w:szCs w:val="18"/>
          <w:color w:val="auto"/>
        </w:rPr>
        <w:t>During the nine months ended September 30, 2021, we used $260.0 million of cash to purchase marketable securities and $2.0 million of cash for the purchase of property and equipment. During the nine months ended September 30, 2020, we used $0.3 million of cash for the purchase of property and equipment.</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Financing Activities</w:t>
      </w:r>
    </w:p>
    <w:p>
      <w:pPr>
        <w:spacing w:after="0" w:line="112" w:lineRule="exact"/>
        <w:rPr>
          <w:sz w:val="20"/>
          <w:szCs w:val="20"/>
          <w:color w:val="auto"/>
        </w:rPr>
      </w:pPr>
    </w:p>
    <w:p>
      <w:pPr>
        <w:ind w:right="120" w:firstLine="479"/>
        <w:spacing w:after="0" w:line="250" w:lineRule="auto"/>
        <w:rPr>
          <w:sz w:val="20"/>
          <w:szCs w:val="20"/>
          <w:color w:val="auto"/>
        </w:rPr>
      </w:pPr>
      <w:r>
        <w:rPr>
          <w:rFonts w:ascii="Arial" w:cs="Arial" w:eastAsia="Arial" w:hAnsi="Arial"/>
          <w:sz w:val="18"/>
          <w:szCs w:val="18"/>
          <w:color w:val="auto"/>
        </w:rPr>
        <w:t>During the nine months ended September 30, 2021, financing activities provided $162.9 million, which reflected the receipt of net cash of $161.4 million from the sale of common stock as well as the receipt of $1.5 million from the exercise of stock options. During the nine months ended September 30, 2020, financing activities provided $247.5 million of cash. During the nine months ended September 30, 2020, we completed our IPO and received net cash of $167.9 million. We also received $49.8 million from the sale of our Series C convertible preferred stock, $29.9 million from the sale of our Series B convertible preferred stock and $96,000 from the exercise of stock options. During the nine months ended September 30, 2020, we made $0.3 million in payments for our capital lease obligation.</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8" w:lineRule="exact"/>
        <w:rPr>
          <w:sz w:val="20"/>
          <w:szCs w:val="20"/>
          <w:color w:val="auto"/>
        </w:rPr>
      </w:pPr>
    </w:p>
    <w:p>
      <w:pPr>
        <w:ind w:right="60" w:firstLine="479"/>
        <w:spacing w:after="0" w:line="251" w:lineRule="auto"/>
        <w:rPr>
          <w:sz w:val="20"/>
          <w:szCs w:val="20"/>
          <w:color w:val="auto"/>
        </w:rPr>
      </w:pPr>
      <w:r>
        <w:rPr>
          <w:rFonts w:ascii="Arial" w:cs="Arial" w:eastAsia="Arial" w:hAnsi="Arial"/>
          <w:sz w:val="18"/>
          <w:szCs w:val="18"/>
          <w:color w:val="auto"/>
        </w:rPr>
        <w:t>During the periods presented, we did not have, nor do we currently have, any relationships with unconsolidated entities or financial partnerships, including entities sometimes referred to as structured finance or special purpose entities that were established for the purpose of facilitating off-balance sheet arrangements or other contractually narrow or limited purposes. We do not engage in off-balance sheet financing arrangements. In addition, we do not engage in trading activities involving non-exchange traded contracts. We therefore believe that we are not materially exposed to any financing, liquidity, market or credit risk that could arise if we had engaged in these relationships.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18" w:lineRule="exact"/>
        <w:rPr>
          <w:sz w:val="20"/>
          <w:szCs w:val="20"/>
          <w:color w:val="auto"/>
        </w:rPr>
      </w:pPr>
    </w:p>
    <w:p>
      <w:pPr>
        <w:ind w:right="400" w:firstLine="479"/>
        <w:spacing w:after="0" w:line="278" w:lineRule="auto"/>
        <w:rPr>
          <w:sz w:val="20"/>
          <w:szCs w:val="20"/>
          <w:color w:val="auto"/>
        </w:rPr>
      </w:pPr>
      <w:r>
        <w:rPr>
          <w:rFonts w:ascii="Arial" w:cs="Arial" w:eastAsia="Arial" w:hAnsi="Arial"/>
          <w:sz w:val="17"/>
          <w:szCs w:val="17"/>
          <w:color w:val="auto"/>
        </w:rPr>
        <w:t>During the three months ended September 30, 2021, there were no material changes to our critical accounting policies and estimates from those described under the heading “Management’s Discussion and Analysis of Financial Condition and Results of Operations-Critical Accounting Policies and Estimates” on our Annual Report on Form 10-K filed with the Securities and Exchange Commission on March 16, 2021.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18" w:lineRule="exact"/>
        <w:rPr>
          <w:sz w:val="20"/>
          <w:szCs w:val="20"/>
          <w:color w:val="auto"/>
        </w:rPr>
      </w:pPr>
    </w:p>
    <w:p>
      <w:pPr>
        <w:ind w:right="200" w:firstLine="479"/>
        <w:spacing w:after="0" w:line="256"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Under the JOBS Act, emerging growth companies can delay adopting new or revised accounting standards issued subsequent to the enactment of the JOBS Act until such time as those standards apply to private companies.</w:t>
      </w:r>
    </w:p>
    <w:p>
      <w:pPr>
        <w:spacing w:after="0" w:line="188" w:lineRule="exact"/>
        <w:rPr>
          <w:sz w:val="20"/>
          <w:szCs w:val="20"/>
          <w:color w:val="auto"/>
        </w:rPr>
      </w:pPr>
    </w:p>
    <w:p>
      <w:pPr>
        <w:ind w:right="80" w:firstLine="479"/>
        <w:spacing w:after="0" w:line="252" w:lineRule="auto"/>
        <w:rPr>
          <w:sz w:val="20"/>
          <w:szCs w:val="20"/>
          <w:color w:val="auto"/>
        </w:rPr>
      </w:pPr>
      <w:r>
        <w:rPr>
          <w:rFonts w:ascii="Arial" w:cs="Arial" w:eastAsia="Arial" w:hAnsi="Arial"/>
          <w:sz w:val="18"/>
          <w:szCs w:val="18"/>
          <w:color w:val="auto"/>
        </w:rPr>
        <w:t>We have elected to use this extended transition period for complying with new or revised accounting standards that have different effective dates for public and private companies until the earlier of the date we (i) are no longer an emerging growth company or (ii) affirmatively and irrevocably opt out of the extended transition period provided in the JOBS Act. As a result, our financial statements may not be comparable to companies that comply with new or revised accounting pronouncements as of public company effective dates.</w:t>
      </w:r>
    </w:p>
    <w:p>
      <w:pPr>
        <w:spacing w:after="0" w:line="193" w:lineRule="exact"/>
        <w:rPr>
          <w:sz w:val="20"/>
          <w:szCs w:val="20"/>
          <w:color w:val="auto"/>
        </w:rPr>
      </w:pPr>
    </w:p>
    <w:p>
      <w:pPr>
        <w:ind w:right="280" w:firstLine="479"/>
        <w:spacing w:after="0" w:line="252" w:lineRule="auto"/>
        <w:rPr>
          <w:sz w:val="20"/>
          <w:szCs w:val="20"/>
          <w:color w:val="auto"/>
        </w:rPr>
      </w:pPr>
      <w:r>
        <w:rPr>
          <w:rFonts w:ascii="Arial" w:cs="Arial" w:eastAsia="Arial" w:hAnsi="Arial"/>
          <w:sz w:val="18"/>
          <w:szCs w:val="18"/>
          <w:color w:val="auto"/>
        </w:rPr>
        <w:t>We will remain an emerging growth company until the earliest of (1) the last day of our first fiscal year (a) in which we have total annual gross revenues of at least $1.07 billion, or (b) in which we are deemed to be a large accelerated filer, which means the market value of our common stock that is held by non-affiliates exceeds $700.0 million as of the prior June 30</w:t>
      </w:r>
      <w:r>
        <w:rPr>
          <w:rFonts w:ascii="Arial" w:cs="Arial" w:eastAsia="Arial" w:hAnsi="Arial"/>
          <w:sz w:val="15"/>
          <w:szCs w:val="15"/>
          <w:color w:val="auto"/>
        </w:rPr>
        <w:t>th</w:t>
      </w:r>
      <w:r>
        <w:rPr>
          <w:rFonts w:ascii="Arial" w:cs="Arial" w:eastAsia="Arial" w:hAnsi="Arial"/>
          <w:sz w:val="18"/>
          <w:szCs w:val="18"/>
          <w:color w:val="auto"/>
        </w:rPr>
        <w:t>, (2) the date on which we have issued more than $1.0 billion in non-convertible debt securities during the prior three-year period and (3) December 31, 2025.</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18" w:lineRule="exact"/>
        <w:rPr>
          <w:sz w:val="20"/>
          <w:szCs w:val="20"/>
          <w:color w:val="auto"/>
        </w:rPr>
      </w:pPr>
    </w:p>
    <w:p>
      <w:pPr>
        <w:ind w:right="620" w:firstLine="479"/>
        <w:spacing w:after="0" w:line="265" w:lineRule="auto"/>
        <w:rPr>
          <w:sz w:val="20"/>
          <w:szCs w:val="20"/>
          <w:color w:val="auto"/>
        </w:rPr>
      </w:pPr>
      <w:r>
        <w:rPr>
          <w:rFonts w:ascii="Arial" w:cs="Arial" w:eastAsia="Arial" w:hAnsi="Arial"/>
          <w:sz w:val="18"/>
          <w:szCs w:val="18"/>
          <w:color w:val="auto"/>
        </w:rPr>
        <w:t>See Note 3 to our interim financial statements included elsewhere in this Quarterly Report on Form 10-Q for a description of recent accounting pronouncements applicable to our financial statements.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and Smaller Reporting Company Status</w:t>
      </w:r>
    </w:p>
    <w:p>
      <w:pPr>
        <w:spacing w:after="0" w:line="118" w:lineRule="exact"/>
        <w:rPr>
          <w:sz w:val="20"/>
          <w:szCs w:val="20"/>
          <w:color w:val="auto"/>
        </w:rPr>
      </w:pPr>
    </w:p>
    <w:p>
      <w:pPr>
        <w:ind w:right="60" w:firstLine="479"/>
        <w:spacing w:after="0" w:line="249" w:lineRule="auto"/>
        <w:rPr>
          <w:sz w:val="20"/>
          <w:szCs w:val="20"/>
          <w:color w:val="auto"/>
        </w:rPr>
      </w:pPr>
      <w:r>
        <w:rPr>
          <w:rFonts w:ascii="Arial" w:cs="Arial" w:eastAsia="Arial" w:hAnsi="Arial"/>
          <w:sz w:val="18"/>
          <w:szCs w:val="18"/>
          <w:color w:val="auto"/>
        </w:rPr>
        <w:t>In April 2012, the Jumpstart Our Business Startups Act of 2012, or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97" w:lineRule="exact"/>
        <w:rPr>
          <w:sz w:val="20"/>
          <w:szCs w:val="20"/>
          <w:color w:val="auto"/>
        </w:rPr>
      </w:pPr>
    </w:p>
    <w:p>
      <w:pPr>
        <w:ind w:firstLine="479"/>
        <w:spacing w:after="0" w:line="249" w:lineRule="auto"/>
        <w:rPr>
          <w:sz w:val="20"/>
          <w:szCs w:val="20"/>
          <w:color w:val="auto"/>
        </w:rPr>
      </w:pPr>
      <w:r>
        <w:rPr>
          <w:rFonts w:ascii="Arial" w:cs="Arial" w:eastAsia="Arial" w:hAnsi="Arial"/>
          <w:sz w:val="18"/>
          <w:szCs w:val="18"/>
          <w:color w:val="auto"/>
        </w:rPr>
        <w:t>We are in the process of evaluating the benefits of relying on other exemptions and reduced reporting requirements under the JOBS Act,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IPO, (ii) in which we have total annual gross revenues of at least $1.07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97" w:lineRule="exact"/>
        <w:rPr>
          <w:sz w:val="20"/>
          <w:szCs w:val="20"/>
          <w:color w:val="auto"/>
        </w:rPr>
      </w:pPr>
    </w:p>
    <w:p>
      <w:pPr>
        <w:ind w:right="20" w:firstLine="479"/>
        <w:spacing w:after="0" w:line="265"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are a smaller reporting company as defined by Rule 12b-2 of the Exchange Act and are not required to provide the information required under this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w:t>
      </w:r>
    </w:p>
    <w:p>
      <w:pPr>
        <w:spacing w:after="0" w:line="118" w:lineRule="exact"/>
        <w:rPr>
          <w:sz w:val="20"/>
          <w:szCs w:val="20"/>
          <w:color w:val="auto"/>
        </w:rPr>
      </w:pPr>
    </w:p>
    <w:p>
      <w:pPr>
        <w:ind w:firstLine="479"/>
        <w:spacing w:after="0" w:line="264" w:lineRule="auto"/>
        <w:rPr>
          <w:sz w:val="20"/>
          <w:szCs w:val="20"/>
          <w:color w:val="auto"/>
        </w:rPr>
      </w:pPr>
      <w:r>
        <w:rPr>
          <w:rFonts w:ascii="Arial" w:cs="Arial" w:eastAsia="Arial" w:hAnsi="Arial"/>
          <w:sz w:val="17"/>
          <w:szCs w:val="17"/>
          <w:color w:val="auto"/>
        </w:rPr>
        <w:t>As of September 30, 2021,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2021, the design and operation of our disclosure controls and procedures were effective at a reasonable assurance level.</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8" w:lineRule="exact"/>
        <w:rPr>
          <w:sz w:val="20"/>
          <w:szCs w:val="20"/>
          <w:color w:val="auto"/>
        </w:rPr>
      </w:pPr>
    </w:p>
    <w:p>
      <w:pPr>
        <w:ind w:right="40" w:firstLine="479"/>
        <w:spacing w:after="0" w:line="366" w:lineRule="auto"/>
        <w:rPr>
          <w:sz w:val="20"/>
          <w:szCs w:val="20"/>
          <w:color w:val="auto"/>
        </w:rPr>
      </w:pPr>
      <w:r>
        <w:rPr>
          <w:rFonts w:ascii="Arial" w:cs="Arial" w:eastAsia="Arial" w:hAnsi="Arial"/>
          <w:sz w:val="15"/>
          <w:szCs w:val="15"/>
          <w:color w:val="auto"/>
        </w:rPr>
        <w:t>Management determined that, as of September 30, 2021,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8" w:lineRule="exact"/>
        <w:rPr>
          <w:sz w:val="20"/>
          <w:szCs w:val="20"/>
          <w:color w:val="auto"/>
        </w:rPr>
      </w:pPr>
    </w:p>
    <w:p>
      <w:pPr>
        <w:ind w:firstLine="541"/>
        <w:spacing w:after="0" w:line="251" w:lineRule="auto"/>
        <w:rPr>
          <w:sz w:val="20"/>
          <w:szCs w:val="20"/>
          <w:color w:val="auto"/>
        </w:rPr>
      </w:pPr>
      <w:r>
        <w:rPr>
          <w:rFonts w:ascii="Arial" w:cs="Arial" w:eastAsia="Arial" w:hAnsi="Arial"/>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07" w:lineRule="exact"/>
        <w:rPr>
          <w:sz w:val="20"/>
          <w:szCs w:val="20"/>
          <w:color w:val="auto"/>
        </w:rPr>
      </w:pPr>
    </w:p>
    <w:p>
      <w:pPr>
        <w:ind w:firstLine="480"/>
        <w:spacing w:after="0" w:line="266" w:lineRule="auto"/>
        <w:rPr>
          <w:sz w:val="20"/>
          <w:szCs w:val="20"/>
          <w:color w:val="auto"/>
        </w:rPr>
      </w:pPr>
      <w:r>
        <w:rPr>
          <w:rFonts w:ascii="Arial" w:cs="Arial" w:eastAsia="Arial" w:hAnsi="Arial"/>
          <w:sz w:val="17"/>
          <w:szCs w:val="17"/>
          <w:i w:val="1"/>
          <w:iCs w:val="1"/>
          <w:color w:val="auto"/>
        </w:rPr>
        <w:t>Investing in our common stock involves a high degree of risk. Before making your decision to invest in shares of our common stock, you should carefully consider the risks and uncertainties described below, together with the other information contained in this Quarterly Report on Form 10-Q, including our financial statements and the related notes and “Management’s Discussion and Analysis of Financial Condition and Results of Operations”. The risks and uncertainties described below are not the only ones we face. Additional risks and uncertainties that we are unaware of, or that we currently believe are not material, may also become important factors that affect us. We cannot assure you that any of the events discussed below will not occur. These events could have a material and adverse impact on our business, financial condition, results of operations and prospects. If that were to happen, the trading price of our common stock could decline, and you could lose all or part of your investment.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Risk Factors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Our business is subject to a number of risks and uncertainties, including those immediately following this summary. Some of these risks are:</w:t>
      </w:r>
    </w:p>
    <w:p>
      <w:pPr>
        <w:spacing w:after="0" w:line="112" w:lineRule="exact"/>
        <w:rPr>
          <w:sz w:val="20"/>
          <w:szCs w:val="20"/>
          <w:color w:val="auto"/>
        </w:rPr>
      </w:pPr>
    </w:p>
    <w:p>
      <w:pPr>
        <w:ind w:left="820" w:right="240" w:hanging="402"/>
        <w:spacing w:after="0" w:line="25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a clinical-stage precision oncology company with a history of operating losses, and we may not achieve or sustain profitability. We anticipate that we will continue to incur losses for the foreseeable future. Our limited operating history may make it difficult for you to evaluate our success to date and to assess our future viability.</w:t>
      </w:r>
    </w:p>
    <w:p>
      <w:pPr>
        <w:spacing w:after="0" w:line="187" w:lineRule="exact"/>
        <w:rPr>
          <w:rFonts w:ascii="Arial" w:cs="Arial" w:eastAsia="Arial" w:hAnsi="Arial"/>
          <w:sz w:val="18"/>
          <w:szCs w:val="18"/>
          <w:color w:val="auto"/>
        </w:rPr>
      </w:pPr>
    </w:p>
    <w:p>
      <w:pPr>
        <w:ind w:left="820" w:right="460" w:hanging="402"/>
        <w:spacing w:after="0" w:line="26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outbreak of the novel strain of coronavirus, SARS-CoV-2, which causes COVID-19, could adversely impact our business, including our clinical development activities and clinical trials.</w:t>
      </w:r>
    </w:p>
    <w:p>
      <w:pPr>
        <w:spacing w:after="0" w:line="180" w:lineRule="exact"/>
        <w:rPr>
          <w:rFonts w:ascii="Arial" w:cs="Arial" w:eastAsia="Arial" w:hAnsi="Arial"/>
          <w:sz w:val="18"/>
          <w:szCs w:val="18"/>
          <w:color w:val="auto"/>
        </w:rPr>
      </w:pPr>
    </w:p>
    <w:p>
      <w:pPr>
        <w:ind w:left="820" w:hanging="4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will need to raise additional funding before we can expect to become profitable from any potential future sales of our products.</w:t>
      </w:r>
    </w:p>
    <w:p>
      <w:pPr>
        <w:spacing w:after="0" w:line="271" w:lineRule="exact"/>
        <w:rPr>
          <w:rFonts w:ascii="Arial" w:cs="Arial" w:eastAsia="Arial" w:hAnsi="Arial"/>
          <w:sz w:val="18"/>
          <w:szCs w:val="18"/>
          <w:color w:val="auto"/>
        </w:rPr>
      </w:pPr>
    </w:p>
    <w:p>
      <w:pPr>
        <w:ind w:left="820" w:right="520" w:hanging="402"/>
        <w:spacing w:after="0" w:line="295"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very early in our development efforts. Our business is dependent on our ability to advance our current and future product candidates through preclinical studies and clinical trials, obtain marketing approval and ultimately commercialize them.</w:t>
      </w:r>
    </w:p>
    <w:p>
      <w:pPr>
        <w:spacing w:after="0" w:line="156" w:lineRule="exact"/>
        <w:rPr>
          <w:rFonts w:ascii="Arial" w:cs="Arial" w:eastAsia="Arial" w:hAnsi="Arial"/>
          <w:sz w:val="17"/>
          <w:szCs w:val="17"/>
          <w:color w:val="auto"/>
        </w:rPr>
      </w:pPr>
    </w:p>
    <w:p>
      <w:pPr>
        <w:ind w:left="820" w:right="20" w:hanging="402"/>
        <w:spacing w:after="0" w:line="256"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Preclinical and clinical development involve a lengthy and expensive process with an uncertain outcome. We may incur additional costs or experience delays in completing, or ultimately be unable to complete, the development and commercialization of our current product candidates or any future product candidates.</w:t>
      </w:r>
    </w:p>
    <w:p>
      <w:pPr>
        <w:spacing w:after="0" w:line="187" w:lineRule="exact"/>
        <w:rPr>
          <w:rFonts w:ascii="Arial" w:cs="Arial" w:eastAsia="Arial" w:hAnsi="Arial"/>
          <w:sz w:val="18"/>
          <w:szCs w:val="18"/>
          <w:color w:val="auto"/>
        </w:rPr>
      </w:pPr>
    </w:p>
    <w:p>
      <w:pPr>
        <w:ind w:left="820" w:right="180" w:hanging="402"/>
        <w:spacing w:after="0" w:line="26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 candidates may cause undesirable and unforeseen side effects, which could delay or prevent their advancement into clinical trials or regulatory approval, limit the commercial potential or result in significant negative consequences.</w:t>
      </w:r>
    </w:p>
    <w:p>
      <w:pPr>
        <w:spacing w:after="0" w:line="180" w:lineRule="exact"/>
        <w:rPr>
          <w:rFonts w:ascii="Arial" w:cs="Arial" w:eastAsia="Arial" w:hAnsi="Arial"/>
          <w:sz w:val="18"/>
          <w:szCs w:val="18"/>
          <w:color w:val="auto"/>
        </w:rPr>
      </w:pPr>
    </w:p>
    <w:p>
      <w:pPr>
        <w:ind w:left="820" w:right="160" w:hanging="402"/>
        <w:spacing w:after="0" w:line="265"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 possibility that our competitors may achieve regulatory approval before us or develop therapies or technologies that are more advanced or effective than ours.</w:t>
      </w:r>
    </w:p>
    <w:p>
      <w:pPr>
        <w:spacing w:after="0" w:line="180" w:lineRule="exact"/>
        <w:rPr>
          <w:rFonts w:ascii="Arial" w:cs="Arial" w:eastAsia="Arial" w:hAnsi="Arial"/>
          <w:sz w:val="18"/>
          <w:szCs w:val="18"/>
          <w:color w:val="auto"/>
        </w:rPr>
      </w:pPr>
    </w:p>
    <w:p>
      <w:pPr>
        <w:ind w:left="820" w:hanging="402"/>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rely and expect to continue to rely on third-party manufacturers to produce clinical supply of our product candidates.</w:t>
      </w:r>
    </w:p>
    <w:p>
      <w:pPr>
        <w:spacing w:after="0" w:line="271" w:lineRule="exact"/>
        <w:rPr>
          <w:rFonts w:ascii="Arial" w:cs="Arial" w:eastAsia="Arial" w:hAnsi="Arial"/>
          <w:sz w:val="18"/>
          <w:szCs w:val="18"/>
          <w:color w:val="auto"/>
        </w:rPr>
      </w:pPr>
    </w:p>
    <w:p>
      <w:pPr>
        <w:ind w:left="820" w:right="280" w:hanging="402"/>
        <w:spacing w:after="0" w:line="252"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or other necessary rights for our products and technology, or if the scope of the patent protection obtained is not sufficiently broad or our rights under licensed patents is not sufficiently broad, our competitors could develop and commercialize products and technology similar or identical to ours, and our ability to successfully commercialize our products and technology may be adversely affected.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Need for Capital</w:t>
      </w:r>
    </w:p>
    <w:p>
      <w:pPr>
        <w:spacing w:after="0" w:line="144" w:lineRule="exact"/>
        <w:rPr>
          <w:sz w:val="20"/>
          <w:szCs w:val="20"/>
          <w:color w:val="auto"/>
        </w:rPr>
      </w:pPr>
    </w:p>
    <w:p>
      <w:pPr>
        <w:ind w:left="420" w:right="60"/>
        <w:spacing w:after="0" w:line="256" w:lineRule="auto"/>
        <w:rPr>
          <w:sz w:val="20"/>
          <w:szCs w:val="20"/>
          <w:color w:val="auto"/>
        </w:rPr>
      </w:pPr>
      <w:r>
        <w:rPr>
          <w:rFonts w:ascii="Arial" w:cs="Arial" w:eastAsia="Arial" w:hAnsi="Arial"/>
          <w:sz w:val="18"/>
          <w:szCs w:val="18"/>
          <w:b w:val="1"/>
          <w:bCs w:val="1"/>
          <w:i w:val="1"/>
          <w:iCs w:val="1"/>
          <w:color w:val="auto"/>
        </w:rPr>
        <w:t>We have a limited operating history, which may make it difficult to evaluate the success of our business to date and to assess our future viability. We have incurred significant operating losses since our inception and have not generated any revenue. We expect to incur continued losses for the foreseeable future and may never achieve or maintain profitability.</w:t>
      </w:r>
    </w:p>
    <w:p>
      <w:pPr>
        <w:spacing w:after="0" w:line="108" w:lineRule="exact"/>
        <w:rPr>
          <w:sz w:val="20"/>
          <w:szCs w:val="20"/>
          <w:color w:val="auto"/>
        </w:rPr>
      </w:pPr>
    </w:p>
    <w:p>
      <w:pPr>
        <w:ind w:right="120" w:firstLine="416"/>
        <w:spacing w:after="0" w:line="266" w:lineRule="auto"/>
        <w:rPr>
          <w:sz w:val="20"/>
          <w:szCs w:val="20"/>
          <w:color w:val="auto"/>
        </w:rPr>
      </w:pPr>
      <w:r>
        <w:rPr>
          <w:rFonts w:ascii="Arial" w:cs="Arial" w:eastAsia="Arial" w:hAnsi="Arial"/>
          <w:sz w:val="17"/>
          <w:szCs w:val="17"/>
          <w:color w:val="auto"/>
        </w:rPr>
        <w:t>Investment in drug development is a highly speculative undertaking and involves a substantial degree of risk. We commenced operations in 2016 and are a clinical-stage biopharmaceutical company with a limited operating history. We have not yet commercialized any product and we do not expect to generate revenue from sales of any products for several years, if at all. Consequently, there have been limited operations upon which we or you can evaluate our business, and predictions about our future success or viability may not be as accurate as they could be if we had a longer operating history or a history of successfully developing and commercializing cancer therapies. For the nine months ended September 30, 2021 and 2020, we reported a net loss of $78.9 million and $37.7 million, respectively. As of September 30, 2021, we had an accumulated deficit of $186.3 million. We expect to continue to incur significant research and development and other expenses related to our ongoing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28" w:name="page29"/>
    <w:bookmarkEnd w:id="28"/>
    <w:p>
      <w:pPr>
        <w:ind w:right="60" w:firstLine="416"/>
        <w:spacing w:after="0" w:line="319" w:lineRule="auto"/>
        <w:rPr>
          <w:sz w:val="20"/>
          <w:szCs w:val="20"/>
          <w:color w:val="auto"/>
        </w:rPr>
      </w:pPr>
      <w:r>
        <w:rPr>
          <w:rFonts w:ascii="Arial" w:cs="Arial" w:eastAsia="Arial" w:hAnsi="Arial"/>
          <w:sz w:val="15"/>
          <w:szCs w:val="15"/>
          <w:color w:val="auto"/>
        </w:rPr>
        <w:t>Since our inception, we have focused substantially all of our efforts and financial resources on the research, preclinical and clinical development of our product candidates, PRT543, PRT811, PRT1419 and PRT2527, and our research efforts on other potential product candidates targeting Protein Arginine Methyltransferase 5, or PRMT5, Myeloid Cell Leukemia Sequence 1, or MCL1, Cyclin-dependent kinase 9, or CDK9, and Brahma homologue, or BRM, otherwise known as SMARCA2. As of September 30, 2021, our cash, cash equivalents, and marketable securities were $320.9 million.</w:t>
      </w:r>
    </w:p>
    <w:p>
      <w:pPr>
        <w:spacing w:after="0" w:line="159" w:lineRule="exact"/>
        <w:rPr>
          <w:sz w:val="20"/>
          <w:szCs w:val="20"/>
          <w:color w:val="auto"/>
        </w:rPr>
      </w:pPr>
    </w:p>
    <w:p>
      <w:pPr>
        <w:ind w:firstLine="416"/>
        <w:spacing w:after="0" w:line="263" w:lineRule="auto"/>
        <w:rPr>
          <w:sz w:val="20"/>
          <w:szCs w:val="20"/>
          <w:color w:val="auto"/>
        </w:rPr>
      </w:pPr>
      <w:r>
        <w:rPr>
          <w:rFonts w:ascii="Arial" w:cs="Arial" w:eastAsia="Arial" w:hAnsi="Arial"/>
          <w:sz w:val="17"/>
          <w:szCs w:val="17"/>
          <w:color w:val="auto"/>
        </w:rPr>
        <w:t>We expect to incur increasing levels of operating losses for the foreseeable future, particularly as we advance PRT543, PRT811, PRT1419 and PRT2527 through clinical development. Our prior losses, combined with expected future losses, have had, and will continue to have, an adverse effect on our stockholders’ equity and working capital. We expect our research and development expenses to significantly increase in connection with our additional planned clinical trials for our lead product candidates, including the ongoing Phase 1 clinical trials and the planned expansion cohorts of PRT543 and PRT811, the ongoing Phase 1 clinical trial for oral PRT1419 and development and subsequent INDs of other future product candidates we may choose to pursue, including IV PRT1419, PRT2527, our CDK9 inhibitor, a SMARCA2 protein degrader and a kinase inhibitor. In addition, if we obtain marketing approval for PRT543, PRT811, PRT1419, PRT2527 or another product candidate, we will incur significant sales, marketing and outsourced manufacturing expenses in connection with the commercialization of PRT543, PRT811, PRT1419, PRT2527 or such other product candidate, respectively. We will also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Even if we do become profitable, we may not be able to sustain or increase our profitability on a quarterly or annual basis. We expect our financial condition and operating results to fluctuate significantly from quarter-to-quarter and year-to-year due to a variety of factors, many of which are beyond our control. Accordingly, you should not rely upon the results of any quarterly or annual periods as indications of future operating performance.</w:t>
      </w:r>
    </w:p>
    <w:p>
      <w:pPr>
        <w:spacing w:after="0" w:line="188" w:lineRule="exact"/>
        <w:rPr>
          <w:sz w:val="20"/>
          <w:szCs w:val="20"/>
          <w:color w:val="auto"/>
        </w:rPr>
      </w:pPr>
    </w:p>
    <w:p>
      <w:pPr>
        <w:ind w:right="120" w:firstLine="416"/>
        <w:spacing w:after="0" w:line="252" w:lineRule="auto"/>
        <w:rPr>
          <w:sz w:val="20"/>
          <w:szCs w:val="20"/>
          <w:color w:val="auto"/>
        </w:rPr>
      </w:pPr>
      <w:r>
        <w:rPr>
          <w:rFonts w:ascii="Arial" w:cs="Arial" w:eastAsia="Arial" w:hAnsi="Arial"/>
          <w:sz w:val="18"/>
          <w:szCs w:val="18"/>
          <w:color w:val="auto"/>
        </w:rPr>
        <w:t>Our ability to become profitable depends upon our ability to generate revenue. To date, we have not generated any revenue and we do not know when, or if, we will generate any revenue. We do not expect to generate significant revenue unless and until we obtain marketing approval for, and begin to sell, PRT543, PRT811, PRT1419, PRT2527 or another product candidate. Our ability to generate revenue depends on a number of factors, including, but not limited to, our ability to:</w:t>
      </w:r>
    </w:p>
    <w:p>
      <w:pPr>
        <w:spacing w:after="0" w:line="100" w:lineRule="exact"/>
        <w:rPr>
          <w:sz w:val="20"/>
          <w:szCs w:val="20"/>
          <w:color w:val="auto"/>
        </w:rPr>
      </w:pPr>
    </w:p>
    <w:p>
      <w:pPr>
        <w:ind w:left="820" w:hanging="4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complete successful Phase 1 portions of PRT543, PRT811, PRT1419 and PRT2527 clinical trials;</w:t>
      </w:r>
    </w:p>
    <w:p>
      <w:pPr>
        <w:spacing w:after="0" w:line="125" w:lineRule="exact"/>
        <w:rPr>
          <w:rFonts w:ascii="Arial" w:cs="Arial" w:eastAsia="Arial" w:hAnsi="Arial"/>
          <w:sz w:val="18"/>
          <w:szCs w:val="18"/>
          <w:color w:val="auto"/>
        </w:rPr>
      </w:pPr>
    </w:p>
    <w:p>
      <w:pPr>
        <w:ind w:left="820" w:right="420" w:hanging="402"/>
        <w:spacing w:after="0" w:line="331" w:lineRule="auto"/>
        <w:tabs>
          <w:tab w:leader="none" w:pos="82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initiate and successfully complete all safety, pharmacokinetic and other studies required to obtain U.S. and foreign marketing approval for PRT543 as a treatment for patients with hematological malignancies and advanced solid tumors, PRT811 as a treatment for patients with glioblastoma and advanced solid tumors and PRT1419 as a treatment for patients with certain solid tumors and hematological malignancies;</w:t>
      </w:r>
    </w:p>
    <w:p>
      <w:pPr>
        <w:spacing w:after="0" w:line="43" w:lineRule="exact"/>
        <w:rPr>
          <w:rFonts w:ascii="Arial" w:cs="Arial" w:eastAsia="Arial" w:hAnsi="Arial"/>
          <w:sz w:val="15"/>
          <w:szCs w:val="15"/>
          <w:color w:val="auto"/>
        </w:rPr>
      </w:pPr>
    </w:p>
    <w:p>
      <w:pPr>
        <w:ind w:left="820" w:hanging="402"/>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initiate and complete successful later-stage clinical trials that meet their clinical endpoints;</w:t>
      </w:r>
    </w:p>
    <w:p>
      <w:pPr>
        <w:spacing w:after="0" w:line="138"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obtain favorable results from our clinical trials and apply for and obtain marketing approval for PRT543, PRT811, PRT1419 and PRT2527;</w:t>
      </w:r>
    </w:p>
    <w:p>
      <w:pPr>
        <w:spacing w:after="0" w:line="150" w:lineRule="exact"/>
        <w:rPr>
          <w:sz w:val="20"/>
          <w:szCs w:val="20"/>
          <w:color w:val="auto"/>
        </w:rPr>
      </w:pPr>
    </w:p>
    <w:p>
      <w:pPr>
        <w:ind w:left="820" w:hanging="4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licenses, collaborations or strategic partnerships that may increase the value of our programs;</w:t>
      </w:r>
    </w:p>
    <w:p>
      <w:pPr>
        <w:spacing w:after="0" w:line="138" w:lineRule="exact"/>
        <w:rPr>
          <w:rFonts w:ascii="Arial" w:cs="Arial" w:eastAsia="Arial" w:hAnsi="Arial"/>
          <w:sz w:val="18"/>
          <w:szCs w:val="18"/>
          <w:color w:val="auto"/>
        </w:rPr>
      </w:pPr>
    </w:p>
    <w:p>
      <w:pPr>
        <w:ind w:left="820" w:hanging="402"/>
        <w:spacing w:after="0"/>
        <w:tabs>
          <w:tab w:leader="none" w:pos="820" w:val="left"/>
        </w:tabs>
        <w:numPr>
          <w:ilvl w:val="0"/>
          <w:numId w:val="9"/>
        </w:numPr>
        <w:rPr>
          <w:rFonts w:ascii="Arial" w:cs="Arial" w:eastAsia="Arial" w:hAnsi="Arial"/>
          <w:sz w:val="15"/>
          <w:szCs w:val="15"/>
          <w:color w:val="auto"/>
        </w:rPr>
      </w:pPr>
      <w:r>
        <w:rPr>
          <w:rFonts w:ascii="Arial" w:cs="Arial" w:eastAsia="Arial" w:hAnsi="Arial"/>
          <w:sz w:val="15"/>
          <w:szCs w:val="15"/>
          <w:color w:val="auto"/>
        </w:rPr>
        <w:t>successfully manufacture or contract with others to manufacture PRT543, PRT811, PRT1419, PRT2527 and our other product candidates;</w:t>
      </w:r>
    </w:p>
    <w:p>
      <w:pPr>
        <w:spacing w:after="0" w:line="159" w:lineRule="exact"/>
        <w:rPr>
          <w:rFonts w:ascii="Arial" w:cs="Arial" w:eastAsia="Arial" w:hAnsi="Arial"/>
          <w:sz w:val="15"/>
          <w:szCs w:val="15"/>
          <w:color w:val="auto"/>
        </w:rPr>
      </w:pPr>
    </w:p>
    <w:p>
      <w:pPr>
        <w:ind w:left="820" w:right="20" w:hanging="402"/>
        <w:spacing w:after="0" w:line="26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commercialize PRT543, PRT811, PRT1419, PRT2527 if approved, respectively, by building a sales force or entering into collaborations with third parties;</w:t>
      </w:r>
    </w:p>
    <w:p>
      <w:pPr>
        <w:spacing w:after="0" w:line="87" w:lineRule="exact"/>
        <w:rPr>
          <w:rFonts w:ascii="Arial" w:cs="Arial" w:eastAsia="Arial" w:hAnsi="Arial"/>
          <w:sz w:val="18"/>
          <w:szCs w:val="18"/>
          <w:color w:val="auto"/>
        </w:rPr>
      </w:pPr>
    </w:p>
    <w:p>
      <w:pPr>
        <w:ind w:left="840" w:right="4380" w:hanging="422"/>
        <w:spacing w:after="0" w:line="265" w:lineRule="auto"/>
        <w:tabs>
          <w:tab w:leader="none" w:pos="821" w:val="left"/>
        </w:tabs>
        <w:numPr>
          <w:ilvl w:val="0"/>
          <w:numId w:val="9"/>
        </w:numPr>
        <w:rPr>
          <w:rFonts w:ascii="Arial" w:cs="Arial" w:eastAsia="Arial" w:hAnsi="Arial"/>
          <w:sz w:val="18"/>
          <w:szCs w:val="18"/>
          <w:color w:val="auto"/>
        </w:rPr>
      </w:pPr>
      <w:r>
        <w:rPr>
          <w:rFonts w:ascii="Arial" w:cs="Arial" w:eastAsia="Arial" w:hAnsi="Arial"/>
          <w:sz w:val="18"/>
          <w:szCs w:val="18"/>
          <w:color w:val="auto"/>
        </w:rPr>
        <w:t>submit INDs the SMARCA2 protein degrader that are made effective by the U.S. Food and Drug Administration, or the FDA;</w:t>
      </w:r>
    </w:p>
    <w:p>
      <w:pPr>
        <w:spacing w:after="0" w:line="100" w:lineRule="exact"/>
        <w:rPr>
          <w:rFonts w:ascii="Arial" w:cs="Arial" w:eastAsia="Arial" w:hAnsi="Arial"/>
          <w:sz w:val="18"/>
          <w:szCs w:val="18"/>
          <w:color w:val="auto"/>
        </w:rPr>
      </w:pPr>
    </w:p>
    <w:p>
      <w:pPr>
        <w:ind w:left="820" w:hanging="402"/>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maintain, protect and defend our intellectual property portfolio; and</w:t>
      </w:r>
    </w:p>
    <w:p>
      <w:pPr>
        <w:spacing w:after="0" w:line="138" w:lineRule="exact"/>
        <w:rPr>
          <w:rFonts w:ascii="Arial" w:cs="Arial" w:eastAsia="Arial" w:hAnsi="Arial"/>
          <w:sz w:val="18"/>
          <w:szCs w:val="18"/>
          <w:color w:val="auto"/>
        </w:rPr>
      </w:pPr>
    </w:p>
    <w:p>
      <w:pPr>
        <w:ind w:left="820" w:right="240" w:hanging="402"/>
        <w:spacing w:after="0" w:line="265"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of PRT543, PRT811, PRT1419, PRT2527 and our other successful product candidates with the medical community and with third-party payors.</w:t>
      </w:r>
    </w:p>
    <w:p>
      <w:pPr>
        <w:spacing w:after="0" w:line="207" w:lineRule="exact"/>
        <w:rPr>
          <w:sz w:val="20"/>
          <w:szCs w:val="20"/>
          <w:color w:val="auto"/>
        </w:rPr>
      </w:pPr>
    </w:p>
    <w:p>
      <w:pPr>
        <w:ind w:right="20" w:firstLine="416"/>
        <w:spacing w:after="0" w:line="267" w:lineRule="auto"/>
        <w:rPr>
          <w:sz w:val="20"/>
          <w:szCs w:val="20"/>
          <w:color w:val="auto"/>
        </w:rPr>
      </w:pPr>
      <w:r>
        <w:rPr>
          <w:rFonts w:ascii="Arial" w:cs="Arial" w:eastAsia="Arial" w:hAnsi="Arial"/>
          <w:sz w:val="17"/>
          <w:szCs w:val="17"/>
          <w:color w:val="auto"/>
        </w:rPr>
        <w:t>To become and remain profitable, we must succeed in designing, developing and eventually commercializing products that generate significant revenue. This will require us to be successful in a range of challenging activities, including completing preclinical testing and clinical trials for our product candidates, designing additional product candidates, establishing arrangements with third parties for the manufacture of clinical supplies of our product candidates, obtaining marketing approval for our product candidates and manufacturing, marketing and selling any products for which we may obtain marketing approval. We are only in the preliminary stages of most of these activities. We may never succeed in these activities and, even if we do, may never generate revenues that are significant enough to achieve profitability.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29" w:name="page30"/>
    <w:bookmarkEnd w:id="29"/>
    <w:p>
      <w:pPr>
        <w:ind w:right="80" w:firstLine="416"/>
        <w:spacing w:after="0" w:line="269" w:lineRule="auto"/>
        <w:rPr>
          <w:sz w:val="20"/>
          <w:szCs w:val="20"/>
          <w:color w:val="auto"/>
        </w:rPr>
      </w:pPr>
      <w:r>
        <w:rPr>
          <w:rFonts w:ascii="Arial" w:cs="Arial" w:eastAsia="Arial" w:hAnsi="Arial"/>
          <w:sz w:val="17"/>
          <w:szCs w:val="17"/>
          <w:color w:val="auto"/>
        </w:rPr>
        <w:t>In cases where we are successful in obtaining regulatory approval to market one or more of our product candidates, our revenue will be dependent, in part, upon the size of the markets in the territories for which we gain regulatory approval, the accepted price for the product, the ability to obtain coverage and reimbursement, and whether we own the commercial rights for that territory. If the number of our addressable patients is not as significant as we estimate, the indication approved by regulatory authorities is narrower than we expect, or the treatment population is narrowed by competition, physician choice or treatment guidelines, we may not generate significant revenue from sales of such products, even if approved.</w:t>
      </w:r>
    </w:p>
    <w:p>
      <w:pPr>
        <w:spacing w:after="0" w:line="179"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Because of the numerous risks and uncertainties associated with pharmaceutical product development, we are unable to accurately predict the timing or amount of increased expenses we will incur or when, or if, we will be able to achieve profitability. If we decide to or are required by the FDA or regulatory authorities in other jurisdictions to perform studies or clinical trials in addition to those currently expected, or if there are any delays in establishing appropriate manufacturing arrangements for, in initiating or completing our current and planned clinical trials for, or in the development of, any of our product candidates, our expenses could increase materially and profitability could be further delayed.</w:t>
      </w:r>
    </w:p>
    <w:p>
      <w:pPr>
        <w:spacing w:after="0" w:line="179" w:lineRule="exact"/>
        <w:rPr>
          <w:sz w:val="20"/>
          <w:szCs w:val="20"/>
          <w:color w:val="auto"/>
        </w:rPr>
      </w:pPr>
    </w:p>
    <w:p>
      <w:pPr>
        <w:ind w:right="160" w:firstLine="416"/>
        <w:spacing w:after="0" w:line="252" w:lineRule="auto"/>
        <w:rPr>
          <w:sz w:val="20"/>
          <w:szCs w:val="20"/>
          <w:color w:val="auto"/>
        </w:rPr>
      </w:pPr>
      <w:r>
        <w:rPr>
          <w:rFonts w:ascii="Arial" w:cs="Arial" w:eastAsia="Arial" w:hAnsi="Arial"/>
          <w:sz w:val="18"/>
          <w:szCs w:val="18"/>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286" w:lineRule="exact"/>
        <w:rPr>
          <w:sz w:val="20"/>
          <w:szCs w:val="20"/>
          <w:color w:val="auto"/>
        </w:rPr>
      </w:pPr>
    </w:p>
    <w:p>
      <w:pPr>
        <w:ind w:left="420" w:right="80"/>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funding to pursue our business objectives. If we are unable to raise capital when needed or on terms acceptable to us, we could be forced to delay, reduce or eliminate our research or drug development programs, any future commercialization efforts or other operations.</w:t>
      </w:r>
    </w:p>
    <w:p>
      <w:pPr>
        <w:spacing w:after="0" w:line="81" w:lineRule="exact"/>
        <w:rPr>
          <w:sz w:val="20"/>
          <w:szCs w:val="20"/>
          <w:color w:val="auto"/>
        </w:rPr>
      </w:pPr>
    </w:p>
    <w:p>
      <w:pPr>
        <w:ind w:firstLine="416"/>
        <w:spacing w:after="0" w:line="264" w:lineRule="auto"/>
        <w:rPr>
          <w:sz w:val="20"/>
          <w:szCs w:val="20"/>
          <w:color w:val="auto"/>
        </w:rPr>
      </w:pPr>
      <w:r>
        <w:rPr>
          <w:rFonts w:ascii="Arial" w:cs="Arial" w:eastAsia="Arial" w:hAnsi="Arial"/>
          <w:sz w:val="17"/>
          <w:szCs w:val="17"/>
          <w:color w:val="auto"/>
        </w:rPr>
        <w:t>We expect our expenses to increase substantially in connection with our ongoing activities, particularly as we advance our product candidates, PRT543, PRT811, PRT1419 and PRT2527, and other pipeline product candidates through clinical development, and seek to design additional product candidates from our discovery programs. We expect increased expenses as we continue our research and development, initiate additional clinical trials, and seek marketing approval for our lead programs and our other product candidates. In addition, if we obtain marketing approval for any of our product candidates, we expect to incur significant commercialization expenses related to product manufacturing, marketing, sales and distribution. Furthermore, we expect to continue to incur additional costs associated with operating as a public company. Accordingly, we will need to obtain substantial additional funding in connection with our continuing operations. Adequate additional financing may not be available to us on favorable terms, or at all. In addition, we may seek additional capital due to favorable market conditions or strategic considerations even if we believe we have sufficient funds for our current or future operating plans. If we are unable to raise capital when needed or on favorable terms, we could be forced to delay, reduce or eliminate our research and development programs, our commercialization plans or other operations.</w:t>
      </w:r>
    </w:p>
    <w:p>
      <w:pPr>
        <w:spacing w:after="0" w:line="187" w:lineRule="exact"/>
        <w:rPr>
          <w:sz w:val="20"/>
          <w:szCs w:val="20"/>
          <w:color w:val="auto"/>
        </w:rPr>
      </w:pPr>
    </w:p>
    <w:p>
      <w:pPr>
        <w:ind w:firstLine="416"/>
        <w:spacing w:after="0" w:line="319" w:lineRule="auto"/>
        <w:rPr>
          <w:sz w:val="20"/>
          <w:szCs w:val="20"/>
          <w:color w:val="auto"/>
        </w:rPr>
      </w:pPr>
      <w:r>
        <w:rPr>
          <w:rFonts w:ascii="Arial" w:cs="Arial" w:eastAsia="Arial" w:hAnsi="Arial"/>
          <w:sz w:val="15"/>
          <w:szCs w:val="15"/>
          <w:color w:val="auto"/>
        </w:rPr>
        <w:t>We believe that our existing cash, cash equivalents, and marketable securities will enable us to fund our operating expenses, and capital expenditure requirements into the second half of 2023. We have based this estimate on assumptions that may prove to be wrong, and we could use our capital resources sooner than we currently expect. Changes beyond our control may occur that would cause us to use our available capital before that time, including changes in and progress of our drug development activities and changes in regulation. Our future capital requirements will depend on many factors, including:</w:t>
      </w:r>
    </w:p>
    <w:p>
      <w:pPr>
        <w:spacing w:after="0" w:line="52"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progress, timing and results of preclinical studies and clinical trials for our current or any future product candidates;</w:t>
      </w:r>
    </w:p>
    <w:p>
      <w:pPr>
        <w:spacing w:after="0" w:line="112" w:lineRule="exact"/>
        <w:rPr>
          <w:sz w:val="20"/>
          <w:szCs w:val="20"/>
          <w:color w:val="auto"/>
        </w:rPr>
      </w:pPr>
    </w:p>
    <w:p>
      <w:pPr>
        <w:ind w:left="820" w:hanging="402"/>
        <w:spacing w:after="0"/>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extent to which we develop, in-license or acquire other pipeline product candidates or technologies;</w:t>
      </w:r>
    </w:p>
    <w:p>
      <w:pPr>
        <w:spacing w:after="0" w:line="111" w:lineRule="exact"/>
        <w:rPr>
          <w:rFonts w:ascii="Arial" w:cs="Arial" w:eastAsia="Arial" w:hAnsi="Arial"/>
          <w:sz w:val="18"/>
          <w:szCs w:val="18"/>
          <w:color w:val="auto"/>
        </w:rPr>
      </w:pPr>
    </w:p>
    <w:p>
      <w:pPr>
        <w:ind w:left="820" w:right="560" w:hanging="402"/>
        <w:spacing w:after="0" w:line="26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 and other indications for our current product candidates that we may pursue;</w:t>
      </w:r>
    </w:p>
    <w:p>
      <w:pPr>
        <w:spacing w:after="0" w:line="74" w:lineRule="exact"/>
        <w:rPr>
          <w:rFonts w:ascii="Arial" w:cs="Arial" w:eastAsia="Arial" w:hAnsi="Arial"/>
          <w:sz w:val="18"/>
          <w:szCs w:val="18"/>
          <w:color w:val="auto"/>
        </w:rPr>
      </w:pPr>
    </w:p>
    <w:p>
      <w:pPr>
        <w:ind w:left="820" w:right="820" w:hanging="402"/>
        <w:spacing w:after="0" w:line="26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timing and outcome of obtaining regulatory approvals of our current or future product candidates and any companion diagnostics we may pursue;</w:t>
      </w:r>
    </w:p>
    <w:p>
      <w:pPr>
        <w:spacing w:after="0" w:line="74" w:lineRule="exact"/>
        <w:rPr>
          <w:rFonts w:ascii="Arial" w:cs="Arial" w:eastAsia="Arial" w:hAnsi="Arial"/>
          <w:sz w:val="18"/>
          <w:szCs w:val="18"/>
          <w:color w:val="auto"/>
        </w:rPr>
      </w:pPr>
    </w:p>
    <w:p>
      <w:pPr>
        <w:ind w:left="820" w:right="480" w:hanging="402"/>
        <w:spacing w:after="0" w:line="26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scope and costs of making arrangements with third-party manufacturers, or establishing manufacturing capabilities, for both clinical and commercial supplies of our current or future product candidates;</w:t>
      </w:r>
    </w:p>
    <w:p>
      <w:pPr>
        <w:spacing w:after="0" w:line="21" w:lineRule="exact"/>
        <w:rPr>
          <w:rFonts w:ascii="Arial" w:cs="Arial" w:eastAsia="Arial" w:hAnsi="Arial"/>
          <w:sz w:val="18"/>
          <w:szCs w:val="18"/>
          <w:color w:val="auto"/>
        </w:rPr>
      </w:pPr>
    </w:p>
    <w:p>
      <w:pPr>
        <w:ind w:left="820" w:right="240" w:hanging="402"/>
        <w:spacing w:after="0" w:line="26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costs involved in growing our organization to the size needed to allow for the research, development and potential commercialization of our current or future product candidates;</w:t>
      </w:r>
    </w:p>
    <w:p>
      <w:pPr>
        <w:spacing w:after="0" w:line="74" w:lineRule="exact"/>
        <w:rPr>
          <w:rFonts w:ascii="Arial" w:cs="Arial" w:eastAsia="Arial" w:hAnsi="Arial"/>
          <w:sz w:val="18"/>
          <w:szCs w:val="18"/>
          <w:color w:val="auto"/>
        </w:rPr>
      </w:pPr>
    </w:p>
    <w:p>
      <w:pPr>
        <w:ind w:left="820" w:right="740" w:hanging="402"/>
        <w:spacing w:after="0" w:line="265" w:lineRule="auto"/>
        <w:tabs>
          <w:tab w:leader="none" w:pos="8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associated with commercializing any approved product candidates, including establishing sales, marketing and distribution capabilities;</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30" w:name="page31"/>
    <w:bookmarkEnd w:id="30"/>
    <w:p>
      <w:pPr>
        <w:ind w:left="820" w:hanging="402"/>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 associated with completing any post-marketing studies or trials required by the FDA or other regulatory authorities;</w:t>
      </w:r>
    </w:p>
    <w:p>
      <w:pPr>
        <w:spacing w:after="0" w:line="111" w:lineRule="exact"/>
        <w:rPr>
          <w:rFonts w:ascii="Arial" w:cs="Arial" w:eastAsia="Arial" w:hAnsi="Arial"/>
          <w:sz w:val="18"/>
          <w:szCs w:val="18"/>
          <w:color w:val="auto"/>
        </w:rPr>
      </w:pPr>
    </w:p>
    <w:p>
      <w:pPr>
        <w:ind w:left="820" w:hanging="402"/>
        <w:spacing w:after="0" w:line="265"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PRT543, PRT811, PRT1419, or PRT2527 if any are approved, or our other pipeline product candidates that receive marketing approval;</w:t>
      </w:r>
    </w:p>
    <w:p>
      <w:pPr>
        <w:spacing w:after="0" w:line="74" w:lineRule="exact"/>
        <w:rPr>
          <w:rFonts w:ascii="Arial" w:cs="Arial" w:eastAsia="Arial" w:hAnsi="Arial"/>
          <w:sz w:val="18"/>
          <w:szCs w:val="18"/>
          <w:color w:val="auto"/>
        </w:rPr>
      </w:pPr>
    </w:p>
    <w:p>
      <w:pPr>
        <w:ind w:left="820" w:right="620" w:hanging="402"/>
        <w:spacing w:after="0" w:line="366" w:lineRule="auto"/>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costs of preparing, filing and prosecuting patent applications, maintaining and enforcing our intellectual property rights and defending intellectual property-related claims that we may become subject to, including any litigation costs and the outcome of such litigation;</w:t>
      </w:r>
    </w:p>
    <w:p>
      <w:pPr>
        <w:spacing w:after="0" w:line="5" w:lineRule="exact"/>
        <w:rPr>
          <w:rFonts w:ascii="Arial" w:cs="Arial" w:eastAsia="Arial" w:hAnsi="Arial"/>
          <w:sz w:val="15"/>
          <w:szCs w:val="15"/>
          <w:color w:val="auto"/>
        </w:rPr>
      </w:pPr>
    </w:p>
    <w:p>
      <w:pPr>
        <w:ind w:left="820" w:right="220" w:hanging="402"/>
        <w:spacing w:after="0" w:line="265"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costs associated with potential product liability claims, including the costs associated with obtaining insurance against such claims and with defending against such claims; and</w:t>
      </w:r>
    </w:p>
    <w:p>
      <w:pPr>
        <w:spacing w:after="0" w:line="74" w:lineRule="exact"/>
        <w:rPr>
          <w:rFonts w:ascii="Arial" w:cs="Arial" w:eastAsia="Arial" w:hAnsi="Arial"/>
          <w:sz w:val="18"/>
          <w:szCs w:val="18"/>
          <w:color w:val="auto"/>
        </w:rPr>
      </w:pPr>
    </w:p>
    <w:p>
      <w:pPr>
        <w:jc w:val="both"/>
        <w:ind w:left="820" w:right="220" w:hanging="402"/>
        <w:spacing w:after="0" w:line="331" w:lineRule="auto"/>
        <w:tabs>
          <w:tab w:leader="none" w:pos="8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to the extent we pursue strategic collaborations, including collaborations to commercialize PRT543, PRT811, PRT1419, PRT2527 or any of our other pipeline product candidates, our ability to establish and maintain collaborations on favorable terms, if at all, as well as the timing and amount of any milestone or royalty payments we are required to make or are eligible to receive under such collaborations, if any.</w:t>
      </w:r>
    </w:p>
    <w:p>
      <w:pPr>
        <w:spacing w:after="0" w:line="136" w:lineRule="exact"/>
        <w:rPr>
          <w:sz w:val="20"/>
          <w:szCs w:val="20"/>
          <w:color w:val="auto"/>
        </w:rPr>
      </w:pPr>
    </w:p>
    <w:p>
      <w:pPr>
        <w:ind w:firstLine="416"/>
        <w:spacing w:after="0" w:line="267" w:lineRule="auto"/>
        <w:rPr>
          <w:sz w:val="20"/>
          <w:szCs w:val="20"/>
          <w:color w:val="auto"/>
        </w:rPr>
      </w:pPr>
      <w:r>
        <w:rPr>
          <w:rFonts w:ascii="Arial" w:cs="Arial" w:eastAsia="Arial" w:hAnsi="Arial"/>
          <w:sz w:val="17"/>
          <w:szCs w:val="17"/>
          <w:color w:val="auto"/>
        </w:rPr>
        <w:t>We will require additional capital to complete our planned clinical development programs for our current product candidates to obtain regulatory approval. Our ability to raise additional funds will depend on financial, economic and market conditions and other factors, over which we may have no or limited control. If adequate funds are not available on commercially acceptable terms when needed, we may be forced to delay, reduce or terminate the development or commercialization of all or part of our research programs or product candidates or we may be unable to take advantage of future business opportunities. Furthermore, any additional capital-raising efforts may divert our management from their day-to-day activities, which may adversely affect our ability to develop and commercialize our current and future product candidates, if approved.</w:t>
      </w:r>
    </w:p>
    <w:p>
      <w:pPr>
        <w:spacing w:after="0" w:line="276" w:lineRule="exact"/>
        <w:rPr>
          <w:sz w:val="20"/>
          <w:szCs w:val="20"/>
          <w:color w:val="auto"/>
        </w:rPr>
      </w:pPr>
    </w:p>
    <w:p>
      <w:pPr>
        <w:ind w:left="420" w:right="300"/>
        <w:spacing w:after="0" w:line="265"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74" w:lineRule="exact"/>
        <w:rPr>
          <w:sz w:val="20"/>
          <w:szCs w:val="20"/>
          <w:color w:val="auto"/>
        </w:rPr>
      </w:pPr>
    </w:p>
    <w:p>
      <w:pPr>
        <w:ind w:right="60" w:firstLine="416"/>
        <w:spacing w:after="0" w:line="266" w:lineRule="auto"/>
        <w:rPr>
          <w:sz w:val="20"/>
          <w:szCs w:val="20"/>
          <w:color w:val="auto"/>
        </w:rPr>
      </w:pPr>
      <w:r>
        <w:rPr>
          <w:rFonts w:ascii="Arial" w:cs="Arial" w:eastAsia="Arial" w:hAnsi="Arial"/>
          <w:sz w:val="17"/>
          <w:szCs w:val="17"/>
          <w:color w:val="auto"/>
        </w:rPr>
        <w:t>Until such time, if ever, as we can generate substantial product revenue, we expect to finance our cash needs through a combination of equity offerings, debt financings, collaborations, strategic alliances and marketing, distribution or licensing arrangements. In addition, we may seek additional capital due to favorable market conditions or strategic considerations, even if we believe we have sufficient funds for our current or future operating plans.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w:t>
      </w:r>
    </w:p>
    <w:p>
      <w:pPr>
        <w:spacing w:after="0" w:line="183" w:lineRule="exact"/>
        <w:rPr>
          <w:sz w:val="20"/>
          <w:szCs w:val="20"/>
          <w:color w:val="auto"/>
        </w:rPr>
      </w:pPr>
    </w:p>
    <w:p>
      <w:pPr>
        <w:ind w:right="120" w:firstLine="416"/>
        <w:spacing w:after="0" w:line="269" w:lineRule="auto"/>
        <w:rPr>
          <w:sz w:val="20"/>
          <w:szCs w:val="20"/>
          <w:color w:val="auto"/>
        </w:rPr>
      </w:pPr>
      <w:r>
        <w:rPr>
          <w:rFonts w:ascii="Arial" w:cs="Arial" w:eastAsia="Arial" w:hAnsi="Arial"/>
          <w:sz w:val="17"/>
          <w:szCs w:val="17"/>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third parties to develop and market product candidates that we would otherwise prefer to develop and market ourselves.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Design and Development of our Product Candidates</w:t>
      </w:r>
    </w:p>
    <w:p>
      <w:pPr>
        <w:spacing w:after="0" w:line="118" w:lineRule="exact"/>
        <w:rPr>
          <w:sz w:val="20"/>
          <w:szCs w:val="20"/>
          <w:color w:val="auto"/>
        </w:rPr>
      </w:pPr>
    </w:p>
    <w:p>
      <w:pPr>
        <w:ind w:left="420" w:right="80"/>
        <w:spacing w:after="0" w:line="278" w:lineRule="auto"/>
        <w:rPr>
          <w:sz w:val="20"/>
          <w:szCs w:val="20"/>
          <w:color w:val="auto"/>
        </w:rPr>
      </w:pPr>
      <w:r>
        <w:rPr>
          <w:rFonts w:ascii="Arial" w:cs="Arial" w:eastAsia="Arial" w:hAnsi="Arial"/>
          <w:sz w:val="17"/>
          <w:szCs w:val="17"/>
          <w:b w:val="1"/>
          <w:bCs w:val="1"/>
          <w:i w:val="1"/>
          <w:iCs w:val="1"/>
          <w:color w:val="auto"/>
        </w:rPr>
        <w:t>We are highly dependent on the success of our product candidates, PRT543, PRT811, PRT1419 and PRT2527, which are in early clinical development. We have not completed successful late-stage pivotal clinical trials or obtained regulatory approval for any product candidate. We may never obtain approval for any of our product candidates or achieve or sustain profitability.</w:t>
      </w:r>
    </w:p>
    <w:p>
      <w:pPr>
        <w:spacing w:after="0" w:line="38" w:lineRule="exact"/>
        <w:rPr>
          <w:sz w:val="20"/>
          <w:szCs w:val="20"/>
          <w:color w:val="auto"/>
        </w:rPr>
      </w:pPr>
    </w:p>
    <w:p>
      <w:pPr>
        <w:ind w:right="260" w:firstLine="416"/>
        <w:spacing w:after="0" w:line="269" w:lineRule="auto"/>
        <w:rPr>
          <w:sz w:val="20"/>
          <w:szCs w:val="20"/>
          <w:color w:val="auto"/>
        </w:rPr>
      </w:pPr>
      <w:r>
        <w:rPr>
          <w:rFonts w:ascii="Arial" w:cs="Arial" w:eastAsia="Arial" w:hAnsi="Arial"/>
          <w:sz w:val="17"/>
          <w:szCs w:val="17"/>
          <w:color w:val="auto"/>
        </w:rPr>
        <w:t>Our future success is highly dependent on our ability to obtain regulatory approval for, and then successfully commercialize, our product candidates, PRT543, PRT811, PRT1419 and PRT2527. We are early in our development efforts and our lead product candidates, PRT543, PRT811, PRT1419 and PRT2527, are each currently in a Phase 1 clinical trial. Our other product candidates are in earlier stages of development. We currently have no products that are approved for sale in any jurisdiction. There can be no assurance that PRT543, PRT811, PRT1419, PRT2527 or our other product candidates in development will achieve success in their clinical trials or obtain regulatory approval.</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1" w:name="page32"/>
    <w:bookmarkEnd w:id="31"/>
    <w:p>
      <w:pPr>
        <w:jc w:val="both"/>
        <w:ind w:firstLine="416"/>
        <w:spacing w:after="0" w:line="278" w:lineRule="auto"/>
        <w:rPr>
          <w:sz w:val="20"/>
          <w:szCs w:val="20"/>
          <w:color w:val="auto"/>
        </w:rPr>
      </w:pPr>
      <w:r>
        <w:rPr>
          <w:rFonts w:ascii="Arial" w:cs="Arial" w:eastAsia="Arial" w:hAnsi="Arial"/>
          <w:sz w:val="17"/>
          <w:szCs w:val="17"/>
          <w:color w:val="auto"/>
        </w:rPr>
        <w:t>Our ability to generate product revenues, which we do not expect will occur for many years, if ever, will depend heavily on the successful development and eventual commercialization of PRT543, PRT811, PRT1419, PRT2527 or other product candidates in development. The success of our product candidates, including PRT543, PRT811, PRT1419 and PRT2527, will depend on several factors, including the following:</w:t>
      </w:r>
    </w:p>
    <w:p>
      <w:pPr>
        <w:spacing w:after="0" w:line="38" w:lineRule="exact"/>
        <w:rPr>
          <w:sz w:val="20"/>
          <w:szCs w:val="20"/>
          <w:color w:val="auto"/>
        </w:rPr>
      </w:pPr>
    </w:p>
    <w:p>
      <w:pPr>
        <w:ind w:left="820" w:hanging="40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successful completion of preclinical studies and clinical trials;</w:t>
      </w:r>
    </w:p>
    <w:p>
      <w:pPr>
        <w:spacing w:after="0" w:line="111" w:lineRule="exact"/>
        <w:rPr>
          <w:rFonts w:ascii="Arial" w:cs="Arial" w:eastAsia="Arial" w:hAnsi="Arial"/>
          <w:sz w:val="18"/>
          <w:szCs w:val="18"/>
          <w:color w:val="auto"/>
        </w:rPr>
      </w:pPr>
    </w:p>
    <w:p>
      <w:pPr>
        <w:ind w:left="820" w:right="20" w:hanging="402"/>
        <w:spacing w:after="0" w:line="265"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acceptance of INDs by the FDA or other similar clinical trial applications from foreign regulatory authorities for our future clinical trials for our pipeline product candidates;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timely and successful enrollment of patients in, and completion of, clinical trials with favorable results;</w:t>
      </w:r>
    </w:p>
    <w:p>
      <w:pPr>
        <w:spacing w:after="0" w:line="111" w:lineRule="exact"/>
        <w:rPr>
          <w:rFonts w:ascii="Arial" w:cs="Arial" w:eastAsia="Arial" w:hAnsi="Arial"/>
          <w:sz w:val="18"/>
          <w:szCs w:val="18"/>
          <w:color w:val="auto"/>
        </w:rPr>
      </w:pPr>
    </w:p>
    <w:p>
      <w:pPr>
        <w:ind w:left="820" w:right="480" w:hanging="402"/>
        <w:spacing w:after="0" w:line="265" w:lineRule="auto"/>
        <w:tabs>
          <w:tab w:leader="none" w:pos="8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demonstration of safety, efficacy and acceptable risk-benefit profiles of our product candidates to the satisfaction of the FDA and foreign regulatory agencies;</w:t>
      </w:r>
    </w:p>
    <w:p>
      <w:pPr>
        <w:spacing w:after="0" w:line="48"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our ability, or that of our collaborators, to develop and obtain clearance or approval of companion diagnostics, on a timely basis, or at all;</w:t>
      </w:r>
    </w:p>
    <w:p>
      <w:pPr>
        <w:spacing w:after="0" w:line="97" w:lineRule="exact"/>
        <w:rPr>
          <w:sz w:val="20"/>
          <w:szCs w:val="20"/>
          <w:color w:val="auto"/>
        </w:rPr>
      </w:pPr>
    </w:p>
    <w:p>
      <w:pPr>
        <w:ind w:left="820" w:right="660" w:hanging="402"/>
        <w:spacing w:after="0" w:line="26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and related terms of marketing approvals from applicable regulatory authorities, including the completion of any required post-marketing studies or trials;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raising additional funds necessary to complete clinical development of and commercialize our product candidates;</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obtaining and maintaining patent, trade secret and other intellectual property protection and regulatory exclusivity for our product candidates;</w:t>
      </w:r>
    </w:p>
    <w:p>
      <w:pPr>
        <w:spacing w:after="0" w:line="119" w:lineRule="exact"/>
        <w:rPr>
          <w:rFonts w:ascii="Arial" w:cs="Arial" w:eastAsia="Arial" w:hAnsi="Arial"/>
          <w:sz w:val="15"/>
          <w:szCs w:val="15"/>
          <w:color w:val="auto"/>
        </w:rPr>
      </w:pPr>
    </w:p>
    <w:p>
      <w:pPr>
        <w:ind w:left="820" w:right="100" w:hanging="402"/>
        <w:spacing w:after="0" w:line="26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developing and implementing marketing and reimbursement strategies;</w:t>
      </w:r>
    </w:p>
    <w:p>
      <w:pPr>
        <w:spacing w:after="0" w:line="111" w:lineRule="exact"/>
        <w:rPr>
          <w:rFonts w:ascii="Arial" w:cs="Arial" w:eastAsia="Arial" w:hAnsi="Arial"/>
          <w:sz w:val="18"/>
          <w:szCs w:val="18"/>
          <w:color w:val="auto"/>
        </w:rPr>
      </w:pPr>
    </w:p>
    <w:p>
      <w:pPr>
        <w:ind w:left="820" w:hanging="402"/>
        <w:spacing w:after="0" w:line="265"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effectively competing with other therapies;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and maintaining third-party payor coverage and adequate reimbursement;</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protecting and enforcing our rights in our intellectual property portfolio; and</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the products following approval.</w:t>
      </w:r>
    </w:p>
    <w:p>
      <w:pPr>
        <w:spacing w:after="0" w:line="218" w:lineRule="exact"/>
        <w:rPr>
          <w:sz w:val="20"/>
          <w:szCs w:val="20"/>
          <w:color w:val="auto"/>
        </w:rPr>
      </w:pPr>
    </w:p>
    <w:p>
      <w:pPr>
        <w:ind w:right="140" w:firstLine="416"/>
        <w:spacing w:after="0" w:line="319" w:lineRule="auto"/>
        <w:rPr>
          <w:sz w:val="20"/>
          <w:szCs w:val="20"/>
          <w:color w:val="auto"/>
        </w:rPr>
      </w:pPr>
      <w:r>
        <w:rPr>
          <w:rFonts w:ascii="Arial" w:cs="Arial" w:eastAsia="Arial" w:hAnsi="Arial"/>
          <w:sz w:val="15"/>
          <w:szCs w:val="15"/>
          <w:color w:val="auto"/>
        </w:rPr>
        <w:t>Many of these factors are beyond our control, and it is possible that none of our product candidates will ever obtain regulatory approval even if we expend substantial time and resources seeking such approval. If we do not achieve one or more of these factors in a timely manner or at all, we could experience significant delays or an inability to successfully commercialize our product candidates, which would materially harm our business. For example, our business could be harmed if results of our ongoing clinical trials of PRT543, PRT811, PRT1419 or PRT2527, vary adversely from our expectations.</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Drug development involves a lengthy and expensive process, and clinical testing is uncertain as to the outcome.</w:t>
      </w:r>
    </w:p>
    <w:p>
      <w:pPr>
        <w:spacing w:after="0" w:line="112" w:lineRule="exact"/>
        <w:rPr>
          <w:sz w:val="20"/>
          <w:szCs w:val="20"/>
          <w:color w:val="auto"/>
        </w:rPr>
      </w:pPr>
    </w:p>
    <w:p>
      <w:pPr>
        <w:ind w:right="60" w:firstLine="416"/>
        <w:spacing w:after="0" w:line="269" w:lineRule="auto"/>
        <w:rPr>
          <w:sz w:val="20"/>
          <w:szCs w:val="20"/>
          <w:color w:val="auto"/>
        </w:rPr>
      </w:pPr>
      <w:r>
        <w:rPr>
          <w:rFonts w:ascii="Arial" w:cs="Arial" w:eastAsia="Arial" w:hAnsi="Arial"/>
          <w:sz w:val="17"/>
          <w:szCs w:val="17"/>
          <w:color w:val="auto"/>
        </w:rPr>
        <w:t>We currently have three product candidates in Phase 1 clinical development and additional product candidates in preclinical development, and the risk of failure for each is high. We are unable to predict when or if our product candidates will prove effective or safe in humans or will obtain marketing approval.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is uncertain as to the outcome.</w:t>
      </w:r>
    </w:p>
    <w:p>
      <w:pPr>
        <w:spacing w:after="0" w:line="179" w:lineRule="exact"/>
        <w:rPr>
          <w:sz w:val="20"/>
          <w:szCs w:val="20"/>
          <w:color w:val="auto"/>
        </w:rPr>
      </w:pPr>
    </w:p>
    <w:p>
      <w:pPr>
        <w:ind w:firstLine="416"/>
        <w:spacing w:after="0" w:line="313" w:lineRule="auto"/>
        <w:rPr>
          <w:sz w:val="20"/>
          <w:szCs w:val="20"/>
          <w:color w:val="auto"/>
        </w:rPr>
      </w:pPr>
      <w:r>
        <w:rPr>
          <w:rFonts w:ascii="Arial" w:cs="Arial" w:eastAsia="Arial" w:hAnsi="Arial"/>
          <w:sz w:val="15"/>
          <w:szCs w:val="15"/>
          <w:color w:val="auto"/>
        </w:rPr>
        <w:t>A failure of one or more clinical trials can occur at any stage of testing. The outcome of preclinical testing and early clinical trials may not be predictive of the success of later clinical trials or of clinical trials of the same product candidates in other indications, and interim or preliminary results of a clinical trial do not necessarily predict final results. Later-stage clinical trials could differ in significant ways from early-stage clinical trials, including changes to inclusion and exclusion criteria, efficacy endpoints, dosing regimen and statistical design. In particular, the small number of patients in our current Phase 1 clinical trials may make the results of these trials less predictive of the outcome of later clinical trials. In addition, although we have observed</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2" w:name="page33"/>
    <w:bookmarkEnd w:id="32"/>
    <w:p>
      <w:pPr>
        <w:spacing w:after="0" w:line="307" w:lineRule="auto"/>
        <w:rPr>
          <w:sz w:val="20"/>
          <w:szCs w:val="20"/>
          <w:color w:val="auto"/>
        </w:rPr>
      </w:pPr>
      <w:r>
        <w:rPr>
          <w:rFonts w:ascii="Arial" w:cs="Arial" w:eastAsia="Arial" w:hAnsi="Arial"/>
          <w:sz w:val="15"/>
          <w:szCs w:val="15"/>
          <w:color w:val="auto"/>
        </w:rPr>
        <w:t>encouraging clinical activity in the dose escalation portion of the Phase 1 portion of our ongoing PRT543 and PRT811 clinical trials, the primary objectives were to determine the safety, tolerability and maximum tolerated dose of PRT543 and PRT811, respectively, and to determine a recommended Phase 2 dose for the expansion portion of our Phase 1 clinical trials, and not to demonstrate efficacy. The assessments of clinical activity from this portion of the clinical trials, some of which were not pre-specified, may not be predictive of the results in dose expansion cohorts, specific tumor types or further clinical trials of PRT543 and PRT811. In addition, while we may believe certain results in patients, such as stable disease, suggest encouraging clinical activity, stable disease is not considered a response for regulatory purposes. Stable disease, or SD, is defined as failure to meet the definition of objective clinical response or progressive disease. Furthermore, safety events may be observed in later trials that alter the anticipated risk-benefit profiles of PRT543 and PRT811.</w:t>
      </w:r>
    </w:p>
    <w:p>
      <w:pPr>
        <w:spacing w:after="0" w:line="248" w:lineRule="exact"/>
        <w:rPr>
          <w:sz w:val="20"/>
          <w:szCs w:val="20"/>
          <w:color w:val="auto"/>
        </w:rPr>
      </w:pPr>
    </w:p>
    <w:p>
      <w:pPr>
        <w:ind w:left="420" w:right="20"/>
        <w:spacing w:after="0" w:line="265" w:lineRule="auto"/>
        <w:rPr>
          <w:sz w:val="20"/>
          <w:szCs w:val="20"/>
          <w:color w:val="auto"/>
        </w:rPr>
      </w:pPr>
      <w:r>
        <w:rPr>
          <w:rFonts w:ascii="Arial" w:cs="Arial" w:eastAsia="Arial" w:hAnsi="Arial"/>
          <w:sz w:val="18"/>
          <w:szCs w:val="18"/>
          <w:b w:val="1"/>
          <w:bCs w:val="1"/>
          <w:i w:val="1"/>
          <w:iCs w:val="1"/>
          <w:color w:val="auto"/>
        </w:rPr>
        <w:t>We may incur additional costs or experience delays in completing, or ultimately be unable to complete the development and/or commercialization of PRT543, PRT811, PRT1419, PRT2527 or our other product candidates.</w:t>
      </w:r>
    </w:p>
    <w:p>
      <w:pPr>
        <w:spacing w:after="0" w:line="74" w:lineRule="exact"/>
        <w:rPr>
          <w:sz w:val="20"/>
          <w:szCs w:val="20"/>
          <w:color w:val="auto"/>
        </w:rPr>
      </w:pPr>
    </w:p>
    <w:p>
      <w:pPr>
        <w:ind w:right="20" w:firstLine="416"/>
        <w:spacing w:after="0" w:line="256" w:lineRule="auto"/>
        <w:rPr>
          <w:sz w:val="20"/>
          <w:szCs w:val="20"/>
          <w:color w:val="auto"/>
        </w:rPr>
      </w:pPr>
      <w:r>
        <w:rPr>
          <w:rFonts w:ascii="Arial" w:cs="Arial" w:eastAsia="Arial" w:hAnsi="Arial"/>
          <w:sz w:val="18"/>
          <w:szCs w:val="18"/>
          <w:color w:val="auto"/>
        </w:rPr>
        <w:t>Before we can initiate clinical trials of a product candidate in any indication, we must submit the results of preclinical studies to the FDA or to comparable foreign authorities, respectively, along with other information, including information about the product candidate’s chemistry, manufacturing and controls and our proposed clinical trial protocol, as part of an IND or comparable foreign regulatory filings.</w:t>
      </w:r>
    </w:p>
    <w:p>
      <w:pPr>
        <w:spacing w:after="0" w:line="188" w:lineRule="exact"/>
        <w:rPr>
          <w:sz w:val="20"/>
          <w:szCs w:val="20"/>
          <w:color w:val="auto"/>
        </w:rPr>
      </w:pPr>
    </w:p>
    <w:p>
      <w:pPr>
        <w:ind w:right="400" w:firstLine="416"/>
        <w:spacing w:after="0" w:line="295" w:lineRule="auto"/>
        <w:rPr>
          <w:sz w:val="20"/>
          <w:szCs w:val="20"/>
          <w:color w:val="auto"/>
        </w:rPr>
      </w:pPr>
      <w:r>
        <w:rPr>
          <w:rFonts w:ascii="Arial" w:cs="Arial" w:eastAsia="Arial" w:hAnsi="Arial"/>
          <w:sz w:val="17"/>
          <w:szCs w:val="17"/>
          <w:color w:val="auto"/>
        </w:rPr>
        <w:t>The FDA may require us to conduct additional preclinical studies for any product candidate before it allows us to initiate subsequent clinical trials under any IND, which may lead to additional delays and increase the costs of our preclinical development programs.</w:t>
      </w:r>
    </w:p>
    <w:p>
      <w:pPr>
        <w:spacing w:after="0" w:line="157" w:lineRule="exact"/>
        <w:rPr>
          <w:sz w:val="20"/>
          <w:szCs w:val="20"/>
          <w:color w:val="auto"/>
        </w:rPr>
      </w:pPr>
    </w:p>
    <w:p>
      <w:pPr>
        <w:jc w:val="both"/>
        <w:ind w:right="240" w:firstLine="416"/>
        <w:spacing w:after="0" w:line="256" w:lineRule="auto"/>
        <w:rPr>
          <w:sz w:val="20"/>
          <w:szCs w:val="20"/>
          <w:color w:val="auto"/>
        </w:rPr>
      </w:pPr>
      <w:r>
        <w:rPr>
          <w:rFonts w:ascii="Arial" w:cs="Arial" w:eastAsia="Arial" w:hAnsi="Arial"/>
          <w:sz w:val="18"/>
          <w:szCs w:val="18"/>
          <w:color w:val="auto"/>
        </w:rPr>
        <w:t>Any delays in the commencement or completion of our ongoing, planned or future clinical trials could significantly affect our product development costs. We may experience numerous unforeseen events during, or as a result of, clinical trials that could delay or prevent our ability to obtain marketing approval or commercialize our product candidates, including:</w:t>
      </w:r>
    </w:p>
    <w:p>
      <w:pPr>
        <w:spacing w:after="0" w:line="81" w:lineRule="exact"/>
        <w:rPr>
          <w:sz w:val="20"/>
          <w:szCs w:val="20"/>
          <w:color w:val="auto"/>
        </w:rPr>
      </w:pPr>
    </w:p>
    <w:p>
      <w:pPr>
        <w:ind w:left="820" w:right="10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institutional review boards, or IRBs, or ethics committees, or ECs, may not authorize us or our investigators to commence a clinical trial or conduct a clinical trial at a prospective trial site;</w:t>
      </w:r>
    </w:p>
    <w:p>
      <w:pPr>
        <w:spacing w:after="0" w:line="74" w:lineRule="exact"/>
        <w:rPr>
          <w:rFonts w:ascii="Arial" w:cs="Arial" w:eastAsia="Arial" w:hAnsi="Arial"/>
          <w:sz w:val="18"/>
          <w:szCs w:val="18"/>
          <w:color w:val="auto"/>
        </w:rPr>
      </w:pPr>
    </w:p>
    <w:p>
      <w:pPr>
        <w:ind w:left="820" w:right="30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FDA may disagree as to the design or implementation of our clinical trials or with our recommended Phase 2 doses for any of our pipeline programs;</w:t>
      </w:r>
    </w:p>
    <w:p>
      <w:pPr>
        <w:spacing w:after="0" w:line="74" w:lineRule="exact"/>
        <w:rPr>
          <w:rFonts w:ascii="Arial" w:cs="Arial" w:eastAsia="Arial" w:hAnsi="Arial"/>
          <w:sz w:val="18"/>
          <w:szCs w:val="18"/>
          <w:color w:val="auto"/>
        </w:rPr>
      </w:pPr>
    </w:p>
    <w:p>
      <w:pPr>
        <w:ind w:left="820" w:right="78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clinical research organizations, or CROs, and prospective trial sites;</w:t>
      </w:r>
    </w:p>
    <w:p>
      <w:pPr>
        <w:spacing w:after="0" w:line="74" w:lineRule="exact"/>
        <w:rPr>
          <w:rFonts w:ascii="Arial" w:cs="Arial" w:eastAsia="Arial" w:hAnsi="Arial"/>
          <w:sz w:val="18"/>
          <w:szCs w:val="18"/>
          <w:color w:val="auto"/>
        </w:rPr>
      </w:pPr>
    </w:p>
    <w:p>
      <w:pPr>
        <w:ind w:left="820" w:right="18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clinical trials for our product candidates may produce negative or inconclusive results, and we may decide, or regulators may require us, to conduct additional clinical trials, delay or halt clinical trials or abandon product development programs;</w:t>
      </w:r>
    </w:p>
    <w:p>
      <w:pPr>
        <w:spacing w:after="0" w:line="74" w:lineRule="exact"/>
        <w:rPr>
          <w:rFonts w:ascii="Arial" w:cs="Arial" w:eastAsia="Arial" w:hAnsi="Arial"/>
          <w:sz w:val="18"/>
          <w:szCs w:val="18"/>
          <w:color w:val="auto"/>
        </w:rPr>
      </w:pPr>
    </w:p>
    <w:p>
      <w:pPr>
        <w:ind w:left="820" w:hanging="40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11" w:lineRule="exact"/>
        <w:rPr>
          <w:rFonts w:ascii="Arial" w:cs="Arial" w:eastAsia="Arial" w:hAnsi="Arial"/>
          <w:sz w:val="18"/>
          <w:szCs w:val="18"/>
          <w:color w:val="auto"/>
        </w:rPr>
      </w:pPr>
    </w:p>
    <w:p>
      <w:pPr>
        <w:ind w:left="820" w:hanging="402"/>
        <w:spacing w:after="0" w:line="252"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for our product candidates may be larger than we anticipate, enrollment in these clinical trials may be slower than we anticipate or may be lower than we anticipate due to challenges in recruiting and enrolling suitable patients that meet the study criteria, participants may drop out of these clinical trials at a higher rate than we anticipate or the duration of these clinical trials may be longer than we anticipate;</w:t>
      </w:r>
    </w:p>
    <w:p>
      <w:pPr>
        <w:spacing w:after="0" w:line="86" w:lineRule="exact"/>
        <w:rPr>
          <w:rFonts w:ascii="Arial" w:cs="Arial" w:eastAsia="Arial" w:hAnsi="Arial"/>
          <w:sz w:val="18"/>
          <w:szCs w:val="18"/>
          <w:color w:val="auto"/>
        </w:rPr>
      </w:pPr>
    </w:p>
    <w:p>
      <w:pPr>
        <w:ind w:left="820" w:right="30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for clinical trial participants from investigational and approved therapies may make it more difficult to enroll patients in our clinical trials;</w:t>
      </w:r>
    </w:p>
    <w:p>
      <w:pPr>
        <w:spacing w:after="0" w:line="74" w:lineRule="exact"/>
        <w:rPr>
          <w:rFonts w:ascii="Arial" w:cs="Arial" w:eastAsia="Arial" w:hAnsi="Arial"/>
          <w:sz w:val="18"/>
          <w:szCs w:val="18"/>
          <w:color w:val="auto"/>
        </w:rPr>
      </w:pPr>
    </w:p>
    <w:p>
      <w:pPr>
        <w:ind w:left="820" w:hanging="40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difficulties in maintaining contact with patients after treatment, resulting in incomplete data;</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or third-party collaborators may fail to obtain regulatory approval of companion diagnostic tests, if required, on a timely basis, or at all;</w:t>
      </w:r>
    </w:p>
    <w:p>
      <w:pPr>
        <w:spacing w:after="0" w:line="123" w:lineRule="exact"/>
        <w:rPr>
          <w:rFonts w:ascii="Arial" w:cs="Arial" w:eastAsia="Arial" w:hAnsi="Arial"/>
          <w:sz w:val="17"/>
          <w:szCs w:val="17"/>
          <w:color w:val="auto"/>
        </w:rPr>
      </w:pPr>
    </w:p>
    <w:p>
      <w:pPr>
        <w:ind w:left="820" w:right="4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third-party contractors may fail to meet their contractual obligations to us in a timely manner, or at all, or may fail to comply with regulatory requirements;</w:t>
      </w:r>
    </w:p>
    <w:p>
      <w:pPr>
        <w:spacing w:after="0" w:line="74" w:lineRule="exact"/>
        <w:rPr>
          <w:rFonts w:ascii="Arial" w:cs="Arial" w:eastAsia="Arial" w:hAnsi="Arial"/>
          <w:sz w:val="18"/>
          <w:szCs w:val="18"/>
          <w:color w:val="auto"/>
        </w:rPr>
      </w:pPr>
    </w:p>
    <w:p>
      <w:pPr>
        <w:ind w:left="820" w:right="28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have to suspend or terminate clinical trials for our product candidates for various reasons, including a finding by us or by a Data Monitoring Committee for a trial that the participants are being exposed to unacceptable health risks;</w:t>
      </w:r>
    </w:p>
    <w:p>
      <w:pPr>
        <w:spacing w:after="0" w:line="74" w:lineRule="exact"/>
        <w:rPr>
          <w:rFonts w:ascii="Arial" w:cs="Arial" w:eastAsia="Arial" w:hAnsi="Arial"/>
          <w:sz w:val="18"/>
          <w:szCs w:val="18"/>
          <w:color w:val="auto"/>
        </w:rPr>
      </w:pPr>
    </w:p>
    <w:p>
      <w:pPr>
        <w:ind w:left="820" w:right="340" w:hanging="402"/>
        <w:spacing w:after="0" w:line="265" w:lineRule="auto"/>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product candidates may have undesirable or unexpected side effects or other unexpected characteristics, causing us or our investigators, regulators or IRBs/ECs to suspend or terminate the trials;</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33" w:name="page34"/>
    <w:bookmarkEnd w:id="33"/>
    <w:p>
      <w:pPr>
        <w:ind w:left="820" w:hanging="40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of clinical trials for our product candidates may be greater than we anticipate;</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to clinical trial protocol;</w:t>
      </w:r>
    </w:p>
    <w:p>
      <w:pPr>
        <w:spacing w:after="0" w:line="111" w:lineRule="exact"/>
        <w:rPr>
          <w:rFonts w:ascii="Arial" w:cs="Arial" w:eastAsia="Arial" w:hAnsi="Arial"/>
          <w:sz w:val="18"/>
          <w:szCs w:val="18"/>
          <w:color w:val="auto"/>
        </w:rPr>
      </w:pPr>
    </w:p>
    <w:p>
      <w:pPr>
        <w:ind w:left="820" w:right="780" w:hanging="402"/>
        <w:spacing w:after="0" w:line="265"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for our product candidates may be insufficient or inadequate and result in delays or suspension of our clinical trials; and</w:t>
      </w:r>
    </w:p>
    <w:p>
      <w:pPr>
        <w:spacing w:after="0" w:line="74" w:lineRule="exact"/>
        <w:rPr>
          <w:rFonts w:ascii="Arial" w:cs="Arial" w:eastAsia="Arial" w:hAnsi="Arial"/>
          <w:sz w:val="18"/>
          <w:szCs w:val="18"/>
          <w:color w:val="auto"/>
        </w:rPr>
      </w:pPr>
    </w:p>
    <w:p>
      <w:pPr>
        <w:ind w:left="820" w:right="240" w:hanging="402"/>
        <w:spacing w:after="0" w:line="265" w:lineRule="auto"/>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ongoing COVID-19 pandemic, which may slow potential enrollment, reduce the number of eligible patients for clinical trials, or reduce the number of patients that remain in our trials.</w:t>
      </w:r>
    </w:p>
    <w:p>
      <w:pPr>
        <w:spacing w:after="0" w:line="180"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Delays, including delays caused by the above factors, can be costly and could negatively affect our ability to complete a clinical trial or obtain timely marketing approvals. We do not know whether any of our planned preclinical studies or clinical trials will begin on a timely basis or at all, will need to be restructured or will be completed on schedule, or at all. For example, the FDA may place a partial or full clinical hold on any of our clinical trials for a variety of reasons, including safety concerns and noncompliance with regulatory requirements. If we are not able to complete successful clinical trials, we will not be able to obtain regulatory approval and will not be able to commercialize our product candidates.</w:t>
      </w:r>
    </w:p>
    <w:p>
      <w:pPr>
        <w:spacing w:after="0" w:line="140" w:lineRule="exact"/>
        <w:rPr>
          <w:sz w:val="20"/>
          <w:szCs w:val="20"/>
          <w:color w:val="auto"/>
        </w:rPr>
      </w:pPr>
    </w:p>
    <w:p>
      <w:pPr>
        <w:ind w:right="280" w:firstLine="416"/>
        <w:spacing w:after="0" w:line="256" w:lineRule="auto"/>
        <w:rPr>
          <w:sz w:val="20"/>
          <w:szCs w:val="20"/>
          <w:color w:val="auto"/>
        </w:rPr>
      </w:pPr>
      <w:r>
        <w:rPr>
          <w:rFonts w:ascii="Arial" w:cs="Arial" w:eastAsia="Arial" w:hAnsi="Arial"/>
          <w:sz w:val="18"/>
          <w:szCs w:val="18"/>
          <w:color w:val="auto"/>
        </w:rPr>
        <w:t>Significant preclinical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w:t>
      </w:r>
    </w:p>
    <w:p>
      <w:pPr>
        <w:spacing w:after="0" w:line="227" w:lineRule="exact"/>
        <w:rPr>
          <w:sz w:val="20"/>
          <w:szCs w:val="20"/>
          <w:color w:val="auto"/>
        </w:rPr>
      </w:pPr>
    </w:p>
    <w:p>
      <w:pPr>
        <w:ind w:left="420" w:right="240"/>
        <w:spacing w:after="0" w:line="265" w:lineRule="auto"/>
        <w:rPr>
          <w:sz w:val="20"/>
          <w:szCs w:val="20"/>
          <w:color w:val="auto"/>
        </w:rPr>
      </w:pPr>
      <w:r>
        <w:rPr>
          <w:rFonts w:ascii="Arial" w:cs="Arial" w:eastAsia="Arial" w:hAnsi="Arial"/>
          <w:sz w:val="18"/>
          <w:szCs w:val="18"/>
          <w:b w:val="1"/>
          <w:bCs w:val="1"/>
          <w:i w:val="1"/>
          <w:iCs w:val="1"/>
          <w:color w:val="auto"/>
        </w:rPr>
        <w:t>If we experience delays or difficulties in enrolling patients in our ongoing or planned clinical trials, our receipt of necessary regulatory approval could be delayed or prevented.</w:t>
      </w:r>
    </w:p>
    <w:p>
      <w:pPr>
        <w:spacing w:after="0" w:line="48" w:lineRule="exact"/>
        <w:rPr>
          <w:sz w:val="20"/>
          <w:szCs w:val="20"/>
          <w:color w:val="auto"/>
        </w:rPr>
      </w:pPr>
    </w:p>
    <w:p>
      <w:pPr>
        <w:ind w:firstLine="416"/>
        <w:spacing w:after="0" w:line="249" w:lineRule="auto"/>
        <w:rPr>
          <w:sz w:val="20"/>
          <w:szCs w:val="20"/>
          <w:color w:val="auto"/>
        </w:rPr>
      </w:pPr>
      <w:r>
        <w:rPr>
          <w:rFonts w:ascii="Arial" w:cs="Arial" w:eastAsia="Arial" w:hAnsi="Arial"/>
          <w:sz w:val="18"/>
          <w:szCs w:val="18"/>
          <w:color w:val="auto"/>
        </w:rPr>
        <w:t>We may not be able to initiate or continue our ongoing or planned clinical trials for our product candidates if we are unable to identify and enroll a sufficient number of eligible patients to participate in these trials as required by the FDA or comparable foreign regulatory authorities. In addition, some of our competitors currently have ongoing clinical trials for product candidates that would treat the same patients as our clinical product candidates, and patients who would otherwise be eligible for our clinical trials may instead enroll in clinical trials of our competitors’ product candidates. This is acutely relevant for our development of PRT543 for the treatment of patients with myeloid malignancies and other solid tumors, including adenoid cystic carcinoma, or ACC, indications for which investigational drugs by our competitors are competing for clinical trial participants. Patient enrollment is also affected by other factors, including:</w:t>
      </w:r>
    </w:p>
    <w:p>
      <w:pPr>
        <w:spacing w:after="0" w:line="64" w:lineRule="exact"/>
        <w:rPr>
          <w:sz w:val="20"/>
          <w:szCs w:val="20"/>
          <w:color w:val="auto"/>
        </w:rPr>
      </w:pPr>
    </w:p>
    <w:p>
      <w:pPr>
        <w:ind w:left="840" w:hanging="42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of appropriate competencies and experience;</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incidence and prevalence of our target indications;</w:t>
      </w:r>
    </w:p>
    <w:p>
      <w:pPr>
        <w:spacing w:after="0" w:line="85" w:lineRule="exact"/>
        <w:rPr>
          <w:rFonts w:ascii="Arial" w:cs="Arial" w:eastAsia="Arial" w:hAnsi="Arial"/>
          <w:sz w:val="18"/>
          <w:szCs w:val="18"/>
          <w:color w:val="auto"/>
        </w:rPr>
      </w:pPr>
    </w:p>
    <w:p>
      <w:pPr>
        <w:ind w:left="840" w:right="260" w:hanging="422"/>
        <w:spacing w:after="0" w:line="265" w:lineRule="auto"/>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clinicians’ and patients’ awareness of, and perceptions as to the potential advantages and risks of our product candidates in relation to other available therapies, including any new drugs that may be approved for the indications we are investigating;</w:t>
      </w:r>
    </w:p>
    <w:p>
      <w:pPr>
        <w:spacing w:after="0" w:line="47" w:lineRule="exact"/>
        <w:rPr>
          <w:rFonts w:ascii="Arial" w:cs="Arial" w:eastAsia="Arial" w:hAnsi="Arial"/>
          <w:sz w:val="18"/>
          <w:szCs w:val="18"/>
          <w:color w:val="auto"/>
        </w:rPr>
      </w:pPr>
    </w:p>
    <w:p>
      <w:pPr>
        <w:ind w:left="840" w:hanging="422"/>
        <w:spacing w:after="0"/>
        <w:tabs>
          <w:tab w:leader="none" w:pos="8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competing studies or trials with similar eligibility criteria;</w:t>
      </w:r>
    </w:p>
    <w:p>
      <w:pPr>
        <w:spacing w:after="0" w:line="85"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invasive procedures required to enroll patients and to obtain evidence of the product candidate’s performance during the clinical trial;</w:t>
      </w:r>
    </w:p>
    <w:p>
      <w:pPr>
        <w:spacing w:after="0" w:line="97" w:lineRule="exact"/>
        <w:rPr>
          <w:sz w:val="20"/>
          <w:szCs w:val="20"/>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availability and efficacy of approved medications for the disease under investigation;</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eligibility criteria defined in the protocol for the trial in question;</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efforts to facilitate timely enrollment in clinical trials;</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are subject to a partial or full clinical hold on any of our clinical trials;</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reluctance of physicians to encourage patient participation in clinical trials;</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w:t>
      </w:r>
    </w:p>
    <w:p>
      <w:pPr>
        <w:spacing w:after="0" w:line="3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34" w:name="page35"/>
    <w:bookmarkEnd w:id="34"/>
    <w:p>
      <w:pPr>
        <w:ind w:right="60" w:firstLine="416"/>
        <w:spacing w:after="0" w:line="278" w:lineRule="auto"/>
        <w:rPr>
          <w:sz w:val="20"/>
          <w:szCs w:val="20"/>
          <w:color w:val="auto"/>
        </w:rPr>
      </w:pPr>
      <w:r>
        <w:rPr>
          <w:rFonts w:ascii="Arial" w:cs="Arial" w:eastAsia="Arial" w:hAnsi="Arial"/>
          <w:sz w:val="17"/>
          <w:szCs w:val="17"/>
          <w:color w:val="auto"/>
        </w:rPr>
        <w:t>Our inability to enroll and maintain a sufficient number of patients for our clinical trials would result in significant delays or may require us to abandon one or more clinical trials altogether. Enrollment delays in our clinical trials, including due to the COVID-19 pandemic, may result in increased development costs, which would cause the value of our company to decline and limit our ability to obtain additional financing.</w:t>
      </w:r>
    </w:p>
    <w:p>
      <w:pPr>
        <w:spacing w:after="0" w:line="27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COVID-19 pandemic could adversely impact our business, including our clinical trials and clinical trial operations.</w:t>
      </w:r>
    </w:p>
    <w:p>
      <w:pPr>
        <w:spacing w:after="0" w:line="112" w:lineRule="exact"/>
        <w:rPr>
          <w:sz w:val="20"/>
          <w:szCs w:val="20"/>
          <w:color w:val="auto"/>
        </w:rPr>
      </w:pPr>
    </w:p>
    <w:p>
      <w:pPr>
        <w:ind w:right="240" w:firstLine="416"/>
        <w:spacing w:after="0" w:line="295" w:lineRule="auto"/>
        <w:rPr>
          <w:sz w:val="20"/>
          <w:szCs w:val="20"/>
          <w:color w:val="auto"/>
        </w:rPr>
      </w:pPr>
      <w:r>
        <w:rPr>
          <w:rFonts w:ascii="Arial" w:cs="Arial" w:eastAsia="Arial" w:hAnsi="Arial"/>
          <w:sz w:val="17"/>
          <w:szCs w:val="17"/>
          <w:color w:val="auto"/>
        </w:rPr>
        <w:t>The COVID-19 pandemic in the United States and in other countries in which we have planned or have active clinical trial sites and where our third-party manufacturers operate, could cause significant disruptions that could severely impact our business and clinical trials, including:</w:t>
      </w:r>
    </w:p>
    <w:p>
      <w:pPr>
        <w:spacing w:after="0" w:line="51" w:lineRule="exact"/>
        <w:rPr>
          <w:sz w:val="20"/>
          <w:szCs w:val="20"/>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screening, enrolling and maintaining patients in our clinical trials;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1" w:lineRule="exact"/>
        <w:rPr>
          <w:rFonts w:ascii="Arial" w:cs="Arial" w:eastAsia="Arial" w:hAnsi="Arial"/>
          <w:sz w:val="18"/>
          <w:szCs w:val="18"/>
          <w:color w:val="auto"/>
        </w:rPr>
      </w:pPr>
    </w:p>
    <w:p>
      <w:pPr>
        <w:ind w:left="840" w:right="40" w:hanging="422"/>
        <w:spacing w:after="0" w:line="265"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subjects to travel to the clinical trial sites;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difficulties, or incompleteness in data collection and analysis and other related activities;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decreased implementation of protocol required clinical trial activities and quality of source data verification at clinical trial sites;</w:t>
      </w:r>
    </w:p>
    <w:p>
      <w:pPr>
        <w:spacing w:after="0" w:line="111" w:lineRule="exact"/>
        <w:rPr>
          <w:rFonts w:ascii="Arial" w:cs="Arial" w:eastAsia="Arial" w:hAnsi="Arial"/>
          <w:sz w:val="18"/>
          <w:szCs w:val="18"/>
          <w:color w:val="auto"/>
        </w:rPr>
      </w:pPr>
    </w:p>
    <w:p>
      <w:pPr>
        <w:ind w:left="840" w:right="460" w:hanging="422"/>
        <w:spacing w:after="0" w:line="265"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74" w:lineRule="exact"/>
        <w:rPr>
          <w:rFonts w:ascii="Arial" w:cs="Arial" w:eastAsia="Arial" w:hAnsi="Arial"/>
          <w:sz w:val="18"/>
          <w:szCs w:val="18"/>
          <w:color w:val="auto"/>
        </w:rPr>
      </w:pPr>
    </w:p>
    <w:p>
      <w:pPr>
        <w:ind w:left="840" w:right="140" w:hanging="422"/>
        <w:spacing w:after="0" w:line="366" w:lineRule="auto"/>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limitations in employee resources that would otherwise be focused on the conduct of our clinical trials and our other research and development activities, including because of sickness of employees or their families or mitigation measures such as lock-downs and social distancing;</w:t>
      </w:r>
    </w:p>
    <w:p>
      <w:pPr>
        <w:spacing w:after="0" w:line="5" w:lineRule="exact"/>
        <w:rPr>
          <w:rFonts w:ascii="Arial" w:cs="Arial" w:eastAsia="Arial" w:hAnsi="Arial"/>
          <w:sz w:val="15"/>
          <w:szCs w:val="15"/>
          <w:color w:val="auto"/>
        </w:rPr>
      </w:pPr>
    </w:p>
    <w:p>
      <w:pPr>
        <w:ind w:left="840" w:hanging="422"/>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delays due to production shortages resulting from any events affecting raw material supply or manufacturing capabilities domestically and abroad;</w:t>
      </w:r>
    </w:p>
    <w:p>
      <w:pPr>
        <w:spacing w:after="0" w:line="146" w:lineRule="exact"/>
        <w:rPr>
          <w:rFonts w:ascii="Arial" w:cs="Arial" w:eastAsia="Arial" w:hAnsi="Arial"/>
          <w:sz w:val="15"/>
          <w:szCs w:val="15"/>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planned clinical trials;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clinical trials;</w:t>
      </w:r>
    </w:p>
    <w:p>
      <w:pPr>
        <w:spacing w:after="0" w:line="111" w:lineRule="exact"/>
        <w:rPr>
          <w:rFonts w:ascii="Arial" w:cs="Arial" w:eastAsia="Arial" w:hAnsi="Arial"/>
          <w:sz w:val="18"/>
          <w:szCs w:val="18"/>
          <w:color w:val="auto"/>
        </w:rPr>
      </w:pPr>
    </w:p>
    <w:p>
      <w:pPr>
        <w:ind w:left="840" w:right="360" w:hanging="422"/>
        <w:spacing w:after="0" w:line="265" w:lineRule="auto"/>
        <w:tabs>
          <w:tab w:leader="none" w:pos="8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in global and domestic shipping that may affect the transport of clinical trial materials, such as investigational drug products used in our clinical trials;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18"/>
        </w:numPr>
        <w:rPr>
          <w:rFonts w:ascii="Arial" w:cs="Arial" w:eastAsia="Arial" w:hAnsi="Arial"/>
          <w:sz w:val="15"/>
          <w:szCs w:val="15"/>
          <w:color w:val="auto"/>
        </w:rPr>
      </w:pPr>
      <w:r>
        <w:rPr>
          <w:rFonts w:ascii="Arial" w:cs="Arial" w:eastAsia="Arial" w:hAnsi="Arial"/>
          <w:sz w:val="15"/>
          <w:szCs w:val="15"/>
          <w:color w:val="auto"/>
        </w:rPr>
        <w:t>changes in local regulations as part of a response to the COVID-19 pandemic which may require us to change the ways in which our clinical</w:t>
      </w:r>
    </w:p>
    <w:p>
      <w:pPr>
        <w:spacing w:after="0" w:line="51" w:lineRule="exact"/>
        <w:rPr>
          <w:sz w:val="20"/>
          <w:szCs w:val="20"/>
          <w:color w:val="auto"/>
        </w:rPr>
      </w:pPr>
    </w:p>
    <w:p>
      <w:pPr>
        <w:ind w:left="840"/>
        <w:spacing w:after="0"/>
        <w:rPr>
          <w:sz w:val="20"/>
          <w:szCs w:val="20"/>
          <w:color w:val="auto"/>
        </w:rPr>
      </w:pPr>
      <w:r>
        <w:rPr>
          <w:rFonts w:ascii="Arial" w:cs="Arial" w:eastAsia="Arial" w:hAnsi="Arial"/>
          <w:sz w:val="18"/>
          <w:szCs w:val="18"/>
          <w:color w:val="auto"/>
        </w:rPr>
        <w:t>trials are conducted, which may result in unexpected costs, delays, or to discontinue the clinical trials altogether;</w:t>
      </w:r>
    </w:p>
    <w:p>
      <w:pPr>
        <w:spacing w:after="0" w:line="101" w:lineRule="exact"/>
        <w:rPr>
          <w:sz w:val="20"/>
          <w:szCs w:val="20"/>
          <w:color w:val="auto"/>
        </w:rPr>
      </w:pPr>
    </w:p>
    <w:p>
      <w:pPr>
        <w:ind w:left="840" w:right="420" w:hanging="422"/>
        <w:spacing w:after="0" w:line="265"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w:t>
      </w:r>
    </w:p>
    <w:p>
      <w:pPr>
        <w:spacing w:after="0" w:line="74" w:lineRule="exact"/>
        <w:rPr>
          <w:rFonts w:ascii="Arial" w:cs="Arial" w:eastAsia="Arial" w:hAnsi="Arial"/>
          <w:sz w:val="18"/>
          <w:szCs w:val="18"/>
          <w:color w:val="auto"/>
        </w:rPr>
      </w:pPr>
    </w:p>
    <w:p>
      <w:pPr>
        <w:ind w:left="840" w:right="880" w:hanging="422"/>
        <w:spacing w:after="0" w:line="265"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refusal of regulatory authorities such as FDA or European Medicines Agency, or EMA, to accept data from clinical trials in affected geographies; and</w:t>
      </w:r>
    </w:p>
    <w:p>
      <w:pPr>
        <w:spacing w:after="0" w:line="74" w:lineRule="exact"/>
        <w:rPr>
          <w:rFonts w:ascii="Arial" w:cs="Arial" w:eastAsia="Arial" w:hAnsi="Arial"/>
          <w:sz w:val="18"/>
          <w:szCs w:val="18"/>
          <w:color w:val="auto"/>
        </w:rPr>
      </w:pPr>
    </w:p>
    <w:p>
      <w:pPr>
        <w:ind w:left="840" w:right="160" w:hanging="422"/>
        <w:spacing w:after="0" w:line="265" w:lineRule="auto"/>
        <w:tabs>
          <w:tab w:leader="none" w:pos="8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impacts on global economic conditions which could have an adverse effect on our business and financial condition, including impairing our ability to raise capital when needed.</w:t>
      </w:r>
    </w:p>
    <w:p>
      <w:pPr>
        <w:spacing w:after="0" w:line="180" w:lineRule="exact"/>
        <w:rPr>
          <w:sz w:val="20"/>
          <w:szCs w:val="20"/>
          <w:color w:val="auto"/>
        </w:rPr>
      </w:pPr>
    </w:p>
    <w:p>
      <w:pPr>
        <w:ind w:firstLine="416"/>
        <w:spacing w:after="0" w:line="307" w:lineRule="auto"/>
        <w:rPr>
          <w:sz w:val="20"/>
          <w:szCs w:val="20"/>
          <w:color w:val="auto"/>
        </w:rPr>
      </w:pPr>
      <w:r>
        <w:rPr>
          <w:rFonts w:ascii="Arial" w:cs="Arial" w:eastAsia="Arial" w:hAnsi="Arial"/>
          <w:sz w:val="15"/>
          <w:szCs w:val="15"/>
          <w:color w:val="auto"/>
        </w:rPr>
        <w:t>Such disruptions could impede, delay, limit or prevent completion of our ongoing clinical trials and preclinical studies or commencement of new clinical trials and ultimately lead to the delay or denial of regulatory approval of our product candidates, which would seriously harm our operations and financial condition and increase our costs and expenses. We are in close contact with our CROs, CMOs and clinical sites as we seek to mitigate the impact of COVID-19 on our studies and current timelines. Measures we have taken in response to COVID-19 include, where feasible, conducting remote clinical trial site activations and data monitoring, and limiting on-site patient visits by adjusting patient assessments and protocol. However, despite these efforts, we have experienced limited delays in trial site initiations, patient participation and patient enrollment in some of our clinical trials and we may continue to experience some delays in our clinical trials and preclinical studies and delays in data collection and analysis. These delays so far have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5" w:name="page36"/>
    <w:bookmarkEnd w:id="35"/>
    <w:p>
      <w:pPr>
        <w:ind w:right="40"/>
        <w:spacing w:after="0" w:line="307" w:lineRule="auto"/>
        <w:rPr>
          <w:sz w:val="20"/>
          <w:szCs w:val="20"/>
          <w:color w:val="auto"/>
        </w:rPr>
      </w:pPr>
      <w:r>
        <w:rPr>
          <w:rFonts w:ascii="Arial" w:cs="Arial" w:eastAsia="Arial" w:hAnsi="Arial"/>
          <w:sz w:val="15"/>
          <w:szCs w:val="15"/>
          <w:color w:val="auto"/>
        </w:rPr>
        <w:t>had a limited impact, but this may change as the COVID-19 pandemic and the response to such COVID-19 pandemic continues to evolve, and could have an adverse impact on our timelines and our business. The COVID-19 pandemic could also affect the business of the FDA, EMA or other health authorities, which could result in delays in meetings related to planned or completed clinical trials and ultimately of reviews and approvals of our product candidates. The global COVID-19 pandemic continues to rapidly evolve. The extent to which the COVID-19 pandemic may impact our business and clinical trials will depend on future developments, which are highly uncertain and cannot be predicted with confidence, such as the ultimate geographic spread of the disease,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302" w:lineRule="exact"/>
        <w:rPr>
          <w:sz w:val="20"/>
          <w:szCs w:val="20"/>
          <w:color w:val="auto"/>
        </w:rPr>
      </w:pPr>
    </w:p>
    <w:p>
      <w:pPr>
        <w:ind w:left="420" w:right="200"/>
        <w:spacing w:after="0" w:line="278" w:lineRule="auto"/>
        <w:rPr>
          <w:sz w:val="20"/>
          <w:szCs w:val="20"/>
          <w:color w:val="auto"/>
        </w:rPr>
      </w:pPr>
      <w:r>
        <w:rPr>
          <w:rFonts w:ascii="Arial" w:cs="Arial" w:eastAsia="Arial" w:hAnsi="Arial"/>
          <w:sz w:val="17"/>
          <w:szCs w:val="17"/>
          <w:b w:val="1"/>
          <w:bCs w:val="1"/>
          <w:i w:val="1"/>
          <w:iCs w:val="1"/>
          <w:color w:val="auto"/>
        </w:rPr>
        <w:t>Adverse side effects or other safety risks associated with PRT543, PRT811, PRT1419, PRT2527 or our other product candidates could delay or preclude approval, cause us to suspend or discontinue clinical trials or abandon further development, limit the commercial profile of an approved product, or result in significant negative consequences following marketing approval, if any.</w:t>
      </w:r>
    </w:p>
    <w:p>
      <w:pPr>
        <w:spacing w:after="0" w:line="78" w:lineRule="exact"/>
        <w:rPr>
          <w:sz w:val="20"/>
          <w:szCs w:val="20"/>
          <w:color w:val="auto"/>
        </w:rPr>
      </w:pPr>
    </w:p>
    <w:p>
      <w:pPr>
        <w:ind w:firstLine="416"/>
        <w:spacing w:after="0" w:line="250" w:lineRule="auto"/>
        <w:rPr>
          <w:sz w:val="20"/>
          <w:szCs w:val="20"/>
          <w:color w:val="auto"/>
        </w:rPr>
      </w:pPr>
      <w:r>
        <w:rPr>
          <w:rFonts w:ascii="Arial" w:cs="Arial" w:eastAsia="Arial" w:hAnsi="Arial"/>
          <w:sz w:val="18"/>
          <w:szCs w:val="18"/>
          <w:color w:val="auto"/>
        </w:rPr>
        <w:t>As is the case with pharmaceuticals generally, we have observed side effects and adverse events associated with our clinical product candidate, PRT543. These side effects included diarrhea, nausea and fatigue, but none of these side effects were considered related to PRT543. At the highest dose level of our clinical product candidate, PRT543, there were occurrences of grade 4 thrombocytopenia that were deemed related to PRT543, but the toxicity was reversible after a one to two week drug holiday and the affected patients remained on the study and were restarted at a lower dose. We have also observed side effects and adverse effects associated with PRT811. These side effects included nausea, constipation, vomiting and hyponatremia, but none of these side effects were considered related to PRT811.</w:t>
      </w:r>
    </w:p>
    <w:p>
      <w:pPr>
        <w:spacing w:after="0" w:line="220" w:lineRule="exact"/>
        <w:rPr>
          <w:sz w:val="20"/>
          <w:szCs w:val="20"/>
          <w:color w:val="auto"/>
        </w:rPr>
      </w:pPr>
    </w:p>
    <w:p>
      <w:pPr>
        <w:ind w:right="180" w:firstLine="416"/>
        <w:spacing w:after="0" w:line="251" w:lineRule="auto"/>
        <w:rPr>
          <w:sz w:val="20"/>
          <w:szCs w:val="20"/>
          <w:color w:val="auto"/>
        </w:rPr>
      </w:pPr>
      <w:r>
        <w:rPr>
          <w:rFonts w:ascii="Arial" w:cs="Arial" w:eastAsia="Arial" w:hAnsi="Arial"/>
          <w:sz w:val="18"/>
          <w:szCs w:val="18"/>
          <w:color w:val="auto"/>
        </w:rPr>
        <w:t>Results of our ongoing and planned clinical trials could reveal a high and unacceptable severity and prevalence of side effects or unexpected characteristics. Undesirable side effects caused by our product candidates could result in the delay, suspension or termination of clinical trials by us or regulatory authorities for a number of reasons. Furthermore, clinical trials by their nature utilize a sample of the potential patient population. With a limited number of subjects and limited duration of exposure, rare and severe side effects of our product candidates or those of our competitors may only be uncovered with a significantly larger number of patients exposed to the drug.</w:t>
      </w:r>
    </w:p>
    <w:p>
      <w:pPr>
        <w:spacing w:after="0" w:line="219" w:lineRule="exact"/>
        <w:rPr>
          <w:sz w:val="20"/>
          <w:szCs w:val="20"/>
          <w:color w:val="auto"/>
        </w:rPr>
      </w:pPr>
    </w:p>
    <w:p>
      <w:pPr>
        <w:ind w:right="60" w:firstLine="416"/>
        <w:spacing w:after="0" w:line="309" w:lineRule="auto"/>
        <w:rPr>
          <w:sz w:val="20"/>
          <w:szCs w:val="20"/>
          <w:color w:val="auto"/>
        </w:rPr>
      </w:pPr>
      <w:r>
        <w:rPr>
          <w:rFonts w:ascii="Arial" w:cs="Arial" w:eastAsia="Arial" w:hAnsi="Arial"/>
          <w:sz w:val="15"/>
          <w:szCs w:val="15"/>
          <w:color w:val="auto"/>
        </w:rPr>
        <w:t>Additionally, due to the high mortality rates of the cancers for which we are initially pursuing development and the pretreated nature of many patients in our ongoing clinical trials of PRT543, PRT811, PRT1419 and PRT2527, a material percentage of patients in these clinical trials may die during a trial, which could impact development of PRT543, PRT811, PRT1419 and PRT2527, respectively. If we elect or are required to delay, suspend or terminate any clinical trial, the commercial prospects of our product candidates will be harmed and our ability to generate product revenues from this product candidate will be delayed or eliminated. Serious adverse events, or SAEs, observed in clinical trials could hinder or prevent market acceptance of our product candidates. Any of these occurrences may harm our business, prospects, financial condition and results of operations significantly.</w:t>
      </w:r>
    </w:p>
    <w:p>
      <w:pPr>
        <w:spacing w:after="0" w:line="182" w:lineRule="exact"/>
        <w:rPr>
          <w:sz w:val="20"/>
          <w:szCs w:val="20"/>
          <w:color w:val="auto"/>
        </w:rPr>
      </w:pPr>
    </w:p>
    <w:p>
      <w:pPr>
        <w:ind w:right="100" w:firstLine="416"/>
        <w:spacing w:after="0" w:line="307" w:lineRule="auto"/>
        <w:rPr>
          <w:sz w:val="20"/>
          <w:szCs w:val="20"/>
          <w:color w:val="auto"/>
        </w:rPr>
      </w:pPr>
      <w:r>
        <w:rPr>
          <w:rFonts w:ascii="Arial" w:cs="Arial" w:eastAsia="Arial" w:hAnsi="Arial"/>
          <w:sz w:val="15"/>
          <w:szCs w:val="15"/>
          <w:color w:val="auto"/>
        </w:rPr>
        <w:t>Moreover, if our product candidates are associated with undesirable side effects in clinical trials or have characteristics that are unexpected,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our product candidates, if approved. We may also be required to modify our study plans based on findings in our clinical trials. Such side effects could also affect patient recruitment or the ability of enrolled patients to complete the trial. Many drugs that initially showed promise in early stage testing have later been found to cause side effects that prevented further development. In addition, regulatory authorities may draw different conclusions, require additional testing to confirm these determinations, require more restrictive labeling, or deny regulatory approval of the product candidate.</w:t>
      </w:r>
    </w:p>
    <w:p>
      <w:pPr>
        <w:spacing w:after="0" w:line="155" w:lineRule="exact"/>
        <w:rPr>
          <w:sz w:val="20"/>
          <w:szCs w:val="20"/>
          <w:color w:val="auto"/>
        </w:rPr>
      </w:pPr>
    </w:p>
    <w:p>
      <w:pPr>
        <w:ind w:right="120" w:firstLine="416"/>
        <w:spacing w:after="0" w:line="251" w:lineRule="auto"/>
        <w:rPr>
          <w:sz w:val="20"/>
          <w:szCs w:val="20"/>
          <w:color w:val="auto"/>
        </w:rPr>
      </w:pPr>
      <w:r>
        <w:rPr>
          <w:rFonts w:ascii="Arial" w:cs="Arial" w:eastAsia="Arial" w:hAnsi="Arial"/>
          <w:sz w:val="18"/>
          <w:szCs w:val="18"/>
          <w:color w:val="auto"/>
        </w:rPr>
        <w:t>It is possible that, as we test our product candidates in larger, longer and more extensive clinical trials, including with different dosing regimens, or as the use of our product candidates becomes more widespread following any regulatory approval, illnesses, injuries, discomforts and other adverse events that were observed in earlier trials, as well as conditions that did not occur or went undetected in previous trials, will be reported by patients. If such side effects become known later in development or upon approval, if any, such findings may harm our business, financial condition, results of operations and prospects significantly.</w:t>
      </w:r>
    </w:p>
    <w:p>
      <w:pPr>
        <w:spacing w:after="0" w:line="193" w:lineRule="exact"/>
        <w:rPr>
          <w:sz w:val="20"/>
          <w:szCs w:val="20"/>
          <w:color w:val="auto"/>
        </w:rPr>
      </w:pPr>
    </w:p>
    <w:p>
      <w:pPr>
        <w:ind w:right="320" w:firstLine="416"/>
        <w:spacing w:after="0" w:line="265" w:lineRule="auto"/>
        <w:rPr>
          <w:sz w:val="20"/>
          <w:szCs w:val="20"/>
          <w:color w:val="auto"/>
        </w:rPr>
      </w:pPr>
      <w:r>
        <w:rPr>
          <w:rFonts w:ascii="Arial" w:cs="Arial" w:eastAsia="Arial" w:hAnsi="Arial"/>
          <w:sz w:val="18"/>
          <w:szCs w:val="18"/>
          <w:color w:val="auto"/>
        </w:rPr>
        <w:t>In addition, if any of our product candidates receive marketing approval, and we or others later identify undesirable side effects caused by treatment with such drug, a number of potentially significant negative consequences could result, including:</w:t>
      </w:r>
    </w:p>
    <w:p>
      <w:pPr>
        <w:spacing w:after="0" w:line="74" w:lineRule="exact"/>
        <w:rPr>
          <w:sz w:val="20"/>
          <w:szCs w:val="20"/>
          <w:color w:val="auto"/>
        </w:rPr>
      </w:pPr>
    </w:p>
    <w:p>
      <w:pPr>
        <w:ind w:left="840" w:hanging="422"/>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 of the drug;</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recall a product or change the way the drug is administered to patients;</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36" w:name="page37"/>
    <w:bookmarkEnd w:id="36"/>
    <w:p>
      <w:pPr>
        <w:ind w:left="840" w:right="340" w:hanging="422"/>
        <w:spacing w:after="0" w:line="366" w:lineRule="auto"/>
        <w:tabs>
          <w:tab w:leader="none" w:pos="8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regulatory authorities may require additional warnings in the labeling, such as a contraindication or a boxed warning, or issue safety alerts, Dear Healthcare Provider letters, press releases or other communications containing warnings or other safety information about the product;</w:t>
      </w:r>
    </w:p>
    <w:p>
      <w:pPr>
        <w:spacing w:after="0" w:line="5" w:lineRule="exact"/>
        <w:rPr>
          <w:rFonts w:ascii="Arial" w:cs="Arial" w:eastAsia="Arial" w:hAnsi="Arial"/>
          <w:sz w:val="15"/>
          <w:szCs w:val="15"/>
          <w:color w:val="auto"/>
        </w:rPr>
      </w:pPr>
    </w:p>
    <w:p>
      <w:pPr>
        <w:ind w:left="840" w:right="240" w:hanging="422"/>
        <w:spacing w:after="0" w:line="265"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implement a Risk Evaluation and Mitigation Strategy, or REMS, or create a medication guide outlining the risks of such side effects for distribution to patients;</w:t>
      </w:r>
    </w:p>
    <w:p>
      <w:pPr>
        <w:spacing w:after="0" w:line="74" w:lineRule="exact"/>
        <w:rPr>
          <w:rFonts w:ascii="Arial" w:cs="Arial" w:eastAsia="Arial" w:hAnsi="Arial"/>
          <w:sz w:val="18"/>
          <w:szCs w:val="18"/>
          <w:color w:val="auto"/>
        </w:rPr>
      </w:pPr>
    </w:p>
    <w:p>
      <w:pPr>
        <w:ind w:left="840" w:right="120" w:hanging="422"/>
        <w:spacing w:after="0" w:line="265" w:lineRule="auto"/>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or promotion of the particular product or the manufacturing processes for the product or any component thereof;</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drug could become less competitive; and</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8" w:lineRule="exact"/>
        <w:rPr>
          <w:sz w:val="20"/>
          <w:szCs w:val="20"/>
          <w:color w:val="auto"/>
        </w:rPr>
      </w:pPr>
    </w:p>
    <w:p>
      <w:pPr>
        <w:ind w:right="140" w:firstLine="416"/>
        <w:spacing w:after="0" w:line="265" w:lineRule="auto"/>
        <w:rPr>
          <w:sz w:val="20"/>
          <w:szCs w:val="20"/>
          <w:color w:val="auto"/>
        </w:rPr>
      </w:pPr>
      <w:r>
        <w:rPr>
          <w:rFonts w:ascii="Arial" w:cs="Arial" w:eastAsia="Arial" w:hAnsi="Arial"/>
          <w:sz w:val="18"/>
          <w:szCs w:val="18"/>
          <w:color w:val="auto"/>
        </w:rPr>
        <w:t>Any of these events could prevent us from achieving or maintaining market acceptance of our product candidates, if approved, and could significantly harm our business, financial condition, results of operations and prospects.</w:t>
      </w:r>
    </w:p>
    <w:p>
      <w:pPr>
        <w:spacing w:after="0" w:line="273" w:lineRule="exact"/>
        <w:rPr>
          <w:sz w:val="20"/>
          <w:szCs w:val="20"/>
          <w:color w:val="auto"/>
        </w:rPr>
      </w:pPr>
    </w:p>
    <w:p>
      <w:pPr>
        <w:ind w:left="420" w:right="500"/>
        <w:spacing w:after="0" w:line="366" w:lineRule="auto"/>
        <w:rPr>
          <w:sz w:val="20"/>
          <w:szCs w:val="20"/>
          <w:color w:val="auto"/>
        </w:rPr>
      </w:pPr>
      <w:r>
        <w:rPr>
          <w:rFonts w:ascii="Arial" w:cs="Arial" w:eastAsia="Arial" w:hAnsi="Arial"/>
          <w:sz w:val="15"/>
          <w:szCs w:val="15"/>
          <w:b w:val="1"/>
          <w:bCs w:val="1"/>
          <w:i w:val="1"/>
          <w:iCs w:val="1"/>
          <w:color w:val="auto"/>
        </w:rPr>
        <w:t>Preliminary, interim and topline data from our clinical trials that we announce or publish from time to time may change as more patient data become available and are subject to audit and verification procedures that could result in material changes in the final data.</w:t>
      </w:r>
    </w:p>
    <w:p>
      <w:pPr>
        <w:spacing w:after="0" w:line="5" w:lineRule="exact"/>
        <w:rPr>
          <w:sz w:val="20"/>
          <w:szCs w:val="20"/>
          <w:color w:val="auto"/>
        </w:rPr>
      </w:pPr>
    </w:p>
    <w:p>
      <w:pPr>
        <w:ind w:right="40" w:firstLine="416"/>
        <w:spacing w:after="0" w:line="263" w:lineRule="auto"/>
        <w:rPr>
          <w:sz w:val="20"/>
          <w:szCs w:val="20"/>
          <w:color w:val="auto"/>
        </w:rPr>
      </w:pPr>
      <w:r>
        <w:rPr>
          <w:rFonts w:ascii="Arial" w:cs="Arial" w:eastAsia="Arial" w:hAnsi="Arial"/>
          <w:sz w:val="17"/>
          <w:szCs w:val="17"/>
          <w:color w:val="auto"/>
        </w:rPr>
        <w:t>From time to time, we may publicly disclose preliminary, interim or topline data from our clinical trials, such as the preliminary data analysis for the Phase 1 dose expansion portions of our PRT543 and PRT811 trials. These updates are based on a preliminary analysis of then-available data, and the results and related findings and conclusions are subject to change following a more comprehensive review of the data related to the particular study or trial. Additionally, interim data from clinical trials that we may complete are subject to the risk that one or more of the clinical outcomes may materially change as patient enrollment continues and more patient data become available. Therefore, positive interim results in any ongoing clinical trial may not be predictive of such results in the completed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Adverse changes between preliminary or interim data and final data could significantly harm our business and prospects. Further, additional disclosure of interim data by us or by our competitors in the future could result in volatility in the price of our common stock. See the description of risks under the heading “Risks Related to our Common Stock” for more disclosure related to the risk of volatility in our stock price.</w:t>
      </w:r>
    </w:p>
    <w:p>
      <w:pPr>
        <w:spacing w:after="0" w:line="135" w:lineRule="exact"/>
        <w:rPr>
          <w:sz w:val="20"/>
          <w:szCs w:val="20"/>
          <w:color w:val="auto"/>
        </w:rPr>
      </w:pPr>
    </w:p>
    <w:p>
      <w:pPr>
        <w:ind w:firstLine="416"/>
        <w:spacing w:after="0" w:line="305" w:lineRule="auto"/>
        <w:rPr>
          <w:sz w:val="20"/>
          <w:szCs w:val="20"/>
          <w:color w:val="auto"/>
        </w:rPr>
      </w:pPr>
      <w:r>
        <w:rPr>
          <w:rFonts w:ascii="Arial" w:cs="Arial" w:eastAsia="Arial" w:hAnsi="Arial"/>
          <w:sz w:val="15"/>
          <w:szCs w:val="15"/>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product candidate or our business. If the preliminary or topline data that we report differ from late, final or actual results, or if others, including regulatory authorities, disagree with the conclusions reached, our ability to obtain approval for, and commercialize, PRT543, PRT811, PRT1419 or PRT2527, or any other product candidates may be harmed, which could harm our business, financial condition, results of operations and prospects.</w:t>
      </w: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37" w:name="page38"/>
    <w:bookmarkEnd w:id="37"/>
    <w:p>
      <w:pPr>
        <w:ind w:left="420" w:right="680"/>
        <w:spacing w:after="0" w:line="26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34" w:lineRule="exact"/>
        <w:rPr>
          <w:sz w:val="20"/>
          <w:szCs w:val="20"/>
          <w:color w:val="auto"/>
        </w:rPr>
      </w:pPr>
    </w:p>
    <w:p>
      <w:pPr>
        <w:ind w:right="40" w:firstLine="416"/>
        <w:spacing w:after="0" w:line="266" w:lineRule="auto"/>
        <w:rPr>
          <w:sz w:val="20"/>
          <w:szCs w:val="20"/>
          <w:color w:val="auto"/>
        </w:rPr>
      </w:pPr>
      <w:r>
        <w:rPr>
          <w:rFonts w:ascii="Arial" w:cs="Arial" w:eastAsia="Arial" w:hAnsi="Arial"/>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97"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successful in our efforts to design additional potential product candidates.</w:t>
      </w:r>
    </w:p>
    <w:p>
      <w:pPr>
        <w:spacing w:after="0" w:line="85" w:lineRule="exact"/>
        <w:rPr>
          <w:sz w:val="20"/>
          <w:szCs w:val="20"/>
          <w:color w:val="auto"/>
        </w:rPr>
      </w:pPr>
    </w:p>
    <w:p>
      <w:pPr>
        <w:ind w:firstLine="416"/>
        <w:spacing w:after="0" w:line="313" w:lineRule="auto"/>
        <w:rPr>
          <w:sz w:val="20"/>
          <w:szCs w:val="20"/>
          <w:color w:val="auto"/>
        </w:rPr>
      </w:pPr>
      <w:r>
        <w:rPr>
          <w:rFonts w:ascii="Arial" w:cs="Arial" w:eastAsia="Arial" w:hAnsi="Arial"/>
          <w:sz w:val="15"/>
          <w:szCs w:val="15"/>
          <w:color w:val="auto"/>
        </w:rPr>
        <w:t>A key element of our strategy is to identify molecular targets and intervention points leading to treatment failure, and then apply our expertise of cancer biology and medicinal chemistry, as well as our in-depth understanding of the current landscape of oncology treatments, to design solutions that can be precisely tailored in a target class agnostic fashion. The therapeutic design and development activities that we are conducting may not be successful in developing product candidates that are safe and effective in treating cancer or other diseases. Our research programs may initially show promise in identifying potential product candidates, yet fail to yield product candidates for clinical development for a number of reasons, including:</w:t>
      </w:r>
    </w:p>
    <w:p>
      <w:pPr>
        <w:spacing w:after="0" w:line="17" w:lineRule="exact"/>
        <w:rPr>
          <w:sz w:val="20"/>
          <w:szCs w:val="20"/>
          <w:color w:val="auto"/>
        </w:rPr>
      </w:pPr>
    </w:p>
    <w:p>
      <w:pPr>
        <w:ind w:left="820" w:hanging="40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target selection methodology used may not be successful in identifying potential product candidates;</w:t>
      </w:r>
    </w:p>
    <w:p>
      <w:pPr>
        <w:spacing w:after="0" w:line="71" w:lineRule="exact"/>
        <w:rPr>
          <w:rFonts w:ascii="Arial" w:cs="Arial" w:eastAsia="Arial" w:hAnsi="Arial"/>
          <w:sz w:val="18"/>
          <w:szCs w:val="18"/>
          <w:color w:val="auto"/>
        </w:rPr>
      </w:pPr>
    </w:p>
    <w:p>
      <w:pPr>
        <w:ind w:left="820" w:right="40" w:hanging="402"/>
        <w:spacing w:after="0" w:line="265" w:lineRule="auto"/>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drugs that will obtain marketing approval or achieve market acceptance; or</w:t>
      </w:r>
    </w:p>
    <w:p>
      <w:pPr>
        <w:spacing w:after="0" w:line="34" w:lineRule="exact"/>
        <w:rPr>
          <w:rFonts w:ascii="Arial" w:cs="Arial" w:eastAsia="Arial" w:hAnsi="Arial"/>
          <w:sz w:val="18"/>
          <w:szCs w:val="18"/>
          <w:color w:val="auto"/>
        </w:rPr>
      </w:pPr>
    </w:p>
    <w:p>
      <w:pPr>
        <w:ind w:left="820" w:hanging="40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product candidates may not be effective in treating their targeted diseases.</w:t>
      </w:r>
    </w:p>
    <w:p>
      <w:pPr>
        <w:spacing w:after="0" w:line="205" w:lineRule="exact"/>
        <w:rPr>
          <w:sz w:val="20"/>
          <w:szCs w:val="20"/>
          <w:color w:val="auto"/>
        </w:rPr>
      </w:pPr>
    </w:p>
    <w:p>
      <w:pPr>
        <w:ind w:firstLine="416"/>
        <w:spacing w:after="0" w:line="252" w:lineRule="auto"/>
        <w:rPr>
          <w:sz w:val="20"/>
          <w:szCs w:val="20"/>
          <w:color w:val="auto"/>
        </w:rPr>
      </w:pPr>
      <w:r>
        <w:rPr>
          <w:rFonts w:ascii="Arial" w:cs="Arial" w:eastAsia="Arial" w:hAnsi="Arial"/>
          <w:sz w:val="18"/>
          <w:szCs w:val="18"/>
          <w:color w:val="auto"/>
        </w:rPr>
        <w:t>Research programs to identify and design new product candidates require substantial technical, financial and human resources. We may choose to focus our efforts and resources on a potential product candidate that ultimately proves to be unsuccessful. If we are unable to identify and design suitable product candidates for preclinical and clinical development, we will not be able to obtain revenues from the sale of products in future periods, which likely would result in significant harm to our financial position and adversely impact our stock price.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18" w:lineRule="exact"/>
        <w:rPr>
          <w:sz w:val="20"/>
          <w:szCs w:val="20"/>
          <w:color w:val="auto"/>
        </w:rPr>
      </w:pPr>
    </w:p>
    <w:p>
      <w:pPr>
        <w:ind w:left="420" w:right="680"/>
        <w:spacing w:after="0" w:line="366" w:lineRule="auto"/>
        <w:rPr>
          <w:sz w:val="20"/>
          <w:szCs w:val="20"/>
          <w:color w:val="auto"/>
        </w:rPr>
      </w:pPr>
      <w:r>
        <w:rPr>
          <w:rFonts w:ascii="Arial" w:cs="Arial" w:eastAsia="Arial" w:hAnsi="Arial"/>
          <w:sz w:val="15"/>
          <w:szCs w:val="15"/>
          <w:b w:val="1"/>
          <w:bCs w:val="1"/>
          <w:i w:val="1"/>
          <w:iCs w:val="1"/>
          <w:color w:val="auto"/>
        </w:rPr>
        <w:t>The development and commercialization of pharmaceutical products are subject to extensive regulation, and we may not obtain regulatory approvals for PRT543, PRT811, PRT1419, PRT2527 or any other product candidates, on a timely basis or at all.</w:t>
      </w:r>
    </w:p>
    <w:p>
      <w:pPr>
        <w:spacing w:after="0" w:line="5" w:lineRule="exact"/>
        <w:rPr>
          <w:sz w:val="20"/>
          <w:szCs w:val="20"/>
          <w:color w:val="auto"/>
        </w:rPr>
      </w:pPr>
    </w:p>
    <w:p>
      <w:pPr>
        <w:ind w:firstLine="416"/>
        <w:spacing w:after="0" w:line="307" w:lineRule="auto"/>
        <w:rPr>
          <w:sz w:val="20"/>
          <w:szCs w:val="20"/>
          <w:color w:val="auto"/>
        </w:rPr>
      </w:pPr>
      <w:r>
        <w:rPr>
          <w:rFonts w:ascii="Arial" w:cs="Arial" w:eastAsia="Arial" w:hAnsi="Arial"/>
          <w:sz w:val="15"/>
          <w:szCs w:val="15"/>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PRT543, PRT811, PRT1419 and PRT2527, currently our only product candidates in planned or ongoing clinical trials, as well as any other product candidate that we may develop in the future, are subject to extensive regulation. Marketing approval of drugs in the United States requires the submission of an NDA to the FDA, and we are not permitted to market any product candidate in the United States until we obtain approval from the FDA of the NDA for that product. An NDA must be supported by extensive clinical and preclinical data, as well as extensive information regarding pharmacology, chemistry, manufacturing and controls. Our product candidates must be approved by comparable regulatory authorities in other jurisdictions prior to commercialization.</w:t>
      </w:r>
    </w:p>
    <w:p>
      <w:pPr>
        <w:spacing w:after="0" w:line="155" w:lineRule="exact"/>
        <w:rPr>
          <w:sz w:val="20"/>
          <w:szCs w:val="20"/>
          <w:color w:val="auto"/>
        </w:rPr>
      </w:pPr>
    </w:p>
    <w:p>
      <w:pPr>
        <w:ind w:right="40" w:firstLine="416"/>
        <w:spacing w:after="0" w:line="252" w:lineRule="auto"/>
        <w:rPr>
          <w:sz w:val="20"/>
          <w:szCs w:val="20"/>
          <w:color w:val="auto"/>
        </w:rPr>
      </w:pPr>
      <w:r>
        <w:rPr>
          <w:rFonts w:ascii="Arial" w:cs="Arial" w:eastAsia="Arial" w:hAnsi="Arial"/>
          <w:sz w:val="18"/>
          <w:szCs w:val="18"/>
          <w:color w:val="auto"/>
        </w:rPr>
        <w:t>FDA approval of an NDA is not guaranteed, and the review and approval process is an expensive and uncertain process that may take several years. Of the large number of drugs in development in the United States, only a small percentage will successfully complete the FDA regulatory approval process and will be commercialized. Accordingly, there can be no assurance that any of our product candidates will receive regulatory approval in the United States, or other jurisdictions.</w:t>
      </w:r>
    </w:p>
    <w:p>
      <w:pPr>
        <w:spacing w:after="0" w:line="193" w:lineRule="exact"/>
        <w:rPr>
          <w:sz w:val="20"/>
          <w:szCs w:val="20"/>
          <w:color w:val="auto"/>
        </w:rPr>
      </w:pPr>
    </w:p>
    <w:p>
      <w:pPr>
        <w:ind w:right="20" w:firstLine="416"/>
        <w:spacing w:after="0" w:line="251" w:lineRule="auto"/>
        <w:rPr>
          <w:sz w:val="20"/>
          <w:szCs w:val="20"/>
          <w:color w:val="auto"/>
        </w:rPr>
      </w:pPr>
      <w:r>
        <w:rPr>
          <w:rFonts w:ascii="Arial" w:cs="Arial" w:eastAsia="Arial" w:hAnsi="Arial"/>
          <w:sz w:val="18"/>
          <w:szCs w:val="18"/>
          <w:color w:val="auto"/>
        </w:rPr>
        <w:t>The FDA also has substantial discretion in the approval process. The number and types of preclinical studies and clinical trials that will be required for NDA approval varies depending on the product candidate, the disease or the condition that the product candidate is designed to treat and the regulations applicable to any particular product candidate. For example, if successful, we believe that the expansion portions of the Phase 1 clinical trials of PRT543 or PRT811 may be sufficient to support FDA approval of an NDA for PRT543 or PRT811, respectively, but the FDA may disagree with the sufficiency of our data and require additional clinical trials.</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38" w:name="page39"/>
    <w:bookmarkEnd w:id="38"/>
    <w:p>
      <w:pPr>
        <w:ind w:right="160"/>
        <w:spacing w:after="0" w:line="319" w:lineRule="auto"/>
        <w:rPr>
          <w:sz w:val="20"/>
          <w:szCs w:val="20"/>
          <w:color w:val="auto"/>
        </w:rPr>
      </w:pPr>
      <w:r>
        <w:rPr>
          <w:rFonts w:ascii="Arial" w:cs="Arial" w:eastAsia="Arial" w:hAnsi="Arial"/>
          <w:sz w:val="15"/>
          <w:szCs w:val="15"/>
          <w:color w:val="auto"/>
        </w:rPr>
        <w:t>Additionally, depending upon the results of the expansion portions of the Phase 1 clinical trials of PRT543 or PRT811, we may choose to seek Subpart H accelerated approval for PRT543 or PRT811, respectively, which would require completion of a confirmatory trial to validate the clinical benefit of the drug. Despite the time and expense associated with preclinical studies and clinical trials, failure can occur at any stage. The results of preclinical and early clinical trials of PRT543, PRT811, PRT1419, PRT2527 or any other product candidate may not be predictive of the results of our later-stage clinical trials.</w:t>
      </w:r>
    </w:p>
    <w:p>
      <w:pPr>
        <w:spacing w:after="0" w:line="145" w:lineRule="exact"/>
        <w:rPr>
          <w:sz w:val="20"/>
          <w:szCs w:val="20"/>
          <w:color w:val="auto"/>
        </w:rPr>
      </w:pPr>
    </w:p>
    <w:p>
      <w:pPr>
        <w:ind w:firstLine="416"/>
        <w:spacing w:after="0" w:line="267" w:lineRule="auto"/>
        <w:rPr>
          <w:sz w:val="20"/>
          <w:szCs w:val="20"/>
          <w:color w:val="auto"/>
        </w:rPr>
      </w:pPr>
      <w:r>
        <w:rPr>
          <w:rFonts w:ascii="Arial" w:cs="Arial" w:eastAsia="Arial" w:hAnsi="Arial"/>
          <w:sz w:val="17"/>
          <w:szCs w:val="17"/>
          <w:color w:val="auto"/>
        </w:rPr>
        <w:t>Clinical trial failure may result from a multitude of factors including flaws in trial design, dose selection, placebo effect, patient enrollment criteria and failure to demonstrate favorable safety or efficacy traits, and failure in clinical trials can occur at any stage. Companies in the pharmaceutical industry frequently suffer setbacks in the advancement of clinical trials due to lack of efficacy or adverse safety profiles, notwithstanding promising results in earlier trials. Based upon negative or inconclusive results, we may decide, or regulators may require us, to conduct additional clinical trials or preclinical studies. In addition, data obtained from clinical trials are susceptible to varying interpretations, and regulators may not interpret our data as favorably as we do, which may further delay, limit or prevent marketing approval.</w:t>
      </w:r>
    </w:p>
    <w:p>
      <w:pPr>
        <w:spacing w:after="0" w:line="18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FDA could delay, limit or deny approval of a product candidate for many reasons, including because the FDA:</w:t>
      </w:r>
    </w:p>
    <w:p>
      <w:pPr>
        <w:spacing w:after="0" w:line="112" w:lineRule="exact"/>
        <w:rPr>
          <w:sz w:val="20"/>
          <w:szCs w:val="20"/>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deem our product candidate to be safe and effective;</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that the product candidate does not have an acceptable benefit-risk profile;</w:t>
      </w:r>
    </w:p>
    <w:p>
      <w:pPr>
        <w:spacing w:after="0" w:line="111" w:lineRule="exact"/>
        <w:rPr>
          <w:rFonts w:ascii="Arial" w:cs="Arial" w:eastAsia="Arial" w:hAnsi="Arial"/>
          <w:sz w:val="18"/>
          <w:szCs w:val="18"/>
          <w:color w:val="auto"/>
        </w:rPr>
      </w:pPr>
    </w:p>
    <w:p>
      <w:pPr>
        <w:ind w:left="840" w:right="640" w:hanging="422"/>
        <w:spacing w:after="0" w:line="26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in the case of an NDA seeking accelerated approval that the NDA does not provide evidence that the product candidate represents a meaningful advantage over available therapies;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determines that the objective response rate, or ORR, and duration of response are not clinically meaningful;</w:t>
      </w:r>
    </w:p>
    <w:p>
      <w:pPr>
        <w:spacing w:after="0" w:line="111" w:lineRule="exact"/>
        <w:rPr>
          <w:rFonts w:ascii="Arial" w:cs="Arial" w:eastAsia="Arial" w:hAnsi="Arial"/>
          <w:sz w:val="18"/>
          <w:szCs w:val="18"/>
          <w:color w:val="auto"/>
        </w:rPr>
      </w:pPr>
    </w:p>
    <w:p>
      <w:pPr>
        <w:ind w:left="840" w:hanging="422"/>
        <w:spacing w:after="0" w:line="366" w:lineRule="auto"/>
        <w:tabs>
          <w:tab w:leader="none" w:pos="840" w:val="left"/>
        </w:tabs>
        <w:numPr>
          <w:ilvl w:val="0"/>
          <w:numId w:val="23"/>
        </w:numPr>
        <w:rPr>
          <w:rFonts w:ascii="Arial" w:cs="Arial" w:eastAsia="Arial" w:hAnsi="Arial"/>
          <w:sz w:val="15"/>
          <w:szCs w:val="15"/>
          <w:color w:val="auto"/>
        </w:rPr>
      </w:pPr>
      <w:r>
        <w:rPr>
          <w:rFonts w:ascii="Arial" w:cs="Arial" w:eastAsia="Arial" w:hAnsi="Arial"/>
          <w:sz w:val="15"/>
          <w:szCs w:val="15"/>
          <w:color w:val="auto"/>
        </w:rPr>
        <w:t>may not agree that the data collected from preclinical studies and clinical trials are acceptable or sufficient to support the submission of an NDA or other submission or to obtain regulatory approval, and may impose requirements for additional preclinical studies or clinical trials;</w:t>
      </w:r>
    </w:p>
    <w:p>
      <w:pPr>
        <w:spacing w:after="0" w:line="5" w:lineRule="exact"/>
        <w:rPr>
          <w:rFonts w:ascii="Arial" w:cs="Arial" w:eastAsia="Arial" w:hAnsi="Arial"/>
          <w:sz w:val="15"/>
          <w:szCs w:val="15"/>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determine that adverse events experienced by participants in our clinical trials represent an unacceptable level of risk;</w:t>
      </w:r>
    </w:p>
    <w:p>
      <w:pPr>
        <w:spacing w:after="0" w:line="111" w:lineRule="exact"/>
        <w:rPr>
          <w:rFonts w:ascii="Arial" w:cs="Arial" w:eastAsia="Arial" w:hAnsi="Arial"/>
          <w:sz w:val="18"/>
          <w:szCs w:val="18"/>
          <w:color w:val="auto"/>
        </w:rPr>
      </w:pPr>
    </w:p>
    <w:p>
      <w:pPr>
        <w:ind w:left="840" w:hanging="422"/>
        <w:spacing w:after="0" w:line="26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determine that population studied in the clinical trial may not be sufficiently broad or representative to assure safety in the full population for which we seek approval;</w:t>
      </w:r>
    </w:p>
    <w:p>
      <w:pPr>
        <w:spacing w:after="0" w:line="74" w:lineRule="exact"/>
        <w:rPr>
          <w:rFonts w:ascii="Arial" w:cs="Arial" w:eastAsia="Arial" w:hAnsi="Arial"/>
          <w:sz w:val="18"/>
          <w:szCs w:val="18"/>
          <w:color w:val="auto"/>
        </w:rPr>
      </w:pPr>
    </w:p>
    <w:p>
      <w:pPr>
        <w:ind w:left="840" w:right="580" w:hanging="422"/>
        <w:spacing w:after="0" w:line="26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accept clinical data from trials, which are conducted at clinical facilities or in countries where the standard of care is potentially different from that of the United States;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disagree regarding the formulation, labeling and/or the specifications;</w:t>
      </w:r>
    </w:p>
    <w:p>
      <w:pPr>
        <w:spacing w:after="0" w:line="111" w:lineRule="exact"/>
        <w:rPr>
          <w:rFonts w:ascii="Arial" w:cs="Arial" w:eastAsia="Arial" w:hAnsi="Arial"/>
          <w:sz w:val="18"/>
          <w:szCs w:val="18"/>
          <w:color w:val="auto"/>
        </w:rPr>
      </w:pPr>
    </w:p>
    <w:p>
      <w:pPr>
        <w:ind w:left="840" w:right="280" w:hanging="422"/>
        <w:spacing w:after="0" w:line="265" w:lineRule="auto"/>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approve the manufacturing processes associated with our product candidate or may determine that a manufacturing facility does not have an acceptable compliance status;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change approval policies or adopt new regulations; or</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may not file a submission due to, among other reasons, the content or formatting of the submission.</w:t>
      </w:r>
    </w:p>
    <w:p>
      <w:pPr>
        <w:spacing w:after="0" w:line="218" w:lineRule="exact"/>
        <w:rPr>
          <w:sz w:val="20"/>
          <w:szCs w:val="20"/>
          <w:color w:val="auto"/>
        </w:rPr>
      </w:pPr>
    </w:p>
    <w:p>
      <w:pPr>
        <w:ind w:right="100" w:firstLine="416"/>
        <w:spacing w:after="0" w:line="265" w:lineRule="auto"/>
        <w:rPr>
          <w:sz w:val="20"/>
          <w:szCs w:val="20"/>
          <w:color w:val="auto"/>
        </w:rPr>
      </w:pPr>
      <w:r>
        <w:rPr>
          <w:rFonts w:ascii="Arial" w:cs="Arial" w:eastAsia="Arial" w:hAnsi="Arial"/>
          <w:sz w:val="18"/>
          <w:szCs w:val="18"/>
          <w:color w:val="auto"/>
        </w:rPr>
        <w:t>We have not obtained FDA approval for any product. This lack of experience may impede our ability to obtain FDA approval in a timely manner, if at all, for our clinical product candidates.</w:t>
      </w:r>
    </w:p>
    <w:p>
      <w:pPr>
        <w:spacing w:after="0" w:line="180" w:lineRule="exact"/>
        <w:rPr>
          <w:sz w:val="20"/>
          <w:szCs w:val="20"/>
          <w:color w:val="auto"/>
        </w:rPr>
      </w:pPr>
    </w:p>
    <w:p>
      <w:pPr>
        <w:ind w:right="20" w:firstLine="416"/>
        <w:spacing w:after="0" w:line="256" w:lineRule="auto"/>
        <w:rPr>
          <w:sz w:val="20"/>
          <w:szCs w:val="20"/>
          <w:color w:val="auto"/>
        </w:rPr>
      </w:pPr>
      <w:r>
        <w:rPr>
          <w:rFonts w:ascii="Arial" w:cs="Arial" w:eastAsia="Arial" w:hAnsi="Arial"/>
          <w:sz w:val="18"/>
          <w:szCs w:val="18"/>
          <w:color w:val="auto"/>
        </w:rPr>
        <w:t>If we experience delays in obtaining approval or if we fail to obtain approval of PRT543, PRT811, PRT1419 or PRT2527, our commercial prospects will be harmed and our ability to generate revenues will be materially impaired which would adversely affect our business, prospects, financial condition and results of operations.</w:t>
      </w:r>
    </w:p>
    <w:p>
      <w:pPr>
        <w:spacing w:after="0" w:line="281" w:lineRule="exact"/>
        <w:rPr>
          <w:sz w:val="20"/>
          <w:szCs w:val="20"/>
          <w:color w:val="auto"/>
        </w:rPr>
      </w:pPr>
    </w:p>
    <w:p>
      <w:pPr>
        <w:ind w:left="420" w:right="260"/>
        <w:spacing w:after="0" w:line="265" w:lineRule="auto"/>
        <w:rPr>
          <w:sz w:val="20"/>
          <w:szCs w:val="20"/>
          <w:color w:val="auto"/>
        </w:rPr>
      </w:pPr>
      <w:r>
        <w:rPr>
          <w:rFonts w:ascii="Arial" w:cs="Arial" w:eastAsia="Arial" w:hAnsi="Arial"/>
          <w:sz w:val="18"/>
          <w:szCs w:val="18"/>
          <w:b w:val="1"/>
          <w:bCs w:val="1"/>
          <w:i w:val="1"/>
          <w:iCs w:val="1"/>
          <w:color w:val="auto"/>
        </w:rPr>
        <w:t>The accelerated approval pathway for our product candidates may not lead to a faster development or regulatory review or approval process and does not increase the likelihood that our product candidates will receive marketing approval.</w:t>
      </w:r>
    </w:p>
    <w:p>
      <w:pPr>
        <w:spacing w:after="0" w:line="74" w:lineRule="exact"/>
        <w:rPr>
          <w:sz w:val="20"/>
          <w:szCs w:val="20"/>
          <w:color w:val="auto"/>
        </w:rPr>
      </w:pPr>
    </w:p>
    <w:p>
      <w:pPr>
        <w:ind w:firstLine="416"/>
        <w:spacing w:after="0" w:line="267" w:lineRule="auto"/>
        <w:rPr>
          <w:sz w:val="20"/>
          <w:szCs w:val="20"/>
          <w:color w:val="auto"/>
        </w:rPr>
      </w:pPr>
      <w:r>
        <w:rPr>
          <w:rFonts w:ascii="Arial" w:cs="Arial" w:eastAsia="Arial" w:hAnsi="Arial"/>
          <w:sz w:val="17"/>
          <w:szCs w:val="17"/>
          <w:color w:val="auto"/>
        </w:rPr>
        <w:t>Under the FDA’s accelerated approval program, the FDA may approve a drug for a serious or life- 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We may seek accelerated approval for one or more of our product candidates on the basis of ORR with an acceptable duration of response, a surrogate endpoint that we believe is reasonably likely to predict clinical benefit.</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39" w:name="page40"/>
    <w:bookmarkEnd w:id="39"/>
    <w:p>
      <w:pPr>
        <w:ind w:right="40" w:firstLine="416"/>
        <w:spacing w:after="0" w:line="309" w:lineRule="auto"/>
        <w:rPr>
          <w:sz w:val="20"/>
          <w:szCs w:val="20"/>
          <w:color w:val="auto"/>
        </w:rPr>
      </w:pPr>
      <w:r>
        <w:rPr>
          <w:rFonts w:ascii="Arial" w:cs="Arial" w:eastAsia="Arial" w:hAnsi="Arial"/>
          <w:sz w:val="15"/>
          <w:szCs w:val="15"/>
          <w:color w:val="auto"/>
        </w:rPr>
        <w:t>For drugs granted accelerated approval, post-marketing confirmatory trials are required to describe the anticipated effect on irreversible morbidity or mortality or other clinical benefit. These confirmatory trials must be completed with due diligence and, in some cases, the FDA may require that the trial be designed, initiated, and/or fully enrolled prior to approval. If any of our competitors were to receive full approval on the basis of a confirmatory trial for an indication for which we are seeking accelerated approval before we receive accelerated approval, the indication we are seeking may no longer qualify as a condition for which there is an unmet medical need and accelerated approval of our product candidate would be more difficult or may not occur. Moreover, the FDA may withdraw approval of our product candidate approved under the accelerated approval pathway if, for example:</w:t>
      </w:r>
    </w:p>
    <w:p>
      <w:pPr>
        <w:spacing w:after="0" w:line="22" w:lineRule="exact"/>
        <w:rPr>
          <w:sz w:val="20"/>
          <w:szCs w:val="20"/>
          <w:color w:val="auto"/>
        </w:rPr>
      </w:pPr>
    </w:p>
    <w:p>
      <w:pPr>
        <w:ind w:left="820" w:hanging="402"/>
        <w:spacing w:after="0"/>
        <w:tabs>
          <w:tab w:leader="none" w:pos="8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trial or trials required to verify the predicted clinical benefit of our product candidate fail to verify such benefit or do not demonstrate</w:t>
      </w:r>
    </w:p>
    <w:p>
      <w:pPr>
        <w:spacing w:after="0" w:line="2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sufficient clinical benefit to justify the risks associated with the drug;</w:t>
      </w:r>
    </w:p>
    <w:p>
      <w:pPr>
        <w:spacing w:after="0" w:line="74" w:lineRule="exact"/>
        <w:rPr>
          <w:sz w:val="20"/>
          <w:szCs w:val="20"/>
          <w:color w:val="auto"/>
        </w:rPr>
      </w:pPr>
    </w:p>
    <w:p>
      <w:pPr>
        <w:ind w:left="820" w:hanging="40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evidence demonstrates that our product candidate is not shown to be safe or effective under the conditions of use;</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fail to conduct any required post-approval trial of our product candidate with due diligence; or</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disseminate false or misleading promotional materials relating to the relevant product candidate.</w:t>
      </w:r>
    </w:p>
    <w:p>
      <w:pPr>
        <w:spacing w:after="0" w:line="258" w:lineRule="exact"/>
        <w:rPr>
          <w:sz w:val="20"/>
          <w:szCs w:val="20"/>
          <w:color w:val="auto"/>
        </w:rPr>
      </w:pPr>
    </w:p>
    <w:p>
      <w:pPr>
        <w:ind w:left="420" w:right="100"/>
        <w:spacing w:after="0" w:line="256" w:lineRule="auto"/>
        <w:rPr>
          <w:sz w:val="20"/>
          <w:szCs w:val="20"/>
          <w:color w:val="auto"/>
        </w:rPr>
      </w:pPr>
      <w:r>
        <w:rPr>
          <w:rFonts w:ascii="Arial" w:cs="Arial" w:eastAsia="Arial" w:hAnsi="Arial"/>
          <w:sz w:val="18"/>
          <w:szCs w:val="18"/>
          <w:b w:val="1"/>
          <w:bCs w:val="1"/>
          <w:i w:val="1"/>
          <w:iCs w:val="1"/>
          <w:color w:val="auto"/>
        </w:rPr>
        <w:t>Our failure to obtain marketing approval in foreign jurisdictions would prevent our product candidates from being marketed in those jurisdictions, and any approval we are granted for our product candidates in the United States would not assure approval of product candidates in foreign jurisdictions.</w:t>
      </w:r>
    </w:p>
    <w:p>
      <w:pPr>
        <w:spacing w:after="0" w:line="55" w:lineRule="exact"/>
        <w:rPr>
          <w:sz w:val="20"/>
          <w:szCs w:val="20"/>
          <w:color w:val="auto"/>
        </w:rPr>
      </w:pPr>
    </w:p>
    <w:p>
      <w:pPr>
        <w:ind w:right="80" w:firstLine="416"/>
        <w:spacing w:after="0" w:line="248" w:lineRule="auto"/>
        <w:rPr>
          <w:sz w:val="20"/>
          <w:szCs w:val="20"/>
          <w:color w:val="auto"/>
        </w:rPr>
      </w:pPr>
      <w:r>
        <w:rPr>
          <w:rFonts w:ascii="Arial" w:cs="Arial" w:eastAsia="Arial" w:hAnsi="Arial"/>
          <w:sz w:val="18"/>
          <w:szCs w:val="18"/>
          <w:color w:val="auto"/>
        </w:rPr>
        <w:t>In order to market and sell our products in any jurisdiction outside the United States,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We may not be able to submit for marketing approvals and may not receive necessary approvals to commercialize our products in any market.</w:t>
      </w:r>
    </w:p>
    <w:p>
      <w:pPr>
        <w:spacing w:after="0" w:line="3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obtain or maintain orphan drug designation or exclusivity for our product candidates.</w:t>
      </w:r>
    </w:p>
    <w:p>
      <w:pPr>
        <w:spacing w:after="0" w:line="98" w:lineRule="exact"/>
        <w:rPr>
          <w:sz w:val="20"/>
          <w:szCs w:val="20"/>
          <w:color w:val="auto"/>
        </w:rPr>
      </w:pPr>
    </w:p>
    <w:p>
      <w:pPr>
        <w:ind w:right="120" w:firstLine="416"/>
        <w:spacing w:after="0" w:line="251" w:lineRule="auto"/>
        <w:rPr>
          <w:sz w:val="20"/>
          <w:szCs w:val="20"/>
          <w:color w:val="auto"/>
        </w:rPr>
      </w:pPr>
      <w:r>
        <w:rPr>
          <w:rFonts w:ascii="Arial" w:cs="Arial" w:eastAsia="Arial" w:hAnsi="Arial"/>
          <w:sz w:val="18"/>
          <w:szCs w:val="18"/>
          <w:color w:val="auto"/>
        </w:rPr>
        <w:t>Regulatory authorities in some jurisdictions, including the United States, may designate drugs for relatively small patient populations as “orphan drugs.” Under the Orphan Drug Act, the FDA may designate a drug as an orphan drug if it is intended to treat a rare disease or condition, which is generally defined as a patient population of fewer than 200,000 individuals in the United States, or if the disease or condition affects more than 200,000 individuals in the United States and there is no reasonable expectation that the cost of developing the drug for the type of disease or condition will be recovered from sales of the product in the United States.</w:t>
      </w:r>
    </w:p>
    <w:p>
      <w:pPr>
        <w:spacing w:after="0" w:line="193" w:lineRule="exact"/>
        <w:rPr>
          <w:sz w:val="20"/>
          <w:szCs w:val="20"/>
          <w:color w:val="auto"/>
        </w:rPr>
      </w:pPr>
    </w:p>
    <w:p>
      <w:pPr>
        <w:ind w:right="80" w:firstLine="416"/>
        <w:spacing w:after="0" w:line="307" w:lineRule="auto"/>
        <w:rPr>
          <w:sz w:val="20"/>
          <w:szCs w:val="20"/>
          <w:color w:val="auto"/>
        </w:rPr>
      </w:pPr>
      <w:r>
        <w:rPr>
          <w:rFonts w:ascii="Arial" w:cs="Arial" w:eastAsia="Arial" w:hAnsi="Arial"/>
          <w:sz w:val="15"/>
          <w:szCs w:val="15"/>
          <w:color w:val="auto"/>
        </w:rPr>
        <w:t>Orphan drug designation entitles a party to financial incentives, such as opportunities for grant funding towards clinical trial costs, tax advantages and user-fee waivers. Additionally, if a product that has orphan designation subsequently receives the first FDA approval for the disease or condition for which it has such designation, the product is entitled to orphan drug exclusivity, which means that the FDA may not approve any other applications to market the same drug for the same indication for seven years, except in certain circumstances, such as a showing of clinical superiority (i.e., another product is safer, more effective or makes a major contribution to patient care) over the product with orphan exclusivity or where the manufacturer is unable to assure sufficient product quantity. Competitors, however, may receive approval of different products for the same indication for which the orphan product has exclusivity, or obtain approval for the same product but for a different indication than that for which the orphan product has exclusivity.</w:t>
      </w:r>
    </w:p>
    <w:p>
      <w:pPr>
        <w:spacing w:after="0" w:line="155" w:lineRule="exact"/>
        <w:rPr>
          <w:sz w:val="20"/>
          <w:szCs w:val="20"/>
          <w:color w:val="auto"/>
        </w:rPr>
      </w:pPr>
    </w:p>
    <w:p>
      <w:pPr>
        <w:ind w:firstLine="416"/>
        <w:spacing w:after="0" w:line="304" w:lineRule="auto"/>
        <w:rPr>
          <w:sz w:val="20"/>
          <w:szCs w:val="20"/>
          <w:color w:val="auto"/>
        </w:rPr>
      </w:pPr>
      <w:r>
        <w:rPr>
          <w:rFonts w:ascii="Arial" w:cs="Arial" w:eastAsia="Arial" w:hAnsi="Arial"/>
          <w:sz w:val="15"/>
          <w:szCs w:val="15"/>
          <w:color w:val="auto"/>
        </w:rPr>
        <w:t>We may apply for an orphan drug designation in the United States or other geographies for our product candidates in the future. However, obtaining an orphan drug designation can be difficult, and we may not be successful in doing so. Even if we obtain orphan drug designation for our product candidates in specific indications, we may not be the first to obtain regulatory approval of these product candidates for the orphan- 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orphan designation was materially defective or if the manufacturer is unable to assure sufficient quantities of the product to meet the needs of patients with the rare disease or condition. Orphan drug designation does not ensure that we will receive marketing exclusivity in a particular market, and we cannot assure you that any future application for orphan drug designation in any other geography or with respect to any other product candidate will be granted. Orphan drug designation neither shortens the development time or regulatory review time of a drug, nor gives the drug any advantage in the regulatory review or approval process.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0" w:name="page41"/>
    <w:bookmarkEnd w:id="40"/>
    <w:p>
      <w:pPr>
        <w:ind w:left="420" w:right="440"/>
        <w:spacing w:after="0" w:line="366" w:lineRule="auto"/>
        <w:rPr>
          <w:sz w:val="20"/>
          <w:szCs w:val="20"/>
          <w:color w:val="auto"/>
        </w:rPr>
      </w:pPr>
      <w:r>
        <w:rPr>
          <w:rFonts w:ascii="Arial" w:cs="Arial" w:eastAsia="Arial" w:hAnsi="Arial"/>
          <w:sz w:val="15"/>
          <w:szCs w:val="15"/>
          <w:b w:val="1"/>
          <w:bCs w:val="1"/>
          <w:i w:val="1"/>
          <w:iCs w:val="1"/>
          <w:color w:val="auto"/>
        </w:rPr>
        <w:t>A Breakthrough Therapy Designation by the FDA for any of our current or future product candidates may not lead to a faster development or regulatory review or approval process, and it would not increase the likelihood that the product candidate will receive marketing approval.</w:t>
      </w:r>
    </w:p>
    <w:p>
      <w:pPr>
        <w:spacing w:after="0" w:line="5" w:lineRule="exact"/>
        <w:rPr>
          <w:sz w:val="20"/>
          <w:szCs w:val="20"/>
          <w:color w:val="auto"/>
        </w:rPr>
      </w:pPr>
    </w:p>
    <w:p>
      <w:pPr>
        <w:ind w:firstLine="416"/>
        <w:spacing w:after="0" w:line="266" w:lineRule="auto"/>
        <w:rPr>
          <w:sz w:val="20"/>
          <w:szCs w:val="20"/>
          <w:color w:val="auto"/>
        </w:rPr>
      </w:pPr>
      <w:r>
        <w:rPr>
          <w:rFonts w:ascii="Arial" w:cs="Arial" w:eastAsia="Arial" w:hAnsi="Arial"/>
          <w:sz w:val="17"/>
          <w:szCs w:val="17"/>
          <w:color w:val="auto"/>
        </w:rPr>
        <w:t>We may seek a Breakthrough Therapy Designation for one or more of our current or future product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priority review if supported by clinical data at the time of the submission of the NDA.</w:t>
      </w:r>
    </w:p>
    <w:p>
      <w:pPr>
        <w:spacing w:after="0" w:line="183" w:lineRule="exact"/>
        <w:rPr>
          <w:sz w:val="20"/>
          <w:szCs w:val="20"/>
          <w:color w:val="auto"/>
        </w:rPr>
      </w:pPr>
    </w:p>
    <w:p>
      <w:pPr>
        <w:ind w:firstLine="416"/>
        <w:spacing w:after="0" w:line="267" w:lineRule="auto"/>
        <w:rPr>
          <w:sz w:val="20"/>
          <w:szCs w:val="20"/>
          <w:color w:val="auto"/>
        </w:rPr>
      </w:pPr>
      <w:r>
        <w:rPr>
          <w:rFonts w:ascii="Arial" w:cs="Arial" w:eastAsia="Arial" w:hAnsi="Arial"/>
          <w:sz w:val="17"/>
          <w:szCs w:val="17"/>
          <w:color w:val="auto"/>
        </w:rPr>
        <w:t>Designation as a breakthrough therapy is at the discretion of the FDA. Accordingly, even if we believe that one of our product candidates meets the criteria for designation as a breakthrough therapy, the FDA may disagree and instead determine not to make such designation. In any event, the receipt of a Breakthrough Therapy Designation for a drug may not result in a faster development process, review, or approval compared to drugs considered for approval under conventional FDA procedures and it would not assure ultimate approval by the FDA. In addition, even if one or more of our product candidates qualify as breakthrough therapies, the FDA may later decide that the product candidate no longer meets the conditions for qualification or that the time period for FDA review or approval will not be shortened.</w:t>
      </w:r>
    </w:p>
    <w:p>
      <w:pPr>
        <w:spacing w:after="0" w:line="276" w:lineRule="exact"/>
        <w:rPr>
          <w:sz w:val="20"/>
          <w:szCs w:val="20"/>
          <w:color w:val="auto"/>
        </w:rPr>
      </w:pPr>
    </w:p>
    <w:p>
      <w:pPr>
        <w:ind w:left="420" w:right="300"/>
        <w:spacing w:after="0" w:line="256" w:lineRule="auto"/>
        <w:rPr>
          <w:sz w:val="20"/>
          <w:szCs w:val="20"/>
          <w:color w:val="auto"/>
        </w:rPr>
      </w:pPr>
      <w:r>
        <w:rPr>
          <w:rFonts w:ascii="Arial" w:cs="Arial" w:eastAsia="Arial" w:hAnsi="Arial"/>
          <w:sz w:val="18"/>
          <w:szCs w:val="18"/>
          <w:b w:val="1"/>
          <w:bCs w:val="1"/>
          <w:i w:val="1"/>
          <w:iCs w:val="1"/>
          <w:color w:val="auto"/>
        </w:rPr>
        <w:t>If we are unable to successfully develop, validate, obtain regulatory approval of and commercialize companion diagnostic tests for any product candidates that require such tests, or experience significant delays in doing so, we may not realize the full commercial potential of these product candidates.</w:t>
      </w:r>
    </w:p>
    <w:p>
      <w:pPr>
        <w:spacing w:after="0" w:line="81" w:lineRule="exact"/>
        <w:rPr>
          <w:sz w:val="20"/>
          <w:szCs w:val="20"/>
          <w:color w:val="auto"/>
        </w:rPr>
      </w:pPr>
    </w:p>
    <w:p>
      <w:pPr>
        <w:ind w:right="40" w:firstLine="416"/>
        <w:spacing w:after="0" w:line="252" w:lineRule="auto"/>
        <w:rPr>
          <w:sz w:val="20"/>
          <w:szCs w:val="20"/>
          <w:color w:val="auto"/>
        </w:rPr>
      </w:pPr>
      <w:r>
        <w:rPr>
          <w:rFonts w:ascii="Arial" w:cs="Arial" w:eastAsia="Arial" w:hAnsi="Arial"/>
          <w:sz w:val="18"/>
          <w:szCs w:val="18"/>
          <w:color w:val="auto"/>
        </w:rPr>
        <w:t xml:space="preserve">A companion diagnostic is a medical device, often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device, which provides information that is essential for the safe and effective use of a corresponding therapeutic drug product. A companion diagnostic can be used to identify patients who are most likely to benefit from the therapeutic product. In the future, we may evaluate opportunities to develop, either by ourselves or with collaborators, companion diagnostic tests for our product candidates for certain indications.</w:t>
      </w:r>
    </w:p>
    <w:p>
      <w:pPr>
        <w:spacing w:after="0" w:line="220" w:lineRule="exact"/>
        <w:rPr>
          <w:sz w:val="20"/>
          <w:szCs w:val="20"/>
          <w:color w:val="auto"/>
        </w:rPr>
      </w:pPr>
    </w:p>
    <w:p>
      <w:pPr>
        <w:jc w:val="both"/>
        <w:ind w:right="200" w:firstLine="416"/>
        <w:spacing w:after="0" w:line="313" w:lineRule="auto"/>
        <w:rPr>
          <w:sz w:val="20"/>
          <w:szCs w:val="20"/>
          <w:color w:val="auto"/>
        </w:rPr>
      </w:pPr>
      <w:r>
        <w:rPr>
          <w:rFonts w:ascii="Arial" w:cs="Arial" w:eastAsia="Arial" w:hAnsi="Arial"/>
          <w:sz w:val="15"/>
          <w:szCs w:val="15"/>
          <w:color w:val="auto"/>
        </w:rPr>
        <w:t>A companion diagnostic is generally developed in conjunction with the clinical program for an associated therapeutic product. To date, the FDA has required premarket approval of the vast majority of companion diagnostics for cancer therapies. Generally, when a companion diagnostic is essential to the safe and effective use of a drug product, the FDA requires that the companion diagnostic be approved before or concurrent with approval of the therapeutic product and before a product can be commercialized. The approval of a companion diagnostic as part of the therapeutic product’s labeling limits the use of the therapeutic product to only those patients who express the specific genetic alteration that the companion diagnostic was developed to detect.</w:t>
      </w:r>
    </w:p>
    <w:p>
      <w:pPr>
        <w:spacing w:after="0" w:line="177" w:lineRule="exact"/>
        <w:rPr>
          <w:sz w:val="20"/>
          <w:szCs w:val="20"/>
          <w:color w:val="auto"/>
        </w:rPr>
      </w:pPr>
    </w:p>
    <w:p>
      <w:pPr>
        <w:ind w:right="40" w:firstLine="416"/>
        <w:spacing w:after="0" w:line="252" w:lineRule="auto"/>
        <w:rPr>
          <w:sz w:val="20"/>
          <w:szCs w:val="20"/>
          <w:color w:val="auto"/>
        </w:rPr>
      </w:pPr>
      <w:r>
        <w:rPr>
          <w:rFonts w:ascii="Arial" w:cs="Arial" w:eastAsia="Arial" w:hAnsi="Arial"/>
          <w:sz w:val="18"/>
          <w:szCs w:val="18"/>
          <w:color w:val="auto"/>
        </w:rPr>
        <w:t>Development of a companion diagnostic could include additional meetings with regulatory authorities, such as a pre-submission meeting and the requirement to submit an investigational device exemption application. In the case of a companion diagnostic that is designated as “significant risk device,” approval of an investigational device exemption by the FDA and IRB is required before such diagnostic is used in conjunction with the clinical trials for a corresponding product candidate.</w:t>
      </w:r>
    </w:p>
    <w:p>
      <w:pPr>
        <w:spacing w:after="0" w:line="220" w:lineRule="exact"/>
        <w:rPr>
          <w:sz w:val="20"/>
          <w:szCs w:val="20"/>
          <w:color w:val="auto"/>
        </w:rPr>
      </w:pPr>
    </w:p>
    <w:p>
      <w:pPr>
        <w:ind w:firstLine="416"/>
        <w:spacing w:after="0" w:line="263" w:lineRule="auto"/>
        <w:rPr>
          <w:sz w:val="20"/>
          <w:szCs w:val="20"/>
          <w:color w:val="auto"/>
        </w:rPr>
      </w:pPr>
      <w:r>
        <w:rPr>
          <w:rFonts w:ascii="Arial" w:cs="Arial" w:eastAsia="Arial" w:hAnsi="Arial"/>
          <w:sz w:val="17"/>
          <w:szCs w:val="17"/>
          <w:color w:val="auto"/>
        </w:rPr>
        <w:t>To be successful in developing, validating, obtaining approval of and commercializing a companion diagnostic, we or our collaborators will need to address a number of scientific, technical, regulatory and logistical challenges. We have no prior experience with medical device or diagnostic test development. If we choose to develop and seek FDA approval for companion diagnostic tests on our own, we will require additional personnel. We may rely on third parties for the design, development, testing, validation and manufacture of companion diagnostic tests for our therapeutic product candidates that require such tests, the application for and receipt of any required regulatory approvals, and the commercial supply of these companion diagnostics. If these parties are unable to successfully develop companion diagnostics for these therapeutic product candidates, or experience delays in doing so, we may be unable to enroll enough patients for our current and planned clinical trials, the development of these therapeutic product candidates may be adversely affected, these therapeutic product candidates may not obtain marketing approval, and we may not realize the full commercial potential of any of these therapeutics that obtain marketing approval. For any product candidate for which a companion diagnostic is necessary to select patients who may benefit from use of the product candidate, any failure to successfully develop a companion diagnostic may cause or contribute to delayed enrollment of our clinical trials, and may prevent us from initiating a pivotal trial. In addition, the commercial success of any of our product candidates that require a companion diagnostic will be tied to and dependent upon the receipt of required regulatory approvals and the continued ability of such third parties to make the companion diagnostic commercially available to us on reasonable terms in the relevant geographies. Any failure to do so could materially harm our business, results of operations and financial condition.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1" w:name="page42"/>
    <w:bookmarkEnd w:id="41"/>
    <w:p>
      <w:pPr>
        <w:ind w:left="420"/>
        <w:spacing w:after="0"/>
        <w:rPr>
          <w:sz w:val="20"/>
          <w:szCs w:val="20"/>
          <w:color w:val="auto"/>
        </w:rPr>
      </w:pPr>
      <w:r>
        <w:rPr>
          <w:rFonts w:ascii="Arial" w:cs="Arial" w:eastAsia="Arial" w:hAnsi="Arial"/>
          <w:sz w:val="15"/>
          <w:szCs w:val="15"/>
          <w:b w:val="1"/>
          <w:bCs w:val="1"/>
          <w:i w:val="1"/>
          <w:iCs w:val="1"/>
          <w:color w:val="auto"/>
        </w:rPr>
        <w:t>If we decide to pursue a Fast Track Designation by the FDA, it may not lead to a faster development or regulatory review or approval process.</w:t>
      </w:r>
    </w:p>
    <w:p>
      <w:pPr>
        <w:spacing w:after="0" w:line="146" w:lineRule="exact"/>
        <w:rPr>
          <w:sz w:val="20"/>
          <w:szCs w:val="20"/>
          <w:color w:val="auto"/>
        </w:rPr>
      </w:pPr>
    </w:p>
    <w:p>
      <w:pPr>
        <w:ind w:right="80" w:firstLine="416"/>
        <w:spacing w:after="0" w:line="267" w:lineRule="auto"/>
        <w:rPr>
          <w:sz w:val="20"/>
          <w:szCs w:val="20"/>
          <w:color w:val="auto"/>
        </w:rPr>
      </w:pPr>
      <w:r>
        <w:rPr>
          <w:rFonts w:ascii="Arial" w:cs="Arial" w:eastAsia="Arial" w:hAnsi="Arial"/>
          <w:sz w:val="17"/>
          <w:szCs w:val="17"/>
          <w:color w:val="auto"/>
        </w:rPr>
        <w:t>We may seek Fast Track Designation for one or more of our product candidates. If a drug is intended for the treatment of a serious or life-threatening condition and the drug demonstrates the potential to address unmet medical needs for this condition, the product sponsor may apply for FDA Fast Track Designation. The FDA has broad discretion whether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w:t>
      </w:r>
    </w:p>
    <w:p>
      <w:pPr>
        <w:spacing w:after="0" w:line="276" w:lineRule="exact"/>
        <w:rPr>
          <w:sz w:val="20"/>
          <w:szCs w:val="20"/>
          <w:color w:val="auto"/>
        </w:rPr>
      </w:pPr>
    </w:p>
    <w:p>
      <w:pPr>
        <w:ind w:left="420"/>
        <w:spacing w:after="0" w:line="256" w:lineRule="auto"/>
        <w:rPr>
          <w:sz w:val="20"/>
          <w:szCs w:val="20"/>
          <w:color w:val="auto"/>
        </w:rPr>
      </w:pPr>
      <w:r>
        <w:rPr>
          <w:rFonts w:ascii="Arial" w:cs="Arial" w:eastAsia="Arial" w:hAnsi="Arial"/>
          <w:sz w:val="18"/>
          <w:szCs w:val="18"/>
          <w:b w:val="1"/>
          <w:bCs w:val="1"/>
          <w:i w:val="1"/>
          <w:iCs w:val="1"/>
          <w:color w:val="auto"/>
        </w:rPr>
        <w:t>Even if we obtain marketing approval for our product candidates, the terms of approvals, ongoing regulation of our products or other post-approval restrictions may limit how we manufacture and market our products and compliance with such requirements may involve substantial resources, which could materially impair our ability to generate revenue.</w:t>
      </w:r>
    </w:p>
    <w:p>
      <w:pPr>
        <w:spacing w:after="0" w:line="81" w:lineRule="exact"/>
        <w:rPr>
          <w:sz w:val="20"/>
          <w:szCs w:val="20"/>
          <w:color w:val="auto"/>
        </w:rPr>
      </w:pPr>
    </w:p>
    <w:p>
      <w:pPr>
        <w:ind w:right="20" w:firstLine="416"/>
        <w:spacing w:after="0" w:line="272" w:lineRule="auto"/>
        <w:rPr>
          <w:sz w:val="20"/>
          <w:szCs w:val="20"/>
          <w:color w:val="auto"/>
        </w:rPr>
      </w:pPr>
      <w:r>
        <w:rPr>
          <w:rFonts w:ascii="Arial" w:cs="Arial" w:eastAsia="Arial" w:hAnsi="Arial"/>
          <w:sz w:val="17"/>
          <w:szCs w:val="17"/>
          <w:color w:val="auto"/>
        </w:rPr>
        <w:t>Any product candidates for which we receive accelerated approval from the FDA are required to undergo one or more confirmatory clinical trials. If such a product candidate fails to meet its safety and efficacy endpoints in such confirmatory clinical trials, the regulatory authority may withdraw its conditional approval. There is no assurance that any such product will successfully advance through its confirmatory clinical trial(s). Therefore, even if a product candidate receives accelerated approval from the FDA, such approval may be withdrawn at a later date.</w:t>
      </w:r>
    </w:p>
    <w:p>
      <w:pPr>
        <w:spacing w:after="0" w:line="176"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auto"/>
        </w:rPr>
        <w:t>Even if marketing approval of a product candidate is granted, an approved product and its manufacturer and marketer are subject to ongoing review and extensive regulation, which may include the requirement to implement a REMS or to conduct costly post-marketing studies or clinical trials and surveillance to monitor the safety or efficacy of the product.</w:t>
      </w:r>
    </w:p>
    <w:p>
      <w:pPr>
        <w:spacing w:after="0" w:line="161" w:lineRule="exact"/>
        <w:rPr>
          <w:sz w:val="20"/>
          <w:szCs w:val="20"/>
          <w:color w:val="auto"/>
        </w:rPr>
      </w:pPr>
    </w:p>
    <w:p>
      <w:pPr>
        <w:ind w:right="100" w:firstLine="416"/>
        <w:spacing w:after="0" w:line="252" w:lineRule="auto"/>
        <w:rPr>
          <w:sz w:val="20"/>
          <w:szCs w:val="20"/>
          <w:color w:val="auto"/>
        </w:rPr>
      </w:pPr>
      <w:r>
        <w:rPr>
          <w:rFonts w:ascii="Arial" w:cs="Arial" w:eastAsia="Arial" w:hAnsi="Arial"/>
          <w:sz w:val="18"/>
          <w:szCs w:val="18"/>
          <w:color w:val="auto"/>
        </w:rPr>
        <w:t>We must also comply with requirements concerning advertising and promotion for any of our product candidates for which we obtain marketing approval. Promotional communications with respect to prescription drugs are subject to a variety of legal and regulatory restrictions and must be consistent with the information in the product’s approved labeling. Thus, we will not be able to promote any products we develop for indications or uses for which they are not approved.</w:t>
      </w:r>
    </w:p>
    <w:p>
      <w:pPr>
        <w:spacing w:after="0" w:line="167" w:lineRule="exact"/>
        <w:rPr>
          <w:sz w:val="20"/>
          <w:szCs w:val="20"/>
          <w:color w:val="auto"/>
        </w:rPr>
      </w:pPr>
    </w:p>
    <w:p>
      <w:pPr>
        <w:ind w:right="40" w:firstLine="416"/>
        <w:spacing w:after="0" w:line="319" w:lineRule="auto"/>
        <w:rPr>
          <w:sz w:val="20"/>
          <w:szCs w:val="20"/>
          <w:color w:val="auto"/>
        </w:rPr>
      </w:pPr>
      <w:r>
        <w:rPr>
          <w:rFonts w:ascii="Arial" w:cs="Arial" w:eastAsia="Arial" w:hAnsi="Arial"/>
          <w:sz w:val="15"/>
          <w:szCs w:val="15"/>
          <w:color w:val="auto"/>
        </w:rPr>
        <w:t>In addition, manufacturers of approved products and those manufacturers’ facilities are required to ensure that quality control and manufacturing procedures conform to current good manufacturing practices, or cGMPs, which include requirements relating to quality control and quality assurance as well as the corresponding maintenance of records and documentation and reporting requirements. We and our contract manufacturing organizations, or CMOs, could be subject to periodic unannounced inspections by the FDA to monitor and ensure compliance with cGMPs.</w:t>
      </w:r>
    </w:p>
    <w:p>
      <w:pPr>
        <w:spacing w:after="0" w:line="119" w:lineRule="exact"/>
        <w:rPr>
          <w:sz w:val="20"/>
          <w:szCs w:val="20"/>
          <w:color w:val="auto"/>
        </w:rPr>
      </w:pPr>
    </w:p>
    <w:p>
      <w:pPr>
        <w:ind w:right="120" w:firstLine="416"/>
        <w:spacing w:after="0" w:line="269" w:lineRule="auto"/>
        <w:rPr>
          <w:sz w:val="20"/>
          <w:szCs w:val="20"/>
          <w:color w:val="auto"/>
        </w:rPr>
      </w:pPr>
      <w:r>
        <w:rPr>
          <w:rFonts w:ascii="Arial" w:cs="Arial" w:eastAsia="Arial" w:hAnsi="Arial"/>
          <w:sz w:val="17"/>
          <w:szCs w:val="17"/>
          <w:color w:val="auto"/>
        </w:rPr>
        <w:t>Accordingly, assuming we obtain marketing approval for one or more of our product candidates, we and our CMOs will continue to expend time, money and effort in all areas of regulatory compliance, including manufacturing, production, product surveillance and quality control. If we are not able to comply with post-approval regulatory requirements, we could have the marketing approvals for our products withdrawn by regulatory authorities and our ability to market any future products could be limited, which could adversely affect our ability to achieve or sustain profitability. As a result, the cost of compliance with post-approval regulations may have a negative effect on our operating results and financial condition.</w:t>
      </w:r>
    </w:p>
    <w:p>
      <w:pPr>
        <w:spacing w:after="0" w:line="246" w:lineRule="exact"/>
        <w:rPr>
          <w:sz w:val="20"/>
          <w:szCs w:val="20"/>
          <w:color w:val="auto"/>
        </w:rPr>
      </w:pPr>
    </w:p>
    <w:p>
      <w:pPr>
        <w:ind w:left="420"/>
        <w:spacing w:after="0" w:line="331" w:lineRule="auto"/>
        <w:rPr>
          <w:sz w:val="20"/>
          <w:szCs w:val="20"/>
          <w:color w:val="auto"/>
        </w:rPr>
      </w:pPr>
      <w:r>
        <w:rPr>
          <w:rFonts w:ascii="Arial" w:cs="Arial" w:eastAsia="Arial" w:hAnsi="Arial"/>
          <w:sz w:val="15"/>
          <w:szCs w:val="15"/>
          <w:b w:val="1"/>
          <w:bCs w:val="1"/>
          <w:i w:val="1"/>
          <w:iCs w:val="1"/>
          <w:color w:val="auto"/>
        </w:rPr>
        <w:t>Any product candidate for which we obtain marketing approval will be subject to ongoing enforcement of post-marketing requirements by regulatory agencies, and we could be subject to substantial penalties, including withdrawal of our product from the market, if we fail to comply with all regulatory requirements or if we experience unanticipated problems with our products, when and if any of them are approved.</w:t>
      </w:r>
    </w:p>
    <w:p>
      <w:pPr>
        <w:spacing w:after="0" w:line="4" w:lineRule="exact"/>
        <w:rPr>
          <w:sz w:val="20"/>
          <w:szCs w:val="20"/>
          <w:color w:val="auto"/>
        </w:rPr>
      </w:pPr>
    </w:p>
    <w:p>
      <w:pPr>
        <w:ind w:right="100" w:firstLine="416"/>
        <w:spacing w:after="0" w:line="250" w:lineRule="auto"/>
        <w:rPr>
          <w:sz w:val="20"/>
          <w:szCs w:val="20"/>
          <w:color w:val="auto"/>
        </w:rPr>
      </w:pPr>
      <w:r>
        <w:rPr>
          <w:rFonts w:ascii="Arial" w:cs="Arial" w:eastAsia="Arial" w:hAnsi="Arial"/>
          <w:sz w:val="18"/>
          <w:szCs w:val="18"/>
          <w:color w:val="auto"/>
        </w:rPr>
        <w:t>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These requirements include, but are not limited to, restrictions governing promotion of an approved product, submissions of safety and other post-marketing information and reports, registration and listing requirements, cGMP requirements relating to manufacturing, quality control, quality assurance and corresponding maintenance of records and documents, and requirements regarding drug distribution and the distribution of samples to physicians and recordkeeping.</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645" w:right="379" w:bottom="1440" w:gutter="0" w:footer="0" w:header="0"/>
        </w:sectPr>
      </w:pPr>
    </w:p>
    <w:bookmarkStart w:id="42" w:name="page43"/>
    <w:bookmarkEnd w:id="42"/>
    <w:p>
      <w:pPr>
        <w:ind w:firstLine="416"/>
        <w:spacing w:after="0" w:line="265" w:lineRule="auto"/>
        <w:rPr>
          <w:sz w:val="20"/>
          <w:szCs w:val="20"/>
          <w:color w:val="auto"/>
        </w:rPr>
      </w:pPr>
      <w:r>
        <w:rPr>
          <w:rFonts w:ascii="Arial" w:cs="Arial" w:eastAsia="Arial" w:hAnsi="Arial"/>
          <w:sz w:val="17"/>
          <w:szCs w:val="17"/>
          <w:color w:val="auto"/>
        </w:rPr>
        <w:t>The FDA and other federal and state agencies, including the Department of Justice, closely regulate compliance with all requirements governing prescription drug products, including requirements pertaining to marketing and promotion of drugs in accordance with the provisions of the approved labeling and manufacturing of products in accordance with cGMP requirements. For example, the FDA and other agencies actively enforce the laws and regulations prohibiting the promotion of off-label uses, and a company that is found to have improperly promoted off-label uses may be subject to significant liability. Violations of such requirements may lead to investigations alleging violations of the Federal Food, Drug, and Cosmetic Act, or FDCA, and other statutes, including the False Claims Act and other federal and state healthcare fraud and abuse laws as well as state consumer protection laws. Our failure to comply with all regulatory requirements, and later discovery of previously unknown adverse events or other problems with our products, manufacturers or manufacturing processes, may yield various results, including:</w:t>
      </w:r>
    </w:p>
    <w:p>
      <w:pPr>
        <w:spacing w:after="0" w:line="53" w:lineRule="exact"/>
        <w:rPr>
          <w:sz w:val="20"/>
          <w:szCs w:val="20"/>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litigation involving patients taking our products;</w:t>
      </w:r>
    </w:p>
    <w:p>
      <w:pPr>
        <w:spacing w:after="0" w:line="58"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such products, manufacturers or manufacturing processes;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restrictions on product distribution or use;</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8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12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2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product seizure; or</w:t>
      </w:r>
    </w:p>
    <w:p>
      <w:pPr>
        <w:spacing w:after="0" w:line="125" w:lineRule="exact"/>
        <w:rPr>
          <w:rFonts w:ascii="Arial" w:cs="Arial" w:eastAsia="Arial" w:hAnsi="Arial"/>
          <w:sz w:val="18"/>
          <w:szCs w:val="18"/>
          <w:color w:val="auto"/>
        </w:rPr>
      </w:pPr>
    </w:p>
    <w:p>
      <w:pPr>
        <w:ind w:left="1280" w:hanging="858"/>
        <w:spacing w:after="0"/>
        <w:tabs>
          <w:tab w:leader="none" w:pos="12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8" w:lineRule="exact"/>
        <w:rPr>
          <w:sz w:val="20"/>
          <w:szCs w:val="20"/>
          <w:color w:val="auto"/>
        </w:rPr>
      </w:pPr>
    </w:p>
    <w:p>
      <w:pPr>
        <w:ind w:right="880" w:firstLine="416"/>
        <w:spacing w:after="0" w:line="295" w:lineRule="auto"/>
        <w:rPr>
          <w:sz w:val="20"/>
          <w:szCs w:val="20"/>
          <w:color w:val="auto"/>
        </w:rPr>
      </w:pPr>
      <w:r>
        <w:rPr>
          <w:rFonts w:ascii="Arial" w:cs="Arial" w:eastAsia="Arial" w:hAnsi="Arial"/>
          <w:sz w:val="17"/>
          <w:szCs w:val="17"/>
          <w:color w:val="auto"/>
        </w:rPr>
        <w:t>Non-compliance by us or any future collaborator with regulatory requirements, including safety monitoring or pharmacovigilance, and with requirements related to the development of products for the pediatric population can also result in significant financial penalties.</w:t>
      </w:r>
    </w:p>
    <w:p>
      <w:pPr>
        <w:spacing w:after="0" w:line="276" w:lineRule="exact"/>
        <w:rPr>
          <w:sz w:val="20"/>
          <w:szCs w:val="20"/>
          <w:color w:val="auto"/>
        </w:rPr>
      </w:pPr>
    </w:p>
    <w:p>
      <w:pPr>
        <w:ind w:left="420" w:right="240"/>
        <w:spacing w:after="0" w:line="331" w:lineRule="auto"/>
        <w:rPr>
          <w:sz w:val="20"/>
          <w:szCs w:val="20"/>
          <w:color w:val="auto"/>
        </w:rPr>
      </w:pPr>
      <w:r>
        <w:rPr>
          <w:rFonts w:ascii="Arial" w:cs="Arial" w:eastAsia="Arial" w:hAnsi="Arial"/>
          <w:sz w:val="15"/>
          <w:szCs w:val="15"/>
          <w:b w:val="1"/>
          <w:bCs w:val="1"/>
          <w:i w:val="1"/>
          <w:iCs w:val="1"/>
          <w:color w:val="auto"/>
        </w:rPr>
        <w:t>Our current and future relationships with customers and third-party payors may be subject to applicable anti-kickback, fraud and abuse, transparency, health privacy, and other healthcare laws and regulations, which could expose us to significant penalties, including criminal, civil, and administrative penalties, contractual damages, reputational harm and diminished profits and future earnings.</w:t>
      </w:r>
    </w:p>
    <w:p>
      <w:pPr>
        <w:spacing w:after="0" w:line="17" w:lineRule="exact"/>
        <w:rPr>
          <w:sz w:val="20"/>
          <w:szCs w:val="20"/>
          <w:color w:val="auto"/>
        </w:rPr>
      </w:pPr>
    </w:p>
    <w:p>
      <w:pPr>
        <w:ind w:right="200" w:firstLine="416"/>
        <w:spacing w:after="0" w:line="313" w:lineRule="auto"/>
        <w:rPr>
          <w:sz w:val="20"/>
          <w:szCs w:val="20"/>
          <w:color w:val="auto"/>
        </w:rPr>
      </w:pPr>
      <w:r>
        <w:rPr>
          <w:rFonts w:ascii="Arial" w:cs="Arial" w:eastAsia="Arial" w:hAnsi="Arial"/>
          <w:sz w:val="15"/>
          <w:szCs w:val="15"/>
          <w:color w:val="auto"/>
        </w:rPr>
        <w:t>Healthcare providers, including physicians, and third-party payors will play a primary role in the recommendation and prescription of any product candidates for which we obtain marketing approval. Our current and future arrangements with healthcare providers, third-party payors and customers may expose us to broadly applicable fraud and abuse and other healthcare laws and regulations that may constrain the business or financial arrangements and relationships through which we research, as well as, market, sell and distribute any products for which we obtain marketing approval. Restrictions under applicable federal and state healthcare laws and regulations that may be applicable to our business include the following:</w:t>
      </w:r>
    </w:p>
    <w:p>
      <w:pPr>
        <w:spacing w:after="0" w:line="31" w:lineRule="exact"/>
        <w:rPr>
          <w:sz w:val="20"/>
          <w:szCs w:val="20"/>
          <w:color w:val="auto"/>
        </w:rPr>
      </w:pPr>
    </w:p>
    <w:p>
      <w:pPr>
        <w:ind w:left="820" w:right="80" w:hanging="402"/>
        <w:spacing w:after="0" w:line="252"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w:t>
      </w:r>
    </w:p>
    <w:p>
      <w:pPr>
        <w:spacing w:after="0" w:line="73" w:lineRule="exact"/>
        <w:rPr>
          <w:rFonts w:ascii="Arial" w:cs="Arial" w:eastAsia="Arial" w:hAnsi="Arial"/>
          <w:sz w:val="18"/>
          <w:szCs w:val="18"/>
          <w:color w:val="auto"/>
        </w:rPr>
      </w:pPr>
    </w:p>
    <w:p>
      <w:pPr>
        <w:ind w:left="820" w:right="180" w:hanging="402"/>
        <w:spacing w:after="0" w:line="251" w:lineRule="auto"/>
        <w:tabs>
          <w:tab w:leader="none" w:pos="8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False Claims Act, which can be enforced by civil whistleblower or qui tam actions on behalf of the government, and criminal false claims laws and the civil monetary penalties law, prohibit individuals or entities from, among other things, knowingly presenting, or causing to be presented false or fraudulent claims for payment by a federal government program, or making a false statement or record material to payment of a false claim or avoiding, decreasing or concealing an obligation to pay money to the federal government;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3" w:name="page44"/>
    <w:bookmarkEnd w:id="43"/>
    <w:p>
      <w:pPr>
        <w:jc w:val="both"/>
        <w:ind w:left="820" w:right="220" w:hanging="402"/>
        <w:spacing w:after="0" w:line="319" w:lineRule="auto"/>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the federal Health Insurance Portability and Accountability Act of 1996, or HIPAA, prohibits, among other things, knowingly and willfully executing, or attempting to execute, a scheme to defraud any healthcare benefit program, regardless of the payor (e.g. public or private),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w:t>
      </w:r>
    </w:p>
    <w:p>
      <w:pPr>
        <w:spacing w:after="0" w:line="39" w:lineRule="exact"/>
        <w:rPr>
          <w:rFonts w:ascii="Arial" w:cs="Arial" w:eastAsia="Arial" w:hAnsi="Arial"/>
          <w:sz w:val="15"/>
          <w:szCs w:val="15"/>
          <w:color w:val="auto"/>
        </w:rPr>
      </w:pPr>
    </w:p>
    <w:p>
      <w:pPr>
        <w:ind w:left="820" w:right="640" w:hanging="402"/>
        <w:spacing w:after="0" w:line="319" w:lineRule="auto"/>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or HITECH, and their implementing regulations, impose requirements on certain covered healthcare providers, health plans, and healthcare clearinghouses as well as their respective business associates and their subcontractors that perform services for them that involve the use, or disclosure of, individually identifiable health information, relating to the privacy, security, and transmission of such individually identifiable health information;</w:t>
      </w:r>
    </w:p>
    <w:p>
      <w:pPr>
        <w:spacing w:after="0" w:line="39" w:lineRule="exact"/>
        <w:rPr>
          <w:rFonts w:ascii="Arial" w:cs="Arial" w:eastAsia="Arial" w:hAnsi="Arial"/>
          <w:sz w:val="15"/>
          <w:szCs w:val="15"/>
          <w:color w:val="auto"/>
        </w:rPr>
      </w:pPr>
    </w:p>
    <w:p>
      <w:pPr>
        <w:ind w:left="820" w:right="20" w:hanging="402"/>
        <w:spacing w:after="0" w:line="249" w:lineRule="auto"/>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transparency requirements under the Patient Protection and Affordable Care Act, as amended by the Health Care and Education Reconciliation Act of 2010, collectively referred to as the ACA, requires certain manufacturers of drugs, devices, biologics and medical supplies to annually report to the Centers for Medicare &amp; Medicaid Services, or CMS, information related to payments and other transfers of value provided to, and ownership and investment interests held by, physicians, defined to include doctors, dentists, optometrists, podiatrists and chiropractors, and their immediate family members. Beginning in 2022, applicable manufacturers also will be required to report such information regarding payments and transfers of value provided, as well as ownership and investment interests held, during the previous year to physician assistants, nurse practitioners, clinical nurse specialists, anesthesiologist assistants, certified nurse anesthetists and certified nurse-midwives; and</w:t>
      </w:r>
    </w:p>
    <w:p>
      <w:pPr>
        <w:spacing w:after="0" w:line="88" w:lineRule="exact"/>
        <w:rPr>
          <w:rFonts w:ascii="Arial" w:cs="Arial" w:eastAsia="Arial" w:hAnsi="Arial"/>
          <w:sz w:val="18"/>
          <w:szCs w:val="18"/>
          <w:color w:val="auto"/>
        </w:rPr>
      </w:pPr>
    </w:p>
    <w:p>
      <w:pPr>
        <w:ind w:left="820" w:right="40" w:hanging="402"/>
        <w:spacing w:after="0" w:line="307" w:lineRule="auto"/>
        <w:tabs>
          <w:tab w:leader="none" w:pos="820" w:val="left"/>
        </w:tabs>
        <w:numPr>
          <w:ilvl w:val="0"/>
          <w:numId w:val="28"/>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and analogous non-U.S. fraud and abuse laws and regulations, may apply to sales or marketing arrangements and claims involving healthcare items or services reimbursed by non-governmental third-party payors, including private insurers. Some state laws require pharmaceutical companies to comply with the pharmaceutical industry’s voluntary compliance guidelines and the relevant compliance regulations promulgated by the federal government and may require drug manufacturers to report information related to payments and other transfers of value to physicians and other healthcare providers, marketing expenditures, or drug pricing, including price increases. State and local laws require the registration of pharmaceutical sales representatives. State and non-U.S. laws that also govern the privacy and security of health information in some circumstances, many of which differ from each other in significant ways and often are not preempted by HIPAA, thus complicating compliance efforts.</w:t>
      </w:r>
    </w:p>
    <w:p>
      <w:pPr>
        <w:spacing w:after="0" w:line="368" w:lineRule="exact"/>
        <w:rPr>
          <w:sz w:val="20"/>
          <w:szCs w:val="20"/>
          <w:color w:val="auto"/>
        </w:rPr>
      </w:pPr>
    </w:p>
    <w:p>
      <w:pPr>
        <w:ind w:firstLine="416"/>
        <w:spacing w:after="0" w:line="304" w:lineRule="auto"/>
        <w:rPr>
          <w:sz w:val="20"/>
          <w:szCs w:val="20"/>
          <w:color w:val="auto"/>
        </w:rPr>
      </w:pPr>
      <w:r>
        <w:rPr>
          <w:rFonts w:ascii="Arial" w:cs="Arial" w:eastAsia="Arial" w:hAnsi="Arial"/>
          <w:sz w:val="15"/>
          <w:szCs w:val="15"/>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disgorgement, imprisonment, exclusion from government funded healthcare programs, such as Medicare and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 If any of the physicians or other healthcare providers or entities with whom we expect to do business is found to be not in compliance with applicable laws, they may be subject to significant criminal, civil and administrative sanctions, including exclusions from government funded healthcare programs, which could have a material adverse effect on our business, results of operations, financial condition and prospects.</w:t>
      </w:r>
    </w:p>
    <w:p>
      <w:pPr>
        <w:spacing w:after="0" w:line="200" w:lineRule="exact"/>
        <w:rPr>
          <w:sz w:val="20"/>
          <w:szCs w:val="20"/>
          <w:color w:val="auto"/>
        </w:rPr>
      </w:pPr>
    </w:p>
    <w:p>
      <w:pPr>
        <w:spacing w:after="0" w:line="277" w:lineRule="exact"/>
        <w:rPr>
          <w:sz w:val="20"/>
          <w:szCs w:val="20"/>
          <w:color w:val="auto"/>
        </w:rPr>
      </w:pPr>
    </w:p>
    <w:p>
      <w:pPr>
        <w:ind w:left="420" w:right="180"/>
        <w:spacing w:after="0" w:line="265"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us to obtain marketing approval of and commercialize our product candidates and decrease the prices we may obtain.</w:t>
      </w:r>
    </w:p>
    <w:p>
      <w:pPr>
        <w:spacing w:after="0" w:line="74" w:lineRule="exact"/>
        <w:rPr>
          <w:sz w:val="20"/>
          <w:szCs w:val="20"/>
          <w:color w:val="auto"/>
        </w:rPr>
      </w:pPr>
    </w:p>
    <w:p>
      <w:pPr>
        <w:ind w:right="60" w:firstLine="416"/>
        <w:spacing w:after="0" w:line="256"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w:t>
      </w:r>
    </w:p>
    <w:p>
      <w:pPr>
        <w:spacing w:after="0" w:line="188" w:lineRule="exact"/>
        <w:rPr>
          <w:sz w:val="20"/>
          <w:szCs w:val="20"/>
          <w:color w:val="auto"/>
        </w:rPr>
      </w:pPr>
    </w:p>
    <w:p>
      <w:pPr>
        <w:ind w:right="60" w:firstLine="416"/>
        <w:spacing w:after="0" w:line="256" w:lineRule="auto"/>
        <w:rPr>
          <w:sz w:val="20"/>
          <w:szCs w:val="20"/>
          <w:color w:val="auto"/>
        </w:rPr>
      </w:pPr>
      <w:r>
        <w:rPr>
          <w:rFonts w:ascii="Arial" w:cs="Arial" w:eastAsia="Arial" w:hAnsi="Arial"/>
          <w:sz w:val="18"/>
          <w:szCs w:val="18"/>
          <w:color w:val="auto"/>
        </w:rPr>
        <w:t>For example, he ACA was enacted,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112" w:lineRule="exact"/>
        <w:rPr>
          <w:sz w:val="20"/>
          <w:szCs w:val="20"/>
          <w:color w:val="auto"/>
        </w:rPr>
      </w:pPr>
    </w:p>
    <w:p>
      <w:pPr>
        <w:ind w:left="840" w:hanging="42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annual fees and taxes on manufacturers of certain branded prescription drugs;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specified branded prescription drugs and biologic products;</w:t>
      </w:r>
    </w:p>
    <w:p>
      <w:pPr>
        <w:spacing w:after="0" w:line="123" w:lineRule="exact"/>
        <w:rPr>
          <w:rFonts w:ascii="Arial" w:cs="Arial" w:eastAsia="Arial" w:hAnsi="Arial"/>
          <w:sz w:val="17"/>
          <w:szCs w:val="17"/>
          <w:color w:val="auto"/>
        </w:rPr>
      </w:pPr>
    </w:p>
    <w:p>
      <w:pPr>
        <w:ind w:left="840" w:right="360" w:hanging="422"/>
        <w:spacing w:after="0" w:line="256"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now agree to offer 70% point-of-sale discounts off negotiated prices of applicable brand drugs to eligible beneficiaries during their coverage gap period, as a condition for the manufacturer’s outpatient drugs to be covered under Medicare Part D;</w:t>
      </w:r>
    </w:p>
    <w:p>
      <w:pPr>
        <w:spacing w:after="0" w:line="81" w:lineRule="exact"/>
        <w:rPr>
          <w:rFonts w:ascii="Arial" w:cs="Arial" w:eastAsia="Arial" w:hAnsi="Arial"/>
          <w:sz w:val="18"/>
          <w:szCs w:val="18"/>
          <w:color w:val="auto"/>
        </w:rPr>
      </w:pPr>
    </w:p>
    <w:p>
      <w:pPr>
        <w:ind w:left="840" w:right="120" w:hanging="422"/>
        <w:spacing w:after="0" w:line="26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new methodology by which rebates owed by manufacturers under the Medicaid Drug Rebate Program are calculated for drugs that are inhaled, infused, instilled, implanted or injected;</w:t>
      </w:r>
    </w:p>
    <w:p>
      <w:pPr>
        <w:spacing w:after="0" w:line="74" w:lineRule="exact"/>
        <w:rPr>
          <w:rFonts w:ascii="Arial" w:cs="Arial" w:eastAsia="Arial" w:hAnsi="Arial"/>
          <w:sz w:val="18"/>
          <w:szCs w:val="18"/>
          <w:color w:val="auto"/>
        </w:rPr>
      </w:pPr>
    </w:p>
    <w:p>
      <w:pPr>
        <w:ind w:left="840" w:hanging="422"/>
        <w:spacing w:after="0" w:line="26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and extended the rebate program to individuals enrolled in Medicaid managed care organizations;</w:t>
      </w:r>
    </w:p>
    <w:p>
      <w:pPr>
        <w:spacing w:after="0" w:line="74" w:lineRule="exact"/>
        <w:rPr>
          <w:rFonts w:ascii="Arial" w:cs="Arial" w:eastAsia="Arial" w:hAnsi="Arial"/>
          <w:sz w:val="18"/>
          <w:szCs w:val="18"/>
          <w:color w:val="auto"/>
        </w:rPr>
      </w:pPr>
    </w:p>
    <w:p>
      <w:pPr>
        <w:ind w:left="840" w:right="480" w:hanging="422"/>
        <w:spacing w:after="0" w:line="265" w:lineRule="auto"/>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 Kickback Statute, new government investigative powers, and enhanced penalties for noncompliance;</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11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requirements to report financial arrangements with physicians, as defined by such law, and teaching hospitals;</w:t>
      </w:r>
    </w:p>
    <w:p>
      <w:pPr>
        <w:spacing w:after="0" w:line="112" w:lineRule="exact"/>
        <w:rPr>
          <w:sz w:val="20"/>
          <w:szCs w:val="20"/>
          <w:color w:val="auto"/>
        </w:rPr>
      </w:pPr>
    </w:p>
    <w:p>
      <w:pPr>
        <w:ind w:left="840" w:hanging="422"/>
        <w:spacing w:after="0"/>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requirement to annually report drug samples that manufacturers and distributors provide to physicians; and</w:t>
      </w:r>
    </w:p>
    <w:p>
      <w:pPr>
        <w:spacing w:after="0" w:line="111" w:lineRule="exact"/>
        <w:rPr>
          <w:rFonts w:ascii="Arial" w:cs="Arial" w:eastAsia="Arial" w:hAnsi="Arial"/>
          <w:sz w:val="18"/>
          <w:szCs w:val="18"/>
          <w:color w:val="auto"/>
        </w:rPr>
      </w:pPr>
    </w:p>
    <w:p>
      <w:pPr>
        <w:ind w:left="840" w:right="200" w:hanging="422"/>
        <w:spacing w:after="0" w:line="265" w:lineRule="auto"/>
        <w:tabs>
          <w:tab w:leader="none" w:pos="8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Patient-Centered Outcomes Research Institute to oversee, identify priorities in, and conduct comparative clinical effectiveness research, along with funding for such research.</w:t>
      </w:r>
    </w:p>
    <w:p>
      <w:pPr>
        <w:spacing w:after="0" w:line="180" w:lineRule="exact"/>
        <w:rPr>
          <w:sz w:val="20"/>
          <w:szCs w:val="20"/>
          <w:color w:val="auto"/>
        </w:rPr>
      </w:pPr>
    </w:p>
    <w:p>
      <w:pPr>
        <w:ind w:firstLine="416"/>
        <w:spacing w:after="0" w:line="249" w:lineRule="auto"/>
        <w:rPr>
          <w:sz w:val="20"/>
          <w:szCs w:val="20"/>
          <w:color w:val="auto"/>
        </w:rPr>
      </w:pPr>
      <w:r>
        <w:rPr>
          <w:rFonts w:ascii="Arial" w:cs="Arial" w:eastAsia="Arial" w:hAnsi="Arial"/>
          <w:sz w:val="18"/>
          <w:szCs w:val="18"/>
          <w:color w:val="auto"/>
        </w:rPr>
        <w:t>There have been legislative and judicial efforts to repeal or replace certain aspects of the ACA, including measures taken during the Trump administration. While Congress has not passed comprehensive repeal legislation, it has enacted laws that modify certain provisions of the ACA such as removing penalties, starting January 1, 2019, for not complying with the ACA’s individual mandate to carry health insurance, eliminating the implementation of certain ACA-mandated fees, and increasing the point-of-sale discount that is owed by pharmaceutical manufacturers who participate in Medicare Part D. In November 2020, the United States Supreme Court held oral arguments on the U.S. Court of Appeals for the Fifth Circuit’s decision that held that the individual mandate is unconstitutional. It is unclear how such litigation and other efforts to repeal and replace the ACA will impact the ACA and our business.</w:t>
      </w:r>
    </w:p>
    <w:p>
      <w:pPr>
        <w:spacing w:after="0" w:line="197" w:lineRule="exact"/>
        <w:rPr>
          <w:sz w:val="20"/>
          <w:szCs w:val="20"/>
          <w:color w:val="auto"/>
        </w:rPr>
      </w:pPr>
    </w:p>
    <w:p>
      <w:pPr>
        <w:ind w:right="80" w:firstLine="416"/>
        <w:spacing w:after="0" w:line="303" w:lineRule="auto"/>
        <w:rPr>
          <w:sz w:val="20"/>
          <w:szCs w:val="20"/>
          <w:color w:val="auto"/>
        </w:rPr>
      </w:pPr>
      <w:r>
        <w:rPr>
          <w:rFonts w:ascii="Arial" w:cs="Arial" w:eastAsia="Arial" w:hAnsi="Arial"/>
          <w:sz w:val="15"/>
          <w:szCs w:val="15"/>
          <w:color w:val="auto"/>
        </w:rPr>
        <w:t>In addition, other legislative changes have been proposed and adopted since the ACA was enacted. On August 2, 2011, the Budget Control Act of 2011 was signed into law, which, among other things, created the Joint Select Committee on Deficit Reduction to recommend to Congress proposals for spending reductions. The Joint Select Committee did not achieve a targeted deficit reduction, triggering the legislation’s automatic reduction to several government programs. These changes include aggregate reductions to Medicare payments to providers of up to 2% per fiscal year, which began in 2013, and due to subsequent legislative amendments to the statute, will remain in effect through 2030 unless additional Congressional action is taken. The Coronavirus Aid, Relief, and Economic Security Act, or the CARES Act, which was signed into law in March 2020 and is designed to provide financial support and resources to individuals and businesses affected by the COVID-19 pandemic, suspended the 2% Medicare sequester from May 1, 2020 through December 31, 2020, and extended the sequester by one year, through 2030. The Consolidated Appropriations Act, 2021 extended the suspension of the 2% Medicare sequester through March 31, 2021. In January 2013, the American Taxpayer Relief Act of 2012 was signed into law, which, among other things, reduced Medicare payments to several providers, and increased the statute of limitations period for the government to recover overpayments to providers from three to five years. These laws may result in additional reductions in Medicare and other healthcare funding.</w:t>
      </w:r>
    </w:p>
    <w:p>
      <w:pPr>
        <w:spacing w:after="0" w:line="372" w:lineRule="exact"/>
        <w:rPr>
          <w:sz w:val="20"/>
          <w:szCs w:val="20"/>
          <w:color w:val="auto"/>
        </w:rPr>
      </w:pPr>
    </w:p>
    <w:p>
      <w:pPr>
        <w:ind w:right="40" w:firstLine="416"/>
        <w:spacing w:after="0" w:line="250" w:lineRule="auto"/>
        <w:rPr>
          <w:sz w:val="20"/>
          <w:szCs w:val="20"/>
          <w:color w:val="auto"/>
        </w:rPr>
      </w:pPr>
      <w:r>
        <w:rPr>
          <w:rFonts w:ascii="Arial" w:cs="Arial" w:eastAsia="Arial" w:hAnsi="Arial"/>
          <w:sz w:val="18"/>
          <w:szCs w:val="18"/>
          <w:color w:val="auto"/>
        </w:rPr>
        <w:t>Further, there has been heightened governmental scrutiny recently over the manner in which drug manufacturers set prices for their marketed products, which has resulted in several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At the federal level, the Trump administration issued budget proposals for fiscal year 2021 includes a $135 billion allowance to support legislative proposals seeking to reduce drug prices, increase competition, lower out-of-pocket drug costs for patients, and increase patient access to lower-cost generic and biosimilar drugs.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5" w:name="page46"/>
    <w:bookmarkEnd w:id="45"/>
    <w:p>
      <w:pPr>
        <w:ind w:right="40" w:firstLine="419"/>
        <w:spacing w:after="0" w:line="304" w:lineRule="auto"/>
        <w:rPr>
          <w:sz w:val="20"/>
          <w:szCs w:val="20"/>
          <w:color w:val="auto"/>
        </w:rPr>
      </w:pPr>
      <w:r>
        <w:rPr>
          <w:rFonts w:ascii="Arial" w:cs="Arial" w:eastAsia="Arial" w:hAnsi="Arial"/>
          <w:sz w:val="15"/>
          <w:szCs w:val="15"/>
          <w:color w:val="auto"/>
        </w:rPr>
        <w:t>In particular, on July 24, 2020 and September 13, 2020, the Trump administration announced several executive orders related to prescription drug pricing that seek to implement several of the administration’s proposals. As a result, the FDA also released a final rule on September 24, 2020 providing guidance for states to build and submit importation plans for drugs from Canada. The Trump and Biden administrations both issued executive orders intended to favor government procurement from domestic manufacturers. In addition, the Trump administration issued an executive order specifically aimed at the procurement of pharmaceutical products, which instructed the federal government to develop a list of “essential” medicines and then buy those and other medical supplies that are manufactured, including the manufacture of the API, in the United States. On July 9, 2021, President Biden issued an executive order supporting the importation of drugs from Canada as an effort to reduce prescription drug costs, requesting that the Department of Health and Human Services develop a plan to address drug pricing by the end of the summer of 2021 and encouraging the Federal Trade Commission to use its rulemaking authority to combat unfair anticompetitive conduct related to the introduction of generic drugs and biosimilars to the market. It is unclear whether this executive order or something similar will be implemented by the Biden Administration.</w:t>
      </w:r>
    </w:p>
    <w:p>
      <w:pPr>
        <w:spacing w:after="0" w:line="371" w:lineRule="exact"/>
        <w:rPr>
          <w:sz w:val="20"/>
          <w:szCs w:val="20"/>
          <w:color w:val="auto"/>
        </w:rPr>
      </w:pPr>
    </w:p>
    <w:p>
      <w:pPr>
        <w:ind w:right="60" w:firstLine="419"/>
        <w:spacing w:after="0" w:line="304" w:lineRule="auto"/>
        <w:rPr>
          <w:sz w:val="20"/>
          <w:szCs w:val="20"/>
          <w:color w:val="auto"/>
        </w:rPr>
      </w:pPr>
      <w:r>
        <w:rPr>
          <w:rFonts w:ascii="Arial" w:cs="Arial" w:eastAsia="Arial" w:hAnsi="Arial"/>
          <w:sz w:val="15"/>
          <w:szCs w:val="15"/>
          <w:color w:val="auto"/>
        </w:rPr>
        <w:t>Further, on November 20, 2020, HHS finalized a regulation removing safe harbor protection for price reductions from pharmaceutical manufacturers to plan sponsors under Part D, either directly or through pharmacy benefit managers, unless the price reduction is required by law. The rule also creates a new safe harbor for price reductions reflected at the point-of-sale, as well as a safe harbor for certain fixed fee arrangements between pharmacy benefit managers and manufacturers. The Centers for Medicare and Medicaid Services, or CMS also published an interim final rule that establishes a Most Favored Nation, or MFN, Model for Medicare Part B drug payment. This regulation would substantially change the drug reimbursement landscape as it bases Medicare Part B payment for 50 selected drugs on prices in foreign countries instead of average sales price, or ASP, and establishes a fixed add-on payment in place of the current 6 percent (4.3 percent after sequestration) of ASP. The MFN drug payment amount is expected to be lower than the current ASP-based payment limit because U.S. drug prices are generally the highest in the world. On December 28, 2020, the United States District Court in Northern California issued a nationwide preliminary injunction against implementation of the interim final rule, and it faces uncertain prospects for implementation.</w:t>
      </w:r>
    </w:p>
    <w:p>
      <w:pPr>
        <w:spacing w:after="0" w:line="159" w:lineRule="exact"/>
        <w:rPr>
          <w:sz w:val="20"/>
          <w:szCs w:val="20"/>
          <w:color w:val="auto"/>
        </w:rPr>
      </w:pPr>
    </w:p>
    <w:p>
      <w:pPr>
        <w:ind w:right="100" w:firstLine="419"/>
        <w:spacing w:after="0" w:line="278" w:lineRule="auto"/>
        <w:rPr>
          <w:sz w:val="20"/>
          <w:szCs w:val="20"/>
          <w:color w:val="auto"/>
        </w:rPr>
      </w:pPr>
      <w:r>
        <w:rPr>
          <w:rFonts w:ascii="Arial" w:cs="Arial" w:eastAsia="Arial" w:hAnsi="Arial"/>
          <w:sz w:val="17"/>
          <w:szCs w:val="17"/>
          <w:color w:val="auto"/>
        </w:rPr>
        <w:t>At the state level, individual states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ind w:right="220" w:firstLine="419"/>
        <w:spacing w:after="0" w:line="331" w:lineRule="auto"/>
        <w:rPr>
          <w:sz w:val="20"/>
          <w:szCs w:val="20"/>
          <w:color w:val="auto"/>
        </w:rPr>
      </w:pPr>
      <w:r>
        <w:rPr>
          <w:rFonts w:ascii="Arial" w:cs="Arial" w:eastAsia="Arial" w:hAnsi="Arial"/>
          <w:sz w:val="15"/>
          <w:szCs w:val="15"/>
          <w:color w:val="auto"/>
        </w:rPr>
        <w:t>We expect that the ACA, as well as other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136" w:lineRule="exact"/>
        <w:rPr>
          <w:sz w:val="20"/>
          <w:szCs w:val="20"/>
          <w:color w:val="auto"/>
        </w:rPr>
      </w:pPr>
    </w:p>
    <w:p>
      <w:pPr>
        <w:ind w:right="180" w:firstLine="419"/>
        <w:spacing w:after="0" w:line="250" w:lineRule="auto"/>
        <w:rPr>
          <w:sz w:val="20"/>
          <w:szCs w:val="20"/>
          <w:color w:val="auto"/>
        </w:rPr>
      </w:pPr>
      <w:r>
        <w:rPr>
          <w:rFonts w:ascii="Arial" w:cs="Arial" w:eastAsia="Arial" w:hAnsi="Arial"/>
          <w:sz w:val="18"/>
          <w:szCs w:val="18"/>
          <w:color w:val="auto"/>
        </w:rPr>
        <w:t>Legislative and regulatory proposals have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 It is also possible that additional governmental action is taken to address the COVID-19 pandemic.</w:t>
      </w:r>
    </w:p>
    <w:p>
      <w:pPr>
        <w:spacing w:after="0" w:line="340" w:lineRule="exact"/>
        <w:rPr>
          <w:sz w:val="20"/>
          <w:szCs w:val="20"/>
          <w:color w:val="auto"/>
        </w:rPr>
      </w:pPr>
    </w:p>
    <w:p>
      <w:pPr>
        <w:ind w:left="420"/>
        <w:spacing w:after="0"/>
        <w:rPr>
          <w:sz w:val="20"/>
          <w:szCs w:val="20"/>
          <w:color w:val="auto"/>
        </w:rPr>
      </w:pPr>
      <w:r>
        <w:rPr>
          <w:rFonts w:ascii="Arial" w:cs="Arial" w:eastAsia="Arial" w:hAnsi="Arial"/>
          <w:sz w:val="17"/>
          <w:szCs w:val="17"/>
          <w:b w:val="1"/>
          <w:bCs w:val="1"/>
          <w:i w:val="1"/>
          <w:iCs w:val="1"/>
          <w:color w:val="auto"/>
        </w:rPr>
        <w:t>Governments outside of the United States tend to impose strict price controls, which may adversely affect our revenues, if any.</w:t>
      </w:r>
    </w:p>
    <w:p>
      <w:pPr>
        <w:spacing w:after="0" w:line="137" w:lineRule="exact"/>
        <w:rPr>
          <w:sz w:val="20"/>
          <w:szCs w:val="20"/>
          <w:color w:val="auto"/>
        </w:rPr>
      </w:pPr>
    </w:p>
    <w:p>
      <w:pPr>
        <w:ind w:firstLine="419"/>
        <w:spacing w:after="0" w:line="264" w:lineRule="auto"/>
        <w:rPr>
          <w:sz w:val="20"/>
          <w:szCs w:val="20"/>
          <w:color w:val="auto"/>
        </w:rPr>
      </w:pPr>
      <w:r>
        <w:rPr>
          <w:rFonts w:ascii="Arial" w:cs="Arial" w:eastAsia="Arial" w:hAnsi="Arial"/>
          <w:sz w:val="17"/>
          <w:szCs w:val="17"/>
          <w:color w:val="auto"/>
        </w:rPr>
        <w:t>In some countries, particularly the countries of the European Union, or the EU,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other available therapies. If reimbursement of our products is unavailable or limited in scope or amount, or if pricing is set at unsatisfactory levels, our business could be harmed. Political, economic and regulatory developments may further complicate pricing negotiations, and pricing negotiations may continue after reimbursement has been obtained. Reference pricing used by various EU member states, and parallel trade, such as arbitrage between low-priced and high-priced member states, can further reduce prices. There can be no assurance that any country that has price controls or reimbursement limitations for pharmaceutical products will allow favorable reimbursement and pricing arrangements for any products, if approved in those countries. In addition, the recent withdrawal of the United Kingdom from its membership in the EU, often referred to as “Brexit”, could lead to legal and regulatory uncertainty in the United Kingdom and may lead to the United Kingdom and EU adopting divergent laws and regulations, including those related to the pricing of prescription pharmaceuticals, as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46" w:name="page47"/>
    <w:bookmarkEnd w:id="46"/>
    <w:p>
      <w:pPr>
        <w:jc w:val="both"/>
        <w:ind w:right="20"/>
        <w:spacing w:after="0" w:line="256" w:lineRule="auto"/>
        <w:rPr>
          <w:sz w:val="20"/>
          <w:szCs w:val="20"/>
          <w:color w:val="auto"/>
        </w:rPr>
      </w:pPr>
      <w:r>
        <w:rPr>
          <w:rFonts w:ascii="Arial" w:cs="Arial" w:eastAsia="Arial" w:hAnsi="Arial"/>
          <w:sz w:val="18"/>
          <w:szCs w:val="18"/>
          <w:color w:val="auto"/>
        </w:rPr>
        <w:t>the United Kingdom determines which EU laws to replicate or replace. If the United Kingdom were to significantly alter its regulations affecting the pricing of prescription pharmaceuticals, we could face significant new costs. As a result, Brexit could impair our ability to transact business in the EU and the United Kingdom.</w:t>
      </w:r>
    </w:p>
    <w:p>
      <w:pPr>
        <w:spacing w:after="0" w:line="227" w:lineRule="exact"/>
        <w:rPr>
          <w:sz w:val="20"/>
          <w:szCs w:val="20"/>
          <w:color w:val="auto"/>
        </w:rPr>
      </w:pPr>
    </w:p>
    <w:p>
      <w:pPr>
        <w:ind w:left="420" w:right="120"/>
        <w:spacing w:after="0" w:line="351" w:lineRule="auto"/>
        <w:rPr>
          <w:sz w:val="20"/>
          <w:szCs w:val="20"/>
          <w:color w:val="auto"/>
        </w:rPr>
      </w:pPr>
      <w:r>
        <w:rPr>
          <w:rFonts w:ascii="Arial" w:cs="Arial" w:eastAsia="Arial" w:hAnsi="Arial"/>
          <w:sz w:val="15"/>
          <w:szCs w:val="15"/>
          <w:b w:val="1"/>
          <w:bCs w:val="1"/>
          <w:i w:val="1"/>
          <w:iCs w:val="1"/>
          <w:color w:val="auto"/>
        </w:rPr>
        <w:t>Laws and regulations governing any international operations we may have in the future may preclude us from developing, manufacturing and selling certain product candidates and products outside of the United States and require us to develop and implement costly compliance programs.</w:t>
      </w:r>
    </w:p>
    <w:p>
      <w:pPr>
        <w:ind w:firstLine="416"/>
        <w:spacing w:after="0" w:line="249" w:lineRule="auto"/>
        <w:rPr>
          <w:sz w:val="20"/>
          <w:szCs w:val="20"/>
          <w:color w:val="auto"/>
        </w:rPr>
      </w:pPr>
      <w:r>
        <w:rPr>
          <w:rFonts w:ascii="Arial" w:cs="Arial" w:eastAsia="Arial" w:hAnsi="Arial"/>
          <w:sz w:val="18"/>
          <w:szCs w:val="18"/>
          <w:color w:val="auto"/>
        </w:rPr>
        <w:t>If we expand our operations outside of the United States, we must dedicate additional resources to comply with numerous laws and regulations in each jurisdiction in which we plan to operate. The Foreign Corrupt Practices Act, or FCPA, prohibits any U.S. individual or business from paying, offering, authorizing payment or offering anything of value, directly or indirectly, to any foreign official, political party or candidate for the purpose of influencing any act or decision of such third party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company, including international subsidiaries, and to devise and maintain an adequate system of internal accounting controls for international operations.</w:t>
      </w:r>
    </w:p>
    <w:p>
      <w:pPr>
        <w:spacing w:after="0" w:line="157" w:lineRule="exact"/>
        <w:rPr>
          <w:sz w:val="20"/>
          <w:szCs w:val="20"/>
          <w:color w:val="auto"/>
        </w:rPr>
      </w:pPr>
    </w:p>
    <w:p>
      <w:pPr>
        <w:ind w:right="180" w:firstLine="416"/>
        <w:spacing w:after="0" w:line="272" w:lineRule="auto"/>
        <w:rPr>
          <w:sz w:val="20"/>
          <w:szCs w:val="20"/>
          <w:color w:val="auto"/>
        </w:rPr>
      </w:pPr>
      <w:r>
        <w:rPr>
          <w:rFonts w:ascii="Arial" w:cs="Arial" w:eastAsia="Arial" w:hAnsi="Arial"/>
          <w:sz w:val="17"/>
          <w:szCs w:val="17"/>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36" w:lineRule="exact"/>
        <w:rPr>
          <w:sz w:val="20"/>
          <w:szCs w:val="20"/>
          <w:color w:val="auto"/>
        </w:rPr>
      </w:pPr>
    </w:p>
    <w:p>
      <w:pPr>
        <w:jc w:val="both"/>
        <w:ind w:right="100" w:firstLine="416"/>
        <w:spacing w:after="0" w:line="251"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 candidates and products outside of the United States, which could limit our growth potential and increase our development costs.</w:t>
      </w:r>
    </w:p>
    <w:p>
      <w:pPr>
        <w:spacing w:after="0" w:line="153" w:lineRule="exact"/>
        <w:rPr>
          <w:sz w:val="20"/>
          <w:szCs w:val="20"/>
          <w:color w:val="auto"/>
        </w:rPr>
      </w:pPr>
    </w:p>
    <w:p>
      <w:pPr>
        <w:jc w:val="both"/>
        <w:ind w:right="120" w:firstLine="416"/>
        <w:spacing w:after="0" w:line="256"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Securities and Exchange Commission, or the SEC, also may suspend or bar issuers from trading securities on U.S. exchanges for violations of the FCPA’s accounting provisions.</w:t>
      </w:r>
    </w:p>
    <w:p>
      <w:pPr>
        <w:spacing w:after="0" w:line="227" w:lineRule="exact"/>
        <w:rPr>
          <w:sz w:val="20"/>
          <w:szCs w:val="20"/>
          <w:color w:val="auto"/>
        </w:rPr>
      </w:pPr>
    </w:p>
    <w:p>
      <w:pPr>
        <w:ind w:left="420" w:right="260"/>
        <w:spacing w:after="0" w:line="26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48" w:lineRule="exact"/>
        <w:rPr>
          <w:sz w:val="20"/>
          <w:szCs w:val="20"/>
          <w:color w:val="auto"/>
        </w:rPr>
      </w:pPr>
    </w:p>
    <w:p>
      <w:pPr>
        <w:ind w:right="60" w:firstLine="416"/>
        <w:spacing w:after="0" w:line="267" w:lineRule="auto"/>
        <w:rPr>
          <w:sz w:val="20"/>
          <w:szCs w:val="20"/>
          <w:color w:val="auto"/>
        </w:rPr>
      </w:pPr>
      <w:r>
        <w:rPr>
          <w:rFonts w:ascii="Arial" w:cs="Arial" w:eastAsia="Arial" w:hAnsi="Arial"/>
          <w:sz w:val="17"/>
          <w:szCs w:val="17"/>
          <w:color w:val="auto"/>
        </w:rPr>
        <w:t>We and our third-party contractors are subject to numerous foreign, federal, state and local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including any available insurance.</w:t>
      </w:r>
    </w:p>
    <w:p>
      <w:pPr>
        <w:spacing w:after="0" w:line="143" w:lineRule="exact"/>
        <w:rPr>
          <w:sz w:val="20"/>
          <w:szCs w:val="20"/>
          <w:color w:val="auto"/>
        </w:rPr>
      </w:pPr>
    </w:p>
    <w:p>
      <w:pPr>
        <w:ind w:right="60" w:firstLine="416"/>
        <w:spacing w:after="0" w:line="272" w:lineRule="auto"/>
        <w:rPr>
          <w:sz w:val="20"/>
          <w:szCs w:val="20"/>
          <w:color w:val="auto"/>
        </w:rPr>
      </w:pPr>
      <w:r>
        <w:rPr>
          <w:rFonts w:ascii="Arial" w:cs="Arial" w:eastAsia="Arial" w:hAnsi="Arial"/>
          <w:sz w:val="17"/>
          <w:szCs w:val="17"/>
          <w:color w:val="auto"/>
        </w:rPr>
        <w:t>In addition, our leasing and operation of real property may subject us to liability pursuant to certain of these laws or regulations. Under existing U.S. environmental laws and regulations, current or previous owners or operators of real property and entities that disposed or arranged for the disposal of hazardous substances may be held strictly, jointly and severally liable for the cost of investigating or remediating contamination caused by hazardous substance releases, even if they did not know of and were not responsible for the releases.</w:t>
      </w:r>
    </w:p>
    <w:p>
      <w:pPr>
        <w:spacing w:after="0" w:line="176" w:lineRule="exact"/>
        <w:rPr>
          <w:sz w:val="20"/>
          <w:szCs w:val="20"/>
          <w:color w:val="auto"/>
        </w:rPr>
      </w:pPr>
    </w:p>
    <w:p>
      <w:pPr>
        <w:ind w:right="300" w:firstLine="416"/>
        <w:spacing w:after="0" w:line="278" w:lineRule="auto"/>
        <w:rPr>
          <w:sz w:val="20"/>
          <w:szCs w:val="20"/>
          <w:color w:val="auto"/>
        </w:rPr>
      </w:pPr>
      <w:r>
        <w:rPr>
          <w:rFonts w:ascii="Arial" w:cs="Arial" w:eastAsia="Arial" w:hAnsi="Arial"/>
          <w:sz w:val="17"/>
          <w:szCs w:val="17"/>
          <w:color w:val="auto"/>
        </w:rPr>
        <w:t>We could incur significant costs and liabilities which may adversely affect our financial condition and operating results for failure to comply with such laws and regulations, including, among other things, civil or criminal fines and penalties, property damage and personal injury claims, costs associated with upgrades to our facilities or changes to our operating procedures, or injunctions limiting or altering our operations.</w:t>
      </w:r>
    </w:p>
    <w:p>
      <w:pPr>
        <w:spacing w:after="0" w:line="171" w:lineRule="exact"/>
        <w:rPr>
          <w:sz w:val="20"/>
          <w:szCs w:val="20"/>
          <w:color w:val="auto"/>
        </w:rPr>
      </w:pPr>
    </w:p>
    <w:p>
      <w:pPr>
        <w:ind w:right="380" w:firstLine="416"/>
        <w:spacing w:after="0" w:line="265" w:lineRule="auto"/>
        <w:rPr>
          <w:sz w:val="20"/>
          <w:szCs w:val="20"/>
          <w:color w:val="auto"/>
        </w:rPr>
      </w:pPr>
      <w:r>
        <w:rPr>
          <w:rFonts w:ascii="Arial" w:cs="Arial" w:eastAsia="Arial" w:hAnsi="Arial"/>
          <w:sz w:val="18"/>
          <w:szCs w:val="18"/>
          <w:color w:val="auto"/>
        </w:rPr>
        <w:t>Although we maintain liability insurance to cover us for costs and expenses we may incur due to injuries to our employees, this insurance may not provide adequate coverage against potential liabilities. We do not maintain insurance for environmental liability or</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340" w:right="399" w:bottom="1440" w:gutter="0" w:footer="0" w:header="0"/>
        </w:sectPr>
      </w:pPr>
    </w:p>
    <w:bookmarkStart w:id="47" w:name="page48"/>
    <w:bookmarkEnd w:id="47"/>
    <w:p>
      <w:pPr>
        <w:spacing w:after="0"/>
        <w:rPr>
          <w:sz w:val="20"/>
          <w:szCs w:val="20"/>
          <w:color w:val="auto"/>
        </w:rPr>
      </w:pPr>
      <w:r>
        <w:rPr>
          <w:rFonts w:ascii="Arial" w:cs="Arial" w:eastAsia="Arial" w:hAnsi="Arial"/>
          <w:sz w:val="18"/>
          <w:szCs w:val="18"/>
          <w:color w:val="auto"/>
        </w:rPr>
        <w:t>toxic tort claims that may be asserted against us in connection with our storage or disposal of biological, hazardous or radioactive materials.</w:t>
      </w:r>
    </w:p>
    <w:p>
      <w:pPr>
        <w:spacing w:after="0" w:line="218" w:lineRule="exact"/>
        <w:rPr>
          <w:sz w:val="20"/>
          <w:szCs w:val="20"/>
          <w:color w:val="auto"/>
        </w:rPr>
      </w:pPr>
    </w:p>
    <w:p>
      <w:pPr>
        <w:ind w:right="140" w:firstLine="416"/>
        <w:spacing w:after="0" w:line="278" w:lineRule="auto"/>
        <w:rPr>
          <w:sz w:val="20"/>
          <w:szCs w:val="20"/>
          <w:color w:val="auto"/>
        </w:rPr>
      </w:pPr>
      <w:r>
        <w:rPr>
          <w:rFonts w:ascii="Arial" w:cs="Arial" w:eastAsia="Arial" w:hAnsi="Arial"/>
          <w:sz w:val="17"/>
          <w:szCs w:val="17"/>
          <w:color w:val="auto"/>
        </w:rPr>
        <w:t>In addition, we may incur substantial costs in order to comply with current or future environmental, health and safety laws and regulations. These current or future laws and regulations, which are becoming increasingly more stringent, may impair our research, development or production efforts. Our failure to comply with these laws and regulations also may result in substantial fines, penalties or other sanctions.</w:t>
      </w:r>
    </w:p>
    <w:p>
      <w:pPr>
        <w:spacing w:after="0" w:line="264" w:lineRule="exact"/>
        <w:rPr>
          <w:sz w:val="20"/>
          <w:szCs w:val="20"/>
          <w:color w:val="auto"/>
        </w:rPr>
      </w:pPr>
    </w:p>
    <w:p>
      <w:pPr>
        <w:ind w:left="420" w:right="500"/>
        <w:spacing w:after="0" w:line="265" w:lineRule="auto"/>
        <w:rPr>
          <w:sz w:val="20"/>
          <w:szCs w:val="20"/>
          <w:color w:val="auto"/>
        </w:rPr>
      </w:pPr>
      <w:r>
        <w:rPr>
          <w:rFonts w:ascii="Arial" w:cs="Arial" w:eastAsia="Arial" w:hAnsi="Arial"/>
          <w:sz w:val="18"/>
          <w:szCs w:val="18"/>
          <w:b w:val="1"/>
          <w:bCs w:val="1"/>
          <w:i w:val="1"/>
          <w:iCs w:val="1"/>
          <w:color w:val="auto"/>
        </w:rPr>
        <w:t>We are subject to certain U.S. and certain foreign anti-corruption, anti-money laundering, export control, sanctions and other trade laws and regulations. We can face serious consequences for violations.</w:t>
      </w:r>
    </w:p>
    <w:p>
      <w:pPr>
        <w:spacing w:after="0" w:line="74" w:lineRule="exact"/>
        <w:rPr>
          <w:sz w:val="20"/>
          <w:szCs w:val="20"/>
          <w:color w:val="auto"/>
        </w:rPr>
      </w:pPr>
    </w:p>
    <w:p>
      <w:pPr>
        <w:ind w:right="20" w:firstLine="416"/>
        <w:spacing w:after="0" w:line="265" w:lineRule="auto"/>
        <w:rPr>
          <w:sz w:val="20"/>
          <w:szCs w:val="20"/>
          <w:color w:val="auto"/>
        </w:rPr>
      </w:pPr>
      <w:r>
        <w:rPr>
          <w:rFonts w:ascii="Arial" w:cs="Arial" w:eastAsia="Arial" w:hAnsi="Arial"/>
          <w:sz w:val="17"/>
          <w:szCs w:val="17"/>
          <w:color w:val="auto"/>
        </w:rPr>
        <w:t>U.S. and foreign anti-corruption, anti-money laundering, export control, sanctions and other trade laws and regulations prohibit, among other things, companies and their employees, agents, CROs, CMOs,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these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over time. We expect to rely on third parties for research, preclinical studies and clinical trials and/or to obtain necessary permits, licenses, patent registrations and other marketing approvals.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ind w:right="280" w:firstLine="416"/>
        <w:spacing w:after="0" w:line="366" w:lineRule="auto"/>
        <w:rPr>
          <w:sz w:val="20"/>
          <w:szCs w:val="20"/>
          <w:color w:val="auto"/>
        </w:rPr>
      </w:pPr>
      <w:r>
        <w:rPr>
          <w:rFonts w:ascii="Arial" w:cs="Arial" w:eastAsia="Arial" w:hAnsi="Arial"/>
          <w:sz w:val="15"/>
          <w:szCs w:val="15"/>
          <w:color w:val="auto"/>
        </w:rPr>
        <w:t>Any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18" w:lineRule="exact"/>
        <w:rPr>
          <w:sz w:val="20"/>
          <w:szCs w:val="20"/>
          <w:color w:val="auto"/>
        </w:rPr>
      </w:pPr>
    </w:p>
    <w:p>
      <w:pPr>
        <w:ind w:left="420"/>
        <w:spacing w:after="0" w:line="319" w:lineRule="auto"/>
        <w:rPr>
          <w:sz w:val="20"/>
          <w:szCs w:val="20"/>
          <w:color w:val="auto"/>
        </w:rPr>
      </w:pPr>
      <w:r>
        <w:rPr>
          <w:rFonts w:ascii="Arial" w:cs="Arial" w:eastAsia="Arial" w:hAnsi="Arial"/>
          <w:sz w:val="15"/>
          <w:szCs w:val="15"/>
          <w:b w:val="1"/>
          <w:bCs w:val="1"/>
          <w:i w:val="1"/>
          <w:iCs w:val="1"/>
          <w:color w:val="auto"/>
        </w:rPr>
        <w:t>We rely, and intend to continue to rely, on third parties to conduct our clinical trials and perform some of our research and preclinical studies. If these third parties do not satisfactorily carry out their contractual duties, fail to comply with applicable regulatory requirements or do not meet expected deadlines, our development programs may be delayed or subject to increased costs or we may be unable to obtain regulatory approval, each of which may have an adverse effect on our business, financial condition, results of operations and prospects.</w:t>
      </w:r>
    </w:p>
    <w:p>
      <w:pPr>
        <w:spacing w:after="0" w:line="39" w:lineRule="exact"/>
        <w:rPr>
          <w:sz w:val="20"/>
          <w:szCs w:val="20"/>
          <w:color w:val="auto"/>
        </w:rPr>
      </w:pPr>
    </w:p>
    <w:p>
      <w:pPr>
        <w:ind w:firstLine="416"/>
        <w:spacing w:after="0" w:line="301" w:lineRule="auto"/>
        <w:rPr>
          <w:sz w:val="20"/>
          <w:szCs w:val="20"/>
          <w:color w:val="auto"/>
        </w:rPr>
      </w:pPr>
      <w:r>
        <w:rPr>
          <w:rFonts w:ascii="Arial" w:cs="Arial" w:eastAsia="Arial" w:hAnsi="Arial"/>
          <w:sz w:val="15"/>
          <w:szCs w:val="15"/>
          <w:color w:val="auto"/>
        </w:rPr>
        <w:t>We do not have the ability to independently conduct all aspects of our preclinical testing or clinical trials ourselves. As a result, we are dependent on third parties to conduct our ongoing and planned clinical trials of PRT543, PRT811, PRT1419 and PRT2527, and any preclinical studies and clinical trials of any other product candidates. The timing of the initiation and completion of these trials will therefore be partially controlled by such third parties and may result in delays to our development programs. Specifically, we expect CROs, clinical investigators and consultants to play a significant role in the conduct of these trials and the subsequent collection and analysis of data. However, these CROs and other third parties are not our employees, and we will not be able to control all aspects of their activities. Nevertheless, we are responsible for ensuring that each clinical trial is conducted in accordance with the applicable protocol and legal, regulatory and scientific standards, and our reliance on the CROs and other third parties does not relieve us of our regulatory responsibilities. We and our CROs are required to comply with good clinical practices, or GCP, requirements, which are regulations and guidelines enforced by the FDA for product candidates in clinical development.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cannot assure you that, upon inspection, the FDA will determine that our clinical trials comply with GCPs. In addition, our clinical trials must be conducted with product produced under cGMP regulations. Our failure or the failure of third parties on whom we rely to comply with these regulations may require us to stop and/or repeat clinical trials, which would delay the marketing approval process.</w:t>
      </w:r>
    </w:p>
    <w:p>
      <w:pPr>
        <w:spacing w:after="0" w:line="375" w:lineRule="exact"/>
        <w:rPr>
          <w:sz w:val="20"/>
          <w:szCs w:val="20"/>
          <w:color w:val="auto"/>
        </w:rPr>
      </w:pPr>
    </w:p>
    <w:p>
      <w:pPr>
        <w:ind w:firstLine="416"/>
        <w:spacing w:after="0" w:line="251" w:lineRule="auto"/>
        <w:rPr>
          <w:sz w:val="20"/>
          <w:szCs w:val="20"/>
          <w:color w:val="auto"/>
        </w:rPr>
      </w:pPr>
      <w:r>
        <w:rPr>
          <w:rFonts w:ascii="Arial" w:cs="Arial" w:eastAsia="Arial" w:hAnsi="Arial"/>
          <w:sz w:val="18"/>
          <w:szCs w:val="18"/>
          <w:color w:val="auto"/>
        </w:rPr>
        <w:t>There is no guarantee that any such CROs, clinical trial investigators or other third parties on which we rely will devote adequate time and resources to our development activities or perform as contractually required. If any of these third parties fail to meet expected deadlines, adhere to our clinical protocols or meet regulatory requirements, otherwise perform in a substandard manner, or terminate their engagements with us, the timelines for our development programs may be extended or delayed or our development activities may be suspended or terminated. If our clinical trial site terminates for any reason, we may experience the loss of follow-up</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8" w:name="page49"/>
    <w:bookmarkEnd w:id="48"/>
    <w:p>
      <w:pPr>
        <w:spacing w:after="0" w:line="265" w:lineRule="auto"/>
        <w:rPr>
          <w:sz w:val="20"/>
          <w:szCs w:val="20"/>
          <w:color w:val="auto"/>
        </w:rPr>
      </w:pPr>
      <w:r>
        <w:rPr>
          <w:rFonts w:ascii="Arial" w:cs="Arial" w:eastAsia="Arial" w:hAnsi="Arial"/>
          <w:sz w:val="18"/>
          <w:szCs w:val="18"/>
          <w:color w:val="auto"/>
        </w:rPr>
        <w:t>information on subjects enrolled in such clinical trial unless we are able to transfer those subjects to another qualified clinical trial site, which may be difficult or impossible.</w:t>
      </w:r>
    </w:p>
    <w:p>
      <w:pPr>
        <w:spacing w:after="0" w:line="180" w:lineRule="exact"/>
        <w:rPr>
          <w:sz w:val="20"/>
          <w:szCs w:val="20"/>
          <w:color w:val="auto"/>
        </w:rPr>
      </w:pPr>
    </w:p>
    <w:p>
      <w:pPr>
        <w:ind w:right="80" w:firstLine="416"/>
        <w:spacing w:after="0" w:line="313" w:lineRule="auto"/>
        <w:rPr>
          <w:sz w:val="20"/>
          <w:szCs w:val="20"/>
          <w:color w:val="auto"/>
        </w:rPr>
      </w:pPr>
      <w:r>
        <w:rPr>
          <w:rFonts w:ascii="Arial" w:cs="Arial" w:eastAsia="Arial" w:hAnsi="Arial"/>
          <w:sz w:val="15"/>
          <w:szCs w:val="15"/>
          <w:color w:val="auto"/>
        </w:rPr>
        <w:t>Furthermore, these third parties may also have relationships with other entities, some of which may be our competitors for whom they may also be conducting clinical trials or other pharmaceutical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PRT543, PRT811, PRT1419, PRT2527 or any other product candidates and will not be able to, or may be delayed in our efforts to, successfully commercialize our products.</w:t>
      </w:r>
    </w:p>
    <w:p>
      <w:pPr>
        <w:spacing w:after="0" w:line="243" w:lineRule="exact"/>
        <w:rPr>
          <w:sz w:val="20"/>
          <w:szCs w:val="20"/>
          <w:color w:val="auto"/>
        </w:rPr>
      </w:pPr>
    </w:p>
    <w:p>
      <w:pPr>
        <w:ind w:left="420" w:right="80"/>
        <w:spacing w:after="0" w:line="269" w:lineRule="auto"/>
        <w:rPr>
          <w:sz w:val="20"/>
          <w:szCs w:val="20"/>
          <w:color w:val="auto"/>
        </w:rPr>
      </w:pPr>
      <w:r>
        <w:rPr>
          <w:rFonts w:ascii="Arial" w:cs="Arial" w:eastAsia="Arial" w:hAnsi="Arial"/>
          <w:sz w:val="17"/>
          <w:szCs w:val="17"/>
          <w:b w:val="1"/>
          <w:bCs w:val="1"/>
          <w:i w:val="1"/>
          <w:iCs w:val="1"/>
          <w:color w:val="auto"/>
        </w:rPr>
        <w:t>Manufacturing pharmaceutical products is complex and subject to product loss for a variety of reasons. We rely on third-party suppliers, including single source suppliers, to manufacture preclinical and clinical supplies of our product candidates and we intend to rely on third parties to produce commercial supplies of any approved product candidate. This reliance on third parties increases the risk that we will not have sufficient quantities of our product candidates or products or such quantities at an acceptable cost or quality, which could delay, prevent or impair our development or commercialization efforts.</w:t>
      </w:r>
    </w:p>
    <w:p>
      <w:pPr>
        <w:spacing w:after="0" w:line="73" w:lineRule="exact"/>
        <w:rPr>
          <w:sz w:val="20"/>
          <w:szCs w:val="20"/>
          <w:color w:val="auto"/>
        </w:rPr>
      </w:pPr>
    </w:p>
    <w:p>
      <w:pPr>
        <w:ind w:firstLine="416"/>
        <w:spacing w:after="0" w:line="249" w:lineRule="auto"/>
        <w:rPr>
          <w:sz w:val="20"/>
          <w:szCs w:val="20"/>
          <w:color w:val="auto"/>
        </w:rPr>
      </w:pPr>
      <w:r>
        <w:rPr>
          <w:rFonts w:ascii="Arial" w:cs="Arial" w:eastAsia="Arial" w:hAnsi="Arial"/>
          <w:sz w:val="18"/>
          <w:szCs w:val="18"/>
          <w:color w:val="auto"/>
        </w:rPr>
        <w:t>We do not have any manufacturing facilities. We rely, and expect to continue to rely, on third parties for the manufacture of our product candidates for preclinical and clinical testing, product development purposes, to support regulatory application submissions, as well as for commercial manufacture if any of our product candidates obtain marketing approval. In addition, we expect to contract with analytical laboratories for release and stability testing of our product candidates. This reliance on third parties increases the risk that we will not have sufficient quantities of our product candidates or products or such quantities at an acceptable cost or quality, which could delay, prevent or impair our development or commercialization efforts. In addition, the ongoing COVID-19 pandemic may result in disruptions to the operations or an extended shutdown of certain businesses, which could include certain of our contract manufacturers.</w:t>
      </w:r>
    </w:p>
    <w:p>
      <w:pPr>
        <w:spacing w:after="0" w:line="197" w:lineRule="exact"/>
        <w:rPr>
          <w:sz w:val="20"/>
          <w:szCs w:val="20"/>
          <w:color w:val="auto"/>
        </w:rPr>
      </w:pPr>
    </w:p>
    <w:p>
      <w:pPr>
        <w:ind w:right="120" w:firstLine="416"/>
        <w:spacing w:after="0" w:line="265" w:lineRule="auto"/>
        <w:rPr>
          <w:sz w:val="20"/>
          <w:szCs w:val="20"/>
          <w:color w:val="auto"/>
        </w:rPr>
      </w:pPr>
      <w:r>
        <w:rPr>
          <w:rFonts w:ascii="Arial" w:cs="Arial" w:eastAsia="Arial" w:hAnsi="Arial"/>
          <w:sz w:val="18"/>
          <w:szCs w:val="18"/>
          <w:color w:val="auto"/>
        </w:rPr>
        <w:t>We may be unable to establish any agreements with third-party manufacturers or do so on favorable terms. Even if we are able to establish agreements with third-party manufacturers, reliance on third-party manufacturers entails additional risks, including:</w:t>
      </w:r>
    </w:p>
    <w:p>
      <w:pPr>
        <w:spacing w:after="0" w:line="74" w:lineRule="exact"/>
        <w:rPr>
          <w:sz w:val="20"/>
          <w:szCs w:val="20"/>
          <w:color w:val="auto"/>
        </w:rPr>
      </w:pPr>
    </w:p>
    <w:p>
      <w:pPr>
        <w:ind w:left="840" w:hanging="42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reliance on the third party for product development, analytical testing, and data generation to support regulatory applications;</w:t>
      </w:r>
    </w:p>
    <w:p>
      <w:pPr>
        <w:spacing w:after="0" w:line="111" w:lineRule="exact"/>
        <w:rPr>
          <w:rFonts w:ascii="Arial" w:cs="Arial" w:eastAsia="Arial" w:hAnsi="Arial"/>
          <w:sz w:val="18"/>
          <w:szCs w:val="18"/>
          <w:color w:val="auto"/>
        </w:rPr>
      </w:pPr>
    </w:p>
    <w:p>
      <w:pPr>
        <w:ind w:left="840" w:right="100" w:hanging="422"/>
        <w:spacing w:after="0" w:line="256" w:lineRule="auto"/>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operations of our third-party manufacturers or suppliers could be disrupted by conditions unrelated to our business or operations, including the bankruptcy of the manufacturer or supplier, the issuance of an FDA Form 483 notice or warning letter, or other enforcement action by FDA or other regulatory authority;</w:t>
      </w:r>
    </w:p>
    <w:p>
      <w:pPr>
        <w:spacing w:after="0" w:line="81" w:lineRule="exact"/>
        <w:rPr>
          <w:rFonts w:ascii="Arial" w:cs="Arial" w:eastAsia="Arial" w:hAnsi="Arial"/>
          <w:sz w:val="18"/>
          <w:szCs w:val="18"/>
          <w:color w:val="auto"/>
        </w:rPr>
      </w:pPr>
    </w:p>
    <w:p>
      <w:pPr>
        <w:ind w:left="840" w:hanging="42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breach of the manufacturing agreement by the third party;</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112" w:lineRule="exact"/>
        <w:rPr>
          <w:sz w:val="20"/>
          <w:szCs w:val="20"/>
          <w:color w:val="auto"/>
        </w:rPr>
      </w:pPr>
    </w:p>
    <w:p>
      <w:pPr>
        <w:ind w:left="420"/>
        <w:spacing w:after="0"/>
        <w:tabs>
          <w:tab w:leader="none" w:pos="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possible termination or nonrenewal of the agreement by the third party at a time that is costly or inconvenient for us;</w:t>
      </w:r>
    </w:p>
    <w:p>
      <w:pPr>
        <w:spacing w:after="0" w:line="112" w:lineRule="exact"/>
        <w:rPr>
          <w:sz w:val="20"/>
          <w:szCs w:val="20"/>
          <w:color w:val="auto"/>
        </w:rPr>
      </w:pPr>
    </w:p>
    <w:p>
      <w:pPr>
        <w:ind w:left="840" w:hanging="42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 and</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deliver our drugs under specified storage conditions and in a timely manner.</w:t>
      </w:r>
    </w:p>
    <w:p>
      <w:pPr>
        <w:spacing w:after="0" w:line="218" w:lineRule="exact"/>
        <w:rPr>
          <w:sz w:val="20"/>
          <w:szCs w:val="20"/>
          <w:color w:val="auto"/>
        </w:rPr>
      </w:pPr>
    </w:p>
    <w:p>
      <w:pPr>
        <w:ind w:right="20" w:firstLine="416"/>
        <w:spacing w:after="0" w:line="269" w:lineRule="auto"/>
        <w:rPr>
          <w:sz w:val="20"/>
          <w:szCs w:val="20"/>
          <w:color w:val="auto"/>
        </w:rPr>
      </w:pPr>
      <w:r>
        <w:rPr>
          <w:rFonts w:ascii="Arial" w:cs="Arial" w:eastAsia="Arial" w:hAnsi="Arial"/>
          <w:sz w:val="17"/>
          <w:szCs w:val="17"/>
          <w:color w:val="auto"/>
        </w:rPr>
        <w:t>We have only limited supply arrangements in place with respect to our product candidates, and these arrangements do not extend to commercial supply. We acquire many key materials on a purchase order basis. As a result, we do not have long-term committed arrangements with respect to our product candidates and other materials. We will need to establish one or more agreements with third parties to develop and scale up the drug manufacturing process, conduct drug testing, and generate data to support a regulatory submission. If we obtain marketing approval for any of our product candidates, we will need to establish an agreement for commercial manufacture with a third party.</w:t>
      </w:r>
    </w:p>
    <w:p>
      <w:pPr>
        <w:spacing w:after="0" w:line="179" w:lineRule="exact"/>
        <w:rPr>
          <w:sz w:val="20"/>
          <w:szCs w:val="20"/>
          <w:color w:val="auto"/>
        </w:rPr>
      </w:pPr>
    </w:p>
    <w:p>
      <w:pPr>
        <w:ind w:right="40" w:firstLine="416"/>
        <w:spacing w:after="0" w:line="252" w:lineRule="auto"/>
        <w:rPr>
          <w:sz w:val="20"/>
          <w:szCs w:val="20"/>
          <w:color w:val="auto"/>
        </w:rPr>
      </w:pPr>
      <w:r>
        <w:rPr>
          <w:rFonts w:ascii="Arial" w:cs="Arial" w:eastAsia="Arial" w:hAnsi="Arial"/>
          <w:sz w:val="18"/>
          <w:szCs w:val="18"/>
          <w:color w:val="auto"/>
        </w:rPr>
        <w:t>In addition, we are dependent on a sole supplier for certain components of our manufacturing process. Even if we are able to replace any raw materials or other materials with an alternative, such alternatives may cost more, result in lower yields or not be as suitable for our purposes. In addition, some of the materials that we use to manufacture our product candidates are complex materials, which may be more difficult to substitute. Therefore, any disruptions arising from our sole suppliers could result in delays and additional regulatory submissions.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49" w:name="page50"/>
    <w:bookmarkEnd w:id="49"/>
    <w:p>
      <w:pPr>
        <w:ind w:firstLine="416"/>
        <w:spacing w:after="0" w:line="304" w:lineRule="auto"/>
        <w:rPr>
          <w:sz w:val="20"/>
          <w:szCs w:val="20"/>
          <w:color w:val="auto"/>
        </w:rPr>
      </w:pPr>
      <w:r>
        <w:rPr>
          <w:rFonts w:ascii="Arial" w:cs="Arial" w:eastAsia="Arial" w:hAnsi="Arial"/>
          <w:sz w:val="15"/>
          <w:szCs w:val="15"/>
          <w:color w:val="auto"/>
        </w:rPr>
        <w:t>Third-party manufacturers may not be able to comply with cGMP regulations or similar regulatory requirements outside of the United States. If the FDA determines that our CMOs are not in compliance with FDA laws and regulations, including those governing cGMPs, the FDA may deny a new drug application, or NDA, approval until the deficiencies are corrected or we replace the manufacturer in our application with a manufacturer that is in compliance. Moreover, our failure, or the failure of our third-party manufacturers and suppliers, to comply with applicable regulations could result in sanctions being imposed on us, including clinical holds, fines, injunctions, civil penalties, seizures or recalls of product candidates or products, operating restrictions and criminal prosecutions, any of which could significantly and adversely affect supplies of our products. In addition, approved products and the facilities at which they are manufactured are required to maintain ongoing compliance with extensive FDA requirements and the requirements of other similar agencies, including ensuring that quality control and manufacturing procedures conform to cGMP requirements. As such, our CMOs are subject to continual review and periodic inspections to assess compliance with cGMPs. Furthermore, although we do not have day-to-day control over the operations of our CMOs, we are responsible for ensuring compliance with applicable laws and regulations, including cGMPs.</w:t>
      </w:r>
    </w:p>
    <w:p>
      <w:pPr>
        <w:spacing w:after="0" w:line="371" w:lineRule="exact"/>
        <w:rPr>
          <w:sz w:val="20"/>
          <w:szCs w:val="20"/>
          <w:color w:val="auto"/>
        </w:rPr>
      </w:pPr>
    </w:p>
    <w:p>
      <w:pPr>
        <w:ind w:firstLine="416"/>
        <w:spacing w:after="0" w:line="251" w:lineRule="auto"/>
        <w:rPr>
          <w:sz w:val="20"/>
          <w:szCs w:val="20"/>
          <w:color w:val="auto"/>
        </w:rPr>
      </w:pPr>
      <w:r>
        <w:rPr>
          <w:rFonts w:ascii="Arial" w:cs="Arial" w:eastAsia="Arial" w:hAnsi="Arial"/>
          <w:sz w:val="18"/>
          <w:szCs w:val="18"/>
          <w:color w:val="auto"/>
        </w:rPr>
        <w:t>In addition, our third-party manufacturers and suppliers are subject to numerous environmental, health and safety laws and regulations, including those governing the handling, use, storage, treatment and disposal of waste products, and failure to comply with such laws and regulations could result in significant costs associated with civil or criminal fines and penalties for such third parties. Based on the severity of regulatory actions that may be brought against these third parties in the future, our clinical or commercial supply of drug and packaging and other services could be interrupted or limited, which could harm our business.</w:t>
      </w:r>
    </w:p>
    <w:p>
      <w:pPr>
        <w:spacing w:after="0" w:line="193" w:lineRule="exact"/>
        <w:rPr>
          <w:sz w:val="20"/>
          <w:szCs w:val="20"/>
          <w:color w:val="auto"/>
        </w:rPr>
      </w:pPr>
    </w:p>
    <w:p>
      <w:pPr>
        <w:ind w:right="100" w:firstLine="416"/>
        <w:spacing w:after="0" w:line="256" w:lineRule="auto"/>
        <w:rPr>
          <w:sz w:val="20"/>
          <w:szCs w:val="20"/>
          <w:color w:val="auto"/>
        </w:rPr>
      </w:pPr>
      <w:r>
        <w:rPr>
          <w:rFonts w:ascii="Arial" w:cs="Arial" w:eastAsia="Arial" w:hAnsi="Arial"/>
          <w:sz w:val="18"/>
          <w:szCs w:val="18"/>
          <w:color w:val="auto"/>
        </w:rPr>
        <w:t>Our product candidates and any products that we may develop may compete with other product candidates and products for access to manufacturing facilities. As a result, we may not obtain access to these facilities on a priority basis or at all. There are a limited number of manufacturers that operate under cGMP regulations and that might be capable of manufacturing for us.</w:t>
      </w:r>
    </w:p>
    <w:p>
      <w:pPr>
        <w:spacing w:after="0" w:line="188" w:lineRule="exact"/>
        <w:rPr>
          <w:sz w:val="20"/>
          <w:szCs w:val="20"/>
          <w:color w:val="auto"/>
        </w:rPr>
      </w:pPr>
    </w:p>
    <w:p>
      <w:pPr>
        <w:ind w:firstLine="416"/>
        <w:spacing w:after="0" w:line="250" w:lineRule="auto"/>
        <w:rPr>
          <w:sz w:val="20"/>
          <w:szCs w:val="20"/>
          <w:color w:val="auto"/>
        </w:rPr>
      </w:pPr>
      <w:r>
        <w:rPr>
          <w:rFonts w:ascii="Arial" w:cs="Arial" w:eastAsia="Arial" w:hAnsi="Arial"/>
          <w:sz w:val="18"/>
          <w:szCs w:val="18"/>
          <w:color w:val="auto"/>
        </w:rPr>
        <w:t>As we prepare for later-stage clinical trials and potential commercialization, we will need to take steps to increase the scale of production of our product candidates. We have not yet scaled up the manufacturing process for any of our product candidates. Third party manufacturers may be unable to successfully increase the manufacturing capacity for any of our product candidates in a timely or cost-effective manner, or at all. In addition, quality issues may arise during scale-up or commercial activities. For example,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w:t>
      </w:r>
    </w:p>
    <w:p>
      <w:pPr>
        <w:spacing w:after="0" w:line="194"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or a second source for bulk drug substance. If our current CMOs for preclinical and clinical testing cannot perform as agreed, we may be required to replace such CMOs. Although we believe that there are several potential alternative manufacturers who could manufacture our product candidates, we may incur added costs and delays in identifying and qualifying any such replacement manufacturer or be able to reach agreement with any alternative manufacturer. Further, our third-party manufacturers may experience manufacturing or shipping difficulties due to resource constraints or as a result of natural disasters, labor disputes, unstable political environments, or public health epidemics such as the COVID-19 pandemic. If our current third-party manufacturers cannot perform as agreed, we may be required to replace such manufacturers and we may be unable to replace them on a timely basis or at all.</w:t>
      </w:r>
    </w:p>
    <w:p>
      <w:pPr>
        <w:spacing w:after="0" w:line="186" w:lineRule="exact"/>
        <w:rPr>
          <w:sz w:val="20"/>
          <w:szCs w:val="20"/>
          <w:color w:val="auto"/>
        </w:rPr>
      </w:pPr>
    </w:p>
    <w:p>
      <w:pPr>
        <w:ind w:right="220" w:firstLine="416"/>
        <w:spacing w:after="0" w:line="295" w:lineRule="auto"/>
        <w:rPr>
          <w:sz w:val="20"/>
          <w:szCs w:val="20"/>
          <w:color w:val="auto"/>
        </w:rPr>
      </w:pPr>
      <w:r>
        <w:rPr>
          <w:rFonts w:ascii="Arial" w:cs="Arial" w:eastAsia="Arial" w:hAnsi="Arial"/>
          <w:sz w:val="17"/>
          <w:szCs w:val="17"/>
          <w:color w:val="auto"/>
        </w:rPr>
        <w:t>Our current and anticipated future dependence upon others for the manufacture of our product candidates or products may adversely affect our future profit margins and our ability to commercialize any products that obtain marketing approval on a timely and competitive basis.</w:t>
      </w:r>
    </w:p>
    <w:p>
      <w:pPr>
        <w:spacing w:after="0" w:line="250" w:lineRule="exact"/>
        <w:rPr>
          <w:sz w:val="20"/>
          <w:szCs w:val="20"/>
          <w:color w:val="auto"/>
        </w:rPr>
      </w:pPr>
    </w:p>
    <w:p>
      <w:pPr>
        <w:ind w:left="420" w:right="240"/>
        <w:spacing w:after="0" w:line="295" w:lineRule="auto"/>
        <w:rPr>
          <w:sz w:val="20"/>
          <w:szCs w:val="20"/>
          <w:color w:val="auto"/>
        </w:rPr>
      </w:pPr>
      <w:r>
        <w:rPr>
          <w:rFonts w:ascii="Arial" w:cs="Arial" w:eastAsia="Arial" w:hAnsi="Arial"/>
          <w:sz w:val="17"/>
          <w:szCs w:val="17"/>
          <w:b w:val="1"/>
          <w:bCs w:val="1"/>
          <w:i w:val="1"/>
          <w:iCs w:val="1"/>
          <w:color w:val="auto"/>
        </w:rPr>
        <w:t>We may enter into collaborations with third parties for the development and commercialization of our product candidates. If those collaborations are not successful, we may not be able to capitalize on the market potential of these product candidates.</w:t>
      </w:r>
    </w:p>
    <w:p>
      <w:pPr>
        <w:spacing w:after="0" w:line="51" w:lineRule="exact"/>
        <w:rPr>
          <w:sz w:val="20"/>
          <w:szCs w:val="20"/>
          <w:color w:val="auto"/>
        </w:rPr>
      </w:pPr>
    </w:p>
    <w:p>
      <w:pPr>
        <w:ind w:right="320" w:firstLine="416"/>
        <w:spacing w:after="0" w:line="250" w:lineRule="auto"/>
        <w:rPr>
          <w:sz w:val="20"/>
          <w:szCs w:val="20"/>
          <w:color w:val="auto"/>
        </w:rPr>
      </w:pPr>
      <w:r>
        <w:rPr>
          <w:rFonts w:ascii="Arial" w:cs="Arial" w:eastAsia="Arial" w:hAnsi="Arial"/>
          <w:sz w:val="18"/>
          <w:szCs w:val="18"/>
          <w:color w:val="auto"/>
        </w:rPr>
        <w:t>We may seek third-party collaborators for the development and commercialization of some of our product candidates on a select basis. We have not entered into any collaborations to date. Our likely collaborators for any future collaboration arrangements include large and mid-size pharmaceutical companies, regional and national pharmaceutical companies and biotechnology companies. We face significant competition in seeking appropriate collaborators. Our ability to reach a definitive agreement for a future collaboration will depend, among other things, upon our assessment of the future collaborator’s resources and expertise, the terms and conditions of the proposed collaboration and the proposed collaborator’s evaluation of a number of factors.</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0" w:name="page51"/>
    <w:bookmarkEnd w:id="50"/>
    <w:p>
      <w:pPr>
        <w:ind w:right="240" w:firstLine="416"/>
        <w:spacing w:after="0" w:line="272" w:lineRule="auto"/>
        <w:rPr>
          <w:sz w:val="20"/>
          <w:szCs w:val="20"/>
          <w:color w:val="auto"/>
        </w:rPr>
      </w:pPr>
      <w:r>
        <w:rPr>
          <w:rFonts w:ascii="Arial" w:cs="Arial" w:eastAsia="Arial" w:hAnsi="Arial"/>
          <w:sz w:val="17"/>
          <w:szCs w:val="17"/>
          <w:color w:val="auto"/>
        </w:rPr>
        <w:t>If we do enter into any such arrangements with any third parties, we will likely have limited control over the amount and timing of resources that our future collaborators dedicate to the development or commercialization of our product candidates. Our ability to generate revenues from these arrangements will depend on our future collaborators’ abilities and efforts to successfully perform the functions assigned to them in these arrangements. Collaborations with future collaborators involving our product candidates would pose numerous risks to us, including the following:</w:t>
      </w:r>
    </w:p>
    <w:p>
      <w:pPr>
        <w:spacing w:after="0" w:line="44" w:lineRule="exact"/>
        <w:rPr>
          <w:sz w:val="20"/>
          <w:szCs w:val="20"/>
          <w:color w:val="auto"/>
        </w:rPr>
      </w:pPr>
    </w:p>
    <w:p>
      <w:pPr>
        <w:ind w:left="820" w:right="60" w:hanging="402"/>
        <w:spacing w:after="0" w:line="26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 and may not perform their obligations as expected;</w:t>
      </w:r>
    </w:p>
    <w:p>
      <w:pPr>
        <w:spacing w:after="0" w:line="47" w:lineRule="exact"/>
        <w:rPr>
          <w:rFonts w:ascii="Arial" w:cs="Arial" w:eastAsia="Arial" w:hAnsi="Arial"/>
          <w:sz w:val="18"/>
          <w:szCs w:val="18"/>
          <w:color w:val="auto"/>
        </w:rPr>
      </w:pPr>
    </w:p>
    <w:p>
      <w:pPr>
        <w:ind w:left="820" w:hanging="402"/>
        <w:spacing w:after="0" w:line="252"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may de-emphasize or not pursue development and commercialization of our product candidates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spacing w:after="0" w:line="60" w:lineRule="exact"/>
        <w:rPr>
          <w:rFonts w:ascii="Arial" w:cs="Arial" w:eastAsia="Arial" w:hAnsi="Arial"/>
          <w:sz w:val="18"/>
          <w:szCs w:val="18"/>
          <w:color w:val="auto"/>
        </w:rPr>
      </w:pPr>
    </w:p>
    <w:p>
      <w:pPr>
        <w:ind w:left="820" w:right="620" w:hanging="402"/>
        <w:spacing w:after="0" w:line="295" w:lineRule="auto"/>
        <w:tabs>
          <w:tab w:leader="none" w:pos="8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24" w:lineRule="exact"/>
        <w:rPr>
          <w:rFonts w:ascii="Arial" w:cs="Arial" w:eastAsia="Arial" w:hAnsi="Arial"/>
          <w:sz w:val="17"/>
          <w:szCs w:val="17"/>
          <w:color w:val="auto"/>
        </w:rPr>
      </w:pPr>
    </w:p>
    <w:p>
      <w:pPr>
        <w:ind w:left="820" w:right="60" w:hanging="402"/>
        <w:spacing w:after="0" w:line="256"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54" w:lineRule="exact"/>
        <w:rPr>
          <w:rFonts w:ascii="Arial" w:cs="Arial" w:eastAsia="Arial" w:hAnsi="Arial"/>
          <w:sz w:val="18"/>
          <w:szCs w:val="18"/>
          <w:color w:val="auto"/>
        </w:rPr>
      </w:pPr>
    </w:p>
    <w:p>
      <w:pPr>
        <w:ind w:left="820" w:right="840" w:hanging="402"/>
        <w:spacing w:after="0" w:line="26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multiple products may not commit sufficient resources to the marketing and distribution of our product relative to other products;</w:t>
      </w:r>
    </w:p>
    <w:p>
      <w:pPr>
        <w:spacing w:after="0" w:line="47" w:lineRule="exact"/>
        <w:rPr>
          <w:rFonts w:ascii="Arial" w:cs="Arial" w:eastAsia="Arial" w:hAnsi="Arial"/>
          <w:sz w:val="18"/>
          <w:szCs w:val="18"/>
          <w:color w:val="auto"/>
        </w:rPr>
      </w:pPr>
    </w:p>
    <w:p>
      <w:pPr>
        <w:ind w:left="820" w:right="120" w:hanging="402"/>
        <w:spacing w:after="0" w:line="331" w:lineRule="auto"/>
        <w:tabs>
          <w:tab w:leader="none" w:pos="8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spacing w:after="0" w:line="3" w:lineRule="exact"/>
        <w:rPr>
          <w:rFonts w:ascii="Arial" w:cs="Arial" w:eastAsia="Arial" w:hAnsi="Arial"/>
          <w:sz w:val="15"/>
          <w:szCs w:val="15"/>
          <w:color w:val="auto"/>
        </w:rPr>
      </w:pPr>
    </w:p>
    <w:p>
      <w:pPr>
        <w:ind w:left="820" w:right="100" w:hanging="402"/>
        <w:spacing w:after="0" w:line="256"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products or product candidates or that result in costly litigation or arbitration that diverts management attention and resources;</w:t>
      </w:r>
    </w:p>
    <w:p>
      <w:pPr>
        <w:spacing w:after="0" w:line="54" w:lineRule="exact"/>
        <w:rPr>
          <w:rFonts w:ascii="Arial" w:cs="Arial" w:eastAsia="Arial" w:hAnsi="Arial"/>
          <w:sz w:val="18"/>
          <w:szCs w:val="18"/>
          <w:color w:val="auto"/>
        </w:rPr>
      </w:pPr>
    </w:p>
    <w:p>
      <w:pPr>
        <w:ind w:left="820" w:right="860" w:hanging="402"/>
        <w:spacing w:after="0" w:line="26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33"/>
        </w:numPr>
        <w:rPr>
          <w:rFonts w:ascii="Arial" w:cs="Arial" w:eastAsia="Arial" w:hAnsi="Arial"/>
          <w:sz w:val="15"/>
          <w:szCs w:val="15"/>
          <w:color w:val="auto"/>
        </w:rPr>
      </w:pPr>
      <w:r>
        <w:rPr>
          <w:rFonts w:ascii="Arial" w:cs="Arial" w:eastAsia="Arial" w:hAnsi="Arial"/>
          <w:sz w:val="15"/>
          <w:szCs w:val="15"/>
          <w:color w:val="auto"/>
        </w:rPr>
        <w:t>collaboration agreements may not lead to development or commercialization of product candidates in the most efficient manner or at all; and</w:t>
      </w:r>
    </w:p>
    <w:p>
      <w:pPr>
        <w:spacing w:after="0" w:line="119" w:lineRule="exact"/>
        <w:rPr>
          <w:rFonts w:ascii="Arial" w:cs="Arial" w:eastAsia="Arial" w:hAnsi="Arial"/>
          <w:sz w:val="15"/>
          <w:szCs w:val="15"/>
          <w:color w:val="auto"/>
        </w:rPr>
      </w:pPr>
    </w:p>
    <w:p>
      <w:pPr>
        <w:ind w:left="820" w:right="100" w:hanging="402"/>
        <w:spacing w:after="0" w:line="265" w:lineRule="auto"/>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future collaborator of ours were to be involved in a business combination, the continued pursuit and emphasis on our product development or commercialization program could be delayed, diminished or terminated.</w:t>
      </w:r>
    </w:p>
    <w:p>
      <w:pPr>
        <w:spacing w:after="0" w:line="154" w:lineRule="exact"/>
        <w:rPr>
          <w:sz w:val="20"/>
          <w:szCs w:val="20"/>
          <w:color w:val="auto"/>
        </w:rPr>
      </w:pPr>
    </w:p>
    <w:p>
      <w:pPr>
        <w:ind w:right="60" w:firstLine="416"/>
        <w:spacing w:after="0" w:line="265" w:lineRule="auto"/>
        <w:rPr>
          <w:sz w:val="20"/>
          <w:szCs w:val="20"/>
          <w:color w:val="auto"/>
        </w:rPr>
      </w:pPr>
      <w:r>
        <w:rPr>
          <w:rFonts w:ascii="Arial" w:cs="Arial" w:eastAsia="Arial" w:hAnsi="Arial"/>
          <w:sz w:val="18"/>
          <w:szCs w:val="18"/>
          <w:color w:val="auto"/>
        </w:rPr>
        <w:t>If we establish one or more collaborations, all of the risks relating to product development, regulatory approval and commercialization described herein would also apply to the activities of any such future collaborators.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18" w:lineRule="exact"/>
        <w:rPr>
          <w:sz w:val="20"/>
          <w:szCs w:val="20"/>
          <w:color w:val="auto"/>
        </w:rPr>
      </w:pPr>
    </w:p>
    <w:p>
      <w:pPr>
        <w:ind w:left="420" w:right="380"/>
        <w:spacing w:after="0" w:line="278"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product candidates have not been established with precision. If the market opportunities for our product candidates are smaller than we estimate or if any approval that we obtain is based on a narrower definition of the patient population, our revenue potential and ability to achieve profitability will be adversely affected.</w:t>
      </w:r>
    </w:p>
    <w:p>
      <w:pPr>
        <w:spacing w:after="0" w:line="38" w:lineRule="exact"/>
        <w:rPr>
          <w:sz w:val="20"/>
          <w:szCs w:val="20"/>
          <w:color w:val="auto"/>
        </w:rPr>
      </w:pPr>
    </w:p>
    <w:p>
      <w:pPr>
        <w:ind w:right="80" w:firstLine="416"/>
        <w:spacing w:after="0" w:line="249" w:lineRule="auto"/>
        <w:rPr>
          <w:sz w:val="20"/>
          <w:szCs w:val="20"/>
          <w:color w:val="auto"/>
        </w:rPr>
      </w:pPr>
      <w:r>
        <w:rPr>
          <w:rFonts w:ascii="Arial" w:cs="Arial" w:eastAsia="Arial" w:hAnsi="Arial"/>
          <w:sz w:val="18"/>
          <w:szCs w:val="18"/>
          <w:color w:val="auto"/>
        </w:rPr>
        <w:t>The total addressable market opportunity for PRT543, PRT811, PRT1419, PRT2527 and any other product candidates we may develop will ultimately depend upon, among other things, the diagnosis criteria included in the final labeling for each such product candidate if our product candidates are approved for sale for these indications, acceptance by the medical community, patient access, drug and any related companion diagnostic pricing and their reimbursement. We may initially seek regulatory approval of some of our product candidates as therapies for relapsed or refractory patients. The number of patients in our targeted commercial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51" w:name="page52"/>
    <w:bookmarkEnd w:id="51"/>
    <w:p>
      <w:pPr>
        <w:ind w:left="420" w:right="200"/>
        <w:spacing w:after="0" w:line="265" w:lineRule="auto"/>
        <w:rPr>
          <w:sz w:val="20"/>
          <w:szCs w:val="20"/>
          <w:color w:val="auto"/>
        </w:rPr>
      </w:pPr>
      <w:r>
        <w:rPr>
          <w:rFonts w:ascii="Arial" w:cs="Arial" w:eastAsia="Arial" w:hAnsi="Arial"/>
          <w:sz w:val="18"/>
          <w:szCs w:val="18"/>
          <w:b w:val="1"/>
          <w:bCs w:val="1"/>
          <w:i w:val="1"/>
          <w:iCs w:val="1"/>
          <w:color w:val="auto"/>
        </w:rPr>
        <w:t>Even if any of our product candidates receives marketing approval, it may fail to achieve the degree of market acceptance by physicians, patients, third-party payors and others in the medical community necessary for commercial success.</w:t>
      </w:r>
    </w:p>
    <w:p>
      <w:pPr>
        <w:spacing w:after="0" w:line="48" w:lineRule="exact"/>
        <w:rPr>
          <w:sz w:val="20"/>
          <w:szCs w:val="20"/>
          <w:color w:val="auto"/>
        </w:rPr>
      </w:pPr>
    </w:p>
    <w:p>
      <w:pPr>
        <w:ind w:right="20" w:firstLine="416"/>
        <w:spacing w:after="0" w:line="313" w:lineRule="auto"/>
        <w:rPr>
          <w:sz w:val="20"/>
          <w:szCs w:val="20"/>
          <w:color w:val="auto"/>
        </w:rPr>
      </w:pPr>
      <w:r>
        <w:rPr>
          <w:rFonts w:ascii="Arial" w:cs="Arial" w:eastAsia="Arial" w:hAnsi="Arial"/>
          <w:sz w:val="15"/>
          <w:szCs w:val="15"/>
          <w:color w:val="auto"/>
        </w:rPr>
        <w:t>If any of our product candidates receives marketing approval, it may nonetheless fail to gain sufficient market acceptance by physicians, patients, third-party payors and others in the medical community. For example, current cancer treatments, such as existing targeted therapies, chemotherapy, and radiation therapy, are well established in the medical community, and doctors may continue to rely on these treatments.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w:t>
      </w:r>
    </w:p>
    <w:p>
      <w:pPr>
        <w:spacing w:after="0" w:line="17" w:lineRule="exact"/>
        <w:rPr>
          <w:sz w:val="20"/>
          <w:szCs w:val="20"/>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acceptance of our product candidates as front-line treatment for various indications;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 particular compared to alternative treatments;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our product candidates by the FDA;</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of the target patient population;</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85"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publicity for our product candidates and competing products and treatments;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existence of distribution and/or use restrictions, such as through a REMS;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third-party payor coverage and adequate reimbursement;</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timing of any marketing approval in relation to other product approvals;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support from patient advocacy groups; and</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restrictions on the use of our products together with other medications.</w:t>
      </w:r>
    </w:p>
    <w:p>
      <w:pPr>
        <w:spacing w:after="0" w:line="298" w:lineRule="exact"/>
        <w:rPr>
          <w:sz w:val="20"/>
          <w:szCs w:val="20"/>
          <w:color w:val="auto"/>
        </w:rPr>
      </w:pPr>
    </w:p>
    <w:p>
      <w:pPr>
        <w:ind w:left="420"/>
        <w:spacing w:after="0" w:line="278" w:lineRule="auto"/>
        <w:rPr>
          <w:sz w:val="20"/>
          <w:szCs w:val="20"/>
          <w:color w:val="auto"/>
        </w:rPr>
      </w:pPr>
      <w:r>
        <w:rPr>
          <w:rFonts w:ascii="Arial" w:cs="Arial" w:eastAsia="Arial" w:hAnsi="Arial"/>
          <w:sz w:val="17"/>
          <w:szCs w:val="17"/>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sales and marketing capabilities or enter into agreements with third parties to market and sell our products, we may not be able to generate revenue.</w:t>
      </w:r>
    </w:p>
    <w:p>
      <w:pPr>
        <w:spacing w:after="0" w:line="38" w:lineRule="exact"/>
        <w:rPr>
          <w:sz w:val="20"/>
          <w:szCs w:val="20"/>
          <w:color w:val="auto"/>
        </w:rPr>
      </w:pPr>
    </w:p>
    <w:p>
      <w:pPr>
        <w:ind w:right="60" w:firstLine="416"/>
        <w:spacing w:after="0" w:line="256" w:lineRule="auto"/>
        <w:rPr>
          <w:sz w:val="20"/>
          <w:szCs w:val="20"/>
          <w:color w:val="auto"/>
        </w:rPr>
      </w:pPr>
      <w:r>
        <w:rPr>
          <w:rFonts w:ascii="Arial" w:cs="Arial" w:eastAsia="Arial" w:hAnsi="Arial"/>
          <w:sz w:val="18"/>
          <w:szCs w:val="18"/>
          <w:color w:val="auto"/>
        </w:rPr>
        <w:t>We currently have no sales or marketing infrastructure and have no experience in the sale, marketing or distribution of pharmaceutical products. To achieve commercial success for any product for which we obtain marketing approval, we will need to establish sales, marketing and distribution capabilities, either ourselves or through collaboration or other arrangements with third parties.</w:t>
      </w:r>
    </w:p>
    <w:p>
      <w:pPr>
        <w:spacing w:after="0" w:line="188" w:lineRule="exact"/>
        <w:rPr>
          <w:sz w:val="20"/>
          <w:szCs w:val="20"/>
          <w:color w:val="auto"/>
        </w:rPr>
      </w:pPr>
    </w:p>
    <w:p>
      <w:pPr>
        <w:ind w:right="80" w:firstLine="416"/>
        <w:spacing w:after="0" w:line="319" w:lineRule="auto"/>
        <w:rPr>
          <w:sz w:val="20"/>
          <w:szCs w:val="20"/>
          <w:color w:val="auto"/>
        </w:rPr>
      </w:pPr>
      <w:r>
        <w:rPr>
          <w:rFonts w:ascii="Arial" w:cs="Arial" w:eastAsia="Arial" w:hAnsi="Arial"/>
          <w:sz w:val="15"/>
          <w:szCs w:val="15"/>
          <w:color w:val="auto"/>
        </w:rPr>
        <w:t>There are risks involved with establishing our own sales and marketing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are expected to be costly, and our investment would be lost if we cannot retain or reposition our sales and marketing personnel.</w:t>
      </w:r>
    </w:p>
    <w:p>
      <w:pPr>
        <w:spacing w:after="0" w:line="14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Factors that may inhibit our efforts to commercialize our products on our own include:</w:t>
      </w:r>
    </w:p>
    <w:p>
      <w:pPr>
        <w:spacing w:after="0" w:line="112" w:lineRule="exact"/>
        <w:rPr>
          <w:sz w:val="20"/>
          <w:szCs w:val="20"/>
          <w:color w:val="auto"/>
        </w:rPr>
      </w:pPr>
    </w:p>
    <w:p>
      <w:pPr>
        <w:ind w:left="840" w:hanging="42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raise financing necessary to build our commercialization infrastructure;</w:t>
      </w:r>
    </w:p>
    <w:p>
      <w:pPr>
        <w:spacing w:after="0" w:line="111" w:lineRule="exact"/>
        <w:rPr>
          <w:rFonts w:ascii="Arial" w:cs="Arial" w:eastAsia="Arial" w:hAnsi="Arial"/>
          <w:sz w:val="18"/>
          <w:szCs w:val="18"/>
          <w:color w:val="auto"/>
        </w:rPr>
      </w:pPr>
    </w:p>
    <w:p>
      <w:pPr>
        <w:ind w:left="840" w:right="500" w:hanging="422"/>
        <w:spacing w:after="0" w:line="265" w:lineRule="auto"/>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educate an adequate number of physicians as to the benefits of our products;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unfavorable third-party payor coverage and reimbursement in any geography;</w:t>
      </w:r>
    </w:p>
    <w:p>
      <w:pPr>
        <w:spacing w:after="0" w:line="3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52" w:name="page53"/>
    <w:bookmarkEnd w:id="52"/>
    <w:p>
      <w:pPr>
        <w:ind w:left="840" w:right="140" w:hanging="422"/>
        <w:spacing w:after="0" w:line="265" w:lineRule="auto"/>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218" w:lineRule="exact"/>
        <w:rPr>
          <w:sz w:val="20"/>
          <w:szCs w:val="20"/>
          <w:color w:val="auto"/>
        </w:rPr>
      </w:pPr>
    </w:p>
    <w:p>
      <w:pPr>
        <w:ind w:firstLine="416"/>
        <w:spacing w:after="0" w:line="267" w:lineRule="auto"/>
        <w:rPr>
          <w:sz w:val="20"/>
          <w:szCs w:val="20"/>
          <w:color w:val="auto"/>
        </w:rPr>
      </w:pPr>
      <w:r>
        <w:rPr>
          <w:rFonts w:ascii="Arial" w:cs="Arial" w:eastAsia="Arial" w:hAnsi="Arial"/>
          <w:sz w:val="17"/>
          <w:szCs w:val="17"/>
          <w:color w:val="auto"/>
        </w:rPr>
        <w:t>If we enter into arrangements with third parties to perform sales and marketing services, our product revenues and our profitability, if any, are likely to be lower than if we were to market and sell any products that we develop ourselves. In addition, we may not be successful in entering into arrangements with third parties to market and sell our product candidates or may be unable to do so on terms that are acceptable to us. We likely will have little control over such third parties, and any of these third parties may fail to devote the necessary resources and attention to sell and market our products effectively. If we do not establish sales and marketing capabilities successfully, either on our own or in collaboration with third parties, we will not be successful in commercializing any of our product candidates for which we receive marketing approval.</w:t>
      </w:r>
    </w:p>
    <w:p>
      <w:pPr>
        <w:spacing w:after="0" w:line="276" w:lineRule="exact"/>
        <w:rPr>
          <w:sz w:val="20"/>
          <w:szCs w:val="20"/>
          <w:color w:val="auto"/>
        </w:rPr>
      </w:pPr>
    </w:p>
    <w:p>
      <w:pPr>
        <w:ind w:left="420" w:right="140"/>
        <w:spacing w:after="0" w:line="26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74" w:lineRule="exact"/>
        <w:rPr>
          <w:sz w:val="20"/>
          <w:szCs w:val="20"/>
          <w:color w:val="auto"/>
        </w:rPr>
      </w:pPr>
    </w:p>
    <w:p>
      <w:pPr>
        <w:ind w:right="40" w:firstLine="416"/>
        <w:spacing w:after="0" w:line="264" w:lineRule="auto"/>
        <w:rPr>
          <w:sz w:val="20"/>
          <w:szCs w:val="20"/>
          <w:color w:val="auto"/>
        </w:rPr>
      </w:pPr>
      <w:r>
        <w:rPr>
          <w:rFonts w:ascii="Arial" w:cs="Arial" w:eastAsia="Arial" w:hAnsi="Arial"/>
          <w:sz w:val="17"/>
          <w:szCs w:val="17"/>
          <w:color w:val="auto"/>
        </w:rPr>
        <w:t>The development and commercialization of pharmaceutical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existing or emerging biotechnology companies, academic research institutions and governmental agencies and public and private research institutions worldwide. There are a number of pharmaceutical and biotechnology companies that currently are pursuing the development of precision oncology therapies optimized to effectively target the key driver mechanisms in cancers with high unmet need, including Black Diamond Therapeutics, Inc., Constellation Pharmaceuticals, Inc., Kronos Bio, Inc., Repare Therapeutics Inc., Revolution Medicines, Inc., Relay Therapeutics, Inc., and Zentalis Pharmaceuticals, LLC. In addition, we may face competition from companies pursuing the development of product candidates that are based on targeting pathways of adaptive resistance, including Amgen Inc., or Amgen, AbbVie Inc., or AbbVie, AstraZeneca PLC, or AstraZeneca, GlaxoSmithKline plc, or GlaxoSmithKline, Johnson &amp; Johnson, Pfizer Inc., or Pfizer, Vincerx Pharma , or Vincerx, and Novartis International AG, or Novartis.</w:t>
      </w:r>
    </w:p>
    <w:p>
      <w:pPr>
        <w:spacing w:after="0" w:line="187" w:lineRule="exact"/>
        <w:rPr>
          <w:sz w:val="20"/>
          <w:szCs w:val="20"/>
          <w:color w:val="auto"/>
        </w:rPr>
      </w:pPr>
    </w:p>
    <w:p>
      <w:pPr>
        <w:ind w:right="20" w:firstLine="416"/>
        <w:spacing w:after="0" w:line="266" w:lineRule="auto"/>
        <w:rPr>
          <w:sz w:val="20"/>
          <w:szCs w:val="20"/>
          <w:color w:val="auto"/>
        </w:rPr>
      </w:pPr>
      <w:r>
        <w:rPr>
          <w:rFonts w:ascii="Arial" w:cs="Arial" w:eastAsia="Arial" w:hAnsi="Arial"/>
          <w:sz w:val="17"/>
          <w:szCs w:val="17"/>
          <w:color w:val="auto"/>
        </w:rPr>
        <w:t>Specifically, with respect to our lead product candidates, we expect that our current product candidates PRT543 and PRT811 will compete against other PRMT5 inhibitors which are currently in clinical development, including those of GlaxoSmithKline (GSK3326595), Johnson &amp; Johnson (JNJ-64619178) and Pfizer (PF-06939999). Development efforts and clinical results of these other product candidates may be unsuccessful, which could result in a negative perception of PRMT5 inhibitors, for instance, and negatively impact the regulatory approval process of our product candidates, which would have a material and adverse effect on our business. For our product candidate PRT1419, other companies are developing MCL1 inhibitors with monotherapy and/or combination trials ongoing, including Amgen (AMG176), AstraZeneca (AZD5991) and Novartis (MIK665). For our preclinical CDK9 program, AstraZeneca, Vincerx and Kronos Bio have CDK9 programs in Phase 1 clinical trials.</w:t>
      </w:r>
    </w:p>
    <w:p>
      <w:pPr>
        <w:spacing w:after="0" w:line="183" w:lineRule="exact"/>
        <w:rPr>
          <w:sz w:val="20"/>
          <w:szCs w:val="20"/>
          <w:color w:val="auto"/>
        </w:rPr>
      </w:pPr>
    </w:p>
    <w:p>
      <w:pPr>
        <w:ind w:right="140" w:firstLine="416"/>
        <w:spacing w:after="0" w:line="307"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either alone or through collaborations,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management and sales and marketing personnel, establishing clinical trial sites and patient registration for clinical trials, as well as in acquiring technologies complementary to, or necessary for, our programs.</w:t>
      </w:r>
    </w:p>
    <w:p>
      <w:pPr>
        <w:spacing w:after="0" w:line="155"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Furthermore, we also face competition more broadly across the oncology market for cost-effective and reimbursable cancer treatments. There are a variety of available drug therapies marketed for cancer. In many cases, these drugs are administered in combination to enhance efficacy. While our product candidates, if any are approved, may compete with these existing drugs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As a result, obtaining market acceptance of, and gaining significant share of the market for, any of our product candidates that we successfully introduce to the market may pose challenges. In addition, many companies are developing new oncology therapeutics, and we cannot predict what the standard of care will be as our product candidates progress through clinical development.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3" w:name="page54"/>
    <w:bookmarkEnd w:id="53"/>
    <w:p>
      <w:pPr>
        <w:ind w:firstLine="416"/>
        <w:spacing w:after="0" w:line="309"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products that are safer, more effective, have fewer or less severe side effects, are more convenient to administer, are less expensive or with a more favorable labeling than our current or future product candidates. Our competitors also may obtain FDA, foreign regulatory authority, or other marketing or regulatory approval for their products more rapidly than any approval we may obtain for ours, which could result in our competitors establishing a strong market position before we are able to enter the market. The key competitive factors affecting the success of all of our product candidates, if approved, are likely to be their efficacy, safety, convenience, price, the level of generic competition and the availability of reimbursement from government and other third-party payors.</w:t>
      </w:r>
    </w:p>
    <w:p>
      <w:pPr>
        <w:spacing w:after="0" w:line="248" w:lineRule="exact"/>
        <w:rPr>
          <w:sz w:val="20"/>
          <w:szCs w:val="20"/>
          <w:color w:val="auto"/>
        </w:rPr>
      </w:pPr>
    </w:p>
    <w:p>
      <w:pPr>
        <w:ind w:left="420" w:right="440"/>
        <w:spacing w:after="0" w:line="265"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the products may become subject to unfavorable pricing regulations, third-party reimbursement practices or healthcare reform initiatives, which would harm our business.</w:t>
      </w:r>
    </w:p>
    <w:p>
      <w:pPr>
        <w:spacing w:after="0" w:line="74" w:lineRule="exact"/>
        <w:rPr>
          <w:sz w:val="20"/>
          <w:szCs w:val="20"/>
          <w:color w:val="auto"/>
        </w:rPr>
      </w:pPr>
    </w:p>
    <w:p>
      <w:pPr>
        <w:ind w:right="40" w:firstLine="416"/>
        <w:spacing w:after="0" w:line="304" w:lineRule="auto"/>
        <w:rPr>
          <w:sz w:val="20"/>
          <w:szCs w:val="20"/>
          <w:color w:val="auto"/>
        </w:rPr>
      </w:pPr>
      <w:r>
        <w:rPr>
          <w:rFonts w:ascii="Arial" w:cs="Arial" w:eastAsia="Arial" w:hAnsi="Arial"/>
          <w:sz w:val="15"/>
          <w:szCs w:val="15"/>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To obtain reimbursement or pricing approval in some countries, we may be required to conduct a clinical trial that compares the cost- effectiveness of our product candidate to other available therapies.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our commercial launch of the product, possibly for lengthy time periods, and negatively impact the revenues, if any, we are able to generate from the sale of the product in that country. Adverse pricing limitations may hinder our ability to recoup our investment in one or more product candidates, even if such product candidates obtain marketing approval.</w:t>
      </w:r>
    </w:p>
    <w:p>
      <w:pPr>
        <w:spacing w:after="0" w:line="159" w:lineRule="exact"/>
        <w:rPr>
          <w:sz w:val="20"/>
          <w:szCs w:val="20"/>
          <w:color w:val="auto"/>
        </w:rPr>
      </w:pPr>
    </w:p>
    <w:p>
      <w:pPr>
        <w:ind w:right="40" w:firstLine="416"/>
        <w:spacing w:after="0" w:line="313" w:lineRule="auto"/>
        <w:rPr>
          <w:sz w:val="20"/>
          <w:szCs w:val="20"/>
          <w:color w:val="auto"/>
        </w:rPr>
      </w:pPr>
      <w:r>
        <w:rPr>
          <w:rFonts w:ascii="Arial" w:cs="Arial" w:eastAsia="Arial" w:hAnsi="Arial"/>
          <w:sz w:val="15"/>
          <w:szCs w:val="15"/>
          <w:color w:val="auto"/>
        </w:rPr>
        <w:t>Our ability to commercialize any product candidates successfully also will depend in part on the extent to which coverage and adequate reimbursement for these products and related treatments will be available from third-party payors, including government healthcare programs, private health insurers and other organizations. Third-party payors decide which medications they will pay for and establish reimbursement levels. In the United States, the principal decisions about reimbursement for new medicines are typically made by the CMS, which decides whether and to what extent a new medicine will be covered and reimbursed under Medicare. Private payors often, but not always, follow CMS’s decisions regarding coverage and reimbursement.</w:t>
      </w:r>
    </w:p>
    <w:p>
      <w:pPr>
        <w:spacing w:after="0" w:line="150" w:lineRule="exact"/>
        <w:rPr>
          <w:sz w:val="20"/>
          <w:szCs w:val="20"/>
          <w:color w:val="auto"/>
        </w:rPr>
      </w:pPr>
    </w:p>
    <w:p>
      <w:pPr>
        <w:ind w:right="80" w:firstLine="416"/>
        <w:spacing w:after="0" w:line="305" w:lineRule="auto"/>
        <w:rPr>
          <w:sz w:val="20"/>
          <w:szCs w:val="20"/>
          <w:color w:val="auto"/>
        </w:rPr>
      </w:pPr>
      <w:r>
        <w:rPr>
          <w:rFonts w:ascii="Arial" w:cs="Arial" w:eastAsia="Arial" w:hAnsi="Arial"/>
          <w:sz w:val="15"/>
          <w:szCs w:val="15"/>
          <w:color w:val="auto"/>
        </w:rPr>
        <w:t>A primary trend in the U.S. healthcare industry and elsewhere is cost containment.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coverage and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w:t>
      </w:r>
    </w:p>
    <w:p>
      <w:pPr>
        <w:spacing w:after="0" w:line="159" w:lineRule="exact"/>
        <w:rPr>
          <w:sz w:val="20"/>
          <w:szCs w:val="20"/>
          <w:color w:val="auto"/>
        </w:rPr>
      </w:pPr>
    </w:p>
    <w:p>
      <w:pPr>
        <w:ind w:right="60" w:firstLine="416"/>
        <w:spacing w:after="0" w:line="251" w:lineRule="auto"/>
        <w:rPr>
          <w:sz w:val="20"/>
          <w:szCs w:val="20"/>
          <w:color w:val="auto"/>
        </w:rPr>
      </w:pPr>
      <w:r>
        <w:rPr>
          <w:rFonts w:ascii="Arial" w:cs="Arial" w:eastAsia="Arial" w:hAnsi="Arial"/>
          <w:sz w:val="18"/>
          <w:szCs w:val="18"/>
          <w:color w:val="auto"/>
        </w:rPr>
        <w:t>Additionally, we may develop, either by ourselves or with collaborators, companion diagnostic tests for our product candidates for certain indications. We, or our collaborators, if any, will be required to obtain coverage and reimbursement for these tests separate and apart from the coverage and reimbursement we seek for our product candidates, once approved. While we have not yet developed any companion diagnostic test for our product candidates, if we do, there is significant uncertainty regarding our ability to obtain coverage and adequate reimbursement for the same reasons applicable to our product candidates.</w:t>
      </w:r>
    </w:p>
    <w:p>
      <w:pPr>
        <w:spacing w:after="0" w:line="193" w:lineRule="exact"/>
        <w:rPr>
          <w:sz w:val="20"/>
          <w:szCs w:val="20"/>
          <w:color w:val="auto"/>
        </w:rPr>
      </w:pPr>
    </w:p>
    <w:p>
      <w:pPr>
        <w:ind w:right="40" w:firstLine="416"/>
        <w:spacing w:after="0" w:line="305" w:lineRule="auto"/>
        <w:rPr>
          <w:sz w:val="20"/>
          <w:szCs w:val="20"/>
          <w:color w:val="auto"/>
        </w:rPr>
      </w:pPr>
      <w:r>
        <w:rPr>
          <w:rFonts w:ascii="Arial" w:cs="Arial" w:eastAsia="Arial" w:hAnsi="Arial"/>
          <w:sz w:val="15"/>
          <w:szCs w:val="15"/>
          <w:color w:val="auto"/>
        </w:rPr>
        <w:t>There may also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intellectual property,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54" w:name="page55"/>
    <w:bookmarkEnd w:id="54"/>
    <w:p>
      <w:pPr>
        <w:ind w:right="100"/>
        <w:spacing w:after="0" w:line="252" w:lineRule="auto"/>
        <w:rPr>
          <w:sz w:val="20"/>
          <w:szCs w:val="20"/>
          <w:color w:val="auto"/>
        </w:rPr>
      </w:pPr>
      <w:r>
        <w:rPr>
          <w:rFonts w:ascii="Arial" w:cs="Arial" w:eastAsia="Arial" w:hAnsi="Arial"/>
          <w:sz w:val="18"/>
          <w:szCs w:val="18"/>
          <w:color w:val="auto"/>
        </w:rPr>
        <w:t>the United States. Third-party payors often rely upon Medicare coverage policy and payment limitations in setting their own reimbursement policies, but also have their own methods and approval process apart from Medicare determinations. Our inability to promptly obtain coverage and adequate reimbursement rates from third-party payors for any approved products that we develop could have a material adverse effect on our operating results, our ability to raise capital needed to commercialize products and our overall financial condition.</w:t>
      </w:r>
    </w:p>
    <w:p>
      <w:pPr>
        <w:spacing w:after="0" w:line="193" w:lineRule="exact"/>
        <w:rPr>
          <w:sz w:val="20"/>
          <w:szCs w:val="20"/>
          <w:color w:val="auto"/>
        </w:rPr>
      </w:pPr>
    </w:p>
    <w:p>
      <w:pPr>
        <w:ind w:left="420" w:right="560"/>
        <w:spacing w:after="0" w:line="26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any products that we may develop.</w:t>
      </w:r>
    </w:p>
    <w:p>
      <w:pPr>
        <w:spacing w:after="0" w:line="74" w:lineRule="exact"/>
        <w:rPr>
          <w:sz w:val="20"/>
          <w:szCs w:val="20"/>
          <w:color w:val="auto"/>
        </w:rPr>
      </w:pPr>
    </w:p>
    <w:p>
      <w:pPr>
        <w:ind w:right="20" w:firstLine="416"/>
        <w:spacing w:after="0" w:line="331" w:lineRule="auto"/>
        <w:rPr>
          <w:sz w:val="20"/>
          <w:szCs w:val="20"/>
          <w:color w:val="auto"/>
        </w:rPr>
      </w:pPr>
      <w:r>
        <w:rPr>
          <w:rFonts w:ascii="Arial" w:cs="Arial" w:eastAsia="Arial" w:hAnsi="Arial"/>
          <w:sz w:val="15"/>
          <w:szCs w:val="15"/>
          <w:color w:val="auto"/>
        </w:rPr>
        <w:t>We face an inherent risk of product liability exposure related to the testing of our product candidates in human clinical trials and will face an even greater risk if we commercialize any products that we may develop. If we cannot successfully defend ourselves against any claims that our product candidates or products caused injuries, we will incur substantial liabilities. Regardless of merit or eventual outcome, liability claims may result in:</w:t>
      </w:r>
    </w:p>
    <w:p>
      <w:pPr>
        <w:spacing w:after="0" w:line="30" w:lineRule="exact"/>
        <w:rPr>
          <w:sz w:val="20"/>
          <w:szCs w:val="20"/>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decreased demand for any product candidates or products that we may develop;</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significant time and costs to defend the related litigation;</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inability to commercialize any products that we may develop.</w:t>
      </w:r>
    </w:p>
    <w:p>
      <w:pPr>
        <w:spacing w:after="0" w:line="218" w:lineRule="exact"/>
        <w:rPr>
          <w:sz w:val="20"/>
          <w:szCs w:val="20"/>
          <w:color w:val="auto"/>
        </w:rPr>
      </w:pPr>
    </w:p>
    <w:p>
      <w:pPr>
        <w:ind w:right="40" w:firstLine="416"/>
        <w:spacing w:after="0" w:line="251" w:lineRule="auto"/>
        <w:rPr>
          <w:sz w:val="20"/>
          <w:szCs w:val="20"/>
          <w:color w:val="auto"/>
        </w:rPr>
      </w:pPr>
      <w:r>
        <w:rPr>
          <w:rFonts w:ascii="Arial" w:cs="Arial" w:eastAsia="Arial" w:hAnsi="Arial"/>
          <w:sz w:val="18"/>
          <w:szCs w:val="18"/>
          <w:color w:val="auto"/>
        </w:rPr>
        <w:t>Our current product liability insurance coverage for the United States and certain other jurisdictions may not be adequate to cover all liabilities that we may incur. We likely will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A successful product liability claim or series of claims brought against us could decrease our cash and adversely affect our business and financial condition.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Our Operations</w:t>
      </w:r>
    </w:p>
    <w:p>
      <w:pPr>
        <w:spacing w:after="0" w:line="118" w:lineRule="exact"/>
        <w:rPr>
          <w:sz w:val="20"/>
          <w:szCs w:val="20"/>
          <w:color w:val="auto"/>
        </w:rPr>
      </w:pPr>
    </w:p>
    <w:p>
      <w:pPr>
        <w:ind w:left="420" w:right="240"/>
        <w:spacing w:after="0" w:line="265" w:lineRule="auto"/>
        <w:rPr>
          <w:sz w:val="20"/>
          <w:szCs w:val="20"/>
          <w:color w:val="auto"/>
        </w:rPr>
      </w:pPr>
      <w:r>
        <w:rPr>
          <w:rFonts w:ascii="Arial" w:cs="Arial" w:eastAsia="Arial" w:hAnsi="Arial"/>
          <w:sz w:val="18"/>
          <w:szCs w:val="18"/>
          <w:b w:val="1"/>
          <w:bCs w:val="1"/>
          <w:i w:val="1"/>
          <w:iCs w:val="1"/>
          <w:color w:val="auto"/>
        </w:rPr>
        <w:t>Our future success depends on our ability to retain key employees and to attract, retain and motivate qualified personnel and manage our human capital.</w:t>
      </w:r>
    </w:p>
    <w:p>
      <w:pPr>
        <w:spacing w:after="0" w:line="74" w:lineRule="exact"/>
        <w:rPr>
          <w:sz w:val="20"/>
          <w:szCs w:val="20"/>
          <w:color w:val="auto"/>
        </w:rPr>
      </w:pPr>
    </w:p>
    <w:p>
      <w:pPr>
        <w:ind w:right="60" w:firstLine="416"/>
        <w:spacing w:after="0" w:line="25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motivate and retain highly qualified managerial, scientific and medical personnel. We are highly dependent on the development and management expertise of Kris Vaddi, Ph.D., our founder and Chief Executive Officer, as well as the other principal members of our management, scientific and clinical team. We currently do not maintain key person insurance on these individuals. Although we have entered into employment agreements with our executive officers, each of them may terminate their employment with us at any time.</w:t>
      </w:r>
    </w:p>
    <w:p>
      <w:pPr>
        <w:spacing w:after="0" w:line="193" w:lineRule="exact"/>
        <w:rPr>
          <w:sz w:val="20"/>
          <w:szCs w:val="20"/>
          <w:color w:val="auto"/>
        </w:rPr>
      </w:pPr>
    </w:p>
    <w:p>
      <w:pPr>
        <w:ind w:firstLine="416"/>
        <w:spacing w:after="0" w:line="264" w:lineRule="auto"/>
        <w:rPr>
          <w:sz w:val="20"/>
          <w:szCs w:val="20"/>
          <w:color w:val="auto"/>
        </w:rPr>
      </w:pPr>
      <w:r>
        <w:rPr>
          <w:rFonts w:ascii="Arial" w:cs="Arial" w:eastAsia="Arial" w:hAnsi="Arial"/>
          <w:sz w:val="17"/>
          <w:szCs w:val="17"/>
          <w:color w:val="auto"/>
        </w:rPr>
        <w:t>Our industry has experienced a high rate of turnover in recent years. Our ability to compete in the highly competitive pharmaceuticals industry depends upon our ability to attract, retain and motivate highly skilled and experienced personnel with scientific, clinical, regulatory, manufacturing and management skills and experience. We conduct our operations in the greater Delaware area, a region that is home to other pharmaceutical companies as well as many academic and research institutions and in addition, the COVID-19 pandemic has increased companies’ willingness to hire remote workers, resulting in fierce competition for qualified personnel. We may not be able to attract or retain qualified personnel in the future due to the intense competition for a limited number of qualified personnel among pharmaceutical companies. Many of the other pharmaceutical companies against which we compete have greater financial and other resources, different risk profiles and a longer history in the industry than we do. Our competitors may provide higher compensation, more diverse opportunities and/or better opportunities for career advancement. Any or all of these competing factors may limit our ability to continue to attract and retain high quality personnel, which could negatively affect our ability to successfully develop and commercialize our product candidates and to grow our business and operations as currently contemplated.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55" w:name="page56"/>
    <w:bookmarkEnd w:id="55"/>
    <w:p>
      <w:pPr>
        <w:ind w:left="420" w:right="100"/>
        <w:spacing w:after="0" w:line="295" w:lineRule="auto"/>
        <w:rPr>
          <w:sz w:val="20"/>
          <w:szCs w:val="20"/>
          <w:color w:val="auto"/>
        </w:rPr>
      </w:pPr>
      <w:r>
        <w:rPr>
          <w:rFonts w:ascii="Arial" w:cs="Arial" w:eastAsia="Arial" w:hAnsi="Arial"/>
          <w:sz w:val="17"/>
          <w:szCs w:val="17"/>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24" w:lineRule="exact"/>
        <w:rPr>
          <w:sz w:val="20"/>
          <w:szCs w:val="20"/>
          <w:color w:val="auto"/>
        </w:rPr>
      </w:pPr>
    </w:p>
    <w:p>
      <w:pPr>
        <w:ind w:right="160" w:firstLine="416"/>
        <w:spacing w:after="0" w:line="307" w:lineRule="auto"/>
        <w:rPr>
          <w:sz w:val="20"/>
          <w:szCs w:val="20"/>
          <w:color w:val="auto"/>
        </w:rPr>
      </w:pPr>
      <w:r>
        <w:rPr>
          <w:rFonts w:ascii="Arial" w:cs="Arial" w:eastAsia="Arial" w:hAnsi="Arial"/>
          <w:sz w:val="15"/>
          <w:szCs w:val="15"/>
          <w:color w:val="auto"/>
        </w:rPr>
        <w:t>As of September 30, 2021, we had 113 full-time employees. We expect significant growth in the number of our employees and the scope of our operations, particularly in the areas of clinical development, clinical operations, manufacturing,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and with developing sales, marketing and distribution infrastructure, we may not be able to effectively manage the expansion of our operations or recruit and train additional qualified personnel. The expansion of our operations may lead to significant costs and may divert our management and business development resources.</w:t>
      </w:r>
    </w:p>
    <w:p>
      <w:pPr>
        <w:spacing w:after="0" w:line="116" w:lineRule="exact"/>
        <w:rPr>
          <w:sz w:val="20"/>
          <w:szCs w:val="20"/>
          <w:color w:val="auto"/>
        </w:rPr>
      </w:pPr>
    </w:p>
    <w:p>
      <w:pPr>
        <w:ind w:right="40" w:firstLine="416"/>
        <w:spacing w:after="0" w:line="305" w:lineRule="auto"/>
        <w:rPr>
          <w:sz w:val="20"/>
          <w:szCs w:val="20"/>
          <w:color w:val="auto"/>
        </w:rPr>
      </w:pPr>
      <w:r>
        <w:rPr>
          <w:rFonts w:ascii="Arial" w:cs="Arial" w:eastAsia="Arial" w:hAnsi="Arial"/>
          <w:sz w:val="15"/>
          <w:szCs w:val="15"/>
          <w:color w:val="auto"/>
        </w:rPr>
        <w:t>Further, we currently rely, and for the foreseeable future will continue to rely, in substantial part on certain third-party contract organizations, advisors and consultants to provide certain services, including assuming substantial responsibilities for the conduct of our clinical trials and the manufacture of PRT543, PRT811, PRT1419 and PRT2527, or any future product candidates. We cannot assure you that the services of such third-party contract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our vendors or consultants is compromised for any reason, our clinical trials may be extended, delayed or terminated, and we may not be able to obtain marketing approval of PRT543, PRT811, PRT1419, PRT2527 or any future product candidates or otherwise advance our business. We cannot assure you that we will be able to properly manage our existing vendors or consultants or find other competent outside vendors and consultants on economically reasonable terms, or at all.</w:t>
      </w:r>
    </w:p>
    <w:p>
      <w:pPr>
        <w:spacing w:after="0" w:line="119" w:lineRule="exact"/>
        <w:rPr>
          <w:sz w:val="20"/>
          <w:szCs w:val="20"/>
          <w:color w:val="auto"/>
        </w:rPr>
      </w:pPr>
    </w:p>
    <w:p>
      <w:pPr>
        <w:jc w:val="both"/>
        <w:ind w:right="360" w:firstLine="416"/>
        <w:spacing w:after="0" w:line="256" w:lineRule="auto"/>
        <w:rPr>
          <w:sz w:val="20"/>
          <w:szCs w:val="20"/>
          <w:color w:val="auto"/>
        </w:rPr>
      </w:pPr>
      <w:r>
        <w:rPr>
          <w:rFonts w:ascii="Arial" w:cs="Arial" w:eastAsia="Arial" w:hAnsi="Arial"/>
          <w:sz w:val="18"/>
          <w:szCs w:val="18"/>
          <w:color w:val="auto"/>
        </w:rPr>
        <w:t>If we are not able to effectively manage growth and expand our organization, we may not be able to successfully implement the tasks necessary to further develop and commercialize PRT543, PRT811, PRT1419 or PRT2527, our other pipeline product candidates or any future product candidates and, accordingly, may not achieve our research, development and commercialization goals.</w:t>
      </w:r>
    </w:p>
    <w:p>
      <w:pPr>
        <w:spacing w:after="0" w:line="227" w:lineRule="exact"/>
        <w:rPr>
          <w:sz w:val="20"/>
          <w:szCs w:val="20"/>
          <w:color w:val="auto"/>
        </w:rPr>
      </w:pPr>
    </w:p>
    <w:p>
      <w:pPr>
        <w:ind w:left="420" w:right="40"/>
        <w:spacing w:after="0" w:line="295" w:lineRule="auto"/>
        <w:rPr>
          <w:sz w:val="20"/>
          <w:szCs w:val="20"/>
          <w:color w:val="auto"/>
        </w:rPr>
      </w:pPr>
      <w:r>
        <w:rPr>
          <w:rFonts w:ascii="Arial" w:cs="Arial" w:eastAsia="Arial" w:hAnsi="Arial"/>
          <w:sz w:val="17"/>
          <w:szCs w:val="17"/>
          <w:b w:val="1"/>
          <w:bCs w:val="1"/>
          <w:i w:val="1"/>
          <w:iCs w:val="1"/>
          <w:color w:val="auto"/>
        </w:rPr>
        <w:t>Our employees, clinical trial investigators, CROs, CMOs, consultants, vendors and any potential commercial partners may engage in misconduct or other improper activities, including non-compliance with regulatory standards and requirements and insider trading.</w:t>
      </w:r>
    </w:p>
    <w:p>
      <w:pPr>
        <w:spacing w:after="0" w:line="24" w:lineRule="exact"/>
        <w:rPr>
          <w:sz w:val="20"/>
          <w:szCs w:val="20"/>
          <w:color w:val="auto"/>
        </w:rPr>
      </w:pPr>
    </w:p>
    <w:p>
      <w:pPr>
        <w:ind w:firstLine="416"/>
        <w:spacing w:after="0" w:line="307" w:lineRule="auto"/>
        <w:rPr>
          <w:sz w:val="20"/>
          <w:szCs w:val="20"/>
          <w:color w:val="auto"/>
        </w:rPr>
      </w:pPr>
      <w:r>
        <w:rPr>
          <w:rFonts w:ascii="Arial" w:cs="Arial" w:eastAsia="Arial" w:hAnsi="Arial"/>
          <w:sz w:val="15"/>
          <w:szCs w:val="15"/>
          <w:color w:val="auto"/>
        </w:rPr>
        <w:t>We are exposed to the risk of fraud or other misconduct by our employees, clinical trial investigators, CROs, CMOs, consultants, vendors and any potential commercial partners. Misconduct by these parties could include intentional, reckless and/or negligent conduct or disclosure of unauthorized activities to us that violates: (i) FDA regulations or those of comparable foreign regulatory authorities, including those laws that require the reporting of true, complete and accurate information, (ii) manufacturing standards, (iii) federal and state health and data privacy, security, fraud and abuse, government price reporting, transparency reporting requirements, and other healthcare laws and regulations in the United States and abroad, (iv) sexual harassment and other workplace misconduct, or (v) laws that require the true, complete and accurate reporting of financial information or data. Such misconduct could also involve the improper use of information obtained in the course of clinical trials, which could result in regulatory sanctions and cause serious harm to our reputation.</w:t>
      </w:r>
    </w:p>
    <w:p>
      <w:pPr>
        <w:spacing w:after="0" w:line="116" w:lineRule="exact"/>
        <w:rPr>
          <w:sz w:val="20"/>
          <w:szCs w:val="20"/>
          <w:color w:val="auto"/>
        </w:rPr>
      </w:pPr>
    </w:p>
    <w:p>
      <w:pPr>
        <w:ind w:firstLine="416"/>
        <w:spacing w:after="0" w:line="305" w:lineRule="auto"/>
        <w:rPr>
          <w:sz w:val="20"/>
          <w:szCs w:val="20"/>
          <w:color w:val="auto"/>
        </w:rPr>
      </w:pPr>
      <w:r>
        <w:rPr>
          <w:rFonts w:ascii="Arial" w:cs="Arial" w:eastAsia="Arial" w:hAnsi="Arial"/>
          <w:sz w:val="15"/>
          <w:szCs w:val="15"/>
          <w:color w:val="auto"/>
        </w:rPr>
        <w:t>We have adopted a code of conduct applicable to all of our employees, as well as a disclosure program and other applicable policies and procedures,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fines, disgorgement, imprisonment, exclusion from government funded healthcare programs, such as Medicare, Medicaid and other federal healthcare programs, contractual damages, reputational harm, diminished profits and future earnings, additional integrity reporting and oversight obligations,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58" w:right="359" w:bottom="1440" w:gutter="0" w:footer="0" w:header="0"/>
        </w:sectPr>
      </w:pPr>
    </w:p>
    <w:bookmarkStart w:id="56" w:name="page57"/>
    <w:bookmarkEnd w:id="56"/>
    <w:p>
      <w:pPr>
        <w:ind w:left="420" w:right="20"/>
        <w:spacing w:after="0" w:line="272" w:lineRule="auto"/>
        <w:rPr>
          <w:sz w:val="20"/>
          <w:szCs w:val="20"/>
          <w:color w:val="auto"/>
        </w:rPr>
      </w:pPr>
      <w:r>
        <w:rPr>
          <w:rFonts w:ascii="Arial" w:cs="Arial" w:eastAsia="Arial" w:hAnsi="Arial"/>
          <w:sz w:val="17"/>
          <w:szCs w:val="17"/>
          <w:b w:val="1"/>
          <w:bCs w:val="1"/>
          <w:i w:val="1"/>
          <w:iCs w:val="1"/>
          <w:color w:val="auto"/>
        </w:rPr>
        <w:t>Our internal information technology systems, or those of our third-party CROs, CMOs, or other vendors, contractors or consultants, may fail or suffer security breaches, cyber-attacks, loss or leakage of data and other disruptions, which could result in a material disruption of our development programs, compromise sensitive information related to our business or prevent us from accessing critical information, potentially exposing us to liability or otherwise adversely affecting our business.</w:t>
      </w:r>
    </w:p>
    <w:p>
      <w:pPr>
        <w:spacing w:after="0" w:line="70" w:lineRule="exact"/>
        <w:rPr>
          <w:sz w:val="20"/>
          <w:szCs w:val="20"/>
          <w:color w:val="auto"/>
        </w:rPr>
      </w:pPr>
    </w:p>
    <w:p>
      <w:pPr>
        <w:ind w:right="40" w:firstLine="416"/>
        <w:spacing w:after="0" w:line="265" w:lineRule="auto"/>
        <w:rPr>
          <w:sz w:val="20"/>
          <w:szCs w:val="20"/>
          <w:color w:val="auto"/>
        </w:rPr>
      </w:pPr>
      <w:r>
        <w:rPr>
          <w:rFonts w:ascii="Arial" w:cs="Arial" w:eastAsia="Arial" w:hAnsi="Arial"/>
          <w:sz w:val="17"/>
          <w:szCs w:val="17"/>
          <w:color w:val="auto"/>
        </w:rPr>
        <w:t>We are increasingly dependent upon information technology systems, infrastructure and data to operate our business.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We also have outsourced elements of our operations to third parties, and as a result we manage a number of third-party CROs, CMOs, vendors, and other contractors and consultants who have access to our confidential information. Our internal information technology systems and infrastructure are also vulnerable to damage from natural disasters, terrorism, war, telecommunication and electrical failures. System failures or outages, including any potential disruptions due to significantly increased global demand on certain cloud-based systems during the COVID-19 pandemic, could compromise our ability to perform these functions in a timely manner, which could harm our ability to conduct business or delay our financial reporting. Such failures could materially adversely affect our operating results and financial condition.</w:t>
      </w:r>
    </w:p>
    <w:p>
      <w:pPr>
        <w:spacing w:after="0" w:line="182" w:lineRule="exact"/>
        <w:rPr>
          <w:sz w:val="20"/>
          <w:szCs w:val="20"/>
          <w:color w:val="auto"/>
        </w:rPr>
      </w:pPr>
    </w:p>
    <w:p>
      <w:pPr>
        <w:ind w:right="20" w:firstLine="416"/>
        <w:spacing w:after="0" w:line="298" w:lineRule="auto"/>
        <w:rPr>
          <w:sz w:val="20"/>
          <w:szCs w:val="20"/>
          <w:color w:val="auto"/>
        </w:rPr>
      </w:pPr>
      <w:r>
        <w:rPr>
          <w:rFonts w:ascii="Arial" w:cs="Arial" w:eastAsia="Arial" w:hAnsi="Arial"/>
          <w:sz w:val="15"/>
          <w:szCs w:val="15"/>
          <w:color w:val="auto"/>
        </w:rPr>
        <w:t>Despite the implementation of security measures, given their size and complexity and the increasing amounts of confidential information that they maintain, our internal information technology systems and those of our third-party CROs, CMOs, vendors and other contractors and consultants are potentially vulnerable to breakdown or other damage or interruption from service interruptions, system malfunction, accidents by our employees or third party service providers, natural disasters, terrorism, war and telecommunication and electrical failures, as well as security breaches from inadvertent or intentional actions by our employees, third-party CROs, CMOs, vendors,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that of our third-party CROs, CMOs, vendors and other contractors and consultants, or lead to data leakage.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The COVID-19 pandemic is generally increasing the attack surface available for exploitation, as more companies and individuals work online and work remotely, and as such, the risk of a cybersecurity incident potentially occurring, and our investment in risk mitigations against such an incident, is increasing. For example, there has been an increase in phishing and spam emails as well as social engineering attempts from “hackers” hoping to use the COVID-19 pandemic to their advantage. We may not be able to anticipate all types of security threats, nor may we be able to implement preventive measures effective against all such security threats. The techniques used by cyber criminals change frequently, may not be recognized until launched and can originate from a wide variety of sources, including outside groups such as external service providers, organized crime affiliates, terrorist organizations or hostile foreign governments or agencies. To the extent that any disruption or security breach were to result in a loss of, or damage to, our data or applications, or those of our third-party CROs, CMOs, vendors and other contractors and consultants, or inappropriate disclosure of confidential or proprietary information, we could incur liability and reputational damage and the further development and commercialization of PRT543, PRT811, PRT1419, PRT2527 or any future product candidates could be delayed. Any breach, loss or compromise of clinical trial participant personal data may also subject us to civil fines and penalties, including under HIPAA, and other relevant state and federal privacy laws in the United States. The costs related to significant security breaches or disruptions could be material and exceed the limits of the cybersecurity insurance we maintain against such risks. If the information technology systems of our third-party CROs, CMOs, vendors and other contractors and consultants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w:t>
      </w:r>
    </w:p>
    <w:p>
      <w:pPr>
        <w:spacing w:after="0" w:line="200" w:lineRule="exact"/>
        <w:rPr>
          <w:sz w:val="20"/>
          <w:szCs w:val="20"/>
          <w:color w:val="auto"/>
        </w:rPr>
      </w:pPr>
    </w:p>
    <w:p>
      <w:pPr>
        <w:spacing w:after="0" w:line="346"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While we have not experienced any such system failure, accident or security breach to date, and believe that our data protection efforts and our investment in information technology reduce the likelihood of such incidents in the future, we cannot assure you that our data protection efforts and our investment in information technology will prevent significant breakdowns, data leakages, breaches in our systems, or those of our third-party CROs, CMOs, vendors and other contractors and consultants, or other cyber incidents that could have a material adverse effect upon our reputation, business, operations or financial condition. For example, if such an event were to occur and cause interruptions in our operations, or those of our third-party CROs, CMOs, vendors and other contractors and consultants, it could result in a material disruption of our programs and the development of our product candidates could be delayed. In addition, the loss of clinical trial data for PRT543, PRT811, PRT1419, PRT2527 or any other product candidates could result in delays in our marketing approval efforts and significantly increase our costs to recover or reproduce the data. Furthermore, significant disruptions of our internal information technology systems or those of our third-party CROs, CMOs, vendors and other</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7" w:name="page58"/>
    <w:bookmarkEnd w:id="57"/>
    <w:p>
      <w:pPr>
        <w:ind w:right="80"/>
        <w:spacing w:after="0" w:line="266" w:lineRule="auto"/>
        <w:rPr>
          <w:sz w:val="20"/>
          <w:szCs w:val="20"/>
          <w:color w:val="auto"/>
        </w:rPr>
      </w:pPr>
      <w:r>
        <w:rPr>
          <w:rFonts w:ascii="Arial" w:cs="Arial" w:eastAsia="Arial" w:hAnsi="Arial"/>
          <w:sz w:val="17"/>
          <w:szCs w:val="17"/>
          <w:color w:val="auto"/>
        </w:rPr>
        <w:t>contractors and consultants, or security breaches could result in the loss, misappropriation and/or unauthorized access, use, or disclosure of, or the prevention of access to, confidential information (including trade secrets or other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97" w:lineRule="exact"/>
        <w:rPr>
          <w:sz w:val="20"/>
          <w:szCs w:val="20"/>
          <w:color w:val="auto"/>
        </w:rPr>
      </w:pPr>
    </w:p>
    <w:p>
      <w:pPr>
        <w:ind w:left="420" w:right="40"/>
        <w:spacing w:after="0" w:line="341" w:lineRule="auto"/>
        <w:rPr>
          <w:sz w:val="20"/>
          <w:szCs w:val="20"/>
          <w:color w:val="auto"/>
        </w:rPr>
      </w:pPr>
      <w:r>
        <w:rPr>
          <w:rFonts w:ascii="Arial" w:cs="Arial" w:eastAsia="Arial" w:hAnsi="Arial"/>
          <w:sz w:val="15"/>
          <w:szCs w:val="15"/>
          <w:b w:val="1"/>
          <w:bCs w:val="1"/>
          <w:i w:val="1"/>
          <w:iCs w:val="1"/>
          <w:color w:val="auto"/>
        </w:rPr>
        <w:t>Failure to comply with health and data protection laws and regulations could lead to government enforcement actions (which could include civil or criminal penalties), private litigation and/or adverse publicity and could negatively affect our operating results and business.</w:t>
      </w:r>
    </w:p>
    <w:p>
      <w:pPr>
        <w:spacing w:after="0" w:line="1"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We and any potential collaborators may be subject to federal, state and foreign data protection laws and regulations (i.e., laws and regulations that address privacy and data security). 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 be subject to criminal penalties if we knowingly obtain, use, or disclose individually identifiable health information maintained by a HIPAA-covered entity in a manner that is not authorized or permitted by HIPAA.</w:t>
      </w:r>
    </w:p>
    <w:p>
      <w:pPr>
        <w:spacing w:after="0" w:line="133" w:lineRule="exact"/>
        <w:rPr>
          <w:sz w:val="20"/>
          <w:szCs w:val="20"/>
          <w:color w:val="auto"/>
        </w:rPr>
      </w:pPr>
    </w:p>
    <w:p>
      <w:pPr>
        <w:ind w:firstLine="416"/>
        <w:spacing w:after="0" w:line="298" w:lineRule="auto"/>
        <w:rPr>
          <w:sz w:val="20"/>
          <w:szCs w:val="20"/>
          <w:color w:val="auto"/>
        </w:rPr>
      </w:pPr>
      <w:r>
        <w:rPr>
          <w:rFonts w:ascii="Arial" w:cs="Arial" w:eastAsia="Arial" w:hAnsi="Arial"/>
          <w:sz w:val="15"/>
          <w:szCs w:val="15"/>
          <w:color w:val="auto"/>
        </w:rPr>
        <w:t>International data protection laws, including Regulation 2016/679, known as the General Data Protection Regulation, or GDPR, may also apply to health-related and other personal information obtained outside of the United States. The GDPR went into effect on May 25, 2018. The GDPR introduced new data protection requirements in the EU, as well as potential fines for noncompliant companies of up to the greater of €20 million or 4% of annual global revenue. The regulation imposes numerous new requirements for the collection, use and disclosure of personal information, including more stringent requirements relating to consent and the information that must be shared with data subjects about how their personal information is used, the obligation to notify regulators and affected individuals of personal data breaches, extensive new internal privacy governance obligations and obligations to honor expanded rights of individuals in relation to their personal information (e.g., the right to access, correct and delete their data). In addition, the GDPR includes restrictions on cross-border data transfer. The GDPR will increase our responsibility and liability in relation to personal data that we process, and we may be required to put in place additional mechanisms to ensure compliance with the new EU data protection rules. In addition, the GDPR prohibits the transfer of personal data to countries outside of the European Economic Area, or EEA, such as the United States, which are not considered by the European Commission to provide an adequate level of data protection. Switzerland has adopted similar restrictions. Although there are legal mechanisms to allow for the transfer of personal data from the EEA and Switzerland to the United States, they are subject to pending legal challenges that, if successful, could invalidate these mechanisms, restrict our ability to process personal data of Europeans outside of Europe and adversely impact our business. For example, in July 2020, the European Courts of Justice invalidated the EU-U.S. Privacy Shield, which enabled the transfer of personal data from EU to the U.S. for companies that had self-certified to the Privacy Shield. On August 10, 2020, the U.S. Department of Commerce and the European Commission announced new discussions to evaluate the potential for an enhanced EU-U.S. Privacy Shield framework to comply with the July 16 judgment of the Court of Justice. While the Court of Justice upheld the use of other data transfer mechanisms, such as the Binding Corporate Rules, the decision has led to some uncertainty regarding the use of such mechanisms for data transfers to the United States, and the court made clear that reliance on Binding Corporate Rules alone may not necessarily be sufficient in all circumstances. Use of the data transfer mechanisms must now be assessed on a case-by-case basis taking into account the legal regime applicable in the destination country, in particular applicable surveillance laws and rights of individuals. The European Data Protection Board issued additional guidance regarding the Court of Justice’s decision on November 11, 2020 which imposes higher burdens on the use of data transfer mechanisms, such as the Binding Corporate Rules, for cross-border data transfers. To comply with this guidance, we may need to implement additional safeguards to further enhance the security of data transferred out of the European Economic Area, which could increase our compliance costs, expose us to further regulatory scrutiny and liability, and adversely affect our business. To the extent that we were to rely on Privacy Shield, we will not be able to do so in the future, which could increase our costs and our ability to efficiently process personal data from the EU.</w:t>
      </w:r>
    </w:p>
    <w:p>
      <w:pPr>
        <w:spacing w:after="0" w:line="385" w:lineRule="exact"/>
        <w:rPr>
          <w:sz w:val="20"/>
          <w:szCs w:val="20"/>
          <w:color w:val="auto"/>
        </w:rPr>
      </w:pPr>
    </w:p>
    <w:p>
      <w:pPr>
        <w:ind w:right="20" w:firstLine="416"/>
        <w:spacing w:after="0" w:line="309" w:lineRule="auto"/>
        <w:rPr>
          <w:sz w:val="20"/>
          <w:szCs w:val="20"/>
          <w:color w:val="auto"/>
        </w:rPr>
      </w:pPr>
      <w:r>
        <w:rPr>
          <w:rFonts w:ascii="Arial" w:cs="Arial" w:eastAsia="Arial" w:hAnsi="Arial"/>
          <w:sz w:val="15"/>
          <w:szCs w:val="15"/>
          <w:color w:val="auto"/>
        </w:rPr>
        <w:t>Further, Brexit has created uncertainty with regard to data protection regulation in the United Kingdom. In particular, while the Data Protection Act of 2018, that “implements” and complements the GDPR achieved Royal Assent on May 23, 2018 and is now effective in the United Kingdom, it is still unclear whether transfer of data from the EEA to the United Kingdom will remain lawful under GDPR. During the period of “transition” (i.e., until December 31, 2020), EU law will continue to apply in the United Kingdom, including the GDPR, after which the GDPR will be converted into United Kingdom law. Beginning in 2021, the United Kingdom became a “third country” under the GDPR. We may, however, incur liabilities, expenses, costs, and other operational losses under GDPR and applicable EU Member States and the United Kingdom privacy laws in connection with any measures we take to comply with them.</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340" w:right="379" w:bottom="1440" w:gutter="0" w:footer="0" w:header="0"/>
        </w:sectPr>
      </w:pPr>
    </w:p>
    <w:bookmarkStart w:id="58" w:name="page59"/>
    <w:bookmarkEnd w:id="58"/>
    <w:p>
      <w:pPr>
        <w:ind w:firstLine="416"/>
        <w:spacing w:after="0" w:line="301" w:lineRule="auto"/>
        <w:rPr>
          <w:sz w:val="20"/>
          <w:szCs w:val="20"/>
          <w:color w:val="auto"/>
        </w:rPr>
      </w:pPr>
      <w:r>
        <w:rPr>
          <w:rFonts w:ascii="Arial" w:cs="Arial" w:eastAsia="Arial" w:hAnsi="Arial"/>
          <w:sz w:val="15"/>
          <w:szCs w:val="15"/>
          <w:color w:val="auto"/>
        </w:rPr>
        <w:t>In addition, the state of California recently enacted the California Consumer Privacy Act, or CCPA, which creates new individual privacy rights for California consumers (as defined in the CCPA) and places increased privacy and security obligations on entities handling certain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became enforceable by the California Attorney General on July 1, 2020, along with related regulations which came into force on August 14, 2020 and may impact our business activities and exemplifies the vulnerability of our business to the evolving regulatory environment related to personal data and protected health information. Additionally, although not effective until January 1, 2023, the California Privacy Rights Act (the “CPRA”), which expands upon the CCPA, was passed in the recent election on November 3, 2020. The CCPA gives (and the CPRA will give) California residents expanded privacy rights, including the right to request correction, access, and deletion of their personal information, the right to opt out of certain personal information sharing, and the right to receive detailed information about how their personal information is processed. The CCPA and CPRA provide for unlimited civil penalties for violations, as well as a private right of action for data breaches that is expected to increase data breach litigation. The CCPA and CPRA may increase our compliance costs and potential liability, particularly in the event of a data breach. Additionally, the CCPA has prompted a number of proposals in the U.S. for new federal and state-level privacy legislation that, if passed, could increase our potential liability, increase our compliance costs, and adversely affect our business.</w:t>
      </w:r>
    </w:p>
    <w:p>
      <w:pPr>
        <w:spacing w:after="0" w:line="375" w:lineRule="exact"/>
        <w:rPr>
          <w:sz w:val="20"/>
          <w:szCs w:val="20"/>
          <w:color w:val="auto"/>
        </w:rPr>
      </w:pPr>
    </w:p>
    <w:p>
      <w:pPr>
        <w:ind w:right="20" w:firstLine="416"/>
        <w:spacing w:after="0" w:line="249" w:lineRule="auto"/>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criminal, and administrative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harm our business.</w:t>
      </w:r>
    </w:p>
    <w:p>
      <w:pPr>
        <w:spacing w:after="0" w:line="287" w:lineRule="exact"/>
        <w:rPr>
          <w:sz w:val="20"/>
          <w:szCs w:val="20"/>
          <w:color w:val="auto"/>
        </w:rPr>
      </w:pPr>
    </w:p>
    <w:p>
      <w:pPr>
        <w:ind w:left="420" w:right="420"/>
        <w:spacing w:after="0" w:line="265"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natural disasters and our business continuity and disaster recovery plans may not adequately protect us from a serious disaster.</w:t>
      </w:r>
    </w:p>
    <w:p>
      <w:pPr>
        <w:spacing w:after="0" w:line="74" w:lineRule="exact"/>
        <w:rPr>
          <w:sz w:val="20"/>
          <w:szCs w:val="20"/>
          <w:color w:val="auto"/>
        </w:rPr>
      </w:pPr>
    </w:p>
    <w:p>
      <w:pPr>
        <w:ind w:right="20" w:firstLine="416"/>
        <w:spacing w:after="0" w:line="300" w:lineRule="auto"/>
        <w:rPr>
          <w:sz w:val="20"/>
          <w:szCs w:val="20"/>
          <w:color w:val="auto"/>
        </w:rPr>
      </w:pPr>
      <w:r>
        <w:rPr>
          <w:rFonts w:ascii="Arial" w:cs="Arial" w:eastAsia="Arial" w:hAnsi="Arial"/>
          <w:sz w:val="15"/>
          <w:szCs w:val="15"/>
          <w:color w:val="auto"/>
        </w:rPr>
        <w:t>Our company is located in Delaware. Any unplanned event, such as flood, fire, explosion, earthquake, extreme weather condition, medical epidemic, including the COVID-19 pandemic, power shortage, telecommunication failure or other natural or manmade accidents or incidents that result in us being unable to fully utilize our facilities, or the manufacturing facilities of our third-party CMOs, may have a material and adverse effect on our ability to operate our business, particularly on a daily basis, and have significant negative consequences on our financial and operating conditions. For example, our operations are concentrated primarily on the east coast of the United States, and any adverse weather event or natural disaster, such as a hurricane or heavy snowstorm, could have a material adverse effect on a substantial portion of our operations. Extreme weather conditions or other natural disasters could further disrupt our operations, and have a material and adverse effect on our business, financial condition, results of operations and prospects. In addition, the long-term effects of climate change on general economic conditions and the pharmaceutical industry in particular are unclear, and may heighten or intensify existing risk of natural disasters. If a natural disaster, power outage or other event occurred that prevented us from using all or a significant portion of our headquarters, that damaged critical infrastructure, such as our research facilities or the manufacturing facilities of our third-party CMOs,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As part of our risk management policy, we maintain insurance coverage at levels that we believe are appropriate for our business. However, in the event of an accident or incident at these facilities, we cannot assure you that the amounts of insurance will be sufficient to satisfy any damages and losses. If our facilities, or the manufacturing facilities of our third-party CMOs, are unable to operate because of an accident or incident or for any other reason, even for a short period of time, any or all of our research and development programs may be harmed. Any business interruption could have</w:t>
      </w:r>
    </w:p>
    <w:p>
      <w:pPr>
        <w:spacing w:after="0" w:line="174" w:lineRule="exact"/>
        <w:rPr>
          <w:sz w:val="20"/>
          <w:szCs w:val="20"/>
          <w:color w:val="auto"/>
        </w:rPr>
      </w:pPr>
    </w:p>
    <w:p>
      <w:pPr>
        <w:ind w:left="5540" w:right="3980" w:hanging="5534"/>
        <w:spacing w:after="0" w:line="499" w:lineRule="auto"/>
        <w:tabs>
          <w:tab w:leader="none" w:pos="153"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material and adverse effect on our business, financial condition, results of operations and prospects.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-85725</wp:posOffset>
            </wp:positionV>
            <wp:extent cx="716026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59" w:name="page60"/>
    <w:bookmarkEnd w:id="59"/>
    <w:p>
      <w:pPr>
        <w:ind w:left="420" w:right="660"/>
        <w:spacing w:after="0" w:line="265"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48" w:lineRule="exact"/>
        <w:rPr>
          <w:sz w:val="20"/>
          <w:szCs w:val="20"/>
          <w:color w:val="auto"/>
        </w:rPr>
      </w:pPr>
    </w:p>
    <w:p>
      <w:pPr>
        <w:ind w:right="40" w:firstLine="416"/>
        <w:spacing w:after="0" w:line="305" w:lineRule="auto"/>
        <w:rPr>
          <w:sz w:val="20"/>
          <w:szCs w:val="20"/>
          <w:color w:val="auto"/>
        </w:rPr>
      </w:pPr>
      <w:r>
        <w:rPr>
          <w:rFonts w:ascii="Arial" w:cs="Arial" w:eastAsia="Arial" w:hAnsi="Arial"/>
          <w:sz w:val="15"/>
          <w:szCs w:val="15"/>
          <w:color w:val="auto"/>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Cuts and Jobs Act, enacted many significant changes to the U.S. tax laws. Future guidance from the Internal Revenue Service and other tax authorities with respect to the Tax Cuts and Jobs Act may affect us, and certain aspects of the Tax Cuts and Jobs Act could be repealed or modified in future legislation. For example, the CARES Act modified certain provisions of the Tax Cuts and Jobs Act. In addition, it is uncertain if and to what extent various states will conform to the Tax Cuts and Jobs Act, the CARES Act, or any newly enacted federal tax legislation. Changes in corporate tax rates, the realization of net deferred tax assets relating to our operations, the taxation of foreign earnings, and the deductibility of expenses under the Tax Cuts and Jobs Act, the CARES Act or future reform legislation could have a material impact on the value of our deferred tax assets, could result in significant one-time charges, and could increase our future U.S. tax expense.</w:t>
      </w:r>
    </w:p>
    <w:p>
      <w:pPr>
        <w:spacing w:after="0" w:line="200" w:lineRule="exact"/>
        <w:rPr>
          <w:sz w:val="20"/>
          <w:szCs w:val="20"/>
          <w:color w:val="auto"/>
        </w:rPr>
      </w:pP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85" w:lineRule="exact"/>
        <w:rPr>
          <w:sz w:val="20"/>
          <w:szCs w:val="20"/>
          <w:color w:val="auto"/>
        </w:rPr>
      </w:pPr>
    </w:p>
    <w:p>
      <w:pPr>
        <w:ind w:firstLine="416"/>
        <w:spacing w:after="0" w:line="300" w:lineRule="auto"/>
        <w:rPr>
          <w:sz w:val="20"/>
          <w:szCs w:val="20"/>
          <w:color w:val="auto"/>
        </w:rPr>
      </w:pPr>
      <w:r>
        <w:rPr>
          <w:rFonts w:ascii="Arial" w:cs="Arial" w:eastAsia="Arial" w:hAnsi="Arial"/>
          <w:sz w:val="15"/>
          <w:szCs w:val="15"/>
          <w:color w:val="auto"/>
        </w:rPr>
        <w:t>We have incurred substantial losses during our history and do not expect to become profitable in the near future, and we may never achieve profitability. Unused losses incurred in taxable years beginning on or prior to December 31, 2017, will carry forward to offset future taxable income, if any, until such unused losses expire. Under the Tax Cuts and Jobs Act, as modified by the CARES Act, unused U.S. federal net operating losses generated in tax years beginning after December 31, 2017, will not expire and may be carried forward indefinitely but the deductibility of such federal net operating losses (particularly those generated in taxable years beginning after December 31, 2020) in taxable years beginning after December 31, 2020, is limited to 80% of current year taxable income. It is uncertain if and to what extent various states will conform to the Tax Cuts and Jobs Act or the CARES Act. In addition, both our current and our future unused losses and other tax attributes may be subject to limitation under Sections 382 and 383 of the Internal Revenue Code of 1986, as amended (the Code) if we undergo, or have undergone, an “ownership change,” generally defined as a greater than 50 percentage point change (by value) in our equity ownership by certain stockholders over a three-year period. We have not completed a Section 382 study to assess whether an ownership change has occurred or whether there have been multiple ownership changes since our formation due to the complexity and cost associated with such a study and the fact that there may be additional ownership changes in the future. As a result, our net operating loss carryforwards generated in taxable years beginning on or before December 31, 2017, may expire prior to being used, and the deductibility of our net operating loss carryforwards generated in taxable years beginning after December 31, 2017 in taxable years beginning after December 31, 2020, may be limited, and, if we undergo an ownership change (or if we previously underwent such an ownership change), our ability to use all of our pre-change net operating loss carryforwards and other pre-change tax attributes (such as research tax credits) to offset our post-change income or taxes may be limited. Similar provisions of state tax law may also apply to limit our use of accumulated state tax attributes. In addition, at the state level, there may be periods during which the use of net operating losses is suspended or otherwise limited, which could accelerate or permanently increase state taxes owed. As a result, even if we attain profitability, we may be unable to use all or a material portion of our net operating losses and other tax attributes, which could adversely affect our future cash flows.</w:t>
      </w:r>
    </w:p>
    <w:p>
      <w:pPr>
        <w:spacing w:after="0" w:line="200" w:lineRule="exact"/>
        <w:rPr>
          <w:sz w:val="20"/>
          <w:szCs w:val="20"/>
          <w:color w:val="auto"/>
        </w:rPr>
      </w:pPr>
    </w:p>
    <w:p>
      <w:pPr>
        <w:spacing w:after="0" w:line="318" w:lineRule="exact"/>
        <w:rPr>
          <w:sz w:val="20"/>
          <w:szCs w:val="20"/>
          <w:color w:val="auto"/>
        </w:rPr>
      </w:pPr>
    </w:p>
    <w:p>
      <w:pPr>
        <w:ind w:left="420" w:right="820"/>
        <w:spacing w:after="0" w:line="265" w:lineRule="auto"/>
        <w:rPr>
          <w:sz w:val="20"/>
          <w:szCs w:val="20"/>
          <w:color w:val="auto"/>
        </w:rPr>
      </w:pPr>
      <w:r>
        <w:rPr>
          <w:rFonts w:ascii="Arial" w:cs="Arial" w:eastAsia="Arial" w:hAnsi="Arial"/>
          <w:sz w:val="18"/>
          <w:szCs w:val="18"/>
          <w:b w:val="1"/>
          <w:bCs w:val="1"/>
          <w:i w:val="1"/>
          <w:iCs w:val="1"/>
          <w:color w:val="auto"/>
        </w:rPr>
        <w:t>We may engage in strategic transactions that could impact our liquidity, increase our expenses and present significant distractions to our management.</w:t>
      </w:r>
    </w:p>
    <w:p>
      <w:pPr>
        <w:spacing w:after="0" w:line="48" w:lineRule="exact"/>
        <w:rPr>
          <w:sz w:val="20"/>
          <w:szCs w:val="20"/>
          <w:color w:val="auto"/>
        </w:rPr>
      </w:pPr>
    </w:p>
    <w:p>
      <w:pPr>
        <w:ind w:right="140" w:firstLine="416"/>
        <w:spacing w:after="0" w:line="250" w:lineRule="auto"/>
        <w:rPr>
          <w:sz w:val="20"/>
          <w:szCs w:val="20"/>
          <w:color w:val="auto"/>
        </w:rPr>
      </w:pPr>
      <w:r>
        <w:rPr>
          <w:rFonts w:ascii="Arial" w:cs="Arial" w:eastAsia="Arial" w:hAnsi="Arial"/>
          <w:sz w:val="18"/>
          <w:szCs w:val="18"/>
          <w:color w:val="auto"/>
        </w:rPr>
        <w:t>From time to time, we may consider strategic transactions, such as acquisitions of companies, businesses or assets and out-licensing or in-licensing of products, product candidates or technologies. Additional potential transactions 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term or long-term expenditures and may pose significant integration challenges or disrupt our management or business, which could adversely affect our operations and financial results. For example, these transactions may entail numerous operational and financial risks, including:</w:t>
      </w:r>
    </w:p>
    <w:p>
      <w:pPr>
        <w:spacing w:after="0" w:line="88" w:lineRule="exact"/>
        <w:rPr>
          <w:sz w:val="20"/>
          <w:szCs w:val="20"/>
          <w:color w:val="auto"/>
        </w:rPr>
      </w:pPr>
    </w:p>
    <w:p>
      <w:pPr>
        <w:ind w:left="840" w:hanging="42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11" w:lineRule="exact"/>
        <w:rPr>
          <w:rFonts w:ascii="Arial" w:cs="Arial" w:eastAsia="Arial" w:hAnsi="Arial"/>
          <w:sz w:val="18"/>
          <w:szCs w:val="18"/>
          <w:color w:val="auto"/>
        </w:rPr>
      </w:pPr>
    </w:p>
    <w:p>
      <w:pPr>
        <w:ind w:left="840" w:right="100" w:hanging="422"/>
        <w:spacing w:after="0" w:line="265" w:lineRule="auto"/>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 in order to develop acquired products, product candidates or technologies;</w:t>
      </w:r>
    </w:p>
    <w:p>
      <w:pPr>
        <w:spacing w:after="0" w:line="74" w:lineRule="exact"/>
        <w:rPr>
          <w:rFonts w:ascii="Arial" w:cs="Arial" w:eastAsia="Arial" w:hAnsi="Arial"/>
          <w:sz w:val="18"/>
          <w:szCs w:val="18"/>
          <w:color w:val="auto"/>
        </w:rPr>
      </w:pPr>
    </w:p>
    <w:p>
      <w:pPr>
        <w:ind w:left="840" w:hanging="42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incurrence of substantial debt or dilutive issuances of equity securities to pay for acquisitions;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higher than expected acquisition and integration costs;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write-downs of assets or goodwill or impairment charges;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605" w:right="359" w:bottom="1440" w:gutter="0" w:footer="0" w:header="0"/>
        </w:sectPr>
      </w:pPr>
    </w:p>
    <w:bookmarkStart w:id="60" w:name="page61"/>
    <w:bookmarkEnd w:id="60"/>
    <w:p>
      <w:pPr>
        <w:ind w:left="840" w:hanging="422"/>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increased amortization expenses;</w:t>
      </w:r>
    </w:p>
    <w:p>
      <w:pPr>
        <w:spacing w:after="0" w:line="111" w:lineRule="exact"/>
        <w:rPr>
          <w:rFonts w:ascii="Arial" w:cs="Arial" w:eastAsia="Arial" w:hAnsi="Arial"/>
          <w:sz w:val="18"/>
          <w:szCs w:val="18"/>
          <w:color w:val="auto"/>
        </w:rPr>
      </w:pPr>
    </w:p>
    <w:p>
      <w:pPr>
        <w:ind w:left="840" w:hanging="422"/>
        <w:spacing w:after="0"/>
        <w:tabs>
          <w:tab w:leader="none" w:pos="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difficulty and cost in combining the operations, systems and personnel of any acquired businesses with our operations, systems and personnel;</w:t>
      </w:r>
    </w:p>
    <w:p>
      <w:pPr>
        <w:spacing w:after="0" w:line="146" w:lineRule="exact"/>
        <w:rPr>
          <w:rFonts w:ascii="Arial" w:cs="Arial" w:eastAsia="Arial" w:hAnsi="Arial"/>
          <w:sz w:val="15"/>
          <w:szCs w:val="15"/>
          <w:color w:val="auto"/>
        </w:rPr>
      </w:pPr>
    </w:p>
    <w:p>
      <w:pPr>
        <w:ind w:left="840" w:hanging="422"/>
        <w:spacing w:after="0"/>
        <w:tabs>
          <w:tab w:leader="none" w:pos="840" w:val="left"/>
        </w:tabs>
        <w:numPr>
          <w:ilvl w:val="0"/>
          <w:numId w:val="40"/>
        </w:numPr>
        <w:rPr>
          <w:rFonts w:ascii="Arial" w:cs="Arial" w:eastAsia="Arial" w:hAnsi="Arial"/>
          <w:sz w:val="15"/>
          <w:szCs w:val="15"/>
          <w:color w:val="auto"/>
        </w:rPr>
      </w:pPr>
      <w:r>
        <w:rPr>
          <w:rFonts w:ascii="Arial" w:cs="Arial" w:eastAsia="Arial" w:hAnsi="Arial"/>
          <w:sz w:val="15"/>
          <w:szCs w:val="15"/>
          <w:color w:val="auto"/>
        </w:rPr>
        <w:t>impairment of relationships with key suppliers or customers of any acquired businesses due to changes in management and ownership; and</w:t>
      </w:r>
    </w:p>
    <w:p>
      <w:pPr>
        <w:spacing w:after="0" w:line="146" w:lineRule="exact"/>
        <w:rPr>
          <w:rFonts w:ascii="Arial" w:cs="Arial" w:eastAsia="Arial" w:hAnsi="Arial"/>
          <w:sz w:val="15"/>
          <w:szCs w:val="15"/>
          <w:color w:val="auto"/>
        </w:rPr>
      </w:pPr>
    </w:p>
    <w:p>
      <w:pPr>
        <w:ind w:left="840" w:hanging="422"/>
        <w:spacing w:after="0"/>
        <w:tabs>
          <w:tab w:leader="none" w:pos="8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inability to retain key employees of any acquired businesses.</w:t>
      </w:r>
    </w:p>
    <w:p>
      <w:pPr>
        <w:spacing w:after="0" w:line="31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portfolio of investments may be subject to market, interest and credit risk that may reduce its value.</w:t>
      </w:r>
    </w:p>
    <w:p>
      <w:pPr>
        <w:spacing w:after="0" w:line="112" w:lineRule="exact"/>
        <w:rPr>
          <w:sz w:val="20"/>
          <w:szCs w:val="20"/>
          <w:color w:val="auto"/>
        </w:rPr>
      </w:pPr>
    </w:p>
    <w:p>
      <w:pPr>
        <w:ind w:right="20" w:firstLine="416"/>
        <w:spacing w:after="0" w:line="250" w:lineRule="auto"/>
        <w:rPr>
          <w:sz w:val="20"/>
          <w:szCs w:val="20"/>
          <w:color w:val="auto"/>
        </w:rPr>
      </w:pPr>
      <w:r>
        <w:rPr>
          <w:rFonts w:ascii="Arial" w:cs="Arial" w:eastAsia="Arial" w:hAnsi="Arial"/>
          <w:sz w:val="18"/>
          <w:szCs w:val="18"/>
          <w:color w:val="auto"/>
        </w:rPr>
        <w:t>The value of our investments may decline due to increases in interest rates, downgrades of the bonds and other securities included in our commercial money market account portfolio and instability in the global financial markets that reduces the liquidity of securities included in our portfolio. In addition, the COVID-19 pandemic has and may continue to adversely affect the financial markets in some or all countries worldwide. Each of these events may cause us to record charges to reduce the carrying value of our investment portfolio or sell investments for less than our acquisition cost. Although we attempt to mitigate these risks through diversification of our investments and continuous monitoring of our portfolio’s overall risk profile, the value of our investments may nevertheless decline.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18" w:lineRule="exact"/>
        <w:rPr>
          <w:sz w:val="20"/>
          <w:szCs w:val="20"/>
          <w:color w:val="auto"/>
        </w:rPr>
      </w:pPr>
    </w:p>
    <w:p>
      <w:pPr>
        <w:ind w:left="420"/>
        <w:spacing w:after="0" w:line="256" w:lineRule="auto"/>
        <w:rPr>
          <w:sz w:val="20"/>
          <w:szCs w:val="20"/>
          <w:color w:val="auto"/>
        </w:rPr>
      </w:pPr>
      <w:r>
        <w:rPr>
          <w:rFonts w:ascii="Arial" w:cs="Arial" w:eastAsia="Arial" w:hAnsi="Arial"/>
          <w:sz w:val="18"/>
          <w:szCs w:val="18"/>
          <w:b w:val="1"/>
          <w:bCs w:val="1"/>
          <w:i w:val="1"/>
          <w:iCs w:val="1"/>
          <w:color w:val="auto"/>
        </w:rPr>
        <w:t>If we are unable to obtain and maintain sufficient patent protection for our product candidates, or if the scope of the patent protection is not sufficiently broad, third parties, including our competitors, could develop and commercialize products similar or identical to ours, and our ability to commercialize our product candidates successfully may be adversely affected.</w:t>
      </w:r>
    </w:p>
    <w:p>
      <w:pPr>
        <w:spacing w:after="0" w:line="81" w:lineRule="exact"/>
        <w:rPr>
          <w:sz w:val="20"/>
          <w:szCs w:val="20"/>
          <w:color w:val="auto"/>
        </w:rPr>
      </w:pPr>
    </w:p>
    <w:p>
      <w:pPr>
        <w:ind w:right="40" w:firstLine="416"/>
        <w:spacing w:after="0" w:line="309" w:lineRule="auto"/>
        <w:rPr>
          <w:sz w:val="20"/>
          <w:szCs w:val="20"/>
          <w:color w:val="auto"/>
        </w:rPr>
      </w:pPr>
      <w:r>
        <w:rPr>
          <w:rFonts w:ascii="Arial" w:cs="Arial" w:eastAsia="Arial" w:hAnsi="Arial"/>
          <w:sz w:val="15"/>
          <w:szCs w:val="15"/>
          <w:color w:val="auto"/>
        </w:rPr>
        <w:t>Our success depends in large part on our ability to protect our proprietary technologies that we believe are important to our business, including pursuing, obtaining and maintaining patent protection in the United States and other countries intended to cover the compositions of matter of our product candidates, for example, PRT543, PRT811, PRT1419 and PRT2527, their methods of use, related technologies and other inventions that are important to our business. In addition to patent protection, we also rely on trade secrets to protect aspects of our business that are not amenable to, or that we do not consider appropriate for, patent protection. If we do not adequately pursue, obtain, maintain, protect or enforce our intellectual property, third parties, including our competitors, may be able to erode or negate any competitive advantage we may have, which could harm our business and ability to achieve profitability.</w:t>
      </w:r>
    </w:p>
    <w:p>
      <w:pPr>
        <w:spacing w:after="0" w:line="155" w:lineRule="exact"/>
        <w:rPr>
          <w:sz w:val="20"/>
          <w:szCs w:val="20"/>
          <w:color w:val="auto"/>
        </w:rPr>
      </w:pPr>
    </w:p>
    <w:p>
      <w:pPr>
        <w:jc w:val="both"/>
        <w:ind w:right="200" w:firstLine="419"/>
        <w:spacing w:after="0" w:line="331" w:lineRule="auto"/>
        <w:rPr>
          <w:sz w:val="20"/>
          <w:szCs w:val="20"/>
          <w:color w:val="auto"/>
        </w:rPr>
      </w:pPr>
      <w:r>
        <w:rPr>
          <w:rFonts w:ascii="Arial" w:cs="Arial" w:eastAsia="Arial" w:hAnsi="Arial"/>
          <w:sz w:val="15"/>
          <w:szCs w:val="15"/>
          <w:color w:val="auto"/>
        </w:rPr>
        <w:t>To protect our proprietary position, we have currently filed patent applications in the United States related to our product candidates that we consider important to our business, including patent applications relating to compositions of matter covering our compounds, the processes for manufacturing such compounds and use of such compounds in therapies. We have also filed patent applications abroad relating to PRT543 and PRT811.</w:t>
      </w:r>
    </w:p>
    <w:p>
      <w:pPr>
        <w:spacing w:after="0" w:line="136" w:lineRule="exact"/>
        <w:rPr>
          <w:sz w:val="20"/>
          <w:szCs w:val="20"/>
          <w:color w:val="auto"/>
        </w:rPr>
      </w:pPr>
    </w:p>
    <w:p>
      <w:pPr>
        <w:ind w:right="80" w:firstLine="419"/>
        <w:spacing w:after="0" w:line="266" w:lineRule="auto"/>
        <w:rPr>
          <w:sz w:val="20"/>
          <w:szCs w:val="20"/>
          <w:color w:val="auto"/>
        </w:rPr>
      </w:pPr>
      <w:r>
        <w:rPr>
          <w:rFonts w:ascii="Arial" w:cs="Arial" w:eastAsia="Arial" w:hAnsi="Arial"/>
          <w:sz w:val="17"/>
          <w:szCs w:val="17"/>
          <w:color w:val="auto"/>
        </w:rPr>
        <w:t>The patent application and approval process is expensive, time-consuming and complex. We may not be able to file, prosecute and maintain all necessary or desirable patent applications at a reasonable cost or in a timely manner or in all jurisdictions. We also cannot predict whether the patent applications we are currently pursuing will issue as patents in any particular jurisdictions. It is also possible that we will fail to identify patentable aspects of our research and development output before it is too late to obtain patent protection. Moreover, depending on the terms of any future license agreements to which we may become a party, we may not have the right to control the preparation, filing, and prosecution of patent applications, or to maintain the patents, covering technology licensed from third parties. Therefore, these patents and patent applications may not be prosecuted and enforced in a manner consistent with the best interests of our business.</w:t>
      </w:r>
    </w:p>
    <w:p>
      <w:pPr>
        <w:spacing w:after="0" w:line="183" w:lineRule="exact"/>
        <w:rPr>
          <w:sz w:val="20"/>
          <w:szCs w:val="20"/>
          <w:color w:val="auto"/>
        </w:rPr>
      </w:pPr>
    </w:p>
    <w:p>
      <w:pPr>
        <w:ind w:right="40" w:firstLine="419"/>
        <w:spacing w:after="0" w:line="304" w:lineRule="auto"/>
        <w:rPr>
          <w:sz w:val="20"/>
          <w:szCs w:val="20"/>
          <w:color w:val="auto"/>
        </w:rPr>
      </w:pPr>
      <w:r>
        <w:rPr>
          <w:rFonts w:ascii="Arial" w:cs="Arial" w:eastAsia="Arial" w:hAnsi="Arial"/>
          <w:sz w:val="15"/>
          <w:szCs w:val="15"/>
          <w:color w:val="auto"/>
        </w:rPr>
        <w:t>Furthermore, the patent position of biotechnology and pharmaceutical companies generally is highly uncertain. No consistent policy regarding the breadth of claims allowed in biotechnology and pharmaceutical patents has emerged to date in the United States or in many foreign jurisdictions. The standards applied by the United States Patent and Trademark Office, or the USPTO, and foreign patent offices in granting patents are not always applied uniformly or predictably. In addition, the determination of patent rights with respect to biological and pharmaceutical products commonly involves complex legal and factual questions, which have in recent years been the subject of much litigation. As a result, the issuance, scope, validity, enforceability and commercial value of our patent rights are highly uncertain. Thus, we cannot offer any assurances about which, if any, patents will issue, the breadth of any such patents, whether any issued patents will be found invalid and unenforceable or will be threatened by third parties or whether any issued patents will effectively prevent others from commercializing competing technologies and product candidates. While we have filed patent applications covering aspects of our current product candidates, we currently have only one issued U.S. patent covering PRT543 that</w:t>
      </w:r>
    </w:p>
    <w:p>
      <w:pPr>
        <w:spacing w:after="0" w:line="15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180"/>
          </w:cols>
          <w:pgMar w:left="320" w:top="658" w:right="399" w:bottom="1440" w:gutter="0" w:footer="0" w:header="0"/>
        </w:sectPr>
      </w:pPr>
    </w:p>
    <w:bookmarkStart w:id="61" w:name="page62"/>
    <w:bookmarkEnd w:id="61"/>
    <w:p>
      <w:pPr>
        <w:spacing w:after="0"/>
        <w:rPr>
          <w:sz w:val="20"/>
          <w:szCs w:val="20"/>
          <w:color w:val="auto"/>
        </w:rPr>
      </w:pPr>
      <w:r>
        <w:rPr>
          <w:rFonts w:ascii="Arial" w:cs="Arial" w:eastAsia="Arial" w:hAnsi="Arial"/>
          <w:sz w:val="15"/>
          <w:szCs w:val="15"/>
          <w:color w:val="auto"/>
        </w:rPr>
        <w:t>is expected to expire no earlier than August 9, 2038, and one issued U.S. patent covering PRT811 that is expected to expire no earlier than March 14, 2039.</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We do not yet have issued patents on all of our product candidates.</w:t>
      </w:r>
    </w:p>
    <w:p>
      <w:pPr>
        <w:spacing w:after="0" w:line="233" w:lineRule="exact"/>
        <w:rPr>
          <w:sz w:val="20"/>
          <w:szCs w:val="20"/>
          <w:color w:val="auto"/>
        </w:rPr>
      </w:pPr>
    </w:p>
    <w:p>
      <w:pPr>
        <w:ind w:right="120" w:firstLine="419"/>
        <w:spacing w:after="0" w:line="264" w:lineRule="auto"/>
        <w:rPr>
          <w:sz w:val="20"/>
          <w:szCs w:val="20"/>
          <w:color w:val="auto"/>
        </w:rPr>
      </w:pPr>
      <w:r>
        <w:rPr>
          <w:rFonts w:ascii="Arial" w:cs="Arial" w:eastAsia="Arial" w:hAnsi="Arial"/>
          <w:sz w:val="17"/>
          <w:szCs w:val="17"/>
          <w:color w:val="auto"/>
        </w:rPr>
        <w:t>Our pending patent applications cannot be enforced against third parties practicing the technology claimed in such applications unless and until at least one patent issues from such applications. Assuming the other requirements for patentability are met, currently, the first to file a patent application is generally entitled to the patent. However, prior to March 16, 2013, in the United States, the first to invent was entitled to the patent. Publications of discoveries in the scientific literature often lag behind the actual discoveries, and patent applications in the United States and other jurisdictions are typically not published until 18 months after filing, or in some cases not at all. Since patent applications in the United States and most other countries are confidential for a period of time after filing, and some remain so until issued, we cannot be certain that we were the first to file or invent (prior to March 16, 2013) any patent application related to our product candidates. In addition, we enter into non-disclosure and confidentiality agreements with parties who have access to confidential or patentable aspects of our research and development output, such as our employees, collaborators, CROs, CMOs, hospitals, independent treatment centers, consultants, independent contractors, suppliers, advisors and other third parties; however, any of these parties may breach the agreements and disclose such output before a patent application is filed, thereby jeopardizing our ability to seek patent protection. Furthermore, if third parties have filed patent applications related to our product candidates or technology, we may not be able to obtain our own patent rights to those product candidates or technology.</w:t>
      </w:r>
    </w:p>
    <w:p>
      <w:pPr>
        <w:spacing w:after="0" w:line="209" w:lineRule="exact"/>
        <w:rPr>
          <w:sz w:val="20"/>
          <w:szCs w:val="20"/>
          <w:color w:val="auto"/>
        </w:rPr>
      </w:pPr>
    </w:p>
    <w:p>
      <w:pPr>
        <w:ind w:right="40" w:firstLine="416"/>
        <w:spacing w:after="0" w:line="263" w:lineRule="auto"/>
        <w:rPr>
          <w:sz w:val="20"/>
          <w:szCs w:val="20"/>
          <w:color w:val="auto"/>
        </w:rPr>
      </w:pPr>
      <w:r>
        <w:rPr>
          <w:rFonts w:ascii="Arial" w:cs="Arial" w:eastAsia="Arial" w:hAnsi="Arial"/>
          <w:sz w:val="17"/>
          <w:szCs w:val="17"/>
          <w:color w:val="auto"/>
        </w:rPr>
        <w:t>Moreover, because the issuance of a patent is not conclusive as to its inventorship, scope, validity or enforceability, our patents or pending patent applications may be challenged in the courts or patent offices in the United States and abroad. For example, we may be subject to a third-party pre-issuance submission of prior art to the USPTO or become involved in post-grant review procedures, oppositions, derivations, revocation, reexaminations, inter partes review or interference proceedings, in the United States or elsewhere,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products without infringing third-party rights. Moreover, we may have to participate in interference proceedings declared by the USPTO to determine priority of invention or in post-grant challenge proceedings, such as oppositions in a foreign patent office, that challenge priority of invention or other features of patentability. Such challenges may result in loss of exclusivity or in our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Such challenges also may result in substantial cost and require significant time from our scientists and management, even if the eventual outcome is favorable to us. Any of the foregoing could have a material adverse effect on our business, financial condition, results of operations, and prospects.</w:t>
      </w:r>
    </w:p>
    <w:p>
      <w:pPr>
        <w:spacing w:after="0" w:line="190" w:lineRule="exact"/>
        <w:rPr>
          <w:sz w:val="20"/>
          <w:szCs w:val="20"/>
          <w:color w:val="auto"/>
        </w:rPr>
      </w:pPr>
    </w:p>
    <w:p>
      <w:pPr>
        <w:ind w:right="200" w:firstLine="416"/>
        <w:spacing w:after="0" w:line="265" w:lineRule="auto"/>
        <w:rPr>
          <w:sz w:val="20"/>
          <w:szCs w:val="20"/>
          <w:color w:val="auto"/>
        </w:rPr>
      </w:pPr>
      <w:r>
        <w:rPr>
          <w:rFonts w:ascii="Arial" w:cs="Arial" w:eastAsia="Arial" w:hAnsi="Arial"/>
          <w:sz w:val="17"/>
          <w:szCs w:val="17"/>
          <w:color w:val="auto"/>
        </w:rPr>
        <w:t>In addition, given the amount of time required for the development, testing and regulatory review of new product candidates, our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Moreover, 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and technology. In addition, we may need the cooperation of any such co-owners of our patents in order to enforce such patents against third parties, and such cooperation may not be provided to us. Any of the foregoing could have a material adverse effect on our competitive position, business, financial conditions, results of operations, and prospects.</w:t>
      </w:r>
    </w:p>
    <w:p>
      <w:pPr>
        <w:spacing w:after="0" w:line="186" w:lineRule="exact"/>
        <w:rPr>
          <w:sz w:val="20"/>
          <w:szCs w:val="20"/>
          <w:color w:val="auto"/>
        </w:rPr>
      </w:pPr>
    </w:p>
    <w:p>
      <w:pPr>
        <w:ind w:right="180" w:firstLine="416"/>
        <w:spacing w:after="0" w:line="269" w:lineRule="auto"/>
        <w:rPr>
          <w:sz w:val="20"/>
          <w:szCs w:val="20"/>
          <w:color w:val="auto"/>
        </w:rPr>
      </w:pPr>
      <w:r>
        <w:rPr>
          <w:rFonts w:ascii="Arial" w:cs="Arial" w:eastAsia="Arial" w:hAnsi="Arial"/>
          <w:sz w:val="17"/>
          <w:szCs w:val="17"/>
          <w:color w:val="auto"/>
        </w:rPr>
        <w:t>Our pending and future patent applications may not result in patents being issued that protect our product candidates, in whole or in part, or which effectively prevent others from commercializing competitive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or in the same manner as the laws of the United States. For example, European patent law restricts the patentability of methods of treatment of the human body more than United States law does.</w:t>
      </w:r>
    </w:p>
    <w:p>
      <w:pPr>
        <w:spacing w:after="0" w:line="179" w:lineRule="exact"/>
        <w:rPr>
          <w:sz w:val="20"/>
          <w:szCs w:val="20"/>
          <w:color w:val="auto"/>
        </w:rPr>
      </w:pPr>
    </w:p>
    <w:p>
      <w:pPr>
        <w:ind w:firstLine="416"/>
        <w:spacing w:after="0" w:line="313" w:lineRule="auto"/>
        <w:rPr>
          <w:sz w:val="20"/>
          <w:szCs w:val="20"/>
          <w:color w:val="auto"/>
        </w:rPr>
      </w:pPr>
      <w:r>
        <w:rPr>
          <w:rFonts w:ascii="Arial" w:cs="Arial" w:eastAsia="Arial" w:hAnsi="Arial"/>
          <w:sz w:val="15"/>
          <w:szCs w:val="15"/>
          <w:color w:val="auto"/>
        </w:rPr>
        <w:t>Even if our patent applications issue as patents, they may not issue in a form that will provide us with any meaningful protection, prevent competitors or other third parties from competing with us or otherwise provide us with any competitive advantage. Moreover, the coverage claimed in a patent application can be significantly reduced before the patent is issued and its scope can be reinterpreted after issuance. Consequently, we do not know whether any of our product candidates will be protectable or remain protected by valid and enforceable patents. Our competitors and other third parties may be able to circumvent our patents by developing similar or alternative technologies or products in a non-infringing manner. Our competitors and other third parties may</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2" w:name="page63"/>
    <w:bookmarkEnd w:id="62"/>
    <w:p>
      <w:pPr>
        <w:ind w:right="60"/>
        <w:spacing w:after="0" w:line="265" w:lineRule="auto"/>
        <w:rPr>
          <w:sz w:val="20"/>
          <w:szCs w:val="20"/>
          <w:color w:val="auto"/>
        </w:rPr>
      </w:pPr>
      <w:r>
        <w:rPr>
          <w:rFonts w:ascii="Arial" w:cs="Arial" w:eastAsia="Arial" w:hAnsi="Arial"/>
          <w:sz w:val="17"/>
          <w:szCs w:val="17"/>
          <w:color w:val="auto"/>
        </w:rPr>
        <w:t>also seek approval to market their own products similar to or otherwise competitive with our products. Alternatively, our competitors or other third parties may seek to market generic versions or “follow-on” versions of any approved products by submitting abbreviated new drug applications, or ANDAs, or new drug applications under Section 505(b)(2) of the FDCA, respectively, to the FDA during which they may claim that patents owned by us are invalid, unenforceable or not infringed. In these circumstances, we may need to defend or assert our patents, or both, including by filing lawsuits alleging patent infringement. In any of these types of proceedings, a court or other agency with jurisdiction may find our patents invalid or unenforceable, or that our competitors are competing in a non-infringing manner. Thus, even if we have valid and enforceable patents, these patents still may not provide protection against competing products or processes sufficient to achieve our business objectives. Any of the foregoing could have a material adverse effect on our competitive position, business, financial conditions, results of operations, and prospects.</w:t>
      </w:r>
    </w:p>
    <w:p>
      <w:pPr>
        <w:spacing w:after="0" w:line="186" w:lineRule="exact"/>
        <w:rPr>
          <w:sz w:val="20"/>
          <w:szCs w:val="20"/>
          <w:color w:val="auto"/>
        </w:rPr>
      </w:pPr>
    </w:p>
    <w:p>
      <w:pPr>
        <w:ind w:right="60" w:firstLine="416"/>
        <w:spacing w:after="0" w:line="303" w:lineRule="auto"/>
        <w:rPr>
          <w:sz w:val="20"/>
          <w:szCs w:val="20"/>
          <w:color w:val="auto"/>
        </w:rPr>
      </w:pPr>
      <w:r>
        <w:rPr>
          <w:rFonts w:ascii="Arial" w:cs="Arial" w:eastAsia="Arial" w:hAnsi="Arial"/>
          <w:sz w:val="15"/>
          <w:szCs w:val="15"/>
          <w:color w:val="auto"/>
        </w:rPr>
        <w:t>Furthermore, future patents may be subject to a reservation of rights by one or more third parties. For example, to the extent the research resulting in future patent rights or technologies is funded in the future in part by the U.S. government, the government could have certain rights in any resulting patents and technology, including a non-exclusive license authorizing the government to use the invention or to have others use the invention on its behalf for non-commercial purposes. If the U.S. government then decides to exercise these rights, it is not required to engage us as its contractor in connection with doing so. These rights may also permit the government to disclose our confidential information to third parties and to exercise march-in rights to use or allow third parties to use our licensed technology. The government may also exercise its march-in rights if it determines that action is necessary because we failed to achieve practical application of the government-funded technology, because action is necessary to alleviate health or safety needs, to meet requirements of federal regulations, or to give preference to U.S. industry. In addition, our rights in such government-funded inventions may be subject to certain requirements to manufacture products embodying such inventions in the United States. Any exercise by the government of aforementioned proprietary rights could harm our competitive position, business, financial condition, results of operations, and prospects.</w:t>
      </w:r>
    </w:p>
    <w:p>
      <w:pPr>
        <w:spacing w:after="0" w:line="186" w:lineRule="exact"/>
        <w:rPr>
          <w:sz w:val="20"/>
          <w:szCs w:val="20"/>
          <w:color w:val="auto"/>
        </w:rPr>
      </w:pPr>
    </w:p>
    <w:p>
      <w:pPr>
        <w:ind w:left="420" w:right="180"/>
        <w:spacing w:after="0" w:line="265" w:lineRule="auto"/>
        <w:rPr>
          <w:sz w:val="20"/>
          <w:szCs w:val="20"/>
          <w:color w:val="auto"/>
        </w:rPr>
      </w:pPr>
      <w:r>
        <w:rPr>
          <w:rFonts w:ascii="Arial" w:cs="Arial" w:eastAsia="Arial" w:hAnsi="Arial"/>
          <w:sz w:val="18"/>
          <w:szCs w:val="18"/>
          <w:b w:val="1"/>
          <w:bCs w:val="1"/>
          <w:i w:val="1"/>
          <w:iCs w:val="1"/>
          <w:color w:val="auto"/>
        </w:rPr>
        <w:t>Changes to the patent law in the United States and other jurisdictions could diminish the value of patents in general, thereby impairing our ability to protect our products.</w:t>
      </w:r>
    </w:p>
    <w:p>
      <w:pPr>
        <w:spacing w:after="0" w:line="34" w:lineRule="exact"/>
        <w:rPr>
          <w:sz w:val="20"/>
          <w:szCs w:val="20"/>
          <w:color w:val="auto"/>
        </w:rPr>
      </w:pPr>
    </w:p>
    <w:p>
      <w:pPr>
        <w:ind w:right="20" w:firstLine="416"/>
        <w:spacing w:after="0" w:line="263" w:lineRule="auto"/>
        <w:rPr>
          <w:sz w:val="20"/>
          <w:szCs w:val="20"/>
          <w:color w:val="auto"/>
        </w:rPr>
      </w:pPr>
      <w:r>
        <w:rPr>
          <w:rFonts w:ascii="Arial" w:cs="Arial" w:eastAsia="Arial" w:hAnsi="Arial"/>
          <w:sz w:val="17"/>
          <w:szCs w:val="17"/>
          <w:color w:val="auto"/>
        </w:rPr>
        <w:t>As is the case with other pharmaceutical companies, our success is heavily dependent on intellectual property, particularly patents. Obtaining and enforcing patents in the 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Recent patent reform legislation in the United States and other countries, including the Leahy-Smith America Invents Act, or the Leahy-Smith Act,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 example, the Leahy-Smith Act allows third-party submission of prior art to the USPTO during patent prosecution and additional procedures to attack the validity of a patent by USPTO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or our future collaboration partners’ patent applications and the enforcement or defense of our or our future collaboration partners’ issued patents, all of which could harm our business, results of operations, financial condition and prospects.</w:t>
      </w:r>
    </w:p>
    <w:p>
      <w:pPr>
        <w:spacing w:after="0" w:line="172"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In addition, the patent positions of companies in the development and commercialization of biologics and pharmaceuticals are particularly uncertain.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validity and enforceability of patents, once obtained. Additionally, there have been recent proposals for additional changes to the patent laws of the United States and other countries that, if adopted, could impact our ability to enforce our proprietary technology. Depending on future actions by the U.S. Congress, the U.S. courts, the USPTO and the relevant law-making bodies in other countries, the laws and regulations governing patents could change in unpredictable ways that could have a material adverse effect on our existing patent portfolio and weaken our ability to obtain new patents or to enforce our existing patents and patents that we might obtain in the future.</w:t>
      </w:r>
    </w:p>
    <w:p>
      <w:pPr>
        <w:spacing w:after="0" w:line="265" w:lineRule="exact"/>
        <w:rPr>
          <w:sz w:val="20"/>
          <w:szCs w:val="20"/>
          <w:color w:val="auto"/>
        </w:rPr>
      </w:pPr>
    </w:p>
    <w:p>
      <w:pPr>
        <w:ind w:left="420" w:right="520"/>
        <w:spacing w:after="0" w:line="265" w:lineRule="auto"/>
        <w:rPr>
          <w:sz w:val="20"/>
          <w:szCs w:val="20"/>
          <w:color w:val="auto"/>
        </w:rPr>
      </w:pPr>
      <w:r>
        <w:rPr>
          <w:rFonts w:ascii="Arial" w:cs="Arial" w:eastAsia="Arial" w:hAnsi="Arial"/>
          <w:sz w:val="18"/>
          <w:szCs w:val="18"/>
          <w:b w:val="1"/>
          <w:bCs w:val="1"/>
          <w:i w:val="1"/>
          <w:iCs w:val="1"/>
          <w:color w:val="auto"/>
        </w:rPr>
        <w:t>We may become involved in lawsuits or administrative disputes to protect or enforce our patents or other intellectual property, which could be expensive, time consuming and unsuccessful.</w:t>
      </w:r>
    </w:p>
    <w:p>
      <w:pPr>
        <w:spacing w:after="0" w:line="48" w:lineRule="exact"/>
        <w:rPr>
          <w:sz w:val="20"/>
          <w:szCs w:val="20"/>
          <w:color w:val="auto"/>
        </w:rPr>
      </w:pPr>
    </w:p>
    <w:p>
      <w:pPr>
        <w:ind w:right="640" w:firstLine="416"/>
        <w:spacing w:after="0" w:line="265" w:lineRule="auto"/>
        <w:rPr>
          <w:sz w:val="20"/>
          <w:szCs w:val="20"/>
          <w:color w:val="auto"/>
        </w:rPr>
      </w:pPr>
      <w:r>
        <w:rPr>
          <w:rFonts w:ascii="Arial" w:cs="Arial" w:eastAsia="Arial" w:hAnsi="Arial"/>
          <w:sz w:val="18"/>
          <w:szCs w:val="18"/>
          <w:color w:val="auto"/>
        </w:rPr>
        <w:t>Competitors and other third parties may infringe, misappropriate or otherwise violate our patents, trademarks, copyrights, trade secrets or other intellectual property. To counter infringement, misappropriation or other violations, we may be required to file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3" w:name="page64"/>
    <w:bookmarkEnd w:id="63"/>
    <w:p>
      <w:pPr>
        <w:ind w:right="120"/>
        <w:spacing w:after="0" w:line="256" w:lineRule="auto"/>
        <w:rPr>
          <w:sz w:val="20"/>
          <w:szCs w:val="20"/>
          <w:color w:val="auto"/>
        </w:rPr>
      </w:pPr>
      <w:r>
        <w:rPr>
          <w:rFonts w:ascii="Arial" w:cs="Arial" w:eastAsia="Arial" w:hAnsi="Arial"/>
          <w:sz w:val="18"/>
          <w:szCs w:val="18"/>
          <w:color w:val="auto"/>
        </w:rPr>
        <w:t>infringement, misappropriation or other violation claims, which can be expensive and time consuming and divert the time and attention of our management and business and scientific personnel. In addition, many of our adversaries in these proceedings may have the ability to dedicate substantially greater resources to prosecuting these legal actions than we can.</w:t>
      </w:r>
    </w:p>
    <w:p>
      <w:pPr>
        <w:spacing w:after="0" w:line="188" w:lineRule="exact"/>
        <w:rPr>
          <w:sz w:val="20"/>
          <w:szCs w:val="20"/>
          <w:color w:val="auto"/>
        </w:rPr>
      </w:pPr>
    </w:p>
    <w:p>
      <w:pPr>
        <w:ind w:right="60" w:firstLine="416"/>
        <w:spacing w:after="0" w:line="251" w:lineRule="auto"/>
        <w:rPr>
          <w:sz w:val="20"/>
          <w:szCs w:val="20"/>
          <w:color w:val="auto"/>
        </w:rPr>
      </w:pPr>
      <w:r>
        <w:rPr>
          <w:rFonts w:ascii="Arial" w:cs="Arial" w:eastAsia="Arial" w:hAnsi="Arial"/>
          <w:sz w:val="18"/>
          <w:szCs w:val="18"/>
          <w:color w:val="auto"/>
        </w:rPr>
        <w:t>Any claims we assert against perceived infringers could provoke these parties to assert counterclaims against us alleging that we infringe, misappropriate or otherwise violate their patents or their other intellectual property, in addition to counterclaims asserting that our patents are invalid or unenforceable, or both. In patent litigation in the United States, counterclaims challenging the validity, enforceability or scope of asserted patents are commonplace. Similarly, third parties may initiate legal proceedings against us seeking a declaration that certain of our intellectual property is non-infringed, invalid or unenforceable. The outcome of any such proceeding is generally unpredictable.</w:t>
      </w:r>
    </w:p>
    <w:p>
      <w:pPr>
        <w:spacing w:after="0" w:line="193" w:lineRule="exact"/>
        <w:rPr>
          <w:sz w:val="20"/>
          <w:szCs w:val="20"/>
          <w:color w:val="auto"/>
        </w:rPr>
      </w:pPr>
    </w:p>
    <w:p>
      <w:pPr>
        <w:ind w:right="20" w:firstLine="416"/>
        <w:spacing w:after="0" w:line="302" w:lineRule="auto"/>
        <w:rPr>
          <w:sz w:val="20"/>
          <w:szCs w:val="20"/>
          <w:color w:val="auto"/>
        </w:rPr>
      </w:pPr>
      <w:r>
        <w:rPr>
          <w:rFonts w:ascii="Arial" w:cs="Arial" w:eastAsia="Arial" w:hAnsi="Arial"/>
          <w:sz w:val="15"/>
          <w:szCs w:val="15"/>
          <w:color w:val="auto"/>
        </w:rPr>
        <w:t>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An adverse outcome in a litigation or proceeding involving our patents could limit our ability to assert our patents against those parties or other competitors, and may curtail or preclude our ability to exclude third parties from making and selling similar or competitive products. If a defendant were to prevail on a legal assertion of invalidity or unenforceability of our patents covering one of our product candidates, we could lose at least a part, and perhaps all, of the patent protection covering such a product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occurrences could adversely affect our competitive business position, business prospects and financial condition.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375" w:lineRule="exact"/>
        <w:rPr>
          <w:sz w:val="20"/>
          <w:szCs w:val="20"/>
          <w:color w:val="auto"/>
        </w:rPr>
      </w:pPr>
    </w:p>
    <w:p>
      <w:pPr>
        <w:ind w:firstLine="416"/>
        <w:spacing w:after="0" w:line="265" w:lineRule="auto"/>
        <w:rPr>
          <w:sz w:val="20"/>
          <w:szCs w:val="20"/>
          <w:color w:val="auto"/>
        </w:rPr>
      </w:pPr>
      <w:r>
        <w:rPr>
          <w:rFonts w:ascii="Arial" w:cs="Arial" w:eastAsia="Arial" w:hAnsi="Arial"/>
          <w:sz w:val="17"/>
          <w:szCs w:val="17"/>
          <w:color w:val="auto"/>
        </w:rPr>
        <w:t>Even if we establish infringement,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have a material adverse effect on the price of shares of our common stock. Moreover, there can be no assurance that we will have sufficient financial or other resources to file and pursue such infringement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186" w:lineRule="exact"/>
        <w:rPr>
          <w:sz w:val="20"/>
          <w:szCs w:val="20"/>
          <w:color w:val="auto"/>
        </w:rPr>
      </w:pPr>
    </w:p>
    <w:p>
      <w:pPr>
        <w:ind w:right="20" w:firstLine="416"/>
        <w:spacing w:after="0" w:line="302" w:lineRule="auto"/>
        <w:rPr>
          <w:sz w:val="20"/>
          <w:szCs w:val="20"/>
          <w:color w:val="auto"/>
        </w:rPr>
      </w:pPr>
      <w:r>
        <w:rPr>
          <w:rFonts w:ascii="Arial" w:cs="Arial" w:eastAsia="Arial" w:hAnsi="Arial"/>
          <w:sz w:val="15"/>
          <w:szCs w:val="15"/>
          <w:color w:val="auto"/>
        </w:rPr>
        <w:t>Furthermore, third parties may also raise invalidity or unenforceability claims before administrative bodies in the United States or foreign authorities, even outside the context of litigation. Such mechanisms include re-examination, inter partes review, post-grant review, interference proceedings, derivation proceedings and equivalent proceedings in foreign jurisdictions (e.g., opposition proceedings). Such proceedings could result in revocation, cancellation or amendment to our patents in such a way that they no longer cover and protect our product candidates. The outcome following legal assertions of invalidity and unenforceability is unpredictable. Grounds for a validity challenge could be an alleged failure to meet any of several statutory requirements, including lack of novelty, obviousness, non-enablement or written description. Grounds for an unenforceability assertion could be an allegation that someone connected with the prosecution of the patent withheld relevant information from the USPTO, or made a misleading statement, during prosecution of the patent. With respect to the validity of our patents, for example, we cannot be certain that there is no invalidating prior art of which we, our licensors, our patent counsel and the patent examiner were unaware during prosecution. Moreover, it is possible that prior art may exist that we are aware of but do not believe is relevant to our current or future patents, but that could nevertheless be determined to render our patents invalid. If a third party were to prevail on a legal assertion of invalidity or unenforceability, we could lose at least part, and perhaps all, of the patent protection on one or more of our product candidates. Any such loss of patent protection could have a material adverse impact on our business, financial condition, results of operations and prospects.</w:t>
      </w:r>
    </w:p>
    <w:p>
      <w:pPr>
        <w:spacing w:after="0" w:line="30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not be able to effectively protect or enforce our intellectual property and proprietary rights throughout the world.</w:t>
      </w:r>
    </w:p>
    <w:p>
      <w:pPr>
        <w:spacing w:after="0" w:line="125" w:lineRule="exact"/>
        <w:rPr>
          <w:sz w:val="20"/>
          <w:szCs w:val="20"/>
          <w:color w:val="auto"/>
        </w:rPr>
      </w:pPr>
    </w:p>
    <w:p>
      <w:pPr>
        <w:jc w:val="both"/>
        <w:ind w:firstLine="416"/>
        <w:spacing w:after="0" w:line="256" w:lineRule="auto"/>
        <w:rPr>
          <w:sz w:val="20"/>
          <w:szCs w:val="20"/>
          <w:color w:val="auto"/>
        </w:rPr>
      </w:pPr>
      <w:r>
        <w:rPr>
          <w:rFonts w:ascii="Arial" w:cs="Arial" w:eastAsia="Arial" w:hAnsi="Arial"/>
          <w:sz w:val="18"/>
          <w:szCs w:val="18"/>
          <w:color w:val="auto"/>
        </w:rPr>
        <w:t>Filing, prosecuting and defending patents with respect to our product candidates in all countries throughout the world would be prohibitively expensive, and the laws of foreign countries may not protect our rights to the same extent as the laws of the United States. The requirements for patentability may differ in certain countries, particularly in developing countries. In addition, any future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64" w:name="page65"/>
    <w:bookmarkEnd w:id="64"/>
    <w:p>
      <w:pPr>
        <w:ind w:right="60"/>
        <w:spacing w:after="0" w:line="309" w:lineRule="auto"/>
        <w:rPr>
          <w:sz w:val="20"/>
          <w:szCs w:val="20"/>
          <w:color w:val="auto"/>
        </w:rPr>
      </w:pPr>
      <w:r>
        <w:rPr>
          <w:rFonts w:ascii="Arial" w:cs="Arial" w:eastAsia="Arial" w:hAnsi="Arial"/>
          <w:sz w:val="15"/>
          <w:szCs w:val="15"/>
          <w:color w:val="auto"/>
        </w:rPr>
        <w:t>intellectual property license agreements may not always include worldwide rights. Consequently, competitors and other third parties may use our technologies in jurisdictions where we have not obtained patent protection to develop their own products and, further, may export otherwise infringing products to territories where we may obtain patent protection, but where patent enforcement is not as strong as that in the United States and where our ability to enforce our patents to stop infringing activities may be inadequate. These products may compete with our products in such territories and in jurisdictions where we do not have any patent rights or where any future patent claims or other intellectual property or proprietary rights may not be effective or sufficient to prevent them from competing with us, which could have a material adverse effect on our business, financial condition, results of operations and prospects.</w:t>
      </w:r>
    </w:p>
    <w:p>
      <w:pPr>
        <w:spacing w:after="0" w:line="182" w:lineRule="exact"/>
        <w:rPr>
          <w:sz w:val="20"/>
          <w:szCs w:val="20"/>
          <w:color w:val="auto"/>
        </w:rPr>
      </w:pPr>
    </w:p>
    <w:p>
      <w:pPr>
        <w:ind w:firstLine="416"/>
        <w:spacing w:after="0" w:line="300" w:lineRule="auto"/>
        <w:rPr>
          <w:sz w:val="20"/>
          <w:szCs w:val="20"/>
          <w:color w:val="auto"/>
        </w:rPr>
      </w:pPr>
      <w:r>
        <w:rPr>
          <w:rFonts w:ascii="Arial" w:cs="Arial" w:eastAsia="Arial" w:hAnsi="Arial"/>
          <w:sz w:val="15"/>
          <w:szCs w:val="15"/>
          <w:color w:val="auto"/>
        </w:rPr>
        <w:t>Moreover, our ability to protect and enforce our intellectual property and proprietary rights may be adversely affected by unforeseen changes in foreign intellectual property laws. Additionally, the laws of some countries outside of the United States and Europe do not afford intellectual property protection to the same extent as the laws of the United States and Europe. Many companies have encountered significant problems in protecting and defending intellectual property and proprietary rights in certain foreign jurisdictions. The legal systems of some countries, including, for example, India, China and other developing countries, do not view favorably the enforcement of patents and other intellectual property or proprietary rights, particularly those relating to biotechnology products, which could make it difficult for us to stop the infringement, misappropriation or other violation of our patents or other intellectual property or proprietary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Proceedings to enforce our intellectual property and proprietary rights in foreign jurisdictions, whether or not successful, could result in substantial costs and divert our efforts and resources from other aspects of our business, could put our patents, trademarks or other intellectual property and proprietary rights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Furthermore, while we intend to protect our intellectual property and proprietary rights in major markets for our products, we cannot ensure that we will be able to initiate or maintain similar efforts in all jurisdictions in which we may wish to market our products. Accordingly, our efforts to protect our intellectual property and proprietary rights in such countries may be inadequate.</w:t>
      </w:r>
    </w:p>
    <w:p>
      <w:pPr>
        <w:spacing w:after="0" w:line="200" w:lineRule="exact"/>
        <w:rPr>
          <w:sz w:val="20"/>
          <w:szCs w:val="20"/>
          <w:color w:val="auto"/>
        </w:rPr>
      </w:pPr>
    </w:p>
    <w:p>
      <w:pPr>
        <w:spacing w:after="0" w:line="225" w:lineRule="exact"/>
        <w:rPr>
          <w:sz w:val="20"/>
          <w:szCs w:val="20"/>
          <w:color w:val="auto"/>
        </w:rPr>
      </w:pPr>
    </w:p>
    <w:p>
      <w:pPr>
        <w:ind w:left="420" w:right="240"/>
        <w:spacing w:after="0" w:line="366" w:lineRule="auto"/>
        <w:rPr>
          <w:sz w:val="20"/>
          <w:szCs w:val="20"/>
          <w:color w:val="auto"/>
        </w:rPr>
      </w:pPr>
      <w:r>
        <w:rPr>
          <w:rFonts w:ascii="Arial" w:cs="Arial" w:eastAsia="Arial" w:hAnsi="Arial"/>
          <w:sz w:val="15"/>
          <w:szCs w:val="15"/>
          <w:b w:val="1"/>
          <w:bCs w:val="1"/>
          <w:i w:val="1"/>
          <w:iCs w:val="1"/>
          <w:color w:val="auto"/>
        </w:rPr>
        <w:t>If we are sued for infringing, misappropriating or otherwise violating intellectual property or proprietary rights of third parties, such litigation or disputes could be costly and time consuming and could prevent or delay us from developing or commercializing our product candidates.</w:t>
      </w:r>
    </w:p>
    <w:p>
      <w:pPr>
        <w:spacing w:after="0" w:line="5" w:lineRule="exact"/>
        <w:rPr>
          <w:sz w:val="20"/>
          <w:szCs w:val="20"/>
          <w:color w:val="auto"/>
        </w:rPr>
      </w:pPr>
    </w:p>
    <w:p>
      <w:pPr>
        <w:ind w:right="40" w:firstLine="416"/>
        <w:spacing w:after="0" w:line="313" w:lineRule="auto"/>
        <w:rPr>
          <w:sz w:val="20"/>
          <w:szCs w:val="20"/>
          <w:color w:val="auto"/>
        </w:rPr>
      </w:pPr>
      <w:r>
        <w:rPr>
          <w:rFonts w:ascii="Arial" w:cs="Arial" w:eastAsia="Arial" w:hAnsi="Arial"/>
          <w:sz w:val="15"/>
          <w:szCs w:val="15"/>
          <w:color w:val="auto"/>
        </w:rPr>
        <w:t>Our commercial success depends, in part, on our ability to develop, manufacture, market and sell our product candidates and use our proprietary technologies without infringing, misappropriating or otherwise violating the intellectual property and other proprietary rights of third parties. If any third-party patents, patent applications or other proprietary rights are found to cover our product candidates or any related companion diagnostics or their compositions, methods of use or manufacturing, we may be required to pay damages, which could be substantial, and we would not be free to manufacture or market our product candidates or to do so without obtaining a license, which may not be available on commercially reasonable terms, or at all.</w:t>
      </w:r>
    </w:p>
    <w:p>
      <w:pPr>
        <w:spacing w:after="0" w:line="150" w:lineRule="exact"/>
        <w:rPr>
          <w:sz w:val="20"/>
          <w:szCs w:val="20"/>
          <w:color w:val="auto"/>
        </w:rPr>
      </w:pPr>
    </w:p>
    <w:p>
      <w:pPr>
        <w:ind w:right="80" w:firstLine="416"/>
        <w:spacing w:after="0" w:line="305" w:lineRule="auto"/>
        <w:rPr>
          <w:sz w:val="20"/>
          <w:szCs w:val="20"/>
          <w:color w:val="auto"/>
        </w:rPr>
      </w:pPr>
      <w:r>
        <w:rPr>
          <w:rFonts w:ascii="Arial" w:cs="Arial" w:eastAsia="Arial" w:hAnsi="Arial"/>
          <w:sz w:val="15"/>
          <w:szCs w:val="15"/>
          <w:color w:val="auto"/>
        </w:rPr>
        <w:t>We may in the future become party to, or threatened with, adversarial proceedings or litigation regarding intellectual property or proprietary rights with respect to our product candidates and technologies we use in our business. Our competitors or other third parties may assert infringement claims against us, alleging that our product candidates are covered by their patents. We cannot be certain that we do not infringe existing patents or that we will not infringe patents that may be granted in the future. Furthermore, because patent applications can take many years to issue and may be confidential for 18 months or more after filing, and because patent claims can be revised before issuance, there may be applications now pending which may later result in issued patents that may be infringed by the manufacture, use or sale of our product candidates. If a patent holder believes our product candidate infringes its patent rights, the patent holder may sue us even if we have received patent protection for our technology. Moreover, we may face patent infringement claims from non-practicing entities that have no relevant drug revenue and against whom our own patent portfolio may thus have no deterrent effect.</w:t>
      </w:r>
    </w:p>
    <w:p>
      <w:pPr>
        <w:spacing w:after="0" w:line="159" w:lineRule="exact"/>
        <w:rPr>
          <w:sz w:val="20"/>
          <w:szCs w:val="20"/>
          <w:color w:val="auto"/>
        </w:rPr>
      </w:pPr>
    </w:p>
    <w:p>
      <w:pPr>
        <w:ind w:right="80" w:firstLine="416"/>
        <w:spacing w:after="0" w:line="252" w:lineRule="auto"/>
        <w:rPr>
          <w:sz w:val="20"/>
          <w:szCs w:val="20"/>
          <w:color w:val="auto"/>
        </w:rPr>
      </w:pPr>
      <w:r>
        <w:rPr>
          <w:rFonts w:ascii="Arial" w:cs="Arial" w:eastAsia="Arial" w:hAnsi="Arial"/>
          <w:sz w:val="18"/>
          <w:szCs w:val="18"/>
          <w:color w:val="auto"/>
        </w:rPr>
        <w:t>There is a substantial amount of intellectual property litigation in the biotechnology and pharmaceutical industries, and we may become party to, or threatened with, litigation or other adversarial proceedings regarding intellectual property or proprietary rights with respect to our product candidates, including interference proceedings before the USPTO. Third parties may assert infringement, misappropriation or other claims against us based on existing or future intellectual property or proprietary rights. The outcome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40" w:right="339" w:bottom="1440" w:gutter="0" w:footer="0" w:header="0"/>
        </w:sectPr>
      </w:pPr>
    </w:p>
    <w:bookmarkStart w:id="65" w:name="page66"/>
    <w:bookmarkEnd w:id="65"/>
    <w:p>
      <w:pPr>
        <w:ind w:right="20"/>
        <w:spacing w:after="0" w:line="303" w:lineRule="auto"/>
        <w:rPr>
          <w:sz w:val="20"/>
          <w:szCs w:val="20"/>
          <w:color w:val="auto"/>
        </w:rPr>
      </w:pPr>
      <w:r>
        <w:rPr>
          <w:rFonts w:ascii="Arial" w:cs="Arial" w:eastAsia="Arial" w:hAnsi="Arial"/>
          <w:sz w:val="15"/>
          <w:szCs w:val="15"/>
          <w:color w:val="auto"/>
        </w:rPr>
        <w:t>intellectual property litigation and other disputes is subject to uncertainties that cannot be adequately quantified in advance. The pharmaceutical and biotechnology industries have produced a significant number of patents, and it may not always be clear to industry participants, including us, which patents cover various types of products or methods of using or manufacturing products. The coverage of patents is subject to interpretation by the courts, and the interpretation is not always uniform. If we were sued for patent infringement, we would need to demonstrate that our product candidates, products or methods of use, manufacturing or other applicable activities either do not infringe the patent claims of the relevant patent or that the patent claims are invalid or unenforceable, and we may not be successful in doing so. However, proving invalidity or unenforceability is difficult. For example, in the United States, proving invalidity requires a showing of clear and convincing evidence to overcome the presumption of validity enjoyed by issued patents. Even if we believe third-party intellectual property claims are without merit, there is no assurance that a court would find in our favor on questions of infringement, validity, or enforceability. Even if we are successful in these proceedings, we may incur substantial costs and the time and attention of our management and business and scientific personnel could be diverted in pursuing these proceedings, which could significantly harm our business and operating results. In addition, we may not have sufficient resources to bring these actions to a successful conclusion.</w:t>
      </w:r>
    </w:p>
    <w:p>
      <w:pPr>
        <w:spacing w:after="0" w:line="372" w:lineRule="exact"/>
        <w:rPr>
          <w:sz w:val="20"/>
          <w:szCs w:val="20"/>
          <w:color w:val="auto"/>
        </w:rPr>
      </w:pPr>
    </w:p>
    <w:p>
      <w:pPr>
        <w:ind w:firstLine="416"/>
        <w:spacing w:after="0" w:line="264" w:lineRule="auto"/>
        <w:rPr>
          <w:sz w:val="20"/>
          <w:szCs w:val="20"/>
          <w:color w:val="auto"/>
        </w:rPr>
      </w:pPr>
      <w:r>
        <w:rPr>
          <w:rFonts w:ascii="Arial" w:cs="Arial" w:eastAsia="Arial" w:hAnsi="Arial"/>
          <w:sz w:val="17"/>
          <w:szCs w:val="17"/>
          <w:color w:val="auto"/>
        </w:rPr>
        <w:t>If we are found to infringe, misappropriate or otherwise violate a third party’s intellectual property or proprietary rights and we are unsuccessful in demonstrating that such intellectual property or proprietary rights are invalid or unenforceable, we could be forced, including by court order, to cease developing, manufacturing or commercializing the infringing product candidate or product. Alternatively, we may be required to obtain a license from such third party in order to use the infringing technology and continue developing, manufacturing or marketing the infringing product candidate.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In addition, we could be found liable for significant monetary damages, including treble damages and attorneys’ fees if we are found to have willfully infringed such third-party patent rights.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80" w:lineRule="exact"/>
        <w:rPr>
          <w:sz w:val="20"/>
          <w:szCs w:val="20"/>
          <w:color w:val="auto"/>
        </w:rPr>
      </w:pPr>
    </w:p>
    <w:p>
      <w:pPr>
        <w:ind w:left="420" w:right="180"/>
        <w:spacing w:after="0" w:line="265"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our employees or consultants or we have misappropriated their intellectual property, or claiming ownership of what we regard as our own intellectual property.</w:t>
      </w:r>
    </w:p>
    <w:p>
      <w:pPr>
        <w:spacing w:after="0" w:line="74" w:lineRule="exact"/>
        <w:rPr>
          <w:sz w:val="20"/>
          <w:szCs w:val="20"/>
          <w:color w:val="auto"/>
        </w:rPr>
      </w:pPr>
    </w:p>
    <w:p>
      <w:pPr>
        <w:ind w:right="60" w:firstLine="416"/>
        <w:spacing w:after="0" w:line="304" w:lineRule="auto"/>
        <w:rPr>
          <w:sz w:val="20"/>
          <w:szCs w:val="20"/>
          <w:color w:val="auto"/>
        </w:rPr>
      </w:pPr>
      <w:r>
        <w:rPr>
          <w:rFonts w:ascii="Arial" w:cs="Arial" w:eastAsia="Arial" w:hAnsi="Arial"/>
          <w:sz w:val="15"/>
          <w:szCs w:val="15"/>
          <w:color w:val="auto"/>
        </w:rPr>
        <w:t>Some of our employees and consultants are currently or have been previously employed at universities or at other biotechnology or pharmaceutical companies, including our competitors or potential competitors. These employees and consultants may have executed proprietary rights, non-disclosure and non-competition agreements, or similar agreements, in connection with such other current or previous employment. Although we try to ensure that our employees and consultants do not use the proprietary information or know-how of others in their work for us, we may be subject to claims that we or these individuals have used or disclosed intellectual property, including trade secrets or other proprietary information, of third parties. Litigation may be necessary to defend against such claims. If we fail in defending any such claims, in addition to paying monetary damages, we may lose valuable intellectual property or personnel or sustain damages. Such intellectual property could be awarded to a third party, and we could be required to obtain a license from such third party to commercialize our technology or products. Such a license may not be available on commercially reasonable terms or at all. Even if we are successful in defending against such claims, litigation could result in substantial costs and be a distraction to our management. Any of the foregoing would have a material adverse effect on our business, financial condition, results of operations and prospects.</w:t>
      </w:r>
    </w:p>
    <w:p>
      <w:pPr>
        <w:spacing w:after="0" w:line="371" w:lineRule="exact"/>
        <w:rPr>
          <w:sz w:val="20"/>
          <w:szCs w:val="20"/>
          <w:color w:val="auto"/>
        </w:rPr>
      </w:pPr>
    </w:p>
    <w:p>
      <w:pPr>
        <w:ind w:firstLine="416"/>
        <w:spacing w:after="0" w:line="302" w:lineRule="auto"/>
        <w:rPr>
          <w:sz w:val="20"/>
          <w:szCs w:val="20"/>
          <w:color w:val="auto"/>
        </w:rPr>
      </w:pPr>
      <w:r>
        <w:rPr>
          <w:rFonts w:ascii="Arial" w:cs="Arial" w:eastAsia="Arial" w:hAnsi="Arial"/>
          <w:sz w:val="15"/>
          <w:szCs w:val="15"/>
          <w:color w:val="auto"/>
        </w:rPr>
        <w:t>In addition, while it is our policy to require our employees, consultants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which may result in claims by or against us related to the ownership of such intellectual property. In addition, such agreements may not be self-executing such that the intellectual property subject to such agreements may not be assigned to us without additional assignments being executed, and we may fail to obtain such assignments. In addition, such agreements may be breached. In addition, we have multiple sponsored research agreements relating to our lead product candidates with various academic institutions. Some of these academic institutions may not have intellectual property assignments or similar agreements with their employees and consultants, which may result in claims by or against us related to ownership of any intellectual property. Accordingly, we may be forced to bring claims against third parties, or defend claims that they may bring against us to determine the ownership of what we regard as our intellectual property. If we fail in prosecuting or defending any such claims, in addition to paying monetary damages, we may lose valuable intellectual property. Even if we are successful in prosecuting or defending against such claims, litigation could result in substantial costs and be a distraction to our senior management and scientific personnel, which would have a material adverse effect on our business, financial condition, results of operations and prospects.</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66" w:name="page67"/>
    <w:bookmarkEnd w:id="66"/>
    <w:p>
      <w:pPr>
        <w:ind w:left="420"/>
        <w:spacing w:after="0"/>
        <w:rPr>
          <w:sz w:val="20"/>
          <w:szCs w:val="20"/>
          <w:color w:val="auto"/>
        </w:rPr>
      </w:pPr>
      <w:r>
        <w:rPr>
          <w:rFonts w:ascii="Arial" w:cs="Arial" w:eastAsia="Arial" w:hAnsi="Arial"/>
          <w:sz w:val="18"/>
          <w:szCs w:val="18"/>
          <w:b w:val="1"/>
          <w:bCs w:val="1"/>
          <w:i w:val="1"/>
          <w:iCs w:val="1"/>
          <w:color w:val="auto"/>
        </w:rPr>
        <w:t>Rights to improvements to our product candidates may be held by third parties.</w:t>
      </w:r>
    </w:p>
    <w:p>
      <w:pPr>
        <w:spacing w:after="0" w:line="112" w:lineRule="exact"/>
        <w:rPr>
          <w:sz w:val="20"/>
          <w:szCs w:val="20"/>
          <w:color w:val="auto"/>
        </w:rPr>
      </w:pPr>
    </w:p>
    <w:p>
      <w:pPr>
        <w:ind w:firstLine="416"/>
        <w:spacing w:after="0" w:line="263" w:lineRule="auto"/>
        <w:rPr>
          <w:sz w:val="20"/>
          <w:szCs w:val="20"/>
          <w:color w:val="auto"/>
        </w:rPr>
      </w:pPr>
      <w:r>
        <w:rPr>
          <w:rFonts w:ascii="Arial" w:cs="Arial" w:eastAsia="Arial" w:hAnsi="Arial"/>
          <w:sz w:val="17"/>
          <w:szCs w:val="17"/>
          <w:color w:val="auto"/>
        </w:rPr>
        <w:t>In the course of testing our product candidates, we have entered into agreements with third parties to conduct clinical testing, which provide that improvements to our product candidates may be owned solely by a party or jointly between the parties. If we determine that rights to such improvements owned solely by a third party are necessary to commercialize our product candidates or maintain our competitive advantage, we may need to obtain a license from such third party in order to use the improvements and continue developing, manufacturing or marketing the product candidates. However, we may not be able to obtain any required license on commercially reasonable terms or at all. Even if we were able to obtain such a license, it could be granted on non-exclusive terms, thereby giving our competitors and other third parties access to the same technologies licensed to us. Failure to obtain a license on commercially reasonable terms or at all, or to obtain an exclusive license, could prevent us from commercializing our product candidates or force us to cease some of our business operations, which could materially harm our business. If we determine that rights to improvements jointly owned between us and a third party are necessary to commercialize our product candidates or maintain our competitive advantage, we may need to obtain an exclusive license from such third party. If we are unable to obtain an exclusive license to any such third-party co-owners’ interest in such improvements, such co-owners may be able to license their rights to other third parties, including our competitors, and our competitors could market competing products and technology. In addition, we may need the cooperation of any such co-owners of our intellectual property in order to enforce such intellectual property against third parties, and such cooperation may not be provided to us. Any of the foregoing could have a material adverse effect on our competitive position, business, financial conditions, results of operations, and prospects.</w:t>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The term of our patents may be inadequate to protect our competitive position on our products.</w:t>
      </w:r>
    </w:p>
    <w:p>
      <w:pPr>
        <w:spacing w:after="0" w:line="112" w:lineRule="exact"/>
        <w:rPr>
          <w:sz w:val="20"/>
          <w:szCs w:val="20"/>
          <w:color w:val="auto"/>
        </w:rPr>
      </w:pPr>
    </w:p>
    <w:p>
      <w:pPr>
        <w:ind w:right="20" w:firstLine="416"/>
        <w:spacing w:after="0" w:line="300" w:lineRule="auto"/>
        <w:rPr>
          <w:sz w:val="20"/>
          <w:szCs w:val="20"/>
          <w:color w:val="auto"/>
        </w:rPr>
      </w:pPr>
      <w:r>
        <w:rPr>
          <w:rFonts w:ascii="Arial" w:cs="Arial" w:eastAsia="Arial" w:hAnsi="Arial"/>
          <w:sz w:val="15"/>
          <w:szCs w:val="15"/>
          <w:color w:val="auto"/>
        </w:rPr>
        <w:t>Given the amount of time required for the development, testing and regulatory review of new product candidates, patents protecting such candidates might expire before or shortly after such candidates are commercialized. Depending upon the timing, duration and other factors relating to any FDA marketing approval we receive for any of our product candidates, one or more of our U.S. patents may be eligible for limited patent term extension under the Drug Price Competition and Patent Term Restoration Action of 1984, or the Hatch- Waxman Amendments. We expect to seek extensions of patent terms in the United States and, if available, in other countries where we are prosecuting patents. In the United States, the Hatch-Waxman Amendments permit a patent term extension of up to five years beyond the normal expiration of the patent, limited to the approved indication (or any additional indications approved during the period of extension), as compensation for patent term lost to the regulatory review process during which the sponsor was unable to commercially market its new product. A patent term extension cannot extend the remaining term of a patent beyond a total of 14 years from the date of product approval, only one patent applicable to an approved drug is eligible for the extension and only those claims covering the approved drug, a method for using it, or a method for manufacturing it may be extended, and the application for the extension must be submitted prior to the expiration of the patent. However, the applicable authorities, including the FDA and the USPTO in the United States, and any equivalent regulatory authority in other countries, may not agree with our assessment of whether such extensions are available for our patents, may refuse to grant extensions to our patents, or may grant more limited extensions than we request.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patent term extension or the term of any such extension is less than we request, our competitors and other third parties may be able to obtain approval of competing products following our patent expiration and take advantage of our investment in development and clinical trials by referencing our clinical and preclinical data and launch their product earlier than might otherwise be the case. Any of the foregoing would have a material adverse effect on our business, financial condition, results of operations and prospects.</w:t>
      </w:r>
    </w:p>
    <w:p>
      <w:pPr>
        <w:spacing w:after="0" w:line="200" w:lineRule="exact"/>
        <w:rPr>
          <w:sz w:val="20"/>
          <w:szCs w:val="20"/>
          <w:color w:val="auto"/>
        </w:rPr>
      </w:pPr>
    </w:p>
    <w:p>
      <w:pPr>
        <w:spacing w:after="0" w:line="265" w:lineRule="exact"/>
        <w:rPr>
          <w:sz w:val="20"/>
          <w:szCs w:val="20"/>
          <w:color w:val="auto"/>
        </w:rPr>
      </w:pPr>
    </w:p>
    <w:p>
      <w:pPr>
        <w:ind w:left="420" w:right="480"/>
        <w:spacing w:after="0" w:line="256"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offices, and our patent protection could be reduced or eliminated for noncompliance with these requirements.</w:t>
      </w:r>
    </w:p>
    <w:p>
      <w:pPr>
        <w:spacing w:after="0" w:line="81" w:lineRule="exact"/>
        <w:rPr>
          <w:sz w:val="20"/>
          <w:szCs w:val="20"/>
          <w:color w:val="auto"/>
        </w:rPr>
      </w:pPr>
    </w:p>
    <w:p>
      <w:pPr>
        <w:ind w:right="20" w:firstLine="416"/>
        <w:spacing w:after="0" w:line="265" w:lineRule="auto"/>
        <w:rPr>
          <w:sz w:val="20"/>
          <w:szCs w:val="20"/>
          <w:color w:val="auto"/>
        </w:rPr>
      </w:pPr>
      <w:r>
        <w:rPr>
          <w:rFonts w:ascii="Arial" w:cs="Arial" w:eastAsia="Arial" w:hAnsi="Arial"/>
          <w:sz w:val="17"/>
          <w:szCs w:val="17"/>
          <w:color w:val="auto"/>
        </w:rPr>
        <w:t>Periodic maintenance fees, renewal fees, annuity fees and various other government fees on any issued patent are due to be paid to the USPTO and patent offices in foreign countries in several stages over the lifetime of the patent. The USPTO and patent offices in foreign countries require compliance with a number of procedural, documentary, fee payment and other requirements during the patent application process. In the future, we may rely on licensing partners to pay these fees due to U.S. and non-U.S. patent agencies and to comply with these other requirements with respect to any future licensed patents and patent applications. While an inadvertent lapse can be cured by payment of a late fee or by other means in accordance with the applicable rules, there are situations in which noncompliance can result in abandonment or lapse of the patent or patent application, resulting in partial or complete loss of a patent or patent rights in the relevant jurisdiction. Non-compliance events that could result in abandonment or lapse of a patent or patent application include, but are not limited to, failure to respond to official actions within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645" w:right="339" w:bottom="1440" w:gutter="0" w:footer="0" w:header="0"/>
        </w:sectPr>
      </w:pPr>
    </w:p>
    <w:bookmarkStart w:id="67" w:name="page68"/>
    <w:bookmarkEnd w:id="67"/>
    <w:p>
      <w:pPr>
        <w:jc w:val="both"/>
        <w:ind w:right="120"/>
        <w:spacing w:after="0" w:line="256" w:lineRule="auto"/>
        <w:rPr>
          <w:sz w:val="20"/>
          <w:szCs w:val="20"/>
          <w:color w:val="auto"/>
        </w:rPr>
      </w:pPr>
      <w:r>
        <w:rPr>
          <w:rFonts w:ascii="Arial" w:cs="Arial" w:eastAsia="Arial" w:hAnsi="Arial"/>
          <w:sz w:val="18"/>
          <w:szCs w:val="18"/>
          <w:color w:val="auto"/>
        </w:rPr>
        <w:t>prescribed time limits, non-payment of fees and failure to properly legalize and submit formal documents. In such an event, our competitors and other third parties might be able to enter the market with similar or identical products of technology, which would have a material adverse effect on our business, financial condition, results of operations and prospects.</w:t>
      </w:r>
    </w:p>
    <w:p>
      <w:pPr>
        <w:spacing w:after="0" w:line="281" w:lineRule="exact"/>
        <w:rPr>
          <w:sz w:val="20"/>
          <w:szCs w:val="20"/>
          <w:color w:val="auto"/>
        </w:rPr>
      </w:pPr>
    </w:p>
    <w:p>
      <w:pPr>
        <w:ind w:left="420" w:right="560"/>
        <w:spacing w:after="0" w:line="265"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the value of our technology could be materially adversely affected and our business would be harmed.</w:t>
      </w:r>
    </w:p>
    <w:p>
      <w:pPr>
        <w:spacing w:after="0" w:line="74" w:lineRule="exact"/>
        <w:rPr>
          <w:sz w:val="20"/>
          <w:szCs w:val="20"/>
          <w:color w:val="auto"/>
        </w:rPr>
      </w:pPr>
    </w:p>
    <w:p>
      <w:pPr>
        <w:ind w:right="20" w:firstLine="416"/>
        <w:spacing w:after="0" w:line="301" w:lineRule="auto"/>
        <w:rPr>
          <w:sz w:val="20"/>
          <w:szCs w:val="20"/>
          <w:color w:val="auto"/>
        </w:rPr>
      </w:pPr>
      <w:r>
        <w:rPr>
          <w:rFonts w:ascii="Arial" w:cs="Arial" w:eastAsia="Arial" w:hAnsi="Arial"/>
          <w:sz w:val="15"/>
          <w:szCs w:val="15"/>
          <w:color w:val="auto"/>
        </w:rPr>
        <w:t>We rely on proprietary know-how and trade secret protection and confidentiality agreements to protect proprietary know-how or trade secrets that are not patentable or that we elect not to patent. We seek to protect our trade secrets and proprietary know-how in part by entering into non-disclosure and confidentiality agreements with parties who have access to such knowledge, such as our employees, consultants, independent contractors, advisors, CMOs, CROs, hospitals, independent treatment centers, suppliers, collaborators and other third parties. We also enter into confidentiality and invention or patent assignment agreements with employees and certain consultants. However, we cannot guarantee that we have entered into such agreements with each party that may have or have had access to our trade secrets or proprietary know-how. Additionally, our confidentiality agreements and other contractual protections may not be adequate to protect our intellectual property from unauthorized disclosure, third-party infringement or misappropriation. Any party with whom we have executed such an agreement may breach that agreement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If any of our trade secrets were to be lawfully obtained or independently developed by a competitor or other third party, we would have no right to prevent such third party, or those to whom they communicate such technology or information, from using that technology or information to compete with us. If any of our trade secrets were to be disclosed to or independently developed by a competitor or other third party, our business, financial condition, results of operations and prospects our business and competitive position could be materially harmed.</w:t>
      </w:r>
    </w:p>
    <w:p>
      <w:pPr>
        <w:spacing w:after="0" w:line="200" w:lineRule="exact"/>
        <w:rPr>
          <w:sz w:val="20"/>
          <w:szCs w:val="20"/>
          <w:color w:val="auto"/>
        </w:rPr>
      </w:pPr>
    </w:p>
    <w:p>
      <w:pPr>
        <w:spacing w:after="0" w:line="26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12" w:lineRule="exact"/>
        <w:rPr>
          <w:sz w:val="20"/>
          <w:szCs w:val="20"/>
          <w:color w:val="auto"/>
        </w:rPr>
      </w:pPr>
    </w:p>
    <w:p>
      <w:pPr>
        <w:ind w:right="20" w:firstLine="416"/>
        <w:spacing w:after="0" w:line="265"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74" w:lineRule="exact"/>
        <w:rPr>
          <w:sz w:val="20"/>
          <w:szCs w:val="20"/>
          <w:color w:val="auto"/>
        </w:rPr>
      </w:pPr>
    </w:p>
    <w:p>
      <w:pPr>
        <w:ind w:left="820" w:right="4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be able to make products similar to any product candidates we may develop or utilize similarly related technologies that are not covered by the claims of the patents that we may license or may own in the future;</w:t>
      </w:r>
    </w:p>
    <w:p>
      <w:pPr>
        <w:spacing w:after="0" w:line="74" w:lineRule="exact"/>
        <w:rPr>
          <w:rFonts w:ascii="Arial" w:cs="Arial" w:eastAsia="Arial" w:hAnsi="Arial"/>
          <w:sz w:val="18"/>
          <w:szCs w:val="18"/>
          <w:color w:val="auto"/>
        </w:rPr>
      </w:pPr>
    </w:p>
    <w:p>
      <w:pPr>
        <w:ind w:left="820" w:right="46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make the inventions covered by the issued patent or pending patent application that we license or may own in the future;</w:t>
      </w:r>
    </w:p>
    <w:p>
      <w:pPr>
        <w:spacing w:after="0" w:line="74" w:lineRule="exact"/>
        <w:rPr>
          <w:rFonts w:ascii="Arial" w:cs="Arial" w:eastAsia="Arial" w:hAnsi="Arial"/>
          <w:sz w:val="18"/>
          <w:szCs w:val="18"/>
          <w:color w:val="auto"/>
        </w:rPr>
      </w:pPr>
    </w:p>
    <w:p>
      <w:pPr>
        <w:ind w:left="82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or any future license partners or current or future collaborators, might not have been the first to file patent applications covering certain of our or their inventions;</w:t>
      </w:r>
    </w:p>
    <w:p>
      <w:pPr>
        <w:spacing w:after="0" w:line="74" w:lineRule="exact"/>
        <w:rPr>
          <w:rFonts w:ascii="Arial" w:cs="Arial" w:eastAsia="Arial" w:hAnsi="Arial"/>
          <w:sz w:val="18"/>
          <w:szCs w:val="18"/>
          <w:color w:val="auto"/>
        </w:rPr>
      </w:pPr>
    </w:p>
    <w:p>
      <w:pPr>
        <w:ind w:left="820" w:right="6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misappropriating or otherwise violating any of our owned or licensed intellectual property rights;</w:t>
      </w:r>
    </w:p>
    <w:p>
      <w:pPr>
        <w:spacing w:after="0" w:line="21" w:lineRule="exact"/>
        <w:rPr>
          <w:rFonts w:ascii="Arial" w:cs="Arial" w:eastAsia="Arial" w:hAnsi="Arial"/>
          <w:sz w:val="18"/>
          <w:szCs w:val="18"/>
          <w:color w:val="auto"/>
        </w:rPr>
      </w:pPr>
    </w:p>
    <w:p>
      <w:pPr>
        <w:ind w:left="820" w:hanging="40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or those that we may own in the future will not lead to issued patents;</w:t>
      </w:r>
    </w:p>
    <w:p>
      <w:pPr>
        <w:spacing w:after="0" w:line="138" w:lineRule="exact"/>
        <w:rPr>
          <w:rFonts w:ascii="Arial" w:cs="Arial" w:eastAsia="Arial" w:hAnsi="Arial"/>
          <w:sz w:val="18"/>
          <w:szCs w:val="18"/>
          <w:color w:val="auto"/>
        </w:rPr>
      </w:pPr>
    </w:p>
    <w:p>
      <w:pPr>
        <w:ind w:left="820" w:right="26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issued patents that we hold rights to may be held invalid or unenforceable, including as a result of legal challenges by our competitors or other third parties;</w:t>
      </w:r>
    </w:p>
    <w:p>
      <w:pPr>
        <w:spacing w:after="0" w:line="100" w:lineRule="exact"/>
        <w:rPr>
          <w:rFonts w:ascii="Arial" w:cs="Arial" w:eastAsia="Arial" w:hAnsi="Arial"/>
          <w:sz w:val="18"/>
          <w:szCs w:val="18"/>
          <w:color w:val="auto"/>
        </w:rPr>
      </w:pPr>
    </w:p>
    <w:p>
      <w:pPr>
        <w:ind w:left="820" w:right="200" w:hanging="402"/>
        <w:spacing w:after="0" w:line="351" w:lineRule="auto"/>
        <w:tabs>
          <w:tab w:leader="none" w:pos="8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our competitors or other third parties might conduct research and development activities in countries where we do not have patent rights and then use the information learned from such activities to develop competitive products for sale in our major commercial markets;</w:t>
      </w:r>
    </w:p>
    <w:p>
      <w:pPr>
        <w:ind w:left="820" w:hanging="40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patents of others may harm our business; and</w:t>
      </w:r>
    </w:p>
    <w:p>
      <w:pPr>
        <w:spacing w:after="0" w:line="138" w:lineRule="exact"/>
        <w:rPr>
          <w:rFonts w:ascii="Arial" w:cs="Arial" w:eastAsia="Arial" w:hAnsi="Arial"/>
          <w:sz w:val="18"/>
          <w:szCs w:val="18"/>
          <w:color w:val="auto"/>
        </w:rPr>
      </w:pPr>
    </w:p>
    <w:p>
      <w:pPr>
        <w:ind w:left="820" w:right="440" w:hanging="402"/>
        <w:spacing w:after="0" w:line="265" w:lineRule="auto"/>
        <w:tabs>
          <w:tab w:leader="none" w:pos="8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choose not to file a patent in order to maintain certain trade secrets or know how, and a third party may subsequently file a patent covering such intellectual property.</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5"/>
          <w:szCs w:val="15"/>
          <w:color w:val="auto"/>
        </w:rPr>
        <w:t>Should any of these events occur, they could have a material adverse effect on our business, financial condition, results of operations and prospects.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340" w:right="3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91" w:lineRule="exact"/>
        <w:rPr>
          <w:sz w:val="20"/>
          <w:szCs w:val="20"/>
          <w:color w:val="auto"/>
        </w:rPr>
      </w:pPr>
    </w:p>
    <w:p>
      <w:pPr>
        <w:ind w:left="420"/>
        <w:spacing w:after="0" w:line="265" w:lineRule="auto"/>
        <w:rPr>
          <w:sz w:val="20"/>
          <w:szCs w:val="20"/>
          <w:color w:val="auto"/>
        </w:rPr>
      </w:pPr>
      <w:r>
        <w:rPr>
          <w:rFonts w:ascii="Arial" w:cs="Arial" w:eastAsia="Arial" w:hAnsi="Arial"/>
          <w:sz w:val="18"/>
          <w:szCs w:val="18"/>
          <w:b w:val="1"/>
          <w:bCs w:val="1"/>
          <w:i w:val="1"/>
          <w:iCs w:val="1"/>
          <w:color w:val="auto"/>
        </w:rPr>
        <w:t>An active and liquid trading market for our common stock may never be sustained. As a result, you may not be able to resell your shares of common stock at or above the purchase price.</w:t>
      </w:r>
    </w:p>
    <w:p>
      <w:pPr>
        <w:spacing w:after="0" w:line="48" w:lineRule="exact"/>
        <w:rPr>
          <w:sz w:val="20"/>
          <w:szCs w:val="20"/>
          <w:color w:val="auto"/>
        </w:rPr>
      </w:pPr>
    </w:p>
    <w:p>
      <w:pPr>
        <w:ind w:firstLine="416"/>
        <w:spacing w:after="0" w:line="250" w:lineRule="auto"/>
        <w:rPr>
          <w:sz w:val="20"/>
          <w:szCs w:val="20"/>
          <w:color w:val="auto"/>
        </w:rPr>
      </w:pPr>
      <w:r>
        <w:rPr>
          <w:rFonts w:ascii="Arial" w:cs="Arial" w:eastAsia="Arial" w:hAnsi="Arial"/>
          <w:sz w:val="18"/>
          <w:szCs w:val="18"/>
          <w:color w:val="auto"/>
        </w:rPr>
        <w:t>An active trading market for our common stock may never be sustained. The market value of our common stock may decrease from the purchase price. As a result of these and other factors, you may be unable to resell your shares of our common stock at or above the purchase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or products by using our shares of common stock as consideration.</w:t>
      </w:r>
    </w:p>
    <w:p>
      <w:pPr>
        <w:spacing w:after="0" w:line="154" w:lineRule="exact"/>
        <w:rPr>
          <w:sz w:val="20"/>
          <w:szCs w:val="20"/>
          <w:color w:val="auto"/>
        </w:rPr>
      </w:pPr>
    </w:p>
    <w:p>
      <w:pPr>
        <w:ind w:left="420" w:right="80"/>
        <w:spacing w:after="0" w:line="265"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48" w:lineRule="exact"/>
        <w:rPr>
          <w:sz w:val="20"/>
          <w:szCs w:val="20"/>
          <w:color w:val="auto"/>
        </w:rPr>
      </w:pPr>
    </w:p>
    <w:p>
      <w:pPr>
        <w:ind w:right="320" w:firstLine="416"/>
        <w:spacing w:after="0" w:line="26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48" w:lineRule="exact"/>
        <w:rPr>
          <w:sz w:val="20"/>
          <w:szCs w:val="20"/>
          <w:color w:val="auto"/>
        </w:rPr>
      </w:pPr>
    </w:p>
    <w:p>
      <w:pPr>
        <w:ind w:left="820" w:right="620" w:hanging="402"/>
        <w:spacing w:after="0" w:line="26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planned and ongoing development of our product candidates or future development programs, including scale-up CMC expenses;</w:t>
      </w:r>
    </w:p>
    <w:p>
      <w:pPr>
        <w:spacing w:after="0" w:line="47" w:lineRule="exact"/>
        <w:rPr>
          <w:rFonts w:ascii="Arial" w:cs="Arial" w:eastAsia="Arial" w:hAnsi="Arial"/>
          <w:sz w:val="18"/>
          <w:szCs w:val="18"/>
          <w:color w:val="auto"/>
        </w:rPr>
      </w:pPr>
    </w:p>
    <w:p>
      <w:pPr>
        <w:ind w:left="820" w:right="160" w:hanging="402"/>
        <w:spacing w:after="0" w:line="26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future preclinical or clinical trials or funding support by us, or future collaborators or licensing partners;</w:t>
      </w:r>
    </w:p>
    <w:p>
      <w:pPr>
        <w:spacing w:after="0" w:line="47" w:lineRule="exact"/>
        <w:rPr>
          <w:rFonts w:ascii="Arial" w:cs="Arial" w:eastAsia="Arial" w:hAnsi="Arial"/>
          <w:sz w:val="18"/>
          <w:szCs w:val="18"/>
          <w:color w:val="auto"/>
        </w:rPr>
      </w:pPr>
    </w:p>
    <w:p>
      <w:pPr>
        <w:ind w:left="820" w:right="260" w:hanging="402"/>
        <w:spacing w:after="0" w:line="26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execution of any collaboration, licensing or similar arrangements, and the timing of payments we may make or receive under existing or future arrangements or the termination or modification of any such existing or future arrangements;</w:t>
      </w:r>
    </w:p>
    <w:p>
      <w:pPr>
        <w:spacing w:after="0" w:line="47" w:lineRule="exact"/>
        <w:rPr>
          <w:rFonts w:ascii="Arial" w:cs="Arial" w:eastAsia="Arial" w:hAnsi="Arial"/>
          <w:sz w:val="18"/>
          <w:szCs w:val="18"/>
          <w:color w:val="auto"/>
        </w:rPr>
      </w:pPr>
    </w:p>
    <w:p>
      <w:pPr>
        <w:ind w:left="820" w:hanging="402"/>
        <w:spacing w:after="0"/>
        <w:tabs>
          <w:tab w:leader="none" w:pos="8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96" w:lineRule="exact"/>
        <w:rPr>
          <w:rFonts w:ascii="Arial" w:cs="Arial" w:eastAsia="Arial" w:hAnsi="Arial"/>
          <w:sz w:val="17"/>
          <w:szCs w:val="17"/>
          <w:color w:val="auto"/>
        </w:rPr>
      </w:pPr>
    </w:p>
    <w:p>
      <w:pPr>
        <w:ind w:left="820" w:hanging="402"/>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85" w:lineRule="exact"/>
        <w:rPr>
          <w:rFonts w:ascii="Arial" w:cs="Arial" w:eastAsia="Arial" w:hAnsi="Arial"/>
          <w:sz w:val="18"/>
          <w:szCs w:val="18"/>
          <w:color w:val="auto"/>
        </w:rPr>
      </w:pPr>
    </w:p>
    <w:p>
      <w:pPr>
        <w:ind w:left="820" w:right="520" w:hanging="402"/>
        <w:spacing w:after="0" w:line="26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47" w:lineRule="exact"/>
        <w:rPr>
          <w:rFonts w:ascii="Arial" w:cs="Arial" w:eastAsia="Arial" w:hAnsi="Arial"/>
          <w:sz w:val="18"/>
          <w:szCs w:val="18"/>
          <w:color w:val="auto"/>
        </w:rPr>
      </w:pPr>
    </w:p>
    <w:p>
      <w:pPr>
        <w:ind w:left="820" w:right="100" w:hanging="402"/>
        <w:spacing w:after="0" w:line="265" w:lineRule="auto"/>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74" w:lineRule="exact"/>
        <w:rPr>
          <w:rFonts w:ascii="Arial" w:cs="Arial" w:eastAsia="Arial" w:hAnsi="Arial"/>
          <w:sz w:val="18"/>
          <w:szCs w:val="18"/>
          <w:color w:val="auto"/>
        </w:rPr>
      </w:pPr>
    </w:p>
    <w:p>
      <w:pPr>
        <w:ind w:left="820" w:hanging="402"/>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25" w:lineRule="exact"/>
        <w:rPr>
          <w:rFonts w:ascii="Arial" w:cs="Arial" w:eastAsia="Arial" w:hAnsi="Arial"/>
          <w:sz w:val="18"/>
          <w:szCs w:val="18"/>
          <w:color w:val="auto"/>
        </w:rPr>
      </w:pPr>
    </w:p>
    <w:p>
      <w:pPr>
        <w:ind w:left="820" w:hanging="402"/>
        <w:spacing w:after="0"/>
        <w:tabs>
          <w:tab w:leader="none" w:pos="8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general market and economic conditions, such as due to the COVID-19 pandemic.</w:t>
      </w:r>
    </w:p>
    <w:p>
      <w:pPr>
        <w:spacing w:after="0" w:line="231" w:lineRule="exact"/>
        <w:rPr>
          <w:sz w:val="20"/>
          <w:szCs w:val="20"/>
          <w:color w:val="auto"/>
        </w:rPr>
      </w:pPr>
    </w:p>
    <w:p>
      <w:pPr>
        <w:ind w:right="80" w:firstLine="416"/>
        <w:spacing w:after="0" w:line="252"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46" w:right="359" w:bottom="1440" w:gutter="0" w:footer="0" w:header="0"/>
        </w:sectPr>
      </w:pPr>
    </w:p>
    <w:bookmarkStart w:id="69" w:name="page70"/>
    <w:bookmarkEnd w:id="69"/>
    <w:p>
      <w:pPr>
        <w:ind w:left="420"/>
        <w:spacing w:after="0"/>
        <w:rPr>
          <w:sz w:val="20"/>
          <w:szCs w:val="20"/>
          <w:color w:val="auto"/>
        </w:rPr>
      </w:pPr>
      <w:r>
        <w:rPr>
          <w:rFonts w:ascii="Arial" w:cs="Arial" w:eastAsia="Arial" w:hAnsi="Arial"/>
          <w:sz w:val="15"/>
          <w:szCs w:val="15"/>
          <w:b w:val="1"/>
          <w:bCs w:val="1"/>
          <w:i w:val="1"/>
          <w:iCs w:val="1"/>
          <w:color w:val="auto"/>
        </w:rPr>
        <w:t>The market price of our common stock is likely to be highly volatile, which could result in substantial losses for purchasers of our common stock.</w:t>
      </w:r>
    </w:p>
    <w:p>
      <w:pPr>
        <w:spacing w:after="0" w:line="146" w:lineRule="exact"/>
        <w:rPr>
          <w:sz w:val="20"/>
          <w:szCs w:val="20"/>
          <w:color w:val="auto"/>
        </w:rPr>
      </w:pPr>
    </w:p>
    <w:p>
      <w:pPr>
        <w:ind w:right="20" w:firstLine="416"/>
        <w:spacing w:after="0" w:line="251" w:lineRule="auto"/>
        <w:rPr>
          <w:sz w:val="20"/>
          <w:szCs w:val="20"/>
          <w:color w:val="auto"/>
        </w:rPr>
      </w:pPr>
      <w:r>
        <w:rPr>
          <w:rFonts w:ascii="Arial" w:cs="Arial" w:eastAsia="Arial" w:hAnsi="Arial"/>
          <w:sz w:val="18"/>
          <w:szCs w:val="18"/>
          <w:color w:val="auto"/>
        </w:rPr>
        <w:t>The market price of our common stock has been highly volatile since our initial public offering, or IPO, and has ranged from $23.69 to $95.38 per share. The market price of our common stock is likely to continue to be highly volatile and subject to wide fluctuations in response to various factors, some of which we cannot control. As a result of this volatility, investors may not be able to sell their common stock at or above the price paid. The market price for our common stock may be influenced by many factors, including the other risks described in this section of this Quarterly Report on Form 10-Q and the following:</w:t>
      </w:r>
    </w:p>
    <w:p>
      <w:pPr>
        <w:spacing w:after="0" w:line="86" w:lineRule="exact"/>
        <w:rPr>
          <w:sz w:val="20"/>
          <w:szCs w:val="20"/>
          <w:color w:val="auto"/>
        </w:rPr>
      </w:pPr>
    </w:p>
    <w:p>
      <w:pPr>
        <w:ind w:left="820" w:right="320" w:hanging="402"/>
        <w:spacing w:after="0" w:line="26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enrollment or results of clinical trials of our product candidates, or those of our competitors or our future collaborators, or changes in the development status of our product candidates;</w:t>
      </w:r>
    </w:p>
    <w:p>
      <w:pPr>
        <w:spacing w:after="0" w:line="74" w:lineRule="exact"/>
        <w:rPr>
          <w:rFonts w:ascii="Arial" w:cs="Arial" w:eastAsia="Arial" w:hAnsi="Arial"/>
          <w:sz w:val="18"/>
          <w:szCs w:val="18"/>
          <w:color w:val="auto"/>
        </w:rPr>
      </w:pPr>
    </w:p>
    <w:p>
      <w:pPr>
        <w:ind w:left="820" w:right="400" w:hanging="402"/>
        <w:spacing w:after="0" w:line="26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spacing w:after="0" w:line="74" w:lineRule="exact"/>
        <w:rPr>
          <w:rFonts w:ascii="Arial" w:cs="Arial" w:eastAsia="Arial" w:hAnsi="Arial"/>
          <w:sz w:val="18"/>
          <w:szCs w:val="18"/>
          <w:color w:val="auto"/>
        </w:rPr>
      </w:pPr>
    </w:p>
    <w:p>
      <w:pPr>
        <w:ind w:left="820" w:hanging="402"/>
        <w:spacing w:after="0"/>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25" w:lineRule="exact"/>
        <w:rPr>
          <w:rFonts w:ascii="Arial" w:cs="Arial" w:eastAsia="Arial" w:hAnsi="Arial"/>
          <w:sz w:val="18"/>
          <w:szCs w:val="18"/>
          <w:color w:val="auto"/>
        </w:rPr>
      </w:pPr>
    </w:p>
    <w:p>
      <w:pPr>
        <w:ind w:left="820" w:right="460" w:hanging="402"/>
        <w:spacing w:after="0" w:line="265" w:lineRule="auto"/>
        <w:tabs>
          <w:tab w:leader="none" w:pos="8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74" w:lineRule="exact"/>
        <w:rPr>
          <w:sz w:val="20"/>
          <w:szCs w:val="20"/>
          <w:color w:val="auto"/>
        </w:rPr>
      </w:pPr>
    </w:p>
    <w:p>
      <w:pPr>
        <w:ind w:left="420" w:right="340"/>
        <w:spacing w:after="0" w:line="369" w:lineRule="auto"/>
        <w:rPr>
          <w:sz w:val="20"/>
          <w:szCs w:val="20"/>
          <w:color w:val="auto"/>
        </w:rPr>
      </w:pPr>
      <w:r>
        <w:rPr>
          <w:rFonts w:ascii="Arial" w:cs="Arial" w:eastAsia="Arial" w:hAnsi="Arial"/>
          <w:sz w:val="18"/>
          <w:szCs w:val="18"/>
          <w:color w:val="auto"/>
        </w:rPr>
        <w:t>• actions taken by regulatory agencies with respect to our products, clinical studies, manufacturing process or sales and marketing terms; • actual or anticipated variations in our financial results or those of companies that are perceived to be similar to us;</w:t>
      </w:r>
    </w:p>
    <w:p>
      <w:pPr>
        <w:spacing w:after="0" w:line="1" w:lineRule="exact"/>
        <w:rPr>
          <w:sz w:val="20"/>
          <w:szCs w:val="20"/>
          <w:color w:val="auto"/>
        </w:rPr>
      </w:pPr>
    </w:p>
    <w:p>
      <w:pPr>
        <w:ind w:left="820" w:hanging="402"/>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developments concerning any future collaborations, including but not limited to those with development and commercialization partners;</w:t>
      </w:r>
    </w:p>
    <w:p>
      <w:pPr>
        <w:spacing w:after="0" w:line="123" w:lineRule="exact"/>
        <w:rPr>
          <w:rFonts w:ascii="Arial" w:cs="Arial" w:eastAsia="Arial" w:hAnsi="Arial"/>
          <w:sz w:val="17"/>
          <w:szCs w:val="17"/>
          <w:color w:val="auto"/>
        </w:rPr>
      </w:pPr>
    </w:p>
    <w:p>
      <w:pPr>
        <w:ind w:left="820" w:hanging="402"/>
        <w:spacing w:after="0"/>
        <w:tabs>
          <w:tab w:leader="none" w:pos="8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2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12" w:lineRule="exact"/>
        <w:rPr>
          <w:sz w:val="20"/>
          <w:szCs w:val="20"/>
          <w:color w:val="auto"/>
        </w:rPr>
      </w:pPr>
    </w:p>
    <w:p>
      <w:pPr>
        <w:ind w:left="820" w:right="260" w:hanging="402"/>
        <w:spacing w:after="0" w:line="265"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 candidates and products;</w:t>
      </w:r>
    </w:p>
    <w:p>
      <w:pPr>
        <w:spacing w:after="0" w:line="74" w:lineRule="exact"/>
        <w:rPr>
          <w:rFonts w:ascii="Arial" w:cs="Arial" w:eastAsia="Arial" w:hAnsi="Arial"/>
          <w:sz w:val="18"/>
          <w:szCs w:val="18"/>
          <w:color w:val="auto"/>
        </w:rPr>
      </w:pPr>
    </w:p>
    <w:p>
      <w:pPr>
        <w:ind w:left="820" w:hanging="402"/>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25" w:lineRule="exact"/>
        <w:rPr>
          <w:rFonts w:ascii="Arial" w:cs="Arial" w:eastAsia="Arial" w:hAnsi="Arial"/>
          <w:sz w:val="18"/>
          <w:szCs w:val="18"/>
          <w:color w:val="auto"/>
        </w:rPr>
      </w:pPr>
    </w:p>
    <w:p>
      <w:pPr>
        <w:ind w:left="820" w:hanging="402"/>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25" w:lineRule="exact"/>
        <w:rPr>
          <w:rFonts w:ascii="Arial" w:cs="Arial" w:eastAsia="Arial" w:hAnsi="Arial"/>
          <w:sz w:val="18"/>
          <w:szCs w:val="18"/>
          <w:color w:val="auto"/>
        </w:rPr>
      </w:pPr>
    </w:p>
    <w:p>
      <w:pPr>
        <w:ind w:left="820" w:hanging="402"/>
        <w:spacing w:after="0"/>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25" w:lineRule="exact"/>
        <w:rPr>
          <w:rFonts w:ascii="Arial" w:cs="Arial" w:eastAsia="Arial" w:hAnsi="Arial"/>
          <w:sz w:val="18"/>
          <w:szCs w:val="18"/>
          <w:color w:val="auto"/>
        </w:rPr>
      </w:pPr>
    </w:p>
    <w:p>
      <w:pPr>
        <w:ind w:left="820" w:right="500" w:hanging="402"/>
        <w:spacing w:after="0" w:line="265" w:lineRule="auto"/>
        <w:tabs>
          <w:tab w:leader="none" w:pos="8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74" w:lineRule="exact"/>
        <w:rPr>
          <w:sz w:val="20"/>
          <w:szCs w:val="20"/>
          <w:color w:val="auto"/>
        </w:rPr>
      </w:pPr>
    </w:p>
    <w:p>
      <w:pPr>
        <w:jc w:val="center"/>
        <w:ind w:left="380"/>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our failure or the failure of our competitors to meet analysts’ projections or guidance that we or our competitors may give to the market;</w:t>
      </w:r>
    </w:p>
    <w:p>
      <w:pPr>
        <w:spacing w:after="0" w:line="112" w:lineRule="exact"/>
        <w:rPr>
          <w:sz w:val="20"/>
          <w:szCs w:val="20"/>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share price and fluctuations of trading volume of our common stock;</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insiders or our stockholders;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0580" w:type="dxa"/>
            <w:vAlign w:val="bottom"/>
          </w:tcPr>
          <w:p>
            <w:pPr>
              <w:ind w:left="160"/>
              <w:spacing w:after="0"/>
              <w:rPr>
                <w:sz w:val="20"/>
                <w:szCs w:val="20"/>
                <w:color w:val="auto"/>
              </w:rPr>
            </w:pPr>
            <w:r>
              <w:rPr>
                <w:rFonts w:ascii="Arial" w:cs="Arial" w:eastAsia="Arial" w:hAnsi="Arial"/>
                <w:sz w:val="18"/>
                <w:szCs w:val="18"/>
                <w:color w:val="auto"/>
                <w:w w:val="95"/>
              </w:rPr>
              <w:t>general economic, industry and market conditions, or other events or factors, many of which are beyond our control, such as the COVID-</w:t>
            </w:r>
          </w:p>
        </w:tc>
      </w:tr>
      <w:tr>
        <w:trPr>
          <w:trHeight w:val="224"/>
        </w:trPr>
        <w:tc>
          <w:tcPr>
            <w:tcW w:w="660" w:type="dxa"/>
            <w:vAlign w:val="bottom"/>
          </w:tcPr>
          <w:p>
            <w:pPr>
              <w:spacing w:after="0"/>
              <w:rPr>
                <w:sz w:val="19"/>
                <w:szCs w:val="19"/>
                <w:color w:val="auto"/>
              </w:rPr>
            </w:pPr>
          </w:p>
        </w:tc>
        <w:tc>
          <w:tcPr>
            <w:tcW w:w="10580" w:type="dxa"/>
            <w:vAlign w:val="bottom"/>
          </w:tcPr>
          <w:p>
            <w:pPr>
              <w:ind w:left="160"/>
              <w:spacing w:after="0"/>
              <w:rPr>
                <w:sz w:val="20"/>
                <w:szCs w:val="20"/>
                <w:color w:val="auto"/>
              </w:rPr>
            </w:pPr>
            <w:r>
              <w:rPr>
                <w:rFonts w:ascii="Arial" w:cs="Arial" w:eastAsia="Arial" w:hAnsi="Arial"/>
                <w:sz w:val="18"/>
                <w:szCs w:val="18"/>
                <w:color w:val="auto"/>
              </w:rPr>
              <w:t>19 pandemic.</w:t>
            </w:r>
          </w:p>
        </w:tc>
      </w:tr>
      <w:tr>
        <w:trPr>
          <w:trHeight w:val="425"/>
        </w:trPr>
        <w:tc>
          <w:tcPr>
            <w:tcW w:w="660" w:type="dxa"/>
            <w:vAlign w:val="bottom"/>
          </w:tcPr>
          <w:p>
            <w:pPr>
              <w:spacing w:after="0"/>
              <w:rPr>
                <w:sz w:val="24"/>
                <w:szCs w:val="24"/>
                <w:color w:val="auto"/>
              </w:rPr>
            </w:pPr>
          </w:p>
        </w:tc>
        <w:tc>
          <w:tcPr>
            <w:tcW w:w="10580" w:type="dxa"/>
            <w:vAlign w:val="bottom"/>
          </w:tcPr>
          <w:p>
            <w:pPr>
              <w:jc w:val="right"/>
              <w:ind w:right="5431"/>
              <w:spacing w:after="0"/>
              <w:rPr>
                <w:sz w:val="20"/>
                <w:szCs w:val="20"/>
                <w:color w:val="auto"/>
              </w:rPr>
            </w:pPr>
            <w:r>
              <w:rPr>
                <w:rFonts w:ascii="Arial" w:cs="Arial" w:eastAsia="Arial" w:hAnsi="Arial"/>
                <w:sz w:val="18"/>
                <w:szCs w:val="18"/>
                <w:color w:val="auto"/>
              </w:rPr>
              <w:t>67</w:t>
            </w:r>
          </w:p>
        </w:tc>
      </w:tr>
      <w:tr>
        <w:trPr>
          <w:trHeight w:val="114"/>
        </w:trPr>
        <w:tc>
          <w:tcPr>
            <w:tcW w:w="660" w:type="dxa"/>
            <w:vAlign w:val="bottom"/>
            <w:tcBorders>
              <w:bottom w:val="single" w:sz="8" w:color="9A9A9A"/>
            </w:tcBorders>
          </w:tcPr>
          <w:p>
            <w:pPr>
              <w:spacing w:after="0"/>
              <w:rPr>
                <w:sz w:val="9"/>
                <w:szCs w:val="9"/>
                <w:color w:val="auto"/>
              </w:rPr>
            </w:pPr>
          </w:p>
        </w:tc>
        <w:tc>
          <w:tcPr>
            <w:tcW w:w="105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0" w:name="page71"/>
    <w:bookmarkEnd w:id="70"/>
    <w:p>
      <w:pPr>
        <w:ind w:right="40" w:firstLine="416"/>
        <w:spacing w:after="0" w:line="251"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53" w:lineRule="exact"/>
        <w:rPr>
          <w:sz w:val="20"/>
          <w:szCs w:val="20"/>
          <w:color w:val="auto"/>
        </w:rPr>
      </w:pPr>
    </w:p>
    <w:p>
      <w:pPr>
        <w:ind w:left="420" w:right="60"/>
        <w:spacing w:after="0" w:line="26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74" w:lineRule="exact"/>
        <w:rPr>
          <w:sz w:val="20"/>
          <w:szCs w:val="20"/>
          <w:color w:val="auto"/>
        </w:rPr>
      </w:pPr>
    </w:p>
    <w:p>
      <w:pPr>
        <w:ind w:right="220" w:firstLine="416"/>
        <w:spacing w:after="0" w:line="256" w:lineRule="auto"/>
        <w:rPr>
          <w:sz w:val="20"/>
          <w:szCs w:val="20"/>
          <w:color w:val="auto"/>
        </w:rPr>
      </w:pPr>
      <w:r>
        <w:rPr>
          <w:rFonts w:ascii="Arial" w:cs="Arial" w:eastAsia="Arial" w:hAnsi="Arial"/>
          <w:sz w:val="18"/>
          <w:szCs w:val="18"/>
          <w:color w:val="auto"/>
        </w:rPr>
        <w:t>As of September 30, 2021, our executive officers, directors, beneficial owners of 5% or more of our capital stock and their respective affiliates beneficially owned a substantial portion of our common stock. The voting power of this group may increase to the extent they convert shares of non-voting common stock they hold into common stock.</w:t>
      </w:r>
    </w:p>
    <w:p>
      <w:pPr>
        <w:spacing w:after="0" w:line="188" w:lineRule="exact"/>
        <w:rPr>
          <w:sz w:val="20"/>
          <w:szCs w:val="20"/>
          <w:color w:val="auto"/>
        </w:rPr>
      </w:pPr>
    </w:p>
    <w:p>
      <w:pPr>
        <w:ind w:firstLine="416"/>
        <w:spacing w:after="0" w:line="309" w:lineRule="auto"/>
        <w:rPr>
          <w:sz w:val="20"/>
          <w:szCs w:val="20"/>
          <w:color w:val="auto"/>
        </w:rPr>
      </w:pPr>
      <w:r>
        <w:rPr>
          <w:rFonts w:ascii="Arial" w:cs="Arial" w:eastAsia="Arial" w:hAnsi="Arial"/>
          <w:sz w:val="15"/>
          <w:szCs w:val="15"/>
          <w:color w:val="auto"/>
        </w:rPr>
        <w:t>This group of stockholders have the ability to control us through this ownership position and are able to determine all matters requiring stockholder approval. For example, these stockholders are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75" w:lineRule="exact"/>
        <w:rPr>
          <w:sz w:val="20"/>
          <w:szCs w:val="20"/>
          <w:color w:val="auto"/>
        </w:rPr>
      </w:pPr>
    </w:p>
    <w:p>
      <w:pPr>
        <w:ind w:left="420" w:right="440"/>
        <w:spacing w:after="0" w:line="265" w:lineRule="auto"/>
        <w:rPr>
          <w:sz w:val="20"/>
          <w:szCs w:val="20"/>
          <w:color w:val="auto"/>
        </w:rPr>
      </w:pPr>
      <w:r>
        <w:rPr>
          <w:rFonts w:ascii="Arial" w:cs="Arial" w:eastAsia="Arial" w:hAnsi="Arial"/>
          <w:sz w:val="18"/>
          <w:szCs w:val="18"/>
          <w:b w:val="1"/>
          <w:bCs w:val="1"/>
          <w:i w:val="1"/>
          <w:iCs w:val="1"/>
          <w:color w:val="auto"/>
        </w:rPr>
        <w:t>The dual class structure of our common stock may limit your ability to influence corporate matters and may limit your visibility with respect to certain transactions.</w:t>
      </w:r>
    </w:p>
    <w:p>
      <w:pPr>
        <w:spacing w:after="0" w:line="74" w:lineRule="exact"/>
        <w:rPr>
          <w:sz w:val="20"/>
          <w:szCs w:val="20"/>
          <w:color w:val="auto"/>
        </w:rPr>
      </w:pPr>
    </w:p>
    <w:p>
      <w:pPr>
        <w:ind w:right="40" w:firstLine="416"/>
        <w:spacing w:after="0" w:line="264" w:lineRule="auto"/>
        <w:rPr>
          <w:sz w:val="20"/>
          <w:szCs w:val="20"/>
          <w:color w:val="auto"/>
        </w:rPr>
      </w:pPr>
      <w:r>
        <w:rPr>
          <w:rFonts w:ascii="Arial" w:cs="Arial" w:eastAsia="Arial" w:hAnsi="Arial"/>
          <w:sz w:val="17"/>
          <w:szCs w:val="17"/>
          <w:color w:val="auto"/>
        </w:rPr>
        <w:t>The dual class structure of our common stock may limit your ability to influence corporate matters. Holders of our common stock are entitled to one vote per share, while holders of our non-voting common stock are not entitled to any votes. Nonetheless, each share of our non-voting common stock may be converted at any time into one share of our common stock at the option of its holder by providing written notice to us, subject to the limitations provided for in our restated certificate of incorporation. Consequently, if holders of our non-voting common stock exercise their option to make this conversion, this will have the effect of increasing the relative voting power of those prior holders of our non-voting common stock, and correspondingly decreasing the voting power of the holders of our common stock, which may limit your ability to influence corporate matters. For example, at September 30, 2021, the common stock will have 100% of the voting power, but if the holders of non-voting common stock were to convert all of their shares into common stock, the prior common stock would have 75.8% of the voting power, and the former non-voting common stock would represent 24.2% of the voting power. Additionally, stockholders who hold, in the aggregate, more than 10% of our common stock and non-voting common stock, but 10% or less of our common stock, and are not otherwise an insider of the company, may not be required to report changes in their ownership due to transactions in our non-voting common stock pursuant to Section 16(a) of the Securities Exchange Act of 1934, as amended, or the Exchange Act, and may not be subject to the short-swing profit provisions of Section 16(b) of the Exchange Act.</w:t>
      </w:r>
    </w:p>
    <w:p>
      <w:pPr>
        <w:spacing w:after="0" w:line="275" w:lineRule="exact"/>
        <w:rPr>
          <w:sz w:val="20"/>
          <w:szCs w:val="20"/>
          <w:color w:val="auto"/>
        </w:rPr>
      </w:pPr>
    </w:p>
    <w:p>
      <w:pPr>
        <w:ind w:left="420" w:right="620"/>
        <w:spacing w:after="0" w:line="366" w:lineRule="auto"/>
        <w:rPr>
          <w:sz w:val="20"/>
          <w:szCs w:val="20"/>
          <w:color w:val="auto"/>
        </w:rPr>
      </w:pPr>
      <w:r>
        <w:rPr>
          <w:rFonts w:ascii="Arial" w:cs="Arial" w:eastAsia="Arial" w:hAnsi="Arial"/>
          <w:sz w:val="15"/>
          <w:szCs w:val="15"/>
          <w:b w:val="1"/>
          <w:bCs w:val="1"/>
          <w:i w:val="1"/>
          <w:iCs w:val="1"/>
          <w:color w:val="auto"/>
        </w:rPr>
        <w:t>We are an “emerging growth company” and a “smaller reporting company” and we cannot be certain if the reduced reporting requirements applicable to emerging growth companies or smaller reporting companies will make our common stock less attractive to investors.</w:t>
      </w:r>
    </w:p>
    <w:p>
      <w:pPr>
        <w:spacing w:after="0" w:line="5" w:lineRule="exact"/>
        <w:rPr>
          <w:sz w:val="20"/>
          <w:szCs w:val="20"/>
          <w:color w:val="auto"/>
        </w:rPr>
      </w:pPr>
    </w:p>
    <w:p>
      <w:pPr>
        <w:ind w:right="20" w:firstLine="416"/>
        <w:spacing w:after="0" w:line="24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of 2002, as amended, or the Sarbanes-Oxley Act, (ii) reduced disclosure obligations regarding executive compensation in this Quarterly Report on Form 10-Q as well as our periodic reports and proxy statements and (iii)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this Quarterly Report on Form 10-Q.</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552" w:right="339" w:bottom="1440" w:gutter="0" w:footer="0" w:header="0"/>
        </w:sectPr>
      </w:pPr>
    </w:p>
    <w:bookmarkStart w:id="71" w:name="page72"/>
    <w:bookmarkEnd w:id="71"/>
    <w:p>
      <w:pPr>
        <w:ind w:firstLine="416"/>
        <w:spacing w:after="0" w:line="264" w:lineRule="auto"/>
        <w:rPr>
          <w:sz w:val="20"/>
          <w:szCs w:val="20"/>
          <w:color w:val="auto"/>
        </w:rPr>
      </w:pPr>
      <w:r>
        <w:rPr>
          <w:rFonts w:ascii="Arial" w:cs="Arial" w:eastAsia="Arial" w:hAnsi="Arial"/>
          <w:sz w:val="17"/>
          <w:szCs w:val="17"/>
          <w:color w:val="auto"/>
        </w:rPr>
        <w:t>We could be an emerging growth company until December 31, 2025, although circumstances could cause us to lose that status earlier, including if we are deemed to be a “large accelerated filer,” which occurs when the market value of our common stock that is held by non-affiliates equals or exceeds $700 million as of the prior June 30, or if we have total annual gross revenue of $1.07 billion or more during any fiscal year before that time, in which cases we would no longer be an emerging growth company as of the following December 31, or if we issue more than $1.0 billion in non-convertible debt during any three-year period before that time, in which case we would no longer be an emerging growth company immediately. Even after we no longer qualify as an emerging growth company, we may still qualify as a “smaller reporting company,” which would allow us to take advantage of many of the same exemptions from disclosure requirements, including not being required to comply with the auditor attestation requirements of Section 404 of the Sarbanes-Oxley Act, if our revenues remain less than $100.0 million, and reduced disclosure obligations regarding executive compensation in this Quarterly Report on Form 10-Q as well as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85" w:lineRule="exact"/>
        <w:rPr>
          <w:sz w:val="20"/>
          <w:szCs w:val="20"/>
          <w:color w:val="auto"/>
        </w:rPr>
      </w:pPr>
    </w:p>
    <w:p>
      <w:pPr>
        <w:ind w:right="20" w:firstLine="416"/>
        <w:spacing w:after="0" w:line="309" w:lineRule="auto"/>
        <w:rPr>
          <w:sz w:val="20"/>
          <w:szCs w:val="20"/>
          <w:color w:val="auto"/>
        </w:rPr>
      </w:pPr>
      <w:r>
        <w:rPr>
          <w:rFonts w:ascii="Arial" w:cs="Arial" w:eastAsia="Arial" w:hAnsi="Arial"/>
          <w:sz w:val="15"/>
          <w:szCs w:val="15"/>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55" w:lineRule="exact"/>
        <w:rPr>
          <w:sz w:val="20"/>
          <w:szCs w:val="20"/>
          <w:color w:val="auto"/>
        </w:rPr>
      </w:pPr>
    </w:p>
    <w:p>
      <w:pPr>
        <w:ind w:firstLine="416"/>
        <w:spacing w:after="0" w:line="299" w:lineRule="auto"/>
        <w:rPr>
          <w:sz w:val="20"/>
          <w:szCs w:val="20"/>
          <w:color w:val="auto"/>
        </w:rPr>
      </w:pPr>
      <w:r>
        <w:rPr>
          <w:rFonts w:ascii="Arial" w:cs="Arial" w:eastAsia="Arial" w:hAnsi="Arial"/>
          <w:sz w:val="15"/>
          <w:szCs w:val="15"/>
          <w:color w:val="auto"/>
        </w:rPr>
        <w:t>We are also a “smaller reporting company,” meaning that the market value of our stock held by non-affiliates is less than $700.0 million as of the prior June 30 and our annual revenue is less than $100.0 million during the most recently completed fiscal year. We may continue to be a smaller reporting company if either (i) the market value of our stock held by non-affiliates is less than $250.0 million or (ii) our annual revenue is less than $100.0 million during the most recently completed fiscal year and the market value of our stock held by non-affiliates is less than $700.0 million as of the prior June</w:t>
      </w:r>
    </w:p>
    <w:p>
      <w:pPr>
        <w:spacing w:after="0" w:line="2" w:lineRule="exact"/>
        <w:rPr>
          <w:sz w:val="20"/>
          <w:szCs w:val="20"/>
          <w:color w:val="auto"/>
        </w:rPr>
      </w:pPr>
    </w:p>
    <w:p>
      <w:pPr>
        <w:ind w:right="260" w:firstLine="6"/>
        <w:spacing w:after="0" w:line="267" w:lineRule="auto"/>
        <w:tabs>
          <w:tab w:leader="none" w:pos="267" w:val="left"/>
        </w:tabs>
        <w:numPr>
          <w:ilvl w:val="0"/>
          <w:numId w:val="47"/>
        </w:numPr>
        <w:rPr>
          <w:rFonts w:ascii="Arial" w:cs="Arial" w:eastAsia="Arial" w:hAnsi="Arial"/>
          <w:sz w:val="17"/>
          <w:szCs w:val="17"/>
          <w:color w:val="auto"/>
        </w:rPr>
      </w:pPr>
      <w:r>
        <w:rPr>
          <w:rFonts w:ascii="Arial" w:cs="Arial" w:eastAsia="Arial" w:hAnsi="Arial"/>
          <w:sz w:val="17"/>
          <w:szCs w:val="17"/>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274" w:lineRule="exact"/>
        <w:rPr>
          <w:sz w:val="20"/>
          <w:szCs w:val="20"/>
          <w:color w:val="auto"/>
        </w:rPr>
      </w:pPr>
    </w:p>
    <w:p>
      <w:pPr>
        <w:ind w:left="420" w:right="60"/>
        <w:spacing w:after="0" w:line="295"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prevent or delay an acquisition of us, which may be beneficial to our stockholders, and may prevent attempts by our stockholders to replace or remove our current management.</w:t>
      </w:r>
    </w:p>
    <w:p>
      <w:pPr>
        <w:spacing w:after="0" w:line="51" w:lineRule="exact"/>
        <w:rPr>
          <w:sz w:val="20"/>
          <w:szCs w:val="20"/>
          <w:color w:val="auto"/>
        </w:rPr>
      </w:pPr>
    </w:p>
    <w:p>
      <w:pPr>
        <w:jc w:val="both"/>
        <w:ind w:right="140" w:firstLine="416"/>
        <w:spacing w:after="0" w:line="256" w:lineRule="auto"/>
        <w:rPr>
          <w:sz w:val="20"/>
          <w:szCs w:val="20"/>
          <w:color w:val="auto"/>
        </w:rPr>
      </w:pPr>
      <w:r>
        <w:rPr>
          <w:rFonts w:ascii="Arial" w:cs="Arial" w:eastAsia="Arial" w:hAnsi="Arial"/>
          <w:sz w:val="18"/>
          <w:szCs w:val="18"/>
          <w:color w:val="auto"/>
        </w:rPr>
        <w:t>Our restated certificate of incorporation and our restated bylaws contain provisions that could delay or prevent a change in control of our company. These provisions could also make it difficult for stockholders to elect directors who are not nominated by current members of our board of directors or take other corporate actions, including effecting changes in our management. These provisions:</w:t>
      </w:r>
    </w:p>
    <w:p>
      <w:pPr>
        <w:spacing w:after="0" w:line="55" w:lineRule="exact"/>
        <w:rPr>
          <w:sz w:val="20"/>
          <w:szCs w:val="20"/>
          <w:color w:val="auto"/>
        </w:rPr>
      </w:pPr>
    </w:p>
    <w:p>
      <w:pPr>
        <w:ind w:left="820" w:hanging="402"/>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require super-majority voting to amend some provisions in our restated certificate of incorporation and restated bylaws;</w:t>
      </w:r>
    </w:p>
    <w:p>
      <w:pPr>
        <w:spacing w:after="0" w:line="85" w:lineRule="exact"/>
        <w:rPr>
          <w:sz w:val="20"/>
          <w:szCs w:val="20"/>
          <w:color w:val="auto"/>
        </w:rPr>
      </w:pPr>
    </w:p>
    <w:p>
      <w:pPr>
        <w:ind w:left="420"/>
        <w:spacing w:after="0"/>
        <w:tabs>
          <w:tab w:leader="none" w:pos="80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authorize the issuance of “blank check” preferred stock that our board could use to implement a stockholder rights plan;</w:t>
      </w:r>
    </w:p>
    <w:p>
      <w:pPr>
        <w:spacing w:after="0" w:line="85" w:lineRule="exact"/>
        <w:rPr>
          <w:sz w:val="20"/>
          <w:szCs w:val="20"/>
          <w:color w:val="auto"/>
        </w:rPr>
      </w:pPr>
    </w:p>
    <w:p>
      <w:pPr>
        <w:ind w:left="820" w:hanging="402"/>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1" w:lineRule="exact"/>
        <w:rPr>
          <w:rFonts w:ascii="Arial" w:cs="Arial" w:eastAsia="Arial" w:hAnsi="Arial"/>
          <w:sz w:val="18"/>
          <w:szCs w:val="18"/>
          <w:color w:val="auto"/>
        </w:rPr>
      </w:pPr>
    </w:p>
    <w:p>
      <w:pPr>
        <w:ind w:left="820" w:hanging="402"/>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85" w:lineRule="exact"/>
        <w:rPr>
          <w:rFonts w:ascii="Arial" w:cs="Arial" w:eastAsia="Arial" w:hAnsi="Arial"/>
          <w:sz w:val="18"/>
          <w:szCs w:val="18"/>
          <w:color w:val="auto"/>
        </w:rPr>
      </w:pPr>
    </w:p>
    <w:p>
      <w:pPr>
        <w:ind w:left="820" w:hanging="402"/>
        <w:spacing w:after="0"/>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prohibit cumulative voting; and</w:t>
      </w:r>
    </w:p>
    <w:p>
      <w:pPr>
        <w:spacing w:after="0" w:line="111" w:lineRule="exact"/>
        <w:rPr>
          <w:rFonts w:ascii="Arial" w:cs="Arial" w:eastAsia="Arial" w:hAnsi="Arial"/>
          <w:sz w:val="18"/>
          <w:szCs w:val="18"/>
          <w:color w:val="auto"/>
        </w:rPr>
      </w:pPr>
    </w:p>
    <w:p>
      <w:pPr>
        <w:ind w:left="820" w:right="600" w:hanging="402"/>
        <w:spacing w:after="0" w:line="265" w:lineRule="auto"/>
        <w:tabs>
          <w:tab w:leader="none" w:pos="8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552" w:right="379" w:bottom="1440" w:gutter="0" w:footer="0" w:header="0"/>
        </w:sectPr>
      </w:pPr>
    </w:p>
    <w:bookmarkStart w:id="72" w:name="page73"/>
    <w:bookmarkEnd w:id="72"/>
    <w:p>
      <w:pPr>
        <w:ind w:right="200" w:firstLine="416"/>
        <w:spacing w:after="0" w:line="256" w:lineRule="auto"/>
        <w:rPr>
          <w:sz w:val="20"/>
          <w:szCs w:val="20"/>
          <w:color w:val="auto"/>
        </w:rPr>
      </w:pPr>
      <w:r>
        <w:rPr>
          <w:rFonts w:ascii="Arial" w:cs="Arial" w:eastAsia="Arial" w:hAnsi="Arial"/>
          <w:sz w:val="18"/>
          <w:szCs w:val="18"/>
          <w:color w:val="auto"/>
        </w:rPr>
        <w:t>In addition, Section 203 of the Delaware General Corporation Law, or DGCL, may discourage, delay or prevent a change in control of our company. Section 203 imposes certain restrictions on mergers, business combinations and other transactions between us and holders of 15% or more of our common stock.</w:t>
      </w:r>
    </w:p>
    <w:p>
      <w:pPr>
        <w:spacing w:after="0" w:line="267" w:lineRule="exact"/>
        <w:rPr>
          <w:sz w:val="20"/>
          <w:szCs w:val="20"/>
          <w:color w:val="auto"/>
        </w:rPr>
      </w:pPr>
    </w:p>
    <w:p>
      <w:pPr>
        <w:ind w:left="420" w:right="280"/>
        <w:spacing w:after="0" w:line="351" w:lineRule="auto"/>
        <w:rPr>
          <w:sz w:val="20"/>
          <w:szCs w:val="20"/>
          <w:color w:val="auto"/>
        </w:rPr>
      </w:pPr>
      <w:r>
        <w:rPr>
          <w:rFonts w:ascii="Arial" w:cs="Arial" w:eastAsia="Arial" w:hAnsi="Arial"/>
          <w:sz w:val="15"/>
          <w:szCs w:val="15"/>
          <w:b w:val="1"/>
          <w:bCs w:val="1"/>
          <w:i w:val="1"/>
          <w:iCs w:val="1"/>
          <w:color w:val="auto"/>
        </w:rPr>
        <w:t>The exclusive forum provision in our organizational documents may limit a stockholder’s ability to bring a claim in a judicial forum that it finds favorable for disputes with us or any of our directors, officers, or other employees, which may discourage lawsuits with respect to such claims.</w:t>
      </w:r>
    </w:p>
    <w:p>
      <w:pPr>
        <w:ind w:firstLine="416"/>
        <w:spacing w:after="0" w:line="269" w:lineRule="auto"/>
        <w:rPr>
          <w:sz w:val="20"/>
          <w:szCs w:val="20"/>
          <w:color w:val="auto"/>
        </w:rPr>
      </w:pPr>
      <w:r>
        <w:rPr>
          <w:rFonts w:ascii="Arial" w:cs="Arial" w:eastAsia="Arial" w:hAnsi="Arial"/>
          <w:sz w:val="17"/>
          <w:szCs w:val="17"/>
          <w:color w:val="auto"/>
        </w:rPr>
        <w:t>Our restated certificate of incorporation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of incorporation, or our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w:t>
      </w:r>
    </w:p>
    <w:p>
      <w:pPr>
        <w:spacing w:after="0" w:line="153" w:lineRule="exact"/>
        <w:rPr>
          <w:sz w:val="20"/>
          <w:szCs w:val="20"/>
          <w:color w:val="auto"/>
        </w:rPr>
      </w:pPr>
    </w:p>
    <w:p>
      <w:pPr>
        <w:jc w:val="both"/>
        <w:ind w:right="20" w:firstLine="416"/>
        <w:spacing w:after="0" w:line="319" w:lineRule="auto"/>
        <w:rPr>
          <w:sz w:val="20"/>
          <w:szCs w:val="20"/>
          <w:color w:val="auto"/>
        </w:rPr>
      </w:pPr>
      <w:r>
        <w:rPr>
          <w:rFonts w:ascii="Arial" w:cs="Arial" w:eastAsia="Arial" w:hAnsi="Arial"/>
          <w:sz w:val="15"/>
          <w:szCs w:val="15"/>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19" w:lineRule="exact"/>
        <w:rPr>
          <w:sz w:val="20"/>
          <w:szCs w:val="20"/>
          <w:color w:val="auto"/>
        </w:rPr>
      </w:pPr>
    </w:p>
    <w:p>
      <w:pPr>
        <w:ind w:right="40" w:firstLine="416"/>
        <w:spacing w:after="0" w:line="249"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a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41" w:lineRule="exact"/>
        <w:rPr>
          <w:sz w:val="20"/>
          <w:szCs w:val="20"/>
          <w:color w:val="auto"/>
        </w:rPr>
      </w:pPr>
    </w:p>
    <w:p>
      <w:pPr>
        <w:ind w:right="160" w:firstLine="416"/>
        <w:spacing w:after="0" w:line="252" w:lineRule="auto"/>
        <w:rPr>
          <w:sz w:val="20"/>
          <w:szCs w:val="20"/>
          <w:color w:val="auto"/>
        </w:rPr>
      </w:pPr>
      <w:r>
        <w:rPr>
          <w:rFonts w:ascii="Arial" w:cs="Arial" w:eastAsia="Arial" w:hAnsi="Arial"/>
          <w:sz w:val="18"/>
          <w:szCs w:val="18"/>
          <w:color w:val="auto"/>
        </w:rPr>
        <w:t>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5"/>
          <w:szCs w:val="15"/>
          <w:color w:val="auto"/>
        </w:rPr>
        <w:t>Our stockholders will not be deemed to have waived our compliance with the federal securities laws and the regulations promulgated thereunder.</w:t>
      </w:r>
    </w:p>
    <w:p>
      <w:pPr>
        <w:spacing w:after="0" w:line="199" w:lineRule="exact"/>
        <w:rPr>
          <w:sz w:val="20"/>
          <w:szCs w:val="20"/>
          <w:color w:val="auto"/>
        </w:rPr>
      </w:pPr>
    </w:p>
    <w:p>
      <w:pPr>
        <w:ind w:right="80" w:firstLine="416"/>
        <w:spacing w:after="0" w:line="252"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w:t>
      </w:r>
    </w:p>
    <w:p>
      <w:pPr>
        <w:spacing w:after="0" w:line="220" w:lineRule="exact"/>
        <w:rPr>
          <w:sz w:val="20"/>
          <w:szCs w:val="20"/>
          <w:color w:val="auto"/>
        </w:rPr>
      </w:pPr>
    </w:p>
    <w:p>
      <w:pPr>
        <w:ind w:left="420" w:right="200"/>
        <w:spacing w:after="0" w:line="265" w:lineRule="auto"/>
        <w:rPr>
          <w:sz w:val="20"/>
          <w:szCs w:val="20"/>
          <w:color w:val="auto"/>
        </w:rPr>
      </w:pPr>
      <w:r>
        <w:rPr>
          <w:rFonts w:ascii="Arial" w:cs="Arial" w:eastAsia="Arial" w:hAnsi="Arial"/>
          <w:sz w:val="18"/>
          <w:szCs w:val="18"/>
          <w:b w:val="1"/>
          <w:bCs w:val="1"/>
          <w:i w:val="1"/>
          <w:iCs w:val="1"/>
          <w:color w:val="auto"/>
        </w:rPr>
        <w:t>We will continue to incur increased costs as a result of operating as a public company, and our management will be required to devote substantial time to new compliance initiatives and corporate governance practices.</w:t>
      </w:r>
    </w:p>
    <w:p>
      <w:pPr>
        <w:spacing w:after="0" w:line="34" w:lineRule="exact"/>
        <w:rPr>
          <w:sz w:val="20"/>
          <w:szCs w:val="20"/>
          <w:color w:val="auto"/>
        </w:rPr>
      </w:pPr>
    </w:p>
    <w:p>
      <w:pPr>
        <w:ind w:right="20" w:firstLine="416"/>
        <w:spacing w:after="0" w:line="305" w:lineRule="auto"/>
        <w:rPr>
          <w:sz w:val="20"/>
          <w:szCs w:val="20"/>
          <w:color w:val="auto"/>
        </w:rPr>
      </w:pPr>
      <w:r>
        <w:rPr>
          <w:rFonts w:ascii="Arial" w:cs="Arial" w:eastAsia="Arial" w:hAnsi="Arial"/>
          <w:sz w:val="15"/>
          <w:szCs w:val="15"/>
          <w:color w:val="auto"/>
        </w:rPr>
        <w:t>As a public company, and particularly after we are no longer an emerging growth company, we will continue to incur significant legal, accounting and other expenses that we did not incur as a private company.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we expect these rules and regulations to substantially increase our legal and financial compliance costs and to make some activities more time consuming and costly. For example, we expect that these rules and regulations may make it more difficult and more expensive for us to obtain director and officer liability insurance and we may be required to incur substantial costs to maintain sufficient coverage. We cannot predict or estimate</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26" w:right="359" w:bottom="1440" w:gutter="0" w:footer="0" w:header="0"/>
        </w:sectPr>
      </w:pPr>
    </w:p>
    <w:bookmarkStart w:id="73" w:name="page74"/>
    <w:bookmarkEnd w:id="73"/>
    <w:p>
      <w:pPr>
        <w:ind w:right="20"/>
        <w:spacing w:after="0" w:line="267" w:lineRule="auto"/>
        <w:rPr>
          <w:sz w:val="20"/>
          <w:szCs w:val="20"/>
          <w:color w:val="auto"/>
        </w:rPr>
      </w:pPr>
      <w:r>
        <w:rPr>
          <w:rFonts w:ascii="Arial" w:cs="Arial" w:eastAsia="Arial" w:hAnsi="Arial"/>
          <w:sz w:val="17"/>
          <w:szCs w:val="17"/>
          <w:color w:val="auto"/>
        </w:rPr>
        <w:t>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30" w:lineRule="exact"/>
        <w:rPr>
          <w:sz w:val="20"/>
          <w:szCs w:val="20"/>
          <w:color w:val="auto"/>
        </w:rPr>
      </w:pPr>
    </w:p>
    <w:p>
      <w:pPr>
        <w:ind w:firstLine="416"/>
        <w:spacing w:after="0" w:line="296" w:lineRule="auto"/>
        <w:rPr>
          <w:sz w:val="20"/>
          <w:szCs w:val="20"/>
          <w:color w:val="auto"/>
        </w:rPr>
      </w:pPr>
      <w:r>
        <w:rPr>
          <w:rFonts w:ascii="Arial" w:cs="Arial" w:eastAsia="Arial" w:hAnsi="Arial"/>
          <w:sz w:val="15"/>
          <w:szCs w:val="15"/>
          <w:color w:val="auto"/>
        </w:rPr>
        <w:t>We are not currently required to comply with the SEC’s rules that implement Section 404 of the Sarbanes- Oxley Act, and are therefore not required to make a formal assessment of the effectiveness of our internal control over financial reporting for that purpose. Pursuant to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Sarbanes-Oxley Act.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This process will be time-consuming, costly and complicated. Despite our efforts, there is a risk that we will not be able to conclude, within the prescribed timeframe or at all, that our internal control over financial reporting is effective as required by Section</w:t>
      </w:r>
    </w:p>
    <w:p>
      <w:pPr>
        <w:spacing w:after="0" w:line="8" w:lineRule="exact"/>
        <w:rPr>
          <w:sz w:val="20"/>
          <w:szCs w:val="20"/>
          <w:color w:val="auto"/>
        </w:rPr>
      </w:pPr>
    </w:p>
    <w:p>
      <w:pPr>
        <w:ind w:right="520" w:firstLine="6"/>
        <w:spacing w:after="0" w:line="249" w:lineRule="auto"/>
        <w:tabs>
          <w:tab w:leader="none" w:pos="362" w:val="left"/>
        </w:tabs>
        <w:numPr>
          <w:ilvl w:val="0"/>
          <w:numId w:val="50"/>
        </w:numPr>
        <w:rPr>
          <w:rFonts w:ascii="Arial" w:cs="Arial" w:eastAsia="Arial" w:hAnsi="Arial"/>
          <w:sz w:val="18"/>
          <w:szCs w:val="18"/>
          <w:color w:val="auto"/>
        </w:rPr>
      </w:pPr>
      <w:r>
        <w:rPr>
          <w:rFonts w:ascii="Arial" w:cs="Arial" w:eastAsia="Arial" w:hAnsi="Arial"/>
          <w:sz w:val="18"/>
          <w:szCs w:val="18"/>
          <w:color w:val="auto"/>
        </w:rPr>
        <w:t>If we identify one or more material weaknesses, it could result in an adverse reaction in the financial markets due to a loss of confidence in the reliability of our financial statements. In addition, if we are not able to continue to meet these requirements, we may not be able to remain listed on the Nasdaq Global Select Market.</w:t>
      </w:r>
    </w:p>
    <w:p>
      <w:pPr>
        <w:spacing w:after="0" w:line="287" w:lineRule="exact"/>
        <w:rPr>
          <w:sz w:val="20"/>
          <w:szCs w:val="20"/>
          <w:color w:val="auto"/>
        </w:rPr>
      </w:pPr>
    </w:p>
    <w:p>
      <w:pPr>
        <w:ind w:left="420" w:right="100"/>
        <w:spacing w:after="0" w:line="26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74" w:lineRule="exact"/>
        <w:rPr>
          <w:sz w:val="20"/>
          <w:szCs w:val="20"/>
          <w:color w:val="auto"/>
        </w:rPr>
      </w:pPr>
    </w:p>
    <w:p>
      <w:pPr>
        <w:ind w:right="140" w:firstLine="416"/>
        <w:spacing w:after="0" w:line="278"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operation and expansion of our business and do not anticipate declaring or paying any cash dividends for the foreseeable future. As a result, capital appreciation, if any, of our common stock will be your sole source of gain for the foreseeable future.</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118" w:lineRule="exact"/>
        <w:rPr>
          <w:sz w:val="20"/>
          <w:szCs w:val="20"/>
          <w:color w:val="auto"/>
        </w:rPr>
      </w:pPr>
    </w:p>
    <w:p>
      <w:pPr>
        <w:ind w:left="420" w:right="120"/>
        <w:spacing w:after="0" w:line="26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74" w:lineRule="exact"/>
        <w:rPr>
          <w:sz w:val="20"/>
          <w:szCs w:val="20"/>
          <w:color w:val="auto"/>
        </w:rPr>
      </w:pPr>
    </w:p>
    <w:p>
      <w:pPr>
        <w:ind w:right="80" w:firstLine="416"/>
        <w:spacing w:after="0" w:line="309" w:lineRule="auto"/>
        <w:rPr>
          <w:sz w:val="20"/>
          <w:szCs w:val="20"/>
          <w:color w:val="auto"/>
        </w:rPr>
      </w:pPr>
      <w:r>
        <w:rPr>
          <w:rFonts w:ascii="Arial" w:cs="Arial" w:eastAsia="Arial" w:hAnsi="Arial"/>
          <w:sz w:val="15"/>
          <w:szCs w:val="15"/>
          <w:color w:val="auto"/>
        </w:rPr>
        <w:t>The trading market for our common stock will be influenced by the research and reports that industry or securities analysts publish about us or our business. If no or few securities or industry analysts commence coverage of us, the trading price for our common stock could be impacted negatively. In the event we obtain securities or industry analyst coverage, if any of the analysts who cover us issue an adverse or misleading opinion regarding us, our business model, our intellectual property or our stock performance, or if our preclinical studies and clinical trials and operating results fail to meet the expectations of analysts, our stock price would likely decline. If one or more of such analysts cease coverage of us or fail to publish reports on us regularly, we could lose visibility in the financial markets, which in turn could cause a decline in our stock price or trading volume.</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12" w:lineRule="exact"/>
        <w:rPr>
          <w:sz w:val="20"/>
          <w:szCs w:val="20"/>
          <w:color w:val="auto"/>
        </w:rPr>
      </w:pPr>
    </w:p>
    <w:p>
      <w:pPr>
        <w:ind w:right="260" w:firstLine="416"/>
        <w:spacing w:after="0" w:line="251" w:lineRule="auto"/>
        <w:rPr>
          <w:sz w:val="20"/>
          <w:szCs w:val="20"/>
          <w:color w:val="auto"/>
        </w:rPr>
      </w:pPr>
      <w:r>
        <w:rPr>
          <w:rFonts w:ascii="Arial" w:cs="Arial" w:eastAsia="Arial" w:hAnsi="Arial"/>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406" w:right="359" w:bottom="1440" w:gutter="0" w:footer="0" w:header="0"/>
        </w:sectPr>
      </w:pPr>
    </w:p>
    <w:bookmarkStart w:id="74" w:name="page75"/>
    <w:bookmarkEnd w:id="74"/>
    <w:p>
      <w:pPr>
        <w:ind w:right="80" w:firstLine="416"/>
        <w:spacing w:after="0" w:line="250"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In addition, we do not have a risk management program or processes or procedures for identifying and addressing risks to our business in other areas.</w:t>
      </w:r>
    </w:p>
    <w:p>
      <w:pPr>
        <w:spacing w:after="0" w:line="19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112" w:lineRule="exact"/>
        <w:rPr>
          <w:sz w:val="20"/>
          <w:szCs w:val="20"/>
          <w:color w:val="auto"/>
        </w:rPr>
      </w:pPr>
    </w:p>
    <w:p>
      <w:pPr>
        <w:ind w:firstLine="416"/>
        <w:spacing w:after="0" w:line="251" w:lineRule="auto"/>
        <w:rPr>
          <w:sz w:val="20"/>
          <w:szCs w:val="20"/>
          <w:color w:val="auto"/>
        </w:rPr>
      </w:pPr>
      <w:r>
        <w:rPr>
          <w:rFonts w:ascii="Arial" w:cs="Arial" w:eastAsia="Arial" w:hAnsi="Arial"/>
          <w:sz w:val="18"/>
          <w:szCs w:val="18"/>
          <w:color w:val="auto"/>
        </w:rPr>
        <w:t>The market price of our common stock may be volatile. The stock market in general, and Nasdaq and biopharmaceutical companies in particular, have experienced extreme price and volume fluctuations that have often been unrelated or disproportionate to the operating performance of these companies.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2" w:lineRule="exact"/>
        <w:rPr>
          <w:sz w:val="20"/>
          <w:szCs w:val="20"/>
          <w:color w:val="auto"/>
        </w:rPr>
      </w:pPr>
    </w:p>
    <w:p>
      <w:pPr>
        <w:ind w:right="40" w:firstLine="479"/>
        <w:spacing w:after="0" w:line="307" w:lineRule="auto"/>
        <w:rPr>
          <w:sz w:val="20"/>
          <w:szCs w:val="20"/>
          <w:color w:val="auto"/>
        </w:rPr>
      </w:pPr>
      <w:r>
        <w:rPr>
          <w:rFonts w:ascii="Arial" w:cs="Arial" w:eastAsia="Arial" w:hAnsi="Arial"/>
          <w:sz w:val="15"/>
          <w:szCs w:val="15"/>
          <w:color w:val="auto"/>
        </w:rPr>
        <w:t>In the third quarter of 2020, we completed our IPO and sold 9,573,750 shares of common stock at an IPO price of $19.00 per share. The offer and sale of all of the shares in the IPO were registered under the Securities Act pursuant to registration statements on Form S-1 (File No. 333-248628), which was declared effective by the SEC on September 24, 2020, as supplemented by a registration statement on Form S-1 filed pursuant to Rule 462(b) (File No. 333-248628). We received net proceeds from the IPO of approximately $166.6 million, after deducting underwriting discounts and commissions of approximately $12.7 million and offering expenses of approximately $2.5 million. Morgan Stanley, Goldman Sachs &amp; Co. LLC and BofA Securities acted as joint book-running managers of the offering and as representatives of the underwriters. None of the expenses associated with the IPO were paid to directors, officers, persons owning 10% or more of any class of equity securities, or to their associates, or to our affiliates.</w:t>
      </w:r>
    </w:p>
    <w:p>
      <w:pPr>
        <w:spacing w:after="0" w:line="155" w:lineRule="exact"/>
        <w:rPr>
          <w:sz w:val="20"/>
          <w:szCs w:val="20"/>
          <w:color w:val="auto"/>
        </w:rPr>
      </w:pPr>
    </w:p>
    <w:p>
      <w:pPr>
        <w:ind w:right="740" w:firstLine="479"/>
        <w:spacing w:after="0" w:line="265" w:lineRule="auto"/>
        <w:rPr>
          <w:sz w:val="20"/>
          <w:szCs w:val="20"/>
          <w:color w:val="auto"/>
        </w:rPr>
      </w:pPr>
      <w:r>
        <w:rPr>
          <w:rFonts w:ascii="Arial" w:cs="Arial" w:eastAsia="Arial" w:hAnsi="Arial"/>
          <w:sz w:val="18"/>
          <w:szCs w:val="18"/>
          <w:color w:val="auto"/>
        </w:rPr>
        <w:t>There has been no material change in the planned use of proceeds from our IPO as described in the prospectus filed with the SEC pursuant to Rule 424(b)(4) under the Securities Act on September 25, 2020.</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552" w:right="3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Item 6. Exhibits.</w:t>
      </w:r>
    </w:p>
    <w:p>
      <w:pPr>
        <w:spacing w:after="0" w:line="11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Furnish the exhibits required by Item 601 of Regulation S-K (§ 229.601 of this chapter).</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ind w:left="220"/>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100" w:type="dxa"/>
            <w:vAlign w:val="bottom"/>
            <w:gridSpan w:val="8"/>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Form</w:t>
            </w:r>
          </w:p>
        </w:tc>
        <w:tc>
          <w:tcPr>
            <w:tcW w:w="840" w:type="dxa"/>
            <w:vAlign w:val="bottom"/>
          </w:tcPr>
          <w:p>
            <w:pPr>
              <w:ind w:left="180"/>
              <w:spacing w:after="0"/>
              <w:rPr>
                <w:sz w:val="20"/>
                <w:szCs w:val="20"/>
                <w:color w:val="auto"/>
              </w:rPr>
            </w:pPr>
            <w:r>
              <w:rPr>
                <w:rFonts w:ascii="Arial" w:cs="Arial" w:eastAsia="Arial" w:hAnsi="Arial"/>
                <w:sz w:val="14"/>
                <w:szCs w:val="14"/>
                <w:b w:val="1"/>
                <w:bCs w:val="1"/>
                <w:color w:val="auto"/>
              </w:rPr>
              <w:t>File No.</w:t>
            </w:r>
          </w:p>
        </w:tc>
        <w:tc>
          <w:tcPr>
            <w:tcW w:w="2000" w:type="dxa"/>
            <w:vAlign w:val="bottom"/>
          </w:tcPr>
          <w:p>
            <w:pPr>
              <w:ind w:left="200"/>
              <w:spacing w:after="0"/>
              <w:rPr>
                <w:sz w:val="20"/>
                <w:szCs w:val="20"/>
                <w:color w:val="auto"/>
              </w:rPr>
            </w:pPr>
            <w:r>
              <w:rPr>
                <w:rFonts w:ascii="Arial" w:cs="Arial" w:eastAsia="Arial" w:hAnsi="Arial"/>
                <w:sz w:val="14"/>
                <w:szCs w:val="14"/>
                <w:b w:val="1"/>
                <w:bCs w:val="1"/>
                <w:color w:val="auto"/>
              </w:rPr>
              <w:t>Exhibit No.  Exhibit Filing</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3"/>
              </w:rPr>
              <w:t>Filed/Furnished</w:t>
            </w:r>
          </w:p>
        </w:tc>
        <w:tc>
          <w:tcPr>
            <w:tcW w:w="0" w:type="dxa"/>
            <w:vAlign w:val="bottom"/>
          </w:tcPr>
          <w:p>
            <w:pPr>
              <w:spacing w:after="0"/>
              <w:rPr>
                <w:sz w:val="1"/>
                <w:szCs w:val="1"/>
                <w:color w:val="auto"/>
              </w:rPr>
            </w:pPr>
          </w:p>
        </w:tc>
      </w:tr>
      <w:tr>
        <w:trPr>
          <w:trHeight w:val="169"/>
        </w:trPr>
        <w:tc>
          <w:tcPr>
            <w:tcW w:w="9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5100" w:type="dxa"/>
            <w:vAlign w:val="bottom"/>
            <w:tcBorders>
              <w:bottom w:val="single" w:sz="8" w:color="auto"/>
            </w:tcBorders>
            <w:gridSpan w:val="8"/>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tcPr>
          <w:p>
            <w:pPr>
              <w:ind w:left="1320"/>
              <w:spacing w:after="0"/>
              <w:rPr>
                <w:sz w:val="20"/>
                <w:szCs w:val="20"/>
                <w:color w:val="auto"/>
              </w:rPr>
            </w:pPr>
            <w:r>
              <w:rPr>
                <w:rFonts w:ascii="Arial" w:cs="Arial" w:eastAsia="Arial" w:hAnsi="Arial"/>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rPr>
                <w:sz w:val="1"/>
                <w:szCs w:val="1"/>
                <w:color w:val="auto"/>
              </w:rPr>
            </w:pPr>
          </w:p>
        </w:tc>
      </w:tr>
      <w:tr>
        <w:trPr>
          <w:trHeight w:val="179"/>
        </w:trPr>
        <w:tc>
          <w:tcPr>
            <w:tcW w:w="900" w:type="dxa"/>
            <w:vAlign w:val="bottom"/>
          </w:tcPr>
          <w:p>
            <w:pPr>
              <w:spacing w:after="0" w:line="179" w:lineRule="exact"/>
              <w:rPr>
                <w:sz w:val="20"/>
                <w:szCs w:val="20"/>
                <w:color w:val="auto"/>
              </w:rPr>
            </w:pPr>
            <w:r>
              <w:rPr>
                <w:rFonts w:ascii="Arial" w:cs="Arial" w:eastAsia="Arial" w:hAnsi="Arial"/>
                <w:sz w:val="18"/>
                <w:szCs w:val="18"/>
                <w:color w:val="auto"/>
              </w:rPr>
              <w:t>31.1</w:t>
            </w:r>
          </w:p>
        </w:tc>
        <w:tc>
          <w:tcPr>
            <w:tcW w:w="80" w:type="dxa"/>
            <w:vAlign w:val="bottom"/>
          </w:tcPr>
          <w:p>
            <w:pPr>
              <w:spacing w:after="0"/>
              <w:rPr>
                <w:sz w:val="15"/>
                <w:szCs w:val="15"/>
                <w:color w:val="auto"/>
              </w:rPr>
            </w:pPr>
          </w:p>
        </w:tc>
        <w:tc>
          <w:tcPr>
            <w:tcW w:w="5500" w:type="dxa"/>
            <w:vAlign w:val="bottom"/>
            <w:gridSpan w:val="9"/>
          </w:tcPr>
          <w:p>
            <w:pPr>
              <w:spacing w:after="0" w:line="179" w:lineRule="exact"/>
              <w:rPr>
                <w:rFonts w:ascii="Arial" w:cs="Arial" w:eastAsia="Arial" w:hAnsi="Arial"/>
                <w:sz w:val="18"/>
                <w:szCs w:val="18"/>
                <w:color w:val="0000EE"/>
                <w:w w:val="91"/>
              </w:rPr>
            </w:pPr>
            <w:hyperlink w:anchor="page78">
              <w:r>
                <w:rPr>
                  <w:rFonts w:ascii="Arial" w:cs="Arial" w:eastAsia="Arial" w:hAnsi="Arial"/>
                  <w:sz w:val="18"/>
                  <w:szCs w:val="18"/>
                  <w:color w:val="0000EE"/>
                  <w:w w:val="91"/>
                </w:rPr>
                <w:t>Certification of Principal Executive Officer Pursuant to Rules 13a-14(a) and</w:t>
              </w:r>
            </w:hyperlink>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79"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0" w:type="dxa"/>
            <w:vAlign w:val="bottom"/>
            <w:tcBorders>
              <w:top w:val="single" w:sz="8" w:color="0000EE"/>
            </w:tcBorders>
            <w:gridSpan w:val="8"/>
          </w:tcPr>
          <w:p>
            <w:pPr>
              <w:spacing w:after="0" w:line="193"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15d-14(a) under the Securities Exchange Act of 1934, as Adopted Pursuant</w:t>
              </w:r>
            </w:hyperlink>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to Section 302 of the Sarbanes-Oxley Act of 2002.</w:t>
              </w:r>
            </w:hyperlink>
          </w:p>
        </w:tc>
        <w:tc>
          <w:tcPr>
            <w:tcW w:w="1740" w:type="dxa"/>
            <w:vAlign w:val="bottom"/>
            <w:tcBorders>
              <w:top w:val="single" w:sz="8" w:color="0000EE"/>
            </w:tcBorders>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line="206" w:lineRule="exact"/>
              <w:rPr>
                <w:sz w:val="20"/>
                <w:szCs w:val="20"/>
                <w:color w:val="auto"/>
              </w:rPr>
            </w:pPr>
            <w:r>
              <w:rPr>
                <w:rFonts w:ascii="Arial" w:cs="Arial" w:eastAsia="Arial" w:hAnsi="Arial"/>
                <w:sz w:val="18"/>
                <w:szCs w:val="18"/>
                <w:color w:val="auto"/>
              </w:rPr>
              <w:t>31.2</w:t>
            </w:r>
          </w:p>
        </w:tc>
        <w:tc>
          <w:tcPr>
            <w:tcW w:w="80" w:type="dxa"/>
            <w:vAlign w:val="bottom"/>
          </w:tcPr>
          <w:p>
            <w:pPr>
              <w:spacing w:after="0"/>
              <w:rPr>
                <w:sz w:val="17"/>
                <w:szCs w:val="17"/>
                <w:color w:val="auto"/>
              </w:rPr>
            </w:pPr>
          </w:p>
        </w:tc>
        <w:tc>
          <w:tcPr>
            <w:tcW w:w="5360" w:type="dxa"/>
            <w:vAlign w:val="bottom"/>
            <w:tcBorders>
              <w:bottom w:val="single" w:sz="8" w:color="0000EE"/>
            </w:tcBorders>
            <w:gridSpan w:val="7"/>
          </w:tcPr>
          <w:p>
            <w:pPr>
              <w:spacing w:after="0" w:line="206"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Certification of Principal Financial Officer Pursuant to Rules 13a-14(a) and</w:t>
              </w:r>
            </w:hyperlink>
          </w:p>
        </w:tc>
        <w:tc>
          <w:tcPr>
            <w:tcW w:w="1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20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9"/>
          </w:tcPr>
          <w:p>
            <w:pPr>
              <w:spacing w:after="0" w:line="193" w:lineRule="exact"/>
              <w:rPr>
                <w:rFonts w:ascii="Arial" w:cs="Arial" w:eastAsia="Arial" w:hAnsi="Arial"/>
                <w:sz w:val="18"/>
                <w:szCs w:val="18"/>
                <w:color w:val="0000EE"/>
                <w:w w:val="90"/>
              </w:rPr>
            </w:pPr>
            <w:hyperlink w:anchor="page79">
              <w:r>
                <w:rPr>
                  <w:rFonts w:ascii="Arial" w:cs="Arial" w:eastAsia="Arial" w:hAnsi="Arial"/>
                  <w:sz w:val="18"/>
                  <w:szCs w:val="18"/>
                  <w:color w:val="0000EE"/>
                  <w:w w:val="90"/>
                </w:rPr>
                <w:t>15d-14(a) under the Securities Exchange Act of 1934, as Adopted Pursuant</w:t>
              </w:r>
            </w:hyperlink>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to Section 302 of the Sarbanes-Oxley Act of 2002.</w:t>
              </w:r>
            </w:hyperlink>
          </w:p>
        </w:tc>
        <w:tc>
          <w:tcPr>
            <w:tcW w:w="1740" w:type="dxa"/>
            <w:vAlign w:val="bottom"/>
            <w:tcBorders>
              <w:top w:val="single" w:sz="8" w:color="0000EE"/>
            </w:tcBorders>
            <w:gridSpan w:val="4"/>
          </w:tcPr>
          <w:p>
            <w:pPr>
              <w:spacing w:after="0"/>
              <w:rPr>
                <w:sz w:val="16"/>
                <w:szCs w:val="16"/>
                <w:color w:val="auto"/>
              </w:rPr>
            </w:pPr>
          </w:p>
        </w:tc>
        <w:tc>
          <w:tcPr>
            <w:tcW w:w="160" w:type="dxa"/>
            <w:vAlign w:val="bottom"/>
            <w:gridSpan w:val="3"/>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line="206"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17"/>
                <w:szCs w:val="17"/>
                <w:color w:val="auto"/>
              </w:rPr>
            </w:pPr>
          </w:p>
        </w:tc>
        <w:tc>
          <w:tcPr>
            <w:tcW w:w="5500" w:type="dxa"/>
            <w:vAlign w:val="bottom"/>
            <w:gridSpan w:val="9"/>
          </w:tcPr>
          <w:p>
            <w:pPr>
              <w:spacing w:after="0" w:line="206" w:lineRule="exact"/>
              <w:rPr>
                <w:rFonts w:ascii="Arial" w:cs="Arial" w:eastAsia="Arial" w:hAnsi="Arial"/>
                <w:sz w:val="18"/>
                <w:szCs w:val="18"/>
                <w:color w:val="0000EE"/>
                <w:w w:val="95"/>
              </w:rPr>
            </w:pPr>
            <w:hyperlink w:anchor="page80">
              <w:r>
                <w:rPr>
                  <w:rFonts w:ascii="Arial" w:cs="Arial" w:eastAsia="Arial" w:hAnsi="Arial"/>
                  <w:sz w:val="18"/>
                  <w:szCs w:val="18"/>
                  <w:color w:val="0000EE"/>
                  <w:w w:val="95"/>
                </w:rPr>
                <w:t>Certification of Principal Executive Officer Pursuant to 18 U.S.C. Section</w:t>
              </w:r>
            </w:hyperlink>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20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40" w:type="dxa"/>
            <w:vAlign w:val="bottom"/>
            <w:tcBorders>
              <w:top w:val="single" w:sz="8" w:color="0000EE"/>
            </w:tcBorders>
            <w:gridSpan w:val="5"/>
          </w:tcPr>
          <w:p>
            <w:pPr>
              <w:spacing w:after="0" w:line="193" w:lineRule="exact"/>
              <w:rPr>
                <w:rFonts w:ascii="Arial" w:cs="Arial" w:eastAsia="Arial" w:hAnsi="Arial"/>
                <w:sz w:val="18"/>
                <w:szCs w:val="18"/>
                <w:color w:val="0000EE"/>
                <w:w w:val="91"/>
              </w:rPr>
            </w:pPr>
            <w:hyperlink w:anchor="page80">
              <w:r>
                <w:rPr>
                  <w:rFonts w:ascii="Arial" w:cs="Arial" w:eastAsia="Arial" w:hAnsi="Arial"/>
                  <w:sz w:val="18"/>
                  <w:szCs w:val="18"/>
                  <w:color w:val="0000EE"/>
                  <w:w w:val="91"/>
                </w:rPr>
                <w:t>1350, as Adopted Pursuant to Section 906 of the Sarbanes-Oxley Act of</w:t>
              </w:r>
            </w:hyperlink>
          </w:p>
        </w:tc>
        <w:tc>
          <w:tcPr>
            <w:tcW w:w="260" w:type="dxa"/>
            <w:vAlign w:val="bottom"/>
            <w:gridSpan w:val="4"/>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4"/>
              </w:rPr>
            </w:pPr>
            <w:hyperlink w:anchor="page80">
              <w:r>
                <w:rPr>
                  <w:rFonts w:ascii="Arial" w:cs="Arial" w:eastAsia="Arial" w:hAnsi="Arial"/>
                  <w:sz w:val="18"/>
                  <w:szCs w:val="18"/>
                  <w:color w:val="0000EE"/>
                  <w:w w:val="84"/>
                </w:rPr>
                <w:t>2002.</w:t>
              </w:r>
            </w:hyperlink>
          </w:p>
        </w:tc>
        <w:tc>
          <w:tcPr>
            <w:tcW w:w="3200" w:type="dxa"/>
            <w:vAlign w:val="bottom"/>
            <w:tcBorders>
              <w:top w:val="single" w:sz="8" w:color="0000EE"/>
            </w:tcBorders>
          </w:tcPr>
          <w:p>
            <w:pPr>
              <w:spacing w:after="0"/>
              <w:rPr>
                <w:sz w:val="16"/>
                <w:szCs w:val="16"/>
                <w:color w:val="auto"/>
              </w:rPr>
            </w:pPr>
          </w:p>
        </w:tc>
        <w:tc>
          <w:tcPr>
            <w:tcW w:w="15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line="206" w:lineRule="exact"/>
              <w:rPr>
                <w:sz w:val="20"/>
                <w:szCs w:val="20"/>
                <w:color w:val="auto"/>
              </w:rPr>
            </w:pPr>
            <w:r>
              <w:rPr>
                <w:rFonts w:ascii="Arial" w:cs="Arial" w:eastAsia="Arial" w:hAnsi="Arial"/>
                <w:sz w:val="18"/>
                <w:szCs w:val="18"/>
                <w:color w:val="auto"/>
              </w:rPr>
              <w:t>32.2*</w:t>
            </w:r>
          </w:p>
        </w:tc>
        <w:tc>
          <w:tcPr>
            <w:tcW w:w="80" w:type="dxa"/>
            <w:vAlign w:val="bottom"/>
          </w:tcPr>
          <w:p>
            <w:pPr>
              <w:spacing w:after="0"/>
              <w:rPr>
                <w:sz w:val="17"/>
                <w:szCs w:val="17"/>
                <w:color w:val="auto"/>
              </w:rPr>
            </w:pPr>
          </w:p>
        </w:tc>
        <w:tc>
          <w:tcPr>
            <w:tcW w:w="5200" w:type="dxa"/>
            <w:vAlign w:val="bottom"/>
            <w:tcBorders>
              <w:bottom w:val="single" w:sz="8" w:color="0000EE"/>
            </w:tcBorders>
            <w:gridSpan w:val="4"/>
          </w:tcPr>
          <w:p>
            <w:pPr>
              <w:spacing w:after="0" w:line="206"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Certification of Principal Financial Officer Pursuant to 18 U.S.C. Section</w:t>
              </w:r>
            </w:hyperlink>
          </w:p>
        </w:tc>
        <w:tc>
          <w:tcPr>
            <w:tcW w:w="300" w:type="dxa"/>
            <w:vAlign w:val="bottom"/>
            <w:gridSpan w:val="5"/>
          </w:tcPr>
          <w:p>
            <w:pPr>
              <w:spacing w:after="0"/>
              <w:rPr>
                <w:sz w:val="17"/>
                <w:szCs w:val="17"/>
                <w:color w:val="auto"/>
              </w:rPr>
            </w:pPr>
          </w:p>
        </w:tc>
        <w:tc>
          <w:tcPr>
            <w:tcW w:w="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jc w:val="center"/>
              <w:spacing w:after="0" w:line="206" w:lineRule="exact"/>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500" w:type="dxa"/>
            <w:vAlign w:val="bottom"/>
            <w:gridSpan w:val="9"/>
          </w:tcPr>
          <w:p>
            <w:pPr>
              <w:spacing w:after="0" w:line="193" w:lineRule="exact"/>
              <w:rPr>
                <w:rFonts w:ascii="Arial" w:cs="Arial" w:eastAsia="Arial" w:hAnsi="Arial"/>
                <w:sz w:val="18"/>
                <w:szCs w:val="18"/>
                <w:color w:val="0000EE"/>
                <w:w w:val="95"/>
              </w:rPr>
            </w:pPr>
            <w:hyperlink w:anchor="page81">
              <w:r>
                <w:rPr>
                  <w:rFonts w:ascii="Arial" w:cs="Arial" w:eastAsia="Arial" w:hAnsi="Arial"/>
                  <w:sz w:val="18"/>
                  <w:szCs w:val="18"/>
                  <w:color w:val="0000EE"/>
                  <w:w w:val="95"/>
                </w:rPr>
                <w:t>1350, as Adopted Pursuant to Section 906 of the Sarbanes-Oxley Act of</w:t>
              </w:r>
            </w:hyperlink>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top w:val="single" w:sz="8" w:color="0000EE"/>
              <w:bottom w:val="single" w:sz="8" w:color="0000EE"/>
            </w:tcBorders>
          </w:tcPr>
          <w:p>
            <w:pPr>
              <w:spacing w:after="0" w:line="193" w:lineRule="exact"/>
              <w:rPr>
                <w:rFonts w:ascii="Arial" w:cs="Arial" w:eastAsia="Arial" w:hAnsi="Arial"/>
                <w:sz w:val="18"/>
                <w:szCs w:val="18"/>
                <w:color w:val="0000EE"/>
                <w:w w:val="84"/>
              </w:rPr>
            </w:pPr>
            <w:hyperlink w:anchor="page81">
              <w:r>
                <w:rPr>
                  <w:rFonts w:ascii="Arial" w:cs="Arial" w:eastAsia="Arial" w:hAnsi="Arial"/>
                  <w:sz w:val="18"/>
                  <w:szCs w:val="18"/>
                  <w:color w:val="0000EE"/>
                  <w:w w:val="84"/>
                </w:rPr>
                <w:t>2002.</w:t>
              </w:r>
            </w:hyperlink>
          </w:p>
        </w:tc>
        <w:tc>
          <w:tcPr>
            <w:tcW w:w="3200" w:type="dxa"/>
            <w:vAlign w:val="bottom"/>
            <w:tcBorders>
              <w:top w:val="single" w:sz="8" w:color="0000EE"/>
            </w:tcBorders>
          </w:tcPr>
          <w:p>
            <w:pPr>
              <w:spacing w:after="0"/>
              <w:rPr>
                <w:sz w:val="16"/>
                <w:szCs w:val="16"/>
                <w:color w:val="auto"/>
              </w:rPr>
            </w:pPr>
          </w:p>
        </w:tc>
        <w:tc>
          <w:tcPr>
            <w:tcW w:w="1500" w:type="dxa"/>
            <w:vAlign w:val="bottom"/>
            <w:tcBorders>
              <w:top w:val="single" w:sz="8" w:color="0000EE"/>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80" w:type="dxa"/>
            <w:vAlign w:val="bottom"/>
          </w:tcPr>
          <w:p>
            <w:pPr>
              <w:spacing w:after="0"/>
              <w:rPr>
                <w:sz w:val="21"/>
                <w:szCs w:val="21"/>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6"/>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5"/>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w w:val="92"/>
              </w:rPr>
              <w:t>Cover Page Interactive Data File (formatted as Inline XBRL and contained</w:t>
            </w:r>
          </w:p>
        </w:tc>
        <w:tc>
          <w:tcPr>
            <w:tcW w:w="6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4"/>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500" w:type="dxa"/>
            <w:vAlign w:val="bottom"/>
            <w:gridSpan w:val="9"/>
          </w:tcPr>
          <w:p>
            <w:pPr>
              <w:spacing w:after="0"/>
              <w:rPr>
                <w:sz w:val="20"/>
                <w:szCs w:val="20"/>
                <w:color w:val="auto"/>
              </w:rPr>
            </w:pPr>
            <w:r>
              <w:rPr>
                <w:rFonts w:ascii="Arial" w:cs="Arial" w:eastAsia="Arial" w:hAnsi="Arial"/>
                <w:sz w:val="18"/>
                <w:szCs w:val="18"/>
                <w:color w:val="auto"/>
              </w:rPr>
              <w:t>in Exhibit 101)</w:t>
            </w: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certifications furnished in Exhibits 32.1 and 32.2 hereto are deemed to accompany this Form 10-Q and are not deemed “filed” for purposes of Section</w:t>
      </w:r>
      <w:r>
        <w:rPr>
          <w:rFonts w:ascii="Arial" w:cs="Arial" w:eastAsia="Arial" w:hAnsi="Arial"/>
          <w:sz w:val="18"/>
          <w:szCs w:val="18"/>
          <w:color w:val="auto"/>
        </w:rPr>
        <w:t xml:space="preserve"> </w:t>
      </w:r>
      <w:r>
        <w:rPr>
          <w:rFonts w:ascii="Arial" w:cs="Arial" w:eastAsia="Arial" w:hAnsi="Arial"/>
          <w:sz w:val="18"/>
          <w:szCs w:val="18"/>
          <w:i w:val="1"/>
          <w:iCs w:val="1"/>
          <w:color w:val="auto"/>
        </w:rPr>
        <w:t>18 of the Exchange Act, or otherwise subject to the liability of that section, nor shall they be deemed incorporated by reference into any filing under the Securities Act or the Exchange Act</w:t>
      </w:r>
      <w:r>
        <w:rPr>
          <w:rFonts w:ascii="Arial" w:cs="Arial" w:eastAsia="Arial" w:hAnsi="Arial"/>
          <w:sz w:val="18"/>
          <w:szCs w:val="18"/>
          <w:color w:val="auto"/>
        </w:rPr>
        <w:t>.</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66040</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224" w:lineRule="exact"/>
        <w:rPr>
          <w:sz w:val="20"/>
          <w:szCs w:val="20"/>
          <w:color w:val="auto"/>
        </w:rPr>
      </w:pPr>
    </w:p>
    <w:p>
      <w:pPr>
        <w:ind w:right="640" w:firstLine="479"/>
        <w:spacing w:after="0" w:line="26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00" w:type="dxa"/>
            <w:vAlign w:val="bottom"/>
          </w:tcPr>
          <w:p>
            <w:pPr>
              <w:spacing w:after="0"/>
              <w:rPr>
                <w:sz w:val="19"/>
                <w:szCs w:val="19"/>
                <w:color w:val="auto"/>
              </w:rPr>
            </w:pPr>
          </w:p>
        </w:tc>
        <w:tc>
          <w:tcPr>
            <w:tcW w:w="7640" w:type="dxa"/>
            <w:vAlign w:val="bottom"/>
            <w:gridSpan w:val="2"/>
          </w:tcPr>
          <w:p>
            <w:pPr>
              <w:ind w:left="1760"/>
              <w:spacing w:after="0"/>
              <w:rPr>
                <w:sz w:val="20"/>
                <w:szCs w:val="20"/>
                <w:color w:val="auto"/>
              </w:rPr>
            </w:pPr>
            <w:r>
              <w:rPr>
                <w:rFonts w:ascii="Arial" w:cs="Arial" w:eastAsia="Arial" w:hAnsi="Arial"/>
                <w:sz w:val="18"/>
                <w:szCs w:val="18"/>
                <w:color w:val="auto"/>
              </w:rPr>
              <w:t>Prelude Therapeutics Incorporated</w:t>
            </w:r>
          </w:p>
        </w:tc>
      </w:tr>
      <w:tr>
        <w:trPr>
          <w:trHeight w:val="452"/>
        </w:trPr>
        <w:tc>
          <w:tcPr>
            <w:tcW w:w="3600" w:type="dxa"/>
            <w:vAlign w:val="bottom"/>
          </w:tcPr>
          <w:p>
            <w:pPr>
              <w:spacing w:after="0"/>
              <w:rPr>
                <w:sz w:val="20"/>
                <w:szCs w:val="20"/>
                <w:color w:val="auto"/>
              </w:rPr>
            </w:pPr>
            <w:r>
              <w:rPr>
                <w:rFonts w:ascii="Arial" w:cs="Arial" w:eastAsia="Arial" w:hAnsi="Arial"/>
                <w:sz w:val="18"/>
                <w:szCs w:val="18"/>
                <w:color w:val="auto"/>
              </w:rPr>
              <w:t>Date: November 12,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Krishna Vaddi</w:t>
            </w:r>
          </w:p>
        </w:tc>
      </w:tr>
      <w:tr>
        <w:trPr>
          <w:trHeight w:val="215"/>
        </w:trPr>
        <w:tc>
          <w:tcPr>
            <w:tcW w:w="36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Krishna Vaddi, PhD</w:t>
            </w:r>
          </w:p>
        </w:tc>
      </w:tr>
      <w:tr>
        <w:trPr>
          <w:trHeight w:val="226"/>
        </w:trPr>
        <w:tc>
          <w:tcPr>
            <w:tcW w:w="3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Chief Executive Officer</w:t>
            </w:r>
          </w:p>
        </w:tc>
      </w:tr>
      <w:tr>
        <w:trPr>
          <w:trHeight w:val="230"/>
        </w:trPr>
        <w:tc>
          <w:tcPr>
            <w:tcW w:w="36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0"/>
              </w:rPr>
              <w:t>(Principal Executive Officer)</w:t>
            </w:r>
          </w:p>
        </w:tc>
      </w:tr>
      <w:tr>
        <w:trPr>
          <w:trHeight w:val="226"/>
        </w:trPr>
        <w:tc>
          <w:tcPr>
            <w:tcW w:w="3600" w:type="dxa"/>
            <w:vAlign w:val="bottom"/>
          </w:tcPr>
          <w:p>
            <w:pPr>
              <w:spacing w:after="0"/>
              <w:rPr>
                <w:sz w:val="20"/>
                <w:szCs w:val="20"/>
                <w:color w:val="auto"/>
              </w:rPr>
            </w:pPr>
            <w:r>
              <w:rPr>
                <w:rFonts w:ascii="Arial" w:cs="Arial" w:eastAsia="Arial" w:hAnsi="Arial"/>
                <w:sz w:val="18"/>
                <w:szCs w:val="18"/>
                <w:color w:val="auto"/>
              </w:rPr>
              <w:t>Date: November 12, 2021</w:t>
            </w:r>
          </w:p>
        </w:tc>
        <w:tc>
          <w:tcPr>
            <w:tcW w:w="2040" w:type="dxa"/>
            <w:vAlign w:val="bottom"/>
          </w:tcPr>
          <w:p>
            <w:pPr>
              <w:ind w:left="1760"/>
              <w:spacing w:after="0"/>
              <w:rPr>
                <w:sz w:val="20"/>
                <w:szCs w:val="20"/>
                <w:color w:val="auto"/>
              </w:rPr>
            </w:pPr>
            <w:r>
              <w:rPr>
                <w:rFonts w:ascii="Arial" w:cs="Arial" w:eastAsia="Arial" w:hAnsi="Arial"/>
                <w:sz w:val="18"/>
                <w:szCs w:val="18"/>
                <w:color w:val="auto"/>
                <w:w w:val="99"/>
              </w:rPr>
              <w:t>By:</w:t>
            </w: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/s/ Brian Piper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635</wp:posOffset>
            </wp:positionV>
            <wp:extent cx="35585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jc w:val="center"/>
        <w:ind w:left="5600"/>
        <w:spacing w:after="0"/>
        <w:rPr>
          <w:sz w:val="20"/>
          <w:szCs w:val="20"/>
          <w:color w:val="auto"/>
        </w:rPr>
      </w:pPr>
      <w:r>
        <w:rPr>
          <w:rFonts w:ascii="Arial" w:cs="Arial" w:eastAsia="Arial" w:hAnsi="Arial"/>
          <w:sz w:val="18"/>
          <w:szCs w:val="18"/>
          <w:b w:val="1"/>
          <w:bCs w:val="1"/>
          <w:color w:val="auto"/>
        </w:rPr>
        <w:t>Brian Piper, M.B.A.</w:t>
      </w:r>
    </w:p>
    <w:p>
      <w:pPr>
        <w:spacing w:after="0" w:line="23"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Chief Financial Officer</w:t>
      </w:r>
    </w:p>
    <w:p>
      <w:pPr>
        <w:spacing w:after="0" w:line="19" w:lineRule="exact"/>
        <w:rPr>
          <w:sz w:val="20"/>
          <w:szCs w:val="20"/>
          <w:color w:val="auto"/>
        </w:rPr>
      </w:pPr>
    </w:p>
    <w:p>
      <w:pPr>
        <w:jc w:val="center"/>
        <w:ind w:left="5600"/>
        <w:spacing w:after="0"/>
        <w:rPr>
          <w:sz w:val="20"/>
          <w:szCs w:val="20"/>
          <w:color w:val="auto"/>
        </w:rPr>
      </w:pPr>
      <w:r>
        <w:rPr>
          <w:rFonts w:ascii="Arial" w:cs="Arial" w:eastAsia="Arial" w:hAnsi="Arial"/>
          <w:sz w:val="18"/>
          <w:szCs w:val="18"/>
          <w:b w:val="1"/>
          <w:bCs w:val="1"/>
          <w:color w:val="auto"/>
        </w:rPr>
        <w:t>(Principal Accounting Officer)</w:t>
      </w: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40"/>
          </w:cols>
          <w:pgMar w:left="320" w:top="546"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Krishna Vaddi, certify that:</w:t>
      </w:r>
    </w:p>
    <w:p>
      <w:pPr>
        <w:spacing w:after="0" w:line="218" w:lineRule="exact"/>
        <w:rPr>
          <w:sz w:val="20"/>
          <w:szCs w:val="20"/>
          <w:color w:val="auto"/>
        </w:rPr>
      </w:pPr>
    </w:p>
    <w:p>
      <w:pPr>
        <w:ind w:left="520" w:hanging="514"/>
        <w:spacing w:after="0"/>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18" w:lineRule="exact"/>
        <w:rPr>
          <w:rFonts w:ascii="Arial" w:cs="Arial" w:eastAsia="Arial" w:hAnsi="Arial"/>
          <w:sz w:val="18"/>
          <w:szCs w:val="18"/>
          <w:color w:val="auto"/>
        </w:rPr>
      </w:pPr>
    </w:p>
    <w:p>
      <w:pPr>
        <w:jc w:val="both"/>
        <w:ind w:left="520" w:right="440" w:hanging="514"/>
        <w:spacing w:after="0" w:line="256"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520" w:right="400" w:hanging="514"/>
        <w:spacing w:after="0" w:line="295"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520" w:right="640" w:hanging="514"/>
        <w:spacing w:after="0" w:line="265" w:lineRule="auto"/>
        <w:tabs>
          <w:tab w:leader="none" w:pos="5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020" w:right="180" w:hanging="509"/>
        <w:spacing w:after="0" w:line="256"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20" w:right="660" w:hanging="509"/>
        <w:spacing w:after="0" w:line="366" w:lineRule="auto"/>
        <w:tabs>
          <w:tab w:leader="none" w:pos="102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020" w:right="220" w:hanging="509"/>
        <w:spacing w:after="0" w:line="256"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520" w:right="340" w:hanging="514"/>
        <w:spacing w:after="0" w:line="366" w:lineRule="auto"/>
        <w:tabs>
          <w:tab w:leader="none" w:pos="5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020" w:right="80" w:hanging="509"/>
        <w:spacing w:after="0" w:line="295" w:lineRule="auto"/>
        <w:tabs>
          <w:tab w:leader="none" w:pos="1020" w:val="left"/>
        </w:tabs>
        <w:numPr>
          <w:ilvl w:val="1"/>
          <w:numId w:val="5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020" w:right="60" w:hanging="509"/>
        <w:spacing w:after="0" w:line="265" w:lineRule="auto"/>
        <w:tabs>
          <w:tab w:leader="none" w:pos="102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Date: November 12,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Krishna Vaddi</w:t>
            </w:r>
          </w:p>
        </w:tc>
      </w:tr>
      <w:tr>
        <w:trPr>
          <w:trHeight w:val="218"/>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0"/>
              </w:rPr>
              <w:t>Krishna Vaddi, PhD</w:t>
            </w:r>
          </w:p>
        </w:tc>
      </w:tr>
      <w:tr>
        <w:trPr>
          <w:trHeight w:val="215"/>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Executive Officer)</w:t>
            </w:r>
          </w:p>
        </w:tc>
      </w:tr>
    </w:tbl>
    <w:p>
      <w:pPr>
        <w:sectPr>
          <w:pgSz w:w="11900" w:h="16838" w:orient="portrait"/>
          <w:cols w:equalWidth="0" w:num="1">
            <w:col w:w="11240"/>
          </w:cols>
          <w:pgMar w:left="320" w:top="347"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I, Brian Piper, certify that:</w:t>
      </w:r>
    </w:p>
    <w:p>
      <w:pPr>
        <w:spacing w:after="0" w:line="218" w:lineRule="exact"/>
        <w:rPr>
          <w:sz w:val="20"/>
          <w:szCs w:val="20"/>
          <w:color w:val="auto"/>
        </w:rPr>
      </w:pPr>
    </w:p>
    <w:p>
      <w:pPr>
        <w:ind w:left="520" w:hanging="514"/>
        <w:spacing w:after="0"/>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Prelude Therapeutics Incorporated;</w:t>
      </w:r>
    </w:p>
    <w:p>
      <w:pPr>
        <w:spacing w:after="0" w:line="218" w:lineRule="exact"/>
        <w:rPr>
          <w:rFonts w:ascii="Arial" w:cs="Arial" w:eastAsia="Arial" w:hAnsi="Arial"/>
          <w:sz w:val="18"/>
          <w:szCs w:val="18"/>
          <w:color w:val="auto"/>
        </w:rPr>
      </w:pPr>
    </w:p>
    <w:p>
      <w:pPr>
        <w:jc w:val="both"/>
        <w:ind w:left="520" w:right="440" w:hanging="514"/>
        <w:spacing w:after="0" w:line="256"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Arial" w:cs="Arial" w:eastAsia="Arial" w:hAnsi="Arial"/>
          <w:sz w:val="18"/>
          <w:szCs w:val="18"/>
          <w:color w:val="auto"/>
        </w:rPr>
      </w:pPr>
    </w:p>
    <w:p>
      <w:pPr>
        <w:ind w:left="520" w:right="400" w:hanging="514"/>
        <w:spacing w:after="0" w:line="295" w:lineRule="auto"/>
        <w:tabs>
          <w:tab w:leader="none" w:pos="5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6" w:lineRule="exact"/>
        <w:rPr>
          <w:rFonts w:ascii="Arial" w:cs="Arial" w:eastAsia="Arial" w:hAnsi="Arial"/>
          <w:sz w:val="17"/>
          <w:szCs w:val="17"/>
          <w:color w:val="auto"/>
        </w:rPr>
      </w:pPr>
    </w:p>
    <w:p>
      <w:pPr>
        <w:ind w:left="520" w:right="640" w:hanging="514"/>
        <w:spacing w:after="0" w:line="265" w:lineRule="auto"/>
        <w:tabs>
          <w:tab w:leader="none" w:pos="5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80" w:lineRule="exact"/>
        <w:rPr>
          <w:rFonts w:ascii="Arial" w:cs="Arial" w:eastAsia="Arial" w:hAnsi="Arial"/>
          <w:sz w:val="18"/>
          <w:szCs w:val="18"/>
          <w:color w:val="auto"/>
        </w:rPr>
      </w:pPr>
    </w:p>
    <w:p>
      <w:pPr>
        <w:ind w:left="1020" w:right="180" w:hanging="509"/>
        <w:spacing w:after="0" w:line="256"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7" w:lineRule="exact"/>
        <w:rPr>
          <w:rFonts w:ascii="Arial" w:cs="Arial" w:eastAsia="Arial" w:hAnsi="Arial"/>
          <w:sz w:val="18"/>
          <w:szCs w:val="18"/>
          <w:color w:val="auto"/>
        </w:rPr>
      </w:pPr>
    </w:p>
    <w:p>
      <w:pPr>
        <w:jc w:val="both"/>
        <w:ind w:left="1020" w:right="660" w:hanging="509"/>
        <w:spacing w:after="0" w:line="366" w:lineRule="auto"/>
        <w:tabs>
          <w:tab w:leader="none" w:pos="1020" w:val="left"/>
        </w:tabs>
        <w:numPr>
          <w:ilvl w:val="1"/>
          <w:numId w:val="5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Arial" w:cs="Arial" w:eastAsia="Arial" w:hAnsi="Arial"/>
          <w:sz w:val="15"/>
          <w:szCs w:val="15"/>
          <w:color w:val="auto"/>
        </w:rPr>
      </w:pPr>
    </w:p>
    <w:p>
      <w:pPr>
        <w:ind w:left="1020" w:right="220" w:hanging="509"/>
        <w:spacing w:after="0" w:line="256"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7" w:lineRule="exact"/>
        <w:rPr>
          <w:rFonts w:ascii="Arial" w:cs="Arial" w:eastAsia="Arial" w:hAnsi="Arial"/>
          <w:sz w:val="18"/>
          <w:szCs w:val="18"/>
          <w:color w:val="auto"/>
        </w:rPr>
      </w:pPr>
    </w:p>
    <w:p>
      <w:pPr>
        <w:ind w:left="520" w:right="340" w:hanging="514"/>
        <w:spacing w:after="0" w:line="366" w:lineRule="auto"/>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5"/>
          <w:szCs w:val="15"/>
          <w:color w:val="auto"/>
        </w:rPr>
      </w:pPr>
    </w:p>
    <w:p>
      <w:pPr>
        <w:ind w:left="1020" w:right="80" w:hanging="509"/>
        <w:spacing w:after="0" w:line="295" w:lineRule="auto"/>
        <w:tabs>
          <w:tab w:leader="none" w:pos="102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6" w:lineRule="exact"/>
        <w:rPr>
          <w:rFonts w:ascii="Arial" w:cs="Arial" w:eastAsia="Arial" w:hAnsi="Arial"/>
          <w:sz w:val="17"/>
          <w:szCs w:val="17"/>
          <w:color w:val="auto"/>
        </w:rPr>
      </w:pPr>
    </w:p>
    <w:p>
      <w:pPr>
        <w:ind w:left="1020" w:right="60" w:hanging="509"/>
        <w:spacing w:after="0" w:line="265" w:lineRule="auto"/>
        <w:tabs>
          <w:tab w:leader="none" w:pos="102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760" w:type="dxa"/>
            <w:vAlign w:val="bottom"/>
          </w:tcPr>
          <w:p>
            <w:pPr>
              <w:spacing w:after="0"/>
              <w:rPr>
                <w:sz w:val="20"/>
                <w:szCs w:val="20"/>
                <w:color w:val="auto"/>
              </w:rPr>
            </w:pPr>
            <w:r>
              <w:rPr>
                <w:rFonts w:ascii="Arial" w:cs="Arial" w:eastAsia="Arial" w:hAnsi="Arial"/>
                <w:sz w:val="18"/>
                <w:szCs w:val="18"/>
                <w:color w:val="auto"/>
              </w:rPr>
              <w:t>Date: November 12, 2021</w:t>
            </w:r>
          </w:p>
        </w:tc>
        <w:tc>
          <w:tcPr>
            <w:tcW w:w="2260" w:type="dxa"/>
            <w:vAlign w:val="bottom"/>
          </w:tcPr>
          <w:p>
            <w:pPr>
              <w:ind w:left="19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Piper</w:t>
            </w:r>
          </w:p>
        </w:tc>
      </w:tr>
      <w:tr>
        <w:trPr>
          <w:trHeight w:val="218"/>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color w:val="auto"/>
                <w:w w:val="92"/>
              </w:rPr>
              <w:t>Brian Piper, M.B.A.</w:t>
            </w:r>
          </w:p>
        </w:tc>
      </w:tr>
      <w:tr>
        <w:trPr>
          <w:trHeight w:val="215"/>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r>
      <w:tr>
        <w:trPr>
          <w:trHeight w:val="224"/>
        </w:trPr>
        <w:tc>
          <w:tcPr>
            <w:tcW w:w="376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22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Accounting and Financial Officer)</w:t>
            </w:r>
          </w:p>
        </w:tc>
      </w:tr>
    </w:tbl>
    <w:p>
      <w:pPr>
        <w:sectPr>
          <w:pgSz w:w="11900" w:h="16838" w:orient="portrait"/>
          <w:cols w:equalWidth="0" w:num="1">
            <w:col w:w="11240"/>
          </w:cols>
          <w:pgMar w:left="320" w:top="347"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32.1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 Krishna Vaddi, Chief Executive Officer of Prelude Therapeutics Incorporated (the “Company”), do hereby certify, pursuant to 18 U.S.C.</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 to the best of my knowledge:</w:t>
      </w:r>
    </w:p>
    <w:p>
      <w:pPr>
        <w:spacing w:after="0" w:line="207" w:lineRule="exact"/>
        <w:rPr>
          <w:sz w:val="20"/>
          <w:szCs w:val="20"/>
          <w:color w:val="auto"/>
        </w:rPr>
      </w:pPr>
    </w:p>
    <w:p>
      <w:pPr>
        <w:ind w:left="1020" w:right="360" w:hanging="509"/>
        <w:spacing w:after="0" w:line="265" w:lineRule="auto"/>
        <w:tabs>
          <w:tab w:leader="none" w:pos="10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1020" w:hanging="509"/>
        <w:spacing w:after="0"/>
        <w:tabs>
          <w:tab w:leader="none" w:pos="10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Company.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Date: November 12, 2021</w:t>
            </w:r>
          </w:p>
        </w:tc>
        <w:tc>
          <w:tcPr>
            <w:tcW w:w="2120" w:type="dxa"/>
            <w:vAlign w:val="bottom"/>
          </w:tcPr>
          <w:p>
            <w:pPr>
              <w:ind w:left="1800"/>
              <w:spacing w:after="0"/>
              <w:rPr>
                <w:sz w:val="20"/>
                <w:szCs w:val="20"/>
                <w:color w:val="auto"/>
              </w:rPr>
            </w:pPr>
            <w:r>
              <w:rPr>
                <w:rFonts w:ascii="Arial" w:cs="Arial" w:eastAsia="Arial" w:hAnsi="Arial"/>
                <w:sz w:val="18"/>
                <w:szCs w:val="18"/>
                <w:color w:val="auto"/>
              </w:rPr>
              <w:t>By:</w:t>
            </w:r>
          </w:p>
        </w:tc>
        <w:tc>
          <w:tcPr>
            <w:tcW w:w="5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Krishna Vaddi</w:t>
            </w:r>
          </w:p>
        </w:tc>
      </w:tr>
      <w:tr>
        <w:trPr>
          <w:trHeight w:val="218"/>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color w:val="auto"/>
                <w:w w:val="90"/>
              </w:rPr>
              <w:t>Krishna Vaddi, PhD</w:t>
            </w:r>
          </w:p>
        </w:tc>
      </w:tr>
      <w:tr>
        <w:trPr>
          <w:trHeight w:val="215"/>
        </w:trPr>
        <w:tc>
          <w:tcPr>
            <w:tcW w:w="36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w:t>
            </w:r>
          </w:p>
        </w:tc>
      </w:tr>
      <w:tr>
        <w:trPr>
          <w:trHeight w:val="224"/>
        </w:trPr>
        <w:tc>
          <w:tcPr>
            <w:tcW w:w="366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546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bl>
    <w:p>
      <w:pPr>
        <w:sectPr>
          <w:pgSz w:w="11900" w:h="16838" w:orient="portrait"/>
          <w:cols w:equalWidth="0" w:num="1">
            <w:col w:w="11240"/>
          </w:cols>
          <w:pgMar w:left="320" w:top="347"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32.2</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6"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ind w:right="160" w:firstLine="510"/>
        <w:spacing w:after="0" w:line="265" w:lineRule="auto"/>
        <w:rPr>
          <w:sz w:val="20"/>
          <w:szCs w:val="20"/>
          <w:color w:val="auto"/>
        </w:rPr>
      </w:pPr>
      <w:r>
        <w:rPr>
          <w:rFonts w:ascii="Arial" w:cs="Arial" w:eastAsia="Arial" w:hAnsi="Arial"/>
          <w:sz w:val="18"/>
          <w:szCs w:val="18"/>
          <w:color w:val="auto"/>
        </w:rPr>
        <w:t>I, Brian Piper, Chief Financial Officer of Prelude Therapeutics Incorporated (the “Company”), do hereby certify, pursuant to 18 U.S.C. Section 1350, as adopted pursuant to Section 906 of the Sarbanes-Oxley Act of 2002, that to the best of my knowledge:</w:t>
      </w:r>
    </w:p>
    <w:p>
      <w:pPr>
        <w:spacing w:after="0" w:line="180" w:lineRule="exact"/>
        <w:rPr>
          <w:sz w:val="20"/>
          <w:szCs w:val="20"/>
          <w:color w:val="auto"/>
        </w:rPr>
      </w:pPr>
    </w:p>
    <w:p>
      <w:pPr>
        <w:ind w:left="1020" w:right="360" w:hanging="509"/>
        <w:spacing w:after="0" w:line="265" w:lineRule="auto"/>
        <w:tabs>
          <w:tab w:leader="none" w:pos="10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2021 (the “Report”) fully complies with the requirements of Section 13(a) or 15(d) of the Securities Exchange Act of 1934, as amended; and</w:t>
      </w:r>
    </w:p>
    <w:p>
      <w:pPr>
        <w:spacing w:after="0" w:line="180" w:lineRule="exact"/>
        <w:rPr>
          <w:rFonts w:ascii="Arial" w:cs="Arial" w:eastAsia="Arial" w:hAnsi="Arial"/>
          <w:sz w:val="18"/>
          <w:szCs w:val="18"/>
          <w:color w:val="auto"/>
        </w:rPr>
      </w:pPr>
    </w:p>
    <w:p>
      <w:pPr>
        <w:ind w:left="1020" w:hanging="509"/>
        <w:spacing w:after="0"/>
        <w:tabs>
          <w:tab w:leader="none" w:pos="1020" w:val="left"/>
        </w:tabs>
        <w:numPr>
          <w:ilvl w:val="0"/>
          <w:numId w:val="54"/>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 of operations of the Company.</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660" w:type="dxa"/>
            <w:vAlign w:val="bottom"/>
          </w:tcPr>
          <w:p>
            <w:pPr>
              <w:spacing w:after="0"/>
              <w:rPr>
                <w:sz w:val="20"/>
                <w:szCs w:val="20"/>
                <w:color w:val="auto"/>
              </w:rPr>
            </w:pPr>
            <w:r>
              <w:rPr>
                <w:rFonts w:ascii="Arial" w:cs="Arial" w:eastAsia="Arial" w:hAnsi="Arial"/>
                <w:sz w:val="18"/>
                <w:szCs w:val="18"/>
                <w:color w:val="auto"/>
              </w:rPr>
              <w:t>Date: November 12, 2021</w:t>
            </w:r>
          </w:p>
        </w:tc>
        <w:tc>
          <w:tcPr>
            <w:tcW w:w="2100" w:type="dxa"/>
            <w:vAlign w:val="bottom"/>
          </w:tcPr>
          <w:p>
            <w:pPr>
              <w:ind w:left="1820"/>
              <w:spacing w:after="0"/>
              <w:rPr>
                <w:sz w:val="20"/>
                <w:szCs w:val="20"/>
                <w:color w:val="auto"/>
              </w:rPr>
            </w:pPr>
            <w:r>
              <w:rPr>
                <w:rFonts w:ascii="Arial" w:cs="Arial" w:eastAsia="Arial" w:hAnsi="Arial"/>
                <w:sz w:val="18"/>
                <w:szCs w:val="18"/>
                <w:color w:val="auto"/>
                <w:w w:val="99"/>
              </w:rPr>
              <w:t>By:</w:t>
            </w:r>
          </w:p>
        </w:tc>
        <w:tc>
          <w:tcPr>
            <w:tcW w:w="5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Brian Piper</w:t>
            </w:r>
          </w:p>
        </w:tc>
      </w:tr>
      <w:tr>
        <w:trPr>
          <w:trHeight w:val="218"/>
        </w:trPr>
        <w:tc>
          <w:tcPr>
            <w:tcW w:w="3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color w:val="auto"/>
                <w:w w:val="92"/>
              </w:rPr>
              <w:t>Brian Piper, M.B.A.</w:t>
            </w:r>
          </w:p>
        </w:tc>
      </w:tr>
      <w:tr>
        <w:trPr>
          <w:trHeight w:val="215"/>
        </w:trPr>
        <w:tc>
          <w:tcPr>
            <w:tcW w:w="36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3"/>
              </w:rPr>
              <w:t>Chief Financial Officer</w:t>
            </w:r>
          </w:p>
        </w:tc>
      </w:tr>
      <w:tr>
        <w:trPr>
          <w:trHeight w:val="224"/>
        </w:trPr>
        <w:tc>
          <w:tcPr>
            <w:tcW w:w="36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480" w:type="dxa"/>
            <w:vAlign w:val="bottom"/>
          </w:tcPr>
          <w:p>
            <w:pPr>
              <w:jc w:val="center"/>
              <w:spacing w:after="0"/>
              <w:rPr>
                <w:sz w:val="20"/>
                <w:szCs w:val="20"/>
                <w:color w:val="auto"/>
              </w:rPr>
            </w:pPr>
            <w:r>
              <w:rPr>
                <w:rFonts w:ascii="Arial" w:cs="Arial" w:eastAsia="Arial" w:hAnsi="Arial"/>
                <w:sz w:val="18"/>
                <w:szCs w:val="18"/>
                <w:i w:val="1"/>
                <w:iCs w:val="1"/>
                <w:color w:val="auto"/>
                <w:w w:val="92"/>
              </w:rPr>
              <w:t>(Principal Accounting and Finance Officer)</w:t>
            </w:r>
          </w:p>
        </w:tc>
      </w:tr>
    </w:tbl>
    <w:p>
      <w:pPr>
        <w:spacing w:after="0" w:line="1" w:lineRule="exact"/>
        <w:rPr>
          <w:sz w:val="20"/>
          <w:szCs w:val="20"/>
          <w:color w:val="auto"/>
        </w:rPr>
      </w:pP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
      <w:numFmt w:val="bullet"/>
      <w:start w:val="1"/>
    </w:lvl>
  </w:abstractNum>
  <w:abstractNum w:abstractNumId="37">
    <w:nsid w:val="4B588F54"/>
    <w:multiLevelType w:val="hybridMultilevel"/>
    <w:lvl w:ilvl="0">
      <w:lvlJc w:val="left"/>
      <w:lvlText w:val="a"/>
      <w:numFmt w:val="bullet"/>
      <w:start w:val="1"/>
    </w:lvl>
  </w:abstractNum>
  <w:abstractNum w:abstractNumId="38">
    <w:nsid w:val="542289EC"/>
    <w:multiLevelType w:val="hybridMultilevel"/>
    <w:lvl w:ilvl="0">
      <w:lvlJc w:val="left"/>
      <w:lvlText w:val="•"/>
      <w:numFmt w:val="bullet"/>
      <w:start w:val="1"/>
    </w:lvl>
  </w:abstractNum>
  <w:abstractNum w:abstractNumId="39">
    <w:nsid w:val="6DE91B18"/>
    <w:multiLevelType w:val="hybridMultilevel"/>
    <w:lvl w:ilvl="0">
      <w:lvlJc w:val="left"/>
      <w:lvlText w:val="•"/>
      <w:numFmt w:val="bullet"/>
      <w:start w:val="1"/>
    </w:lvl>
  </w:abstractNum>
  <w:abstractNum w:abstractNumId="40">
    <w:nsid w:val="38437FDB"/>
    <w:multiLevelType w:val="hybridMultilevel"/>
    <w:lvl w:ilvl="0">
      <w:lvlJc w:val="left"/>
      <w:lvlText w:val="•"/>
      <w:numFmt w:val="bullet"/>
      <w:start w:val="1"/>
    </w:lvl>
  </w:abstractNum>
  <w:abstractNum w:abstractNumId="41">
    <w:nsid w:val="7644A45C"/>
    <w:multiLevelType w:val="hybridMultilevel"/>
    <w:lvl w:ilvl="0">
      <w:lvlJc w:val="left"/>
      <w:lvlText w:val="•"/>
      <w:numFmt w:val="bullet"/>
      <w:start w:val="1"/>
    </w:lvl>
  </w:abstractNum>
  <w:abstractNum w:abstractNumId="42">
    <w:nsid w:val="32FFF902"/>
    <w:multiLevelType w:val="hybridMultilevel"/>
    <w:lvl w:ilvl="0">
      <w:lvlJc w:val="left"/>
      <w:lvlText w:val="•"/>
      <w:numFmt w:val="bullet"/>
      <w:start w:val="1"/>
    </w:lvl>
  </w:abstractNum>
  <w:abstractNum w:abstractNumId="43">
    <w:nsid w:val="684A481A"/>
    <w:multiLevelType w:val="hybridMultilevel"/>
    <w:lvl w:ilvl="0">
      <w:lvlJc w:val="left"/>
      <w:lvlText w:val="•"/>
      <w:numFmt w:val="bullet"/>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1."/>
      <w:numFmt w:val="decimal"/>
      <w:start w:val="30"/>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1."/>
      <w:numFmt w:val="decimal"/>
      <w:start w:val="404"/>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2021-11-12T10:21:20Z</dcterms:created>
  <dcterms:modified xsi:type="dcterms:W3CDTF">2021-11-12T10:21:20Z</dcterms:modified>
</cp:coreProperties>
</file>