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67" w:lineRule="exact"/>
        <w:rPr>
          <w:sz w:val="24"/>
          <w:szCs w:val="24"/>
          <w:color w:val="auto"/>
        </w:rPr>
      </w:pPr>
    </w:p>
    <w:p>
      <w:pPr>
        <w:ind w:left="3660" w:right="1620" w:hanging="3639"/>
        <w:spacing w:after="0" w:line="230" w:lineRule="auto"/>
        <w:tabs>
          <w:tab w:leader="none" w:pos="485"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96" w:lineRule="exact"/>
        <w:rPr>
          <w:sz w:val="24"/>
          <w:szCs w:val="24"/>
          <w:color w:val="auto"/>
        </w:rPr>
      </w:pPr>
    </w:p>
    <w:p>
      <w:pPr>
        <w:ind w:left="364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PRELUDE THERAPEUTICS INCORPORATED</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p>
      <w:pPr>
        <w:spacing w:after="0" w:line="205"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34"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81-1384762</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41" w:lineRule="exact"/>
        <w:rPr>
          <w:sz w:val="24"/>
          <w:szCs w:val="24"/>
          <w:color w:val="auto"/>
        </w:rPr>
      </w:pPr>
    </w:p>
    <w:p>
      <w:pPr>
        <w:sectPr>
          <w:pgSz w:w="11900" w:h="16838" w:orient="portrait"/>
          <w:cols w:equalWidth="0" w:num="2">
            <w:col w:w="7220" w:space="720"/>
            <w:col w:w="3300"/>
          </w:cols>
          <w:pgMar w:left="320" w:top="332" w:right="339" w:bottom="1440" w:gutter="0" w:footer="0" w:header="0"/>
          <w:type w:val="continuous"/>
        </w:sectPr>
      </w:pPr>
    </w:p>
    <w:tbl>
      <w:tblPr>
        <w:tblLayout w:type="fixed"/>
        <w:tblInd w:w="1780" w:type="dxa"/>
        <w:tblCellMar>
          <w:top w:w="0" w:type="dxa"/>
          <w:left w:w="0" w:type="dxa"/>
          <w:bottom w:w="0" w:type="dxa"/>
          <w:right w:w="0" w:type="dxa"/>
        </w:tblCellMar>
      </w:tblPr>
      <w:tr>
        <w:trPr>
          <w:trHeight w:val="230"/>
        </w:trPr>
        <w:tc>
          <w:tcPr>
            <w:tcW w:w="4220" w:type="dxa"/>
            <w:vAlign w:val="bottom"/>
          </w:tcPr>
          <w:p>
            <w:pPr>
              <w:jc w:val="center"/>
              <w:ind w:right="2059"/>
              <w:spacing w:after="0"/>
              <w:rPr>
                <w:sz w:val="20"/>
                <w:szCs w:val="20"/>
                <w:color w:val="auto"/>
              </w:rPr>
            </w:pPr>
            <w:r>
              <w:rPr>
                <w:rFonts w:ascii="Arial" w:cs="Arial" w:eastAsia="Arial" w:hAnsi="Arial"/>
                <w:sz w:val="18"/>
                <w:szCs w:val="18"/>
                <w:b w:val="1"/>
                <w:bCs w:val="1"/>
                <w:color w:val="auto"/>
                <w:w w:val="92"/>
              </w:rPr>
              <w:t>200 Powder Mill Road</w:t>
            </w:r>
          </w:p>
        </w:tc>
        <w:tc>
          <w:tcPr>
            <w:tcW w:w="2720" w:type="dxa"/>
            <w:vAlign w:val="bottom"/>
          </w:tcPr>
          <w:p>
            <w:pPr>
              <w:spacing w:after="0"/>
              <w:rPr>
                <w:sz w:val="19"/>
                <w:szCs w:val="19"/>
                <w:color w:val="auto"/>
              </w:rPr>
            </w:pPr>
          </w:p>
        </w:tc>
      </w:tr>
      <w:tr>
        <w:trPr>
          <w:trHeight w:val="242"/>
        </w:trPr>
        <w:tc>
          <w:tcPr>
            <w:tcW w:w="4220" w:type="dxa"/>
            <w:vAlign w:val="bottom"/>
          </w:tcPr>
          <w:p>
            <w:pPr>
              <w:jc w:val="center"/>
              <w:ind w:right="2059"/>
              <w:spacing w:after="0"/>
              <w:rPr>
                <w:sz w:val="20"/>
                <w:szCs w:val="20"/>
                <w:color w:val="auto"/>
              </w:rPr>
            </w:pPr>
            <w:r>
              <w:rPr>
                <w:rFonts w:ascii="Arial" w:cs="Arial" w:eastAsia="Arial" w:hAnsi="Arial"/>
                <w:sz w:val="18"/>
                <w:szCs w:val="18"/>
                <w:b w:val="1"/>
                <w:bCs w:val="1"/>
                <w:color w:val="auto"/>
                <w:w w:val="91"/>
              </w:rPr>
              <w:t>Wilmington, Delaware</w:t>
            </w:r>
          </w:p>
        </w:tc>
        <w:tc>
          <w:tcPr>
            <w:tcW w:w="2720" w:type="dxa"/>
            <w:vAlign w:val="bottom"/>
          </w:tcPr>
          <w:p>
            <w:pPr>
              <w:jc w:val="right"/>
              <w:ind w:right="8"/>
              <w:spacing w:after="0"/>
              <w:rPr>
                <w:sz w:val="20"/>
                <w:szCs w:val="20"/>
                <w:color w:val="auto"/>
              </w:rPr>
            </w:pPr>
            <w:r>
              <w:rPr>
                <w:rFonts w:ascii="Arial" w:cs="Arial" w:eastAsia="Arial" w:hAnsi="Arial"/>
                <w:sz w:val="16"/>
                <w:szCs w:val="16"/>
                <w:b w:val="1"/>
                <w:bCs w:val="1"/>
                <w:color w:val="auto"/>
              </w:rPr>
              <w:t>19803</w:t>
            </w:r>
          </w:p>
        </w:tc>
      </w:tr>
      <w:tr>
        <w:trPr>
          <w:trHeight w:val="179"/>
        </w:trPr>
        <w:tc>
          <w:tcPr>
            <w:tcW w:w="4220" w:type="dxa"/>
            <w:vAlign w:val="bottom"/>
          </w:tcPr>
          <w:p>
            <w:pPr>
              <w:jc w:val="center"/>
              <w:ind w:right="205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20" w:type="dxa"/>
            <w:vAlign w:val="bottom"/>
          </w:tcPr>
          <w:p>
            <w:pPr>
              <w:jc w:val="center"/>
              <w:ind w:left="2068"/>
              <w:spacing w:after="0"/>
              <w:rPr>
                <w:sz w:val="20"/>
                <w:szCs w:val="20"/>
                <w:color w:val="auto"/>
              </w:rPr>
            </w:pPr>
            <w:r>
              <w:rPr>
                <w:rFonts w:ascii="Arial" w:cs="Arial" w:eastAsia="Arial" w:hAnsi="Arial"/>
                <w:sz w:val="13"/>
                <w:szCs w:val="13"/>
                <w:b w:val="1"/>
                <w:bCs w:val="1"/>
                <w:color w:val="auto"/>
                <w:w w:val="90"/>
              </w:rPr>
              <w:t>(Zip Code)</w:t>
            </w:r>
          </w:p>
        </w:tc>
      </w:tr>
    </w:tbl>
    <w:p>
      <w:pPr>
        <w:spacing w:after="0" w:line="6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4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Pr>
          <w:p>
            <w:pPr>
              <w:jc w:val="center"/>
              <w:spacing w:after="0"/>
              <w:rPr>
                <w:sz w:val="20"/>
                <w:szCs w:val="20"/>
                <w:color w:val="auto"/>
              </w:rPr>
            </w:pPr>
            <w:r>
              <w:rPr>
                <w:rFonts w:ascii="Arial" w:cs="Arial" w:eastAsia="Arial" w:hAnsi="Arial"/>
                <w:sz w:val="16"/>
                <w:szCs w:val="16"/>
                <w:color w:val="auto"/>
                <w:w w:val="90"/>
              </w:rPr>
              <w:t>Common Stock, par value $0.0001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3"/>
              </w:rPr>
              <w:t>PRLD</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firstLine="478"/>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8" w:lineRule="exact"/>
        <w:rPr>
          <w:sz w:val="24"/>
          <w:szCs w:val="24"/>
          <w:color w:val="auto"/>
        </w:rPr>
      </w:pPr>
    </w:p>
    <w:p>
      <w:pPr>
        <w:ind w:right="20" w:firstLine="478"/>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jc w:val="both"/>
        <w:ind w:right="300" w:firstLine="47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ind w:right="100" w:firstLine="478"/>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3" w:lineRule="exact"/>
        <w:rPr>
          <w:sz w:val="24"/>
          <w:szCs w:val="24"/>
          <w:color w:val="auto"/>
        </w:rPr>
      </w:pPr>
    </w:p>
    <w:p>
      <w:pPr>
        <w:ind w:left="480"/>
        <w:spacing w:after="0" w:line="184" w:lineRule="exact"/>
        <w:tabs>
          <w:tab w:leader="none" w:pos="8020" w:val="left"/>
          <w:tab w:leader="none" w:pos="87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7" w:lineRule="exact"/>
        <w:rPr>
          <w:sz w:val="24"/>
          <w:szCs w:val="24"/>
          <w:color w:val="auto"/>
        </w:rPr>
      </w:pPr>
    </w:p>
    <w:p>
      <w:pPr>
        <w:ind w:left="480"/>
        <w:spacing w:after="0"/>
        <w:rPr>
          <w:sz w:val="20"/>
          <w:szCs w:val="20"/>
          <w:color w:val="auto"/>
        </w:rPr>
      </w:pPr>
      <w:r>
        <w:rPr>
          <w:rFonts w:ascii="Arial" w:cs="Arial" w:eastAsia="Arial" w:hAnsi="Arial"/>
          <w:sz w:val="16"/>
          <w:szCs w:val="16"/>
          <w:color w:val="auto"/>
        </w:rPr>
        <w:t>As of October 27, 2023, the registrant had 54,825,982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540" w:type="dxa"/>
            <w:vAlign w:val="bottom"/>
            <w:gridSpan w:val="21"/>
            <w:vMerge w:val="restart"/>
          </w:tcPr>
          <w:p>
            <w:pPr>
              <w:spacing w:after="0"/>
              <w:rPr>
                <w:sz w:val="20"/>
                <w:szCs w:val="20"/>
                <w:color w:val="auto"/>
              </w:rPr>
            </w:pPr>
            <w:r>
              <w:rPr>
                <w:rFonts w:ascii="Arial" w:cs="Arial" w:eastAsia="Arial" w:hAnsi="Arial"/>
                <w:sz w:val="18"/>
                <w:szCs w:val="18"/>
                <w:color w:val="0000FF"/>
              </w:rPr>
              <w:t>FINANCIAL INFORMATION</w:t>
            </w: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20" w:type="dxa"/>
            <w:vAlign w:val="bottom"/>
            <w:gridSpan w:val="2"/>
            <w:vMerge w:val="continue"/>
          </w:tcPr>
          <w:p>
            <w:pPr>
              <w:spacing w:after="0"/>
              <w:rPr>
                <w:sz w:val="14"/>
                <w:szCs w:val="14"/>
                <w:color w:val="auto"/>
              </w:rPr>
            </w:pPr>
          </w:p>
        </w:tc>
        <w:tc>
          <w:tcPr>
            <w:tcW w:w="9540" w:type="dxa"/>
            <w:vAlign w:val="bottom"/>
            <w:gridSpan w:val="21"/>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8"/>
              </w:rPr>
              <w:t>Financial Statements</w:t>
            </w:r>
          </w:p>
        </w:tc>
        <w:tc>
          <w:tcPr>
            <w:tcW w:w="40" w:type="dxa"/>
            <w:vAlign w:val="bottom"/>
            <w:tcBorders>
              <w:top w:val="single" w:sz="8" w:color="0000FF"/>
              <w:bottom w:val="single" w:sz="8" w:color="0000EE"/>
            </w:tcBorders>
          </w:tcPr>
          <w:p>
            <w:pPr>
              <w:spacing w:after="0"/>
              <w:rPr>
                <w:sz w:val="18"/>
                <w:szCs w:val="18"/>
                <w:color w:val="auto"/>
              </w:rPr>
            </w:pPr>
          </w:p>
        </w:tc>
        <w:tc>
          <w:tcPr>
            <w:tcW w:w="700" w:type="dxa"/>
            <w:vAlign w:val="bottom"/>
            <w:tcBorders>
              <w:top w:val="single" w:sz="8" w:color="0000FF"/>
            </w:tcBorders>
            <w:gridSpan w:val="4"/>
          </w:tcPr>
          <w:p>
            <w:pPr>
              <w:spacing w:after="0"/>
              <w:rPr>
                <w:sz w:val="18"/>
                <w:szCs w:val="18"/>
                <w:color w:val="auto"/>
              </w:rPr>
            </w:pPr>
          </w:p>
        </w:tc>
        <w:tc>
          <w:tcPr>
            <w:tcW w:w="7300" w:type="dxa"/>
            <w:vAlign w:val="bottom"/>
            <w:gridSpan w:val="10"/>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1"/>
          </w:tcPr>
          <w:p>
            <w:pPr>
              <w:spacing w:after="0"/>
              <w:rPr>
                <w:sz w:val="20"/>
                <w:szCs w:val="20"/>
                <w:color w:val="auto"/>
              </w:rPr>
            </w:pPr>
            <w:r>
              <w:rPr>
                <w:rFonts w:ascii="Arial" w:cs="Arial" w:eastAsia="Arial" w:hAnsi="Arial"/>
                <w:sz w:val="18"/>
                <w:szCs w:val="18"/>
                <w:color w:val="0000FF"/>
              </w:rPr>
              <w:t>Balance Sheets (Unaudited)</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Statements of Operations and Comprehensive Loss (Unaudited)</w:t>
            </w:r>
          </w:p>
        </w:tc>
        <w:tc>
          <w:tcPr>
            <w:tcW w:w="494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0"/>
              </w:rPr>
              <w:t>Statements of Changes in Stockholders’ Equity (Unaudited)</w:t>
            </w:r>
          </w:p>
        </w:tc>
        <w:tc>
          <w:tcPr>
            <w:tcW w:w="522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1"/>
          </w:tcPr>
          <w:p>
            <w:pPr>
              <w:spacing w:after="0"/>
              <w:rPr>
                <w:sz w:val="20"/>
                <w:szCs w:val="20"/>
                <w:color w:val="auto"/>
              </w:rPr>
            </w:pPr>
            <w:r>
              <w:rPr>
                <w:rFonts w:ascii="Arial" w:cs="Arial" w:eastAsia="Arial" w:hAnsi="Arial"/>
                <w:sz w:val="18"/>
                <w:szCs w:val="18"/>
                <w:color w:val="0000FF"/>
              </w:rPr>
              <w:t>Statements of Cash Flows (Unaudited)</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Notes to Unaudited Interim Financial Statements</w:t>
            </w:r>
          </w:p>
        </w:tc>
        <w:tc>
          <w:tcPr>
            <w:tcW w:w="20" w:type="dxa"/>
            <w:vAlign w:val="bottom"/>
            <w:tcBorders>
              <w:bottom w:val="single" w:sz="8" w:color="0000EE"/>
            </w:tcBorders>
          </w:tcPr>
          <w:p>
            <w:pPr>
              <w:spacing w:after="0"/>
              <w:rPr>
                <w:sz w:val="18"/>
                <w:szCs w:val="18"/>
                <w:color w:val="auto"/>
              </w:rPr>
            </w:pPr>
          </w:p>
        </w:tc>
        <w:tc>
          <w:tcPr>
            <w:tcW w:w="600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0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18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2"/>
            <w:vMerge w:val="continue"/>
          </w:tcPr>
          <w:p>
            <w:pPr>
              <w:spacing w:after="0"/>
              <w:rPr>
                <w:sz w:val="18"/>
                <w:szCs w:val="18"/>
                <w:color w:val="auto"/>
              </w:rPr>
            </w:pPr>
          </w:p>
        </w:tc>
        <w:tc>
          <w:tcPr>
            <w:tcW w:w="18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5"/>
              </w:rPr>
              <w:t>OTHER INFORMATION</w:t>
            </w:r>
          </w:p>
        </w:tc>
        <w:tc>
          <w:tcPr>
            <w:tcW w:w="7660" w:type="dxa"/>
            <w:vAlign w:val="bottom"/>
            <w:gridSpan w:val="12"/>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8220" w:type="dxa"/>
            <w:vAlign w:val="bottom"/>
            <w:gridSpan w:val="1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0"/>
              </w:rPr>
              <w:t>Defaults Upon Senior Securities</w:t>
            </w:r>
          </w:p>
        </w:tc>
        <w:tc>
          <w:tcPr>
            <w:tcW w:w="4820" w:type="dxa"/>
            <w:vAlign w:val="bottom"/>
            <w:tcBorders>
              <w:top w:val="single" w:sz="8" w:color="0000FF"/>
            </w:tcBorders>
            <w:gridSpan w:val="8"/>
          </w:tcPr>
          <w:p>
            <w:pPr>
              <w:spacing w:after="0"/>
              <w:rPr>
                <w:sz w:val="18"/>
                <w:szCs w:val="18"/>
                <w:color w:val="auto"/>
              </w:rPr>
            </w:pPr>
          </w:p>
        </w:tc>
        <w:tc>
          <w:tcPr>
            <w:tcW w:w="2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Other Information</w:t>
            </w:r>
          </w:p>
        </w:tc>
        <w:tc>
          <w:tcPr>
            <w:tcW w:w="776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8240" w:type="dxa"/>
            <w:vAlign w:val="bottom"/>
            <w:gridSpan w:val="1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30,605</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214,610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171,123</w:t>
            </w:r>
          </w:p>
        </w:tc>
        <w:tc>
          <w:tcPr>
            <w:tcW w:w="10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234,916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204,380</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6,618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Prepaid expenses and other non-current assets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12,469</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w:t>
            </w:r>
          </w:p>
        </w:tc>
        <w:tc>
          <w:tcPr>
            <w:tcW w:w="100" w:type="dxa"/>
            <w:vAlign w:val="bottom"/>
          </w:tcPr>
          <w:p>
            <w:pPr>
              <w:spacing w:after="0"/>
              <w:rPr>
                <w:sz w:val="20"/>
                <w:szCs w:val="20"/>
                <w:color w:val="auto"/>
              </w:rPr>
            </w:pPr>
          </w:p>
        </w:tc>
      </w:tr>
      <w:tr>
        <w:trPr>
          <w:trHeight w:val="276"/>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258,511</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220,500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5,170</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6,777</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13,093</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Operating lease liability</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0"/>
                <w:szCs w:val="20"/>
                <w:color w:val="auto"/>
              </w:rPr>
            </w:pPr>
          </w:p>
        </w:tc>
      </w:tr>
      <w:tr>
        <w:trPr>
          <w:trHeight w:val="243"/>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21,702</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Borders>
              <w:bottom w:val="single" w:sz="8" w:color="CFF0FC"/>
            </w:tcBorders>
          </w:tcPr>
          <w:p>
            <w:pPr>
              <w:spacing w:after="0"/>
              <w:rPr>
                <w:sz w:val="20"/>
                <w:szCs w:val="20"/>
                <w:color w:val="auto"/>
              </w:rPr>
            </w:pPr>
          </w:p>
        </w:tc>
      </w:tr>
      <w:tr>
        <w:trPr>
          <w:trHeight w:val="237"/>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20,254</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Commitments (Note 8)</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600" w:type="dxa"/>
            <w:vAlign w:val="bottom"/>
          </w:tcPr>
          <w:p>
            <w:pPr>
              <w:ind w:left="200"/>
              <w:spacing w:after="0"/>
              <w:rPr>
                <w:sz w:val="20"/>
                <w:szCs w:val="20"/>
                <w:color w:val="auto"/>
              </w:rPr>
            </w:pPr>
            <w:r>
              <w:rPr>
                <w:rFonts w:ascii="Arial" w:cs="Arial" w:eastAsia="Arial" w:hAnsi="Arial"/>
                <w:sz w:val="18"/>
                <w:szCs w:val="18"/>
                <w:color w:val="auto"/>
              </w:rPr>
              <w:t>Voting common stock, $0.0001 par value: 487,149,741 shares authorized; 41,965,472 and</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tcPr>
          <w:p>
            <w:pPr>
              <w:ind w:left="200"/>
              <w:spacing w:after="0"/>
              <w:rPr>
                <w:sz w:val="20"/>
                <w:szCs w:val="20"/>
                <w:color w:val="auto"/>
              </w:rPr>
            </w:pPr>
            <w:r>
              <w:rPr>
                <w:rFonts w:ascii="Arial" w:cs="Arial" w:eastAsia="Arial" w:hAnsi="Arial"/>
                <w:sz w:val="18"/>
                <w:szCs w:val="18"/>
                <w:color w:val="auto"/>
              </w:rPr>
              <w:t>36,496,994 shares issued and outstanding at September 30, 2023 and December 31, 2022,</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r>
        <w:trPr>
          <w:trHeight w:val="222"/>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Non-voting common stock, $0.0001 par value: 12,850,259 shares authorized; 12,850,259 and</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11,402,037 shares issued and outstanding at September 30, 2023 and December 31, 2022,</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662,172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531,682</w:t>
            </w:r>
          </w:p>
        </w:tc>
        <w:tc>
          <w:tcPr>
            <w:tcW w:w="10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(605 )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(1,692 )</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(423,315 )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(334,558 )</w:t>
            </w:r>
          </w:p>
        </w:tc>
      </w:tr>
      <w:tr>
        <w:trPr>
          <w:trHeight w:val="236"/>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238,257</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195,437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258,511</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220,500</w:t>
            </w:r>
          </w:p>
        </w:tc>
        <w:tc>
          <w:tcPr>
            <w:tcW w:w="10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-4208145</wp:posOffset>
            </wp:positionV>
            <wp:extent cx="685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-3265170</wp:posOffset>
            </wp:positionV>
            <wp:extent cx="126873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873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-2163445</wp:posOffset>
            </wp:positionV>
            <wp:extent cx="7145020" cy="338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-187960</wp:posOffset>
            </wp:positionV>
            <wp:extent cx="6858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jc w:val="right"/>
              <w:ind w:right="450"/>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6"/>
                <w:szCs w:val="16"/>
                <w:color w:val="auto"/>
              </w:rPr>
            </w:pPr>
          </w:p>
        </w:tc>
        <w:tc>
          <w:tcPr>
            <w:tcW w:w="2620" w:type="dxa"/>
            <w:vAlign w:val="bottom"/>
            <w:gridSpan w:val="5"/>
          </w:tcPr>
          <w:p>
            <w:pPr>
              <w:jc w:val="right"/>
              <w:ind w:right="32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69"/>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26,261</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22,889</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73,061</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7,124</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7,517</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21,837</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33,385</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30,406</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(33,385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(30,406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(94,898</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(90,155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(29,958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(88,757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(86,797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Per share information:</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of common stock, basic and 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(0.45 )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(0.63 )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(1.55 )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02"/>
        </w:trPr>
        <w:tc>
          <w:tcPr>
            <w:tcW w:w="5380" w:type="dxa"/>
            <w:vAlign w:val="bottom"/>
            <w:tcBorders>
              <w:top w:val="single" w:sz="8" w:color="CFF0FC"/>
            </w:tcBorders>
          </w:tcPr>
          <w:p>
            <w:pPr>
              <w:ind w:left="20"/>
              <w:spacing w:after="0" w:line="202" w:lineRule="exact"/>
              <w:rPr>
                <w:sz w:val="20"/>
                <w:szCs w:val="20"/>
                <w:color w:val="auto"/>
              </w:rPr>
            </w:pPr>
            <w:r>
              <w:rPr>
                <w:rFonts w:ascii="Arial" w:cs="Arial" w:eastAsia="Arial" w:hAnsi="Arial"/>
                <w:sz w:val="18"/>
                <w:szCs w:val="18"/>
                <w:color w:val="auto"/>
              </w:rPr>
              <w:t>Weighted average common shares outstanding, basic</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67,639,993</w:t>
            </w:r>
          </w:p>
        </w:tc>
        <w:tc>
          <w:tcPr>
            <w:tcW w:w="2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47,449,811</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57,278,795</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47,265,712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160"/>
              <w:spacing w:after="0" w:line="203" w:lineRule="exact"/>
              <w:rPr>
                <w:sz w:val="20"/>
                <w:szCs w:val="20"/>
                <w:color w:val="auto"/>
              </w:rPr>
            </w:pPr>
            <w:r>
              <w:rPr>
                <w:rFonts w:ascii="Arial" w:cs="Arial" w:eastAsia="Arial" w:hAnsi="Arial"/>
                <w:sz w:val="18"/>
                <w:szCs w:val="18"/>
                <w:color w:val="auto"/>
              </w:rPr>
              <w:t>and diluted</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(30,608 )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(29,958 )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(88,757 )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(86,797 )</w:t>
            </w:r>
          </w:p>
        </w:tc>
        <w:tc>
          <w:tcPr>
            <w:tcW w:w="0" w:type="dxa"/>
            <w:vAlign w:val="bottom"/>
          </w:tcPr>
          <w:p>
            <w:pPr>
              <w:spacing w:after="0"/>
              <w:rPr>
                <w:sz w:val="1"/>
                <w:szCs w:val="1"/>
                <w:color w:val="auto"/>
              </w:rPr>
            </w:pPr>
          </w:p>
        </w:tc>
      </w:tr>
      <w:tr>
        <w:trPr>
          <w:trHeight w:val="243"/>
        </w:trPr>
        <w:tc>
          <w:tcPr>
            <w:tcW w:w="5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gain on marketable securities, net of tax</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(69 )</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(1,652 )</w:t>
            </w:r>
          </w:p>
        </w:tc>
        <w:tc>
          <w:tcPr>
            <w:tcW w:w="0" w:type="dxa"/>
            <w:vAlign w:val="bottom"/>
          </w:tcPr>
          <w:p>
            <w:pPr>
              <w:spacing w:after="0"/>
              <w:rPr>
                <w:sz w:val="1"/>
                <w:szCs w:val="1"/>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(30,502 )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(30,027 )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(87,670 )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(88,449 )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-1945005</wp:posOffset>
            </wp:positionV>
            <wp:extent cx="7747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-1945005</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-1945005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-1302385</wp:posOffset>
            </wp:positionV>
            <wp:extent cx="292290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22905" cy="17970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-967740</wp:posOffset>
            </wp:positionV>
            <wp:extent cx="2922905" cy="316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22905" cy="31686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-187960</wp:posOffset>
            </wp:positionV>
            <wp:extent cx="7747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3"/>
            <w:vMerge w:val="restart"/>
          </w:tcPr>
          <w:p>
            <w:pPr>
              <w:jc w:val="center"/>
              <w:ind w:left="153"/>
              <w:spacing w:after="0"/>
              <w:rPr>
                <w:sz w:val="20"/>
                <w:szCs w:val="20"/>
                <w:color w:val="auto"/>
              </w:rPr>
            </w:pPr>
            <w:r>
              <w:rPr>
                <w:rFonts w:ascii="Arial" w:cs="Arial" w:eastAsia="Arial" w:hAnsi="Arial"/>
                <w:sz w:val="14"/>
                <w:szCs w:val="14"/>
                <w:b w:val="1"/>
                <w:bCs w:val="1"/>
                <w:color w:val="auto"/>
                <w:w w:val="91"/>
              </w:rPr>
              <w:t>Non-voting common</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60" w:type="dxa"/>
            <w:vAlign w:val="bottom"/>
            <w:tcBorders>
              <w:top w:val="single" w:sz="8" w:color="auto"/>
            </w:tcBorders>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9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Accumulat</w:t>
            </w: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17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Voting common stock</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1"/>
              </w:rPr>
              <w:t>other</w:t>
            </w:r>
          </w:p>
        </w:tc>
        <w:tc>
          <w:tcPr>
            <w:tcW w:w="94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gridSpan w:val="2"/>
          </w:tcPr>
          <w:p>
            <w:pPr>
              <w:jc w:val="center"/>
              <w:ind w:left="573"/>
              <w:spacing w:after="0"/>
              <w:rPr>
                <w:sz w:val="20"/>
                <w:szCs w:val="20"/>
                <w:color w:val="auto"/>
              </w:rPr>
            </w:pPr>
            <w:r>
              <w:rPr>
                <w:rFonts w:ascii="Arial" w:cs="Arial" w:eastAsia="Arial" w:hAnsi="Arial"/>
                <w:sz w:val="14"/>
                <w:szCs w:val="14"/>
                <w:b w:val="1"/>
                <w:bCs w:val="1"/>
                <w:color w:val="auto"/>
                <w:w w:val="87"/>
              </w:rPr>
              <w:t>stock</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paid-in</w:t>
            </w: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5"/>
                <w:szCs w:val="15"/>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shares)</w:t>
            </w: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capital</w:t>
            </w:r>
          </w:p>
        </w:tc>
        <w:tc>
          <w:tcPr>
            <w:tcW w:w="22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January 1, 2023</w:t>
            </w: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11,402,03</w:t>
            </w:r>
          </w:p>
        </w:tc>
        <w:tc>
          <w:tcPr>
            <w:tcW w:w="24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(334,55</w:t>
            </w: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36,496,994</w:t>
            </w:r>
          </w:p>
        </w:tc>
        <w:tc>
          <w:tcPr>
            <w:tcW w:w="6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$ 531,682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(1,692 )</w:t>
            </w: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$ 195,437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8"/>
                <w:szCs w:val="18"/>
                <w:color w:val="auto"/>
              </w:rPr>
              <w:t>Issuance of common stock upon</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exercise of stock options &amp; vesting of</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RSUs</w:t>
            </w:r>
          </w:p>
        </w:tc>
        <w:tc>
          <w:tcPr>
            <w:tcW w:w="1060" w:type="dxa"/>
            <w:vAlign w:val="bottom"/>
          </w:tcPr>
          <w:p>
            <w:pPr>
              <w:jc w:val="right"/>
              <w:spacing w:after="0"/>
              <w:rPr>
                <w:sz w:val="20"/>
                <w:szCs w:val="20"/>
                <w:color w:val="auto"/>
              </w:rPr>
            </w:pPr>
            <w:r>
              <w:rPr>
                <w:rFonts w:ascii="Arial" w:cs="Arial" w:eastAsia="Arial" w:hAnsi="Arial"/>
                <w:sz w:val="18"/>
                <w:szCs w:val="18"/>
                <w:color w:val="auto"/>
              </w:rPr>
              <w:t>17,224</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gain on marketable</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securities, net of tax</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6,256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1"/>
              </w:rPr>
              <w:t>(27,718 )</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(27,718 )</w:t>
            </w:r>
          </w:p>
        </w:tc>
        <w:tc>
          <w:tcPr>
            <w:tcW w:w="0" w:type="dxa"/>
            <w:vAlign w:val="bottom"/>
          </w:tcPr>
          <w:p>
            <w:pPr>
              <w:spacing w:after="0"/>
              <w:rPr>
                <w:sz w:val="1"/>
                <w:szCs w:val="1"/>
                <w:color w:val="auto"/>
              </w:rPr>
            </w:pPr>
          </w:p>
        </w:tc>
      </w:tr>
      <w:tr>
        <w:trPr>
          <w:trHeight w:val="215"/>
        </w:trPr>
        <w:tc>
          <w:tcPr>
            <w:tcW w:w="30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11,402,03</w:t>
            </w:r>
          </w:p>
        </w:tc>
        <w:tc>
          <w:tcPr>
            <w:tcW w:w="24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(362,27</w:t>
            </w: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36,514,218</w:t>
            </w:r>
          </w:p>
        </w:tc>
        <w:tc>
          <w:tcPr>
            <w:tcW w:w="6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420" w:type="dxa"/>
            <w:vAlign w:val="bottom"/>
          </w:tcPr>
          <w:p>
            <w:pPr>
              <w:jc w:val="right"/>
              <w:ind w:right="234"/>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$ 537,966</w:t>
            </w:r>
          </w:p>
        </w:tc>
        <w:tc>
          <w:tcPr>
            <w:tcW w:w="22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(398 )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6 )</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$ 175,297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and</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prefunded warrants, net of issuance</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of $2.6 million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5,312,978</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1,448,222</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110,423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8"/>
                <w:szCs w:val="18"/>
                <w:color w:val="auto"/>
              </w:rPr>
              <w:t>Issuance of common stock upon</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exercise of stock options &amp; vesting of</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RSU's</w:t>
            </w:r>
          </w:p>
        </w:tc>
        <w:tc>
          <w:tcPr>
            <w:tcW w:w="1060" w:type="dxa"/>
            <w:vAlign w:val="bottom"/>
          </w:tcPr>
          <w:p>
            <w:pPr>
              <w:jc w:val="right"/>
              <w:spacing w:after="0"/>
              <w:rPr>
                <w:sz w:val="20"/>
                <w:szCs w:val="20"/>
                <w:color w:val="auto"/>
              </w:rPr>
            </w:pPr>
            <w:r>
              <w:rPr>
                <w:rFonts w:ascii="Arial" w:cs="Arial" w:eastAsia="Arial" w:hAnsi="Arial"/>
                <w:sz w:val="18"/>
                <w:szCs w:val="18"/>
                <w:color w:val="auto"/>
              </w:rPr>
              <w:t>40,461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Issuance of common stock under ESPP</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90,799</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8"/>
                <w:szCs w:val="18"/>
                <w:color w:val="auto"/>
              </w:rPr>
              <w:t>Unrealized loss on marketable</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securities, net of tax</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(313 )</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250"/>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6,733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(30,431 )</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(30,431 )</w:t>
            </w:r>
          </w:p>
        </w:tc>
        <w:tc>
          <w:tcPr>
            <w:tcW w:w="0" w:type="dxa"/>
            <w:vAlign w:val="bottom"/>
          </w:tcPr>
          <w:p>
            <w:pPr>
              <w:spacing w:after="0"/>
              <w:rPr>
                <w:sz w:val="1"/>
                <w:szCs w:val="1"/>
                <w:color w:val="auto"/>
              </w:rPr>
            </w:pPr>
          </w:p>
        </w:tc>
      </w:tr>
      <w:tr>
        <w:trPr>
          <w:trHeight w:val="215"/>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12,850,25</w:t>
            </w:r>
          </w:p>
        </w:tc>
        <w:tc>
          <w:tcPr>
            <w:tcW w:w="24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(392,70</w:t>
            </w: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41,958,456</w:t>
            </w:r>
          </w:p>
        </w:tc>
        <w:tc>
          <w:tcPr>
            <w:tcW w:w="6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$ 655,473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(711 )</w:t>
            </w: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$ 262,060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8"/>
                <w:szCs w:val="18"/>
                <w:color w:val="auto"/>
              </w:rPr>
              <w:t>Issuance of common stock upon</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vesting of RSU's, net of 3,609 shares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withheld for employee taxes</w:t>
            </w:r>
          </w:p>
        </w:tc>
        <w:tc>
          <w:tcPr>
            <w:tcW w:w="1060" w:type="dxa"/>
            <w:vAlign w:val="bottom"/>
          </w:tcPr>
          <w:p>
            <w:pPr>
              <w:jc w:val="right"/>
              <w:spacing w:after="0"/>
              <w:rPr>
                <w:sz w:val="20"/>
                <w:szCs w:val="20"/>
                <w:color w:val="auto"/>
              </w:rPr>
            </w:pPr>
            <w:r>
              <w:rPr>
                <w:rFonts w:ascii="Arial" w:cs="Arial" w:eastAsia="Arial" w:hAnsi="Arial"/>
                <w:sz w:val="18"/>
                <w:szCs w:val="18"/>
                <w:color w:val="auto"/>
              </w:rPr>
              <w:t>7,016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(16 )</w:t>
            </w: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2"/>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gain (loss) on marketable</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8"/>
                <w:szCs w:val="18"/>
                <w:color w:val="auto"/>
                <w:w w:val="91"/>
              </w:rPr>
              <w:t>Stock-based compensation expense, net</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w w:val="96"/>
              </w:rPr>
              <w:t>of forfeitures of restricted stock awards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1"/>
              </w:rPr>
              <w:t>(30,608 )</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(30,608 )</w:t>
            </w:r>
          </w:p>
        </w:tc>
        <w:tc>
          <w:tcPr>
            <w:tcW w:w="0" w:type="dxa"/>
            <w:vAlign w:val="bottom"/>
          </w:tcPr>
          <w:p>
            <w:pPr>
              <w:spacing w:after="0"/>
              <w:rPr>
                <w:sz w:val="1"/>
                <w:szCs w:val="1"/>
                <w:color w:val="auto"/>
              </w:rPr>
            </w:pPr>
          </w:p>
        </w:tc>
      </w:tr>
      <w:tr>
        <w:trPr>
          <w:trHeight w:val="215"/>
        </w:trPr>
        <w:tc>
          <w:tcPr>
            <w:tcW w:w="30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12,850,25</w:t>
            </w:r>
          </w:p>
        </w:tc>
        <w:tc>
          <w:tcPr>
            <w:tcW w:w="24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(423,31</w:t>
            </w: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41,965,472</w:t>
            </w:r>
          </w:p>
        </w:tc>
        <w:tc>
          <w:tcPr>
            <w:tcW w:w="6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0"/>
                <w:szCs w:val="20"/>
                <w:color w:val="auto"/>
              </w:rPr>
            </w:pPr>
          </w:p>
        </w:tc>
        <w:tc>
          <w:tcPr>
            <w:tcW w:w="420" w:type="dxa"/>
            <w:vAlign w:val="bottom"/>
          </w:tcPr>
          <w:p>
            <w:pPr>
              <w:jc w:val="right"/>
              <w:ind w:right="234"/>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$ 662,172</w:t>
            </w:r>
          </w:p>
        </w:tc>
        <w:tc>
          <w:tcPr>
            <w:tcW w:w="22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(605 )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5 )</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$ 238,257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-3668395</wp:posOffset>
            </wp:positionV>
            <wp:extent cx="7747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-3668395</wp:posOffset>
            </wp:positionV>
            <wp:extent cx="7747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-3668395</wp:posOffset>
            </wp:positionV>
            <wp:extent cx="7747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-3668395</wp:posOffset>
            </wp:positionV>
            <wp:extent cx="68580"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-3668395</wp:posOffset>
            </wp:positionV>
            <wp:extent cx="6858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-3668395</wp:posOffset>
            </wp:positionV>
            <wp:extent cx="6858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-3668395</wp:posOffset>
            </wp:positionV>
            <wp:extent cx="68580"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-290830</wp:posOffset>
            </wp:positionV>
            <wp:extent cx="5220335"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20335" cy="32575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-130175</wp:posOffset>
            </wp:positionV>
            <wp:extent cx="51517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4"/>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98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Accumulate</w:t>
            </w: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920" w:type="dxa"/>
            <w:vAlign w:val="bottom"/>
            <w:gridSpan w:val="4"/>
            <w:vMerge w:val="restart"/>
          </w:tcPr>
          <w:p>
            <w:pPr>
              <w:jc w:val="right"/>
              <w:ind w:right="211"/>
              <w:spacing w:after="0"/>
              <w:rPr>
                <w:sz w:val="20"/>
                <w:szCs w:val="20"/>
                <w:color w:val="auto"/>
              </w:rPr>
            </w:pPr>
            <w:r>
              <w:rPr>
                <w:rFonts w:ascii="Arial" w:cs="Arial" w:eastAsia="Arial" w:hAnsi="Arial"/>
                <w:sz w:val="14"/>
                <w:szCs w:val="14"/>
                <w:b w:val="1"/>
                <w:bCs w:val="1"/>
                <w:color w:val="auto"/>
              </w:rPr>
              <w:t>Voting common stock</w:t>
            </w:r>
          </w:p>
        </w:tc>
        <w:tc>
          <w:tcPr>
            <w:tcW w:w="240" w:type="dxa"/>
            <w:vAlign w:val="bottom"/>
          </w:tcPr>
          <w:p>
            <w:pPr>
              <w:spacing w:after="0"/>
              <w:rPr>
                <w:sz w:val="12"/>
                <w:szCs w:val="12"/>
                <w:color w:val="auto"/>
              </w:rPr>
            </w:pPr>
          </w:p>
        </w:tc>
        <w:tc>
          <w:tcPr>
            <w:tcW w:w="1920" w:type="dxa"/>
            <w:vAlign w:val="bottom"/>
            <w:gridSpan w:val="4"/>
            <w:vMerge w:val="restart"/>
          </w:tcPr>
          <w:p>
            <w:pPr>
              <w:jc w:val="right"/>
              <w:ind w:right="71"/>
              <w:spacing w:after="0"/>
              <w:rPr>
                <w:sz w:val="20"/>
                <w:szCs w:val="20"/>
                <w:color w:val="auto"/>
              </w:rPr>
            </w:pPr>
            <w:r>
              <w:rPr>
                <w:rFonts w:ascii="Arial" w:cs="Arial" w:eastAsia="Arial" w:hAnsi="Arial"/>
                <w:sz w:val="14"/>
                <w:szCs w:val="14"/>
                <w:b w:val="1"/>
                <w:bCs w:val="1"/>
                <w:color w:val="auto"/>
                <w:w w:val="98"/>
              </w:rPr>
              <w:t>Non-voting common stock</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other</w:t>
            </w:r>
          </w:p>
        </w:tc>
        <w:tc>
          <w:tcPr>
            <w:tcW w:w="9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4"/>
                <w:szCs w:val="14"/>
                <w:color w:val="auto"/>
              </w:rPr>
            </w:pPr>
          </w:p>
        </w:tc>
        <w:tc>
          <w:tcPr>
            <w:tcW w:w="192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ind w:left="4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8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shares)</w:t>
            </w: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4"/>
                <w:szCs w:val="14"/>
                <w:color w:val="auto"/>
              </w:rPr>
            </w:pPr>
          </w:p>
        </w:tc>
        <w:tc>
          <w:tcPr>
            <w:tcW w:w="8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January 1, 2022</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36,200,29</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11,402,03</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(219,12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8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$ 505,723</w:t>
            </w:r>
          </w:p>
        </w:tc>
        <w:tc>
          <w:tcPr>
            <w:tcW w:w="42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(711 )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285,897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8"/>
                <w:szCs w:val="18"/>
                <w:color w:val="auto"/>
              </w:rPr>
              <w:t>Issuance of common stock upon</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93,032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loss on marketable</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securities, net of tax</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(1,602 )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(1,602 )</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w w:val="97"/>
              </w:rPr>
              <w:t>Stock-based compensation expense</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4"/>
              </w:rPr>
              <w:t>(29,465 )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7"/>
              </w:rPr>
              <w:t>(29,465 )</w:t>
            </w:r>
          </w:p>
        </w:tc>
        <w:tc>
          <w:tcPr>
            <w:tcW w:w="0" w:type="dxa"/>
            <w:vAlign w:val="bottom"/>
          </w:tcPr>
          <w:p>
            <w:pPr>
              <w:spacing w:after="0"/>
              <w:rPr>
                <w:sz w:val="1"/>
                <w:szCs w:val="1"/>
                <w:color w:val="auto"/>
              </w:rPr>
            </w:pPr>
          </w:p>
        </w:tc>
      </w:tr>
      <w:tr>
        <w:trPr>
          <w:trHeight w:val="215"/>
        </w:trPr>
        <w:tc>
          <w:tcPr>
            <w:tcW w:w="28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36,293,33</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11,402,03</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(248,58</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$ 512,705</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(2,313 )</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261,812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upon</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31,253</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8"/>
                <w:szCs w:val="18"/>
                <w:color w:val="auto"/>
              </w:rPr>
              <w:t>Issuance of common stock under</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ESPP</w:t>
            </w:r>
          </w:p>
        </w:tc>
        <w:tc>
          <w:tcPr>
            <w:tcW w:w="920" w:type="dxa"/>
            <w:vAlign w:val="bottom"/>
          </w:tcPr>
          <w:p>
            <w:pPr>
              <w:jc w:val="right"/>
              <w:spacing w:after="0"/>
              <w:rPr>
                <w:sz w:val="20"/>
                <w:szCs w:val="20"/>
                <w:color w:val="auto"/>
              </w:rPr>
            </w:pPr>
            <w:r>
              <w:rPr>
                <w:rFonts w:ascii="Arial" w:cs="Arial" w:eastAsia="Arial" w:hAnsi="Arial"/>
                <w:sz w:val="18"/>
                <w:szCs w:val="18"/>
                <w:color w:val="auto"/>
              </w:rPr>
              <w:t>68,080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gain on marketable</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securities</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8"/>
                <w:szCs w:val="18"/>
                <w:color w:val="auto"/>
                <w:w w:val="95"/>
              </w:rPr>
              <w:t>Stock-based compensation expense,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net of forfeitures of restricted stock</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awards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(23,416 )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4"/>
              </w:rPr>
              <w:t>(27,374 )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7"/>
              </w:rPr>
              <w:t>(27,374 )</w:t>
            </w:r>
          </w:p>
        </w:tc>
        <w:tc>
          <w:tcPr>
            <w:tcW w:w="0" w:type="dxa"/>
            <w:vAlign w:val="bottom"/>
          </w:tcPr>
          <w:p>
            <w:pPr>
              <w:spacing w:after="0"/>
              <w:rPr>
                <w:sz w:val="1"/>
                <w:szCs w:val="1"/>
                <w:color w:val="auto"/>
              </w:rPr>
            </w:pPr>
          </w:p>
        </w:tc>
      </w:tr>
      <w:tr>
        <w:trPr>
          <w:trHeight w:val="215"/>
        </w:trPr>
        <w:tc>
          <w:tcPr>
            <w:tcW w:w="28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36,369,24</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11,402,03</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(275,95</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$ 519,092</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(2,294 )</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240,844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upon</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75,528</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8"/>
                <w:szCs w:val="18"/>
                <w:color w:val="auto"/>
                <w:w w:val="97"/>
              </w:rPr>
              <w:t>Unrealized gain(loss) on marketable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(69 )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2"/>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Stock-based compensation expense,</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of forfeitures of restricted stock</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6,442</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(29,958 )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(29,958 )</w:t>
            </w:r>
          </w:p>
        </w:tc>
        <w:tc>
          <w:tcPr>
            <w:tcW w:w="0" w:type="dxa"/>
            <w:vAlign w:val="bottom"/>
          </w:tcPr>
          <w:p>
            <w:pPr>
              <w:spacing w:after="0"/>
              <w:rPr>
                <w:sz w:val="1"/>
                <w:szCs w:val="1"/>
                <w:color w:val="auto"/>
              </w:rPr>
            </w:pPr>
          </w:p>
        </w:tc>
      </w:tr>
      <w:tr>
        <w:trPr>
          <w:trHeight w:val="215"/>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36,444,77</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11,402,03</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(305,91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$ 525,682</w:t>
            </w:r>
          </w:p>
        </w:tc>
        <w:tc>
          <w:tcPr>
            <w:tcW w:w="200" w:type="dxa"/>
            <w:vAlign w:val="bottom"/>
            <w:gridSpan w:val="2"/>
            <w:shd w:val="clear" w:color="auto" w:fill="CFF0FC"/>
          </w:tcPr>
          <w:p>
            <w:pPr>
              <w:spacing w:after="0"/>
              <w:rPr>
                <w:sz w:val="22"/>
                <w:szCs w:val="22"/>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(2,363 )</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217,407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-3548380</wp:posOffset>
            </wp:positionV>
            <wp:extent cx="76835" cy="30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-3548380</wp:posOffset>
            </wp:positionV>
            <wp:extent cx="76835" cy="300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-3548380</wp:posOffset>
            </wp:positionV>
            <wp:extent cx="77470"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-3548380</wp:posOffset>
            </wp:positionV>
            <wp:extent cx="68580" cy="300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-3548380</wp:posOffset>
            </wp:positionV>
            <wp:extent cx="68580" cy="300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-3548380</wp:posOffset>
            </wp:positionV>
            <wp:extent cx="68580" cy="30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-3548380</wp:posOffset>
            </wp:positionV>
            <wp:extent cx="68580" cy="300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300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-1790700</wp:posOffset>
            </wp:positionV>
            <wp:extent cx="76835" cy="300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-1790700</wp:posOffset>
            </wp:positionV>
            <wp:extent cx="76835" cy="300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-1790700</wp:posOffset>
            </wp:positionV>
            <wp:extent cx="77470" cy="300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-1790700</wp:posOffset>
            </wp:positionV>
            <wp:extent cx="68580" cy="30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-1790700</wp:posOffset>
            </wp:positionV>
            <wp:extent cx="68580"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-1790700</wp:posOffset>
            </wp:positionV>
            <wp:extent cx="68580" cy="300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-1790700</wp:posOffset>
            </wp:positionV>
            <wp:extent cx="68580" cy="300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-24765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-7620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-24765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-7620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used in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(88,757 )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(86,797 )</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lease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19,704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19,299</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premium and discount on marketable securities, net</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(2,402 )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(2,053 )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(3,591 )</w:t>
            </w: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(1,805 )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(1,873 )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3,661</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Long-term prepaid expenses and other long-term assets</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(7,108 )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(1,357 )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(1,280 )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(83,485 )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(60,802 )</w:t>
            </w: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(used in) provided by investing activities:</w:t>
            </w:r>
          </w:p>
        </w:tc>
        <w:tc>
          <w:tcPr>
            <w:tcW w:w="36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(162,248 )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(85,972 )</w:t>
            </w: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122,250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168,934</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(2,384 )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(2,626 )</w:t>
            </w: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(42,382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Cash flows provided by financing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and pre-funded warrants, net of offering costs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110,795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 under ESPP</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the issuance of common stock in connection with the exercise of stock options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Payment of withholding taxes related to stock-based compensation to employees</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(16 )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111,158</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(14,709 )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20,194</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34,649</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19,940</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56,066</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Property and equipment in accounts payable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7720" w:type="dxa"/>
            <w:vAlign w:val="bottom"/>
          </w:tcPr>
          <w:p>
            <w:pPr>
              <w:ind w:left="200"/>
              <w:spacing w:after="0"/>
              <w:rPr>
                <w:sz w:val="20"/>
                <w:szCs w:val="20"/>
                <w:color w:val="auto"/>
              </w:rPr>
            </w:pPr>
            <w:r>
              <w:rPr>
                <w:rFonts w:ascii="Arial" w:cs="Arial" w:eastAsia="Arial" w:hAnsi="Arial"/>
                <w:sz w:val="18"/>
                <w:szCs w:val="18"/>
                <w:color w:val="auto"/>
              </w:rPr>
              <w:t>Offering costs in accrued expenses and other current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64"/>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Offering costs in accounts payable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7720" w:type="dxa"/>
            <w:vAlign w:val="bottom"/>
          </w:tcPr>
          <w:p>
            <w:pPr>
              <w:ind w:left="200"/>
              <w:spacing w:after="0"/>
              <w:rPr>
                <w:sz w:val="20"/>
                <w:szCs w:val="20"/>
                <w:color w:val="auto"/>
              </w:rPr>
            </w:pPr>
            <w:r>
              <w:rPr>
                <w:rFonts w:ascii="Arial" w:cs="Arial" w:eastAsia="Arial" w:hAnsi="Arial"/>
                <w:sz w:val="18"/>
                <w:szCs w:val="18"/>
                <w:color w:val="auto"/>
              </w:rPr>
              <w:t>Unrealized gain (loss) on marketable securities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1,087</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(1,652 )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-3453765</wp:posOffset>
            </wp:positionV>
            <wp:extent cx="685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-2502535</wp:posOffset>
            </wp:positionV>
            <wp:extent cx="6858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-1559560</wp:posOffset>
            </wp:positionV>
            <wp:extent cx="6858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-1242060</wp:posOffset>
            </wp:positionV>
            <wp:extent cx="6858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1243330"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43330" cy="20574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-205105</wp:posOffset>
            </wp:positionV>
            <wp:extent cx="1243330" cy="3600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43330" cy="3600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w:t>
      </w:r>
    </w:p>
    <w:p>
      <w:pPr>
        <w:spacing w:after="0" w:line="229" w:lineRule="exact"/>
        <w:rPr>
          <w:sz w:val="20"/>
          <w:szCs w:val="20"/>
          <w:color w:val="auto"/>
        </w:rPr>
      </w:pPr>
    </w:p>
    <w:p>
      <w:pPr>
        <w:ind w:firstLine="478"/>
        <w:spacing w:after="0" w:line="259" w:lineRule="auto"/>
        <w:rPr>
          <w:sz w:val="20"/>
          <w:szCs w:val="20"/>
          <w:color w:val="auto"/>
        </w:rPr>
      </w:pPr>
      <w:r>
        <w:rPr>
          <w:rFonts w:ascii="Arial" w:cs="Arial" w:eastAsia="Arial" w:hAnsi="Arial"/>
          <w:sz w:val="18"/>
          <w:szCs w:val="18"/>
          <w:color w:val="auto"/>
        </w:rPr>
        <w:t>Prelude Therapeutics Incorporated (the “Company”) is a clinical-stage fully integrated oncology company built on a foundation of drug discovery excellence to deliver novel precision cancer medicines to underserved patients. Since beginning operations in 2016, the Company has devoted substantially all its efforts to research and development, conducting preclinical and clinical studies, recruiting management and technical staff, administration, and raising capital.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Risks and liquidity</w:t>
      </w:r>
    </w:p>
    <w:p>
      <w:pPr>
        <w:spacing w:after="0" w:line="229" w:lineRule="exact"/>
        <w:rPr>
          <w:sz w:val="20"/>
          <w:szCs w:val="20"/>
          <w:color w:val="auto"/>
        </w:rPr>
      </w:pPr>
    </w:p>
    <w:p>
      <w:pPr>
        <w:ind w:right="20" w:firstLine="479"/>
        <w:spacing w:after="0" w:line="269" w:lineRule="auto"/>
        <w:rPr>
          <w:sz w:val="20"/>
          <w:szCs w:val="20"/>
          <w:color w:val="auto"/>
        </w:rPr>
      </w:pPr>
      <w:r>
        <w:rPr>
          <w:rFonts w:ascii="Arial" w:cs="Arial" w:eastAsia="Arial" w:hAnsi="Arial"/>
          <w:sz w:val="17"/>
          <w:szCs w:val="17"/>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85" w:lineRule="exact"/>
        <w:rPr>
          <w:sz w:val="20"/>
          <w:szCs w:val="20"/>
          <w:color w:val="auto"/>
        </w:rPr>
      </w:pPr>
    </w:p>
    <w:p>
      <w:pPr>
        <w:ind w:right="60" w:firstLine="479"/>
        <w:spacing w:after="0" w:line="263" w:lineRule="auto"/>
        <w:rPr>
          <w:sz w:val="20"/>
          <w:szCs w:val="20"/>
          <w:color w:val="auto"/>
        </w:rPr>
      </w:pPr>
      <w:r>
        <w:rPr>
          <w:rFonts w:ascii="Arial" w:cs="Arial" w:eastAsia="Arial" w:hAnsi="Arial"/>
          <w:sz w:val="18"/>
          <w:szCs w:val="18"/>
          <w:color w:val="auto"/>
        </w:rPr>
        <w:t>Since its inception, the Company has incurred operating losses and had an accumulated deficit of $423.3 million at September 30, 2023. The Company has no revenue to-date and devotes its efforts to research and development. The Company anticipates incurring additional losses until such time, if ever, that it can generate significant sales of its product candidates currently in development.</w:t>
      </w:r>
    </w:p>
    <w:p>
      <w:pPr>
        <w:spacing w:after="0" w:line="184" w:lineRule="exact"/>
        <w:rPr>
          <w:sz w:val="20"/>
          <w:szCs w:val="20"/>
          <w:color w:val="auto"/>
        </w:rPr>
      </w:pPr>
    </w:p>
    <w:p>
      <w:pPr>
        <w:ind w:right="320" w:firstLine="479"/>
        <w:spacing w:after="0" w:line="277" w:lineRule="auto"/>
        <w:rPr>
          <w:sz w:val="20"/>
          <w:szCs w:val="20"/>
          <w:color w:val="auto"/>
        </w:rPr>
      </w:pPr>
      <w:r>
        <w:rPr>
          <w:rFonts w:ascii="Arial" w:cs="Arial" w:eastAsia="Arial" w:hAnsi="Arial"/>
          <w:sz w:val="18"/>
          <w:szCs w:val="18"/>
          <w:color w:val="auto"/>
        </w:rPr>
        <w:t>The Company believes that its cash, cash equivalents, and marketable securities as of September 30, 2023 will be sufficient to fund its operating expenses and capital expenditure requirements for at least the next twelve months.</w:t>
      </w:r>
    </w:p>
    <w:p>
      <w:pPr>
        <w:spacing w:after="0" w:line="170" w:lineRule="exact"/>
        <w:rPr>
          <w:sz w:val="20"/>
          <w:szCs w:val="20"/>
          <w:color w:val="auto"/>
        </w:rPr>
      </w:pPr>
    </w:p>
    <w:p>
      <w:pPr>
        <w:ind w:right="80" w:firstLine="479"/>
        <w:spacing w:after="0" w:line="273" w:lineRule="auto"/>
        <w:rPr>
          <w:sz w:val="20"/>
          <w:szCs w:val="20"/>
          <w:color w:val="auto"/>
        </w:rPr>
      </w:pPr>
      <w:r>
        <w:rPr>
          <w:rFonts w:ascii="Arial" w:cs="Arial" w:eastAsia="Arial" w:hAnsi="Arial"/>
          <w:sz w:val="17"/>
          <w:szCs w:val="17"/>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78" w:lineRule="exact"/>
        <w:rPr>
          <w:sz w:val="20"/>
          <w:szCs w:val="20"/>
          <w:color w:val="auto"/>
        </w:rPr>
      </w:pPr>
    </w:p>
    <w:p>
      <w:pPr>
        <w:ind w:firstLine="479"/>
        <w:spacing w:after="0" w:line="272" w:lineRule="auto"/>
        <w:rPr>
          <w:sz w:val="20"/>
          <w:szCs w:val="20"/>
          <w:color w:val="auto"/>
        </w:rPr>
      </w:pPr>
      <w:r>
        <w:rPr>
          <w:rFonts w:ascii="Arial" w:cs="Arial" w:eastAsia="Arial" w:hAnsi="Arial"/>
          <w:sz w:val="17"/>
          <w:szCs w:val="17"/>
          <w:color w:val="auto"/>
        </w:rPr>
        <w:t>Inflation has the potential to adversely affect the Company's liquidity, business, financial condition and results of operations by increasing the Company's overall cost structure. The existence of inflation in the economy has resulted in, and may continue to result in, higher interest rates and capital costs, supply shortages, increased costs of labor, components, manufacturing and shipping, as well as weakening exchange rates and other similar effects. As a result of inflation, the Company has experienced, and may continue to experience cost increases. Although the Company may take measures to mitigate the effects of inflation, if these measures are not effective, the Company's business, financial condition, results of operations and liquidity could be materially adversely affected. Even if such measures are effective, there could be a difference between the timing of when these beneficial actions impact the Company's results of operations and when the costs of inflation are incurred.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29" w:lineRule="exact"/>
        <w:rPr>
          <w:sz w:val="20"/>
          <w:szCs w:val="20"/>
          <w:color w:val="auto"/>
        </w:rPr>
      </w:pPr>
    </w:p>
    <w:p>
      <w:pPr>
        <w:ind w:right="80" w:firstLine="479"/>
        <w:spacing w:after="0" w:line="263" w:lineRule="auto"/>
        <w:rPr>
          <w:sz w:val="20"/>
          <w:szCs w:val="20"/>
          <w:color w:val="auto"/>
        </w:rPr>
      </w:pPr>
      <w:r>
        <w:rPr>
          <w:rFonts w:ascii="Arial" w:cs="Arial" w:eastAsia="Arial" w:hAnsi="Arial"/>
          <w:sz w:val="18"/>
          <w:szCs w:val="18"/>
          <w:color w:val="auto"/>
        </w:rPr>
        <w:t>The summary of significant accounting policies included in the Company’s financial statements for the year ended December 31, 2022 can be found in “Note 3. Summary of significant accounting policies” of the Company’s Annual Report on Form 10-K filed with the Securities and Exchange Commission (the “SEC”) on March 15, 2023. Those policies have not materially changed.</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479"/>
        <w:spacing w:after="0" w:line="255" w:lineRule="auto"/>
        <w:rPr>
          <w:sz w:val="20"/>
          <w:szCs w:val="20"/>
          <w:color w:val="auto"/>
        </w:rPr>
      </w:pPr>
      <w:r>
        <w:rPr>
          <w:rFonts w:ascii="Arial" w:cs="Arial" w:eastAsia="Arial" w:hAnsi="Arial"/>
          <w:sz w:val="18"/>
          <w:szCs w:val="18"/>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and nine months ended September 30, 2023 are not necessarily indicative of the results that may be expected for the year ending December 31, 2023. The accompanying unaudited interim financial statements should be read in conjunction with the annual audited financial statements and related notes as of and for the year ended December 31, 2022 found in the Company's Annual Report on Form 10-K filed with the SEC on March 15, 2023. Any reference in these notes to applicable guidance is meant to refer to GAAP as found in the Accounting Standards Codification (“ASC”) and Accounting Standards Updates (“ASU”) of the Financial Accounting Standards Board (“FASB”).</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260" w:firstLine="478"/>
        <w:spacing w:after="0" w:line="311" w:lineRule="auto"/>
        <w:rPr>
          <w:sz w:val="20"/>
          <w:szCs w:val="20"/>
          <w:color w:val="auto"/>
        </w:rPr>
      </w:pPr>
      <w:r>
        <w:rPr>
          <w:rFonts w:ascii="Arial" w:cs="Arial" w:eastAsia="Arial" w:hAnsi="Arial"/>
          <w:sz w:val="16"/>
          <w:szCs w:val="16"/>
          <w:color w:val="auto"/>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49" w:lineRule="exact"/>
        <w:rPr>
          <w:sz w:val="20"/>
          <w:szCs w:val="20"/>
          <w:color w:val="auto"/>
        </w:rPr>
      </w:pPr>
    </w:p>
    <w:p>
      <w:pPr>
        <w:ind w:right="220" w:firstLine="479"/>
        <w:spacing w:after="0" w:line="308" w:lineRule="auto"/>
        <w:rPr>
          <w:sz w:val="20"/>
          <w:szCs w:val="20"/>
          <w:color w:val="auto"/>
        </w:rPr>
      </w:pPr>
      <w:r>
        <w:rPr>
          <w:rFonts w:ascii="Arial" w:cs="Arial" w:eastAsia="Arial" w:hAnsi="Arial"/>
          <w:sz w:val="17"/>
          <w:szCs w:val="17"/>
          <w:color w:val="auto"/>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spacing w:after="0" w:line="14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79"/>
        <w:spacing w:after="0" w:line="263" w:lineRule="auto"/>
        <w:rPr>
          <w:sz w:val="20"/>
          <w:szCs w:val="20"/>
          <w:color w:val="auto"/>
        </w:rPr>
      </w:pPr>
      <w:r>
        <w:rPr>
          <w:rFonts w:ascii="Arial" w:cs="Arial" w:eastAsia="Arial" w:hAnsi="Arial"/>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September 30, 2023 and December 31, 2022.</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5" w:lineRule="exact"/>
        <w:rPr>
          <w:sz w:val="20"/>
          <w:szCs w:val="20"/>
          <w:color w:val="auto"/>
        </w:rPr>
      </w:pPr>
    </w:p>
    <w:p>
      <w:pPr>
        <w:ind w:right="220" w:firstLine="479"/>
        <w:spacing w:after="0" w:line="277" w:lineRule="auto"/>
        <w:rPr>
          <w:sz w:val="20"/>
          <w:szCs w:val="20"/>
          <w:color w:val="auto"/>
        </w:rPr>
      </w:pPr>
      <w:r>
        <w:rPr>
          <w:rFonts w:ascii="Arial" w:cs="Arial" w:eastAsia="Arial" w:hAnsi="Arial"/>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170" w:lineRule="exact"/>
        <w:rPr>
          <w:sz w:val="20"/>
          <w:szCs w:val="20"/>
          <w:color w:val="auto"/>
        </w:rPr>
      </w:pPr>
    </w:p>
    <w:p>
      <w:pPr>
        <w:ind w:right="160" w:firstLine="479"/>
        <w:spacing w:after="0" w:line="277" w:lineRule="auto"/>
        <w:rPr>
          <w:sz w:val="20"/>
          <w:szCs w:val="20"/>
          <w:color w:val="auto"/>
        </w:rPr>
      </w:pPr>
      <w:r>
        <w:rPr>
          <w:rFonts w:ascii="Arial" w:cs="Arial" w:eastAsia="Arial" w:hAnsi="Arial"/>
          <w:sz w:val="18"/>
          <w:szCs w:val="18"/>
          <w:color w:val="auto"/>
        </w:rPr>
        <w:t>Restricted cash consists of a letter of credit with Silicon Valley Bank, a division of First Citizens Bank, for the benefit of the landlord in connection with the Company’s Chestnut Run Lease. See Note 8 for further details.</w:t>
      </w:r>
    </w:p>
    <w:p>
      <w:pPr>
        <w:spacing w:after="0" w:line="170" w:lineRule="exact"/>
        <w:rPr>
          <w:sz w:val="20"/>
          <w:szCs w:val="20"/>
          <w:color w:val="auto"/>
        </w:rPr>
      </w:pPr>
    </w:p>
    <w:p>
      <w:pPr>
        <w:ind w:right="480" w:firstLine="479"/>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balance sheet that total to the amounts shown in the statement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340" w:type="dxa"/>
            <w:vAlign w:val="bottom"/>
          </w:tcPr>
          <w:p>
            <w:pPr>
              <w:jc w:val="right"/>
              <w:ind w:right="257"/>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5"/>
        </w:trPr>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15,896</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30,605</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cash equivalents, and restricted cash shown in statement of cash flows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19,940</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5"/>
        </w:trPr>
        <w:tc>
          <w:tcPr>
            <w:tcW w:w="7720" w:type="dxa"/>
            <w:vAlign w:val="bottom"/>
          </w:tcPr>
          <w:p>
            <w:pPr>
              <w:ind w:left="55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7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-513715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ind w:left="48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100" w:firstLine="479"/>
        <w:spacing w:after="0" w:line="257" w:lineRule="auto"/>
        <w:rPr>
          <w:sz w:val="20"/>
          <w:szCs w:val="20"/>
          <w:color w:val="auto"/>
        </w:rPr>
      </w:pPr>
      <w:r>
        <w:rPr>
          <w:rFonts w:ascii="Arial" w:cs="Arial" w:eastAsia="Arial" w:hAnsi="Arial"/>
          <w:sz w:val="18"/>
          <w:szCs w:val="18"/>
          <w:color w:val="auto"/>
        </w:rPr>
        <w:t>The Company’s marketable securities consist of investments in corporate debt securities, United States (“U.S.”) government debt securities, and agency securities that are classified as available-for-sale. The securities are carried at fair value with the unrealized gains and losses, net of tax, included in accumulated other comprehensive loss, a component of stockholders’ equity. Realized gains and losses as well as credit losses, if any, on marketable securities are included in the Company’s statements of operations. The Company classifies marketable securities that are available for use in current operations as current assets on the balance sheets.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80" w:firstLine="479"/>
        <w:spacing w:after="0" w:line="288" w:lineRule="auto"/>
        <w:rPr>
          <w:sz w:val="20"/>
          <w:szCs w:val="20"/>
          <w:color w:val="auto"/>
        </w:rPr>
      </w:pPr>
      <w:r>
        <w:rPr>
          <w:rFonts w:ascii="Arial" w:cs="Arial" w:eastAsia="Arial" w:hAnsi="Arial"/>
          <w:sz w:val="16"/>
          <w:szCs w:val="16"/>
          <w:color w:val="auto"/>
        </w:rPr>
        <w:t>Basic net loss per share of common stock is computed by dividing net loss by the weighted-average number of shares of common stock outstanding during each period, including pre-funded warrants to purchase shares of common stock that were issued in a financing transaction in May 2023 (Note 7).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of securities, such as stock options, and the effect from unvested restricted stock awards and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awards entitle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unvested restricted stock awards have no obligation to fund losses.</w:t>
      </w:r>
    </w:p>
    <w:p>
      <w:pPr>
        <w:spacing w:after="0" w:line="168" w:lineRule="exact"/>
        <w:rPr>
          <w:sz w:val="20"/>
          <w:szCs w:val="20"/>
          <w:color w:val="auto"/>
        </w:rPr>
      </w:pPr>
    </w:p>
    <w:p>
      <w:pPr>
        <w:ind w:right="680" w:firstLine="478"/>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of common stock outstanding, as they would be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360" w:type="dxa"/>
            <w:vAlign w:val="bottom"/>
            <w:tcBorders>
              <w:bottom w:val="single" w:sz="8" w:color="auto"/>
            </w:tcBorders>
            <w:gridSpan w:val="3"/>
          </w:tcPr>
          <w:p>
            <w:pPr>
              <w:ind w:left="132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6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awards</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54,026</w:t>
            </w: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271,965</w:t>
            </w:r>
          </w:p>
        </w:tc>
        <w:tc>
          <w:tcPr>
            <w:tcW w:w="100" w:type="dxa"/>
            <w:vAlign w:val="bottom"/>
            <w:shd w:val="clear" w:color="auto" w:fill="CFF0FC"/>
          </w:tcPr>
          <w:p>
            <w:pPr>
              <w:spacing w:after="0"/>
              <w:rPr>
                <w:sz w:val="20"/>
                <w:szCs w:val="20"/>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Unvested restricted stock units</w:t>
            </w:r>
          </w:p>
        </w:tc>
        <w:tc>
          <w:tcPr>
            <w:tcW w:w="1640" w:type="dxa"/>
            <w:vAlign w:val="bottom"/>
          </w:tcPr>
          <w:p>
            <w:pPr>
              <w:jc w:val="right"/>
              <w:spacing w:after="0"/>
              <w:rPr>
                <w:sz w:val="20"/>
                <w:szCs w:val="20"/>
                <w:color w:val="auto"/>
              </w:rPr>
            </w:pPr>
            <w:r>
              <w:rPr>
                <w:rFonts w:ascii="Arial" w:cs="Arial" w:eastAsia="Arial" w:hAnsi="Arial"/>
                <w:sz w:val="18"/>
                <w:szCs w:val="18"/>
                <w:color w:val="auto"/>
              </w:rPr>
              <w:t>114,375</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12,134,205</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9,197,528</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74,248</w:t>
            </w: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46,560</w:t>
            </w:r>
          </w:p>
        </w:tc>
        <w:tc>
          <w:tcPr>
            <w:tcW w:w="100" w:type="dxa"/>
            <w:vAlign w:val="bottom"/>
          </w:tcPr>
          <w:p>
            <w:pPr>
              <w:spacing w:after="0"/>
              <w:rPr>
                <w:sz w:val="20"/>
                <w:szCs w:val="20"/>
                <w:color w:val="auto"/>
              </w:rPr>
            </w:pPr>
          </w:p>
        </w:tc>
      </w:tr>
      <w:tr>
        <w:trPr>
          <w:trHeight w:val="277"/>
        </w:trPr>
        <w:tc>
          <w:tcPr>
            <w:tcW w:w="764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12,376,854</w:t>
            </w:r>
          </w:p>
        </w:tc>
        <w:tc>
          <w:tcPr>
            <w:tcW w:w="2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9,686,053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Amounts in the above table reflect the common stock equivalents.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Emerging Growth Company Status</w:t>
      </w:r>
    </w:p>
    <w:p>
      <w:pPr>
        <w:spacing w:after="0" w:line="225" w:lineRule="exact"/>
        <w:rPr>
          <w:sz w:val="20"/>
          <w:szCs w:val="20"/>
          <w:color w:val="auto"/>
        </w:rPr>
      </w:pPr>
    </w:p>
    <w:p>
      <w:pPr>
        <w:ind w:right="180" w:firstLine="479"/>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interim financial statements may not be comparable to companies that comply with the new or revised accounting pronouncements as of public company effective dates.</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180" w:firstLine="479"/>
        <w:spacing w:after="0" w:line="275" w:lineRule="auto"/>
        <w:rPr>
          <w:sz w:val="20"/>
          <w:szCs w:val="20"/>
          <w:color w:val="auto"/>
        </w:rPr>
      </w:pPr>
      <w:r>
        <w:rPr>
          <w:rFonts w:ascii="Arial" w:cs="Arial" w:eastAsia="Arial" w:hAnsi="Arial"/>
          <w:sz w:val="17"/>
          <w:szCs w:val="17"/>
          <w:color w:val="auto"/>
        </w:rPr>
        <w:t xml:space="preserve">In August 2020, the FASB issued ASU Update No. 2020-06, Debt — </w:t>
      </w:r>
      <w:r>
        <w:rPr>
          <w:rFonts w:ascii="Arial" w:cs="Arial" w:eastAsia="Arial" w:hAnsi="Arial"/>
          <w:sz w:val="17"/>
          <w:szCs w:val="17"/>
          <w:i w:val="1"/>
          <w:iCs w:val="1"/>
          <w:color w:val="auto"/>
        </w:rPr>
        <w:t>Debt with Conversion and Other Options (Subtopic 470-20)</w:t>
      </w:r>
      <w:r>
        <w:rPr>
          <w:rFonts w:ascii="Arial" w:cs="Arial" w:eastAsia="Arial" w:hAnsi="Arial"/>
          <w:sz w:val="17"/>
          <w:szCs w:val="17"/>
          <w:color w:val="auto"/>
        </w:rPr>
        <w:t xml:space="preserve"> and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Hedging — Contracts in Entity’s Own Equity (Subtopic 815-40): Accounting for Convertible Instruments and Contracts in an Entity’s Own Equity (ASU 2020-06) </w:t>
      </w:r>
      <w:r>
        <w:rPr>
          <w:rFonts w:ascii="Arial" w:cs="Arial" w:eastAsia="Arial" w:hAnsi="Arial"/>
          <w:sz w:val="17"/>
          <w:szCs w:val="17"/>
          <w:color w:val="auto"/>
        </w:rPr>
        <w:t>(“ASU 2020-06”). ASU 2020-06 eliminated the beneficial conversion and cash conversion accounting models in ASC 470-20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separate accounting for embedded conversion features and simplified the settlement assessment to determine whether an instrument qualifies for equity classification. The Company early adopted the new standard on January 1, 2023.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Cash, Cash Equivalents and Marketable Securities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provides detail of the Company's cash, cash equivalents, and marketable securities.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380" w:type="dxa"/>
            <w:vAlign w:val="bottom"/>
          </w:tcPr>
          <w:p>
            <w:pPr>
              <w:jc w:val="right"/>
              <w:ind w:right="211"/>
              <w:spacing w:after="0"/>
              <w:rPr>
                <w:sz w:val="20"/>
                <w:szCs w:val="20"/>
                <w:color w:val="auto"/>
              </w:rPr>
            </w:pPr>
            <w:r>
              <w:rPr>
                <w:rFonts w:ascii="Arial" w:cs="Arial" w:eastAsia="Arial" w:hAnsi="Arial"/>
                <w:sz w:val="14"/>
                <w:szCs w:val="14"/>
                <w:b w:val="1"/>
                <w:bCs w:val="1"/>
                <w:color w:val="auto"/>
              </w:rPr>
              <w:t>Amortized Cost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91"/>
              <w:spacing w:after="0"/>
              <w:rPr>
                <w:sz w:val="20"/>
                <w:szCs w:val="20"/>
                <w:color w:val="auto"/>
              </w:rPr>
            </w:pPr>
            <w:r>
              <w:rPr>
                <w:rFonts w:ascii="Arial" w:cs="Arial" w:eastAsia="Arial" w:hAnsi="Arial"/>
                <w:sz w:val="14"/>
                <w:szCs w:val="14"/>
                <w:b w:val="1"/>
                <w:bCs w:val="1"/>
                <w:color w:val="auto"/>
                <w:w w:val="92"/>
              </w:rPr>
              <w:t>Gross unrealized gain</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89"/>
              </w:rPr>
              <w:t>Gross unrealized loss</w:t>
            </w:r>
          </w:p>
        </w:tc>
        <w:tc>
          <w:tcPr>
            <w:tcW w:w="280" w:type="dxa"/>
            <w:vAlign w:val="bottom"/>
          </w:tcPr>
          <w:p>
            <w:pPr>
              <w:spacing w:after="0"/>
              <w:rPr>
                <w:sz w:val="16"/>
                <w:szCs w:val="16"/>
                <w:color w:val="auto"/>
              </w:rPr>
            </w:pPr>
          </w:p>
        </w:tc>
        <w:tc>
          <w:tcPr>
            <w:tcW w:w="1300" w:type="dxa"/>
            <w:vAlign w:val="bottom"/>
          </w:tcPr>
          <w:p>
            <w:pPr>
              <w:jc w:val="right"/>
              <w:ind w:right="37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9,963</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9,963</w:t>
            </w:r>
          </w:p>
        </w:tc>
        <w:tc>
          <w:tcPr>
            <w:tcW w:w="100" w:type="dxa"/>
            <w:vAlign w:val="bottom"/>
            <w:shd w:val="clear" w:color="auto" w:fill="CFF0FC"/>
          </w:tcPr>
          <w:p>
            <w:pPr>
              <w:spacing w:after="0"/>
              <w:rPr>
                <w:sz w:val="21"/>
                <w:szCs w:val="2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4,981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(1 )</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20"/>
                <w:szCs w:val="20"/>
                <w:color w:val="auto"/>
              </w:rPr>
            </w:pPr>
          </w:p>
        </w:tc>
      </w:tr>
      <w:tr>
        <w:trPr>
          <w:trHeight w:val="237"/>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14,944</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8"/>
                <w:szCs w:val="18"/>
                <w:color w:val="auto"/>
              </w:rPr>
              <w:t>Agency securities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10,508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(50 )</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10,458</w:t>
            </w:r>
          </w:p>
        </w:tc>
        <w:tc>
          <w:tcPr>
            <w:tcW w:w="100" w:type="dxa"/>
            <w:vAlign w:val="bottom"/>
          </w:tcPr>
          <w:p>
            <w:pPr>
              <w:spacing w:after="0"/>
              <w:rPr>
                <w:sz w:val="20"/>
                <w:szCs w:val="20"/>
                <w:color w:val="auto"/>
              </w:rPr>
            </w:pPr>
          </w:p>
        </w:tc>
      </w:tr>
      <w:tr>
        <w:trPr>
          <w:trHeight w:val="249"/>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101,396</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(275 )</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101,132</w:t>
            </w:r>
          </w:p>
        </w:tc>
        <w:tc>
          <w:tcPr>
            <w:tcW w:w="100" w:type="dxa"/>
            <w:vAlign w:val="bottom"/>
            <w:shd w:val="clear" w:color="auto" w:fill="CFF0FC"/>
          </w:tcPr>
          <w:p>
            <w:pPr>
              <w:spacing w:after="0"/>
              <w:rPr>
                <w:sz w:val="21"/>
                <w:szCs w:val="2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8"/>
                <w:szCs w:val="18"/>
                <w:color w:val="auto"/>
              </w:rPr>
              <w:t>U.S. government securities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103,310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(290 )</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103,020</w:t>
            </w:r>
          </w:p>
        </w:tc>
        <w:tc>
          <w:tcPr>
            <w:tcW w:w="100" w:type="dxa"/>
            <w:vAlign w:val="bottom"/>
          </w:tcPr>
          <w:p>
            <w:pPr>
              <w:spacing w:after="0"/>
              <w:rPr>
                <w:sz w:val="20"/>
                <w:szCs w:val="20"/>
                <w:color w:val="auto"/>
              </w:rPr>
            </w:pPr>
          </w:p>
        </w:tc>
      </w:tr>
      <w:tr>
        <w:trPr>
          <w:trHeight w:val="237"/>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215,214</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378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230,158</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(616 )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229,553</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25,996</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25,996</w:t>
            </w:r>
          </w:p>
        </w:tc>
        <w:tc>
          <w:tcPr>
            <w:tcW w:w="100" w:type="dxa"/>
            <w:vAlign w:val="bottom"/>
          </w:tcPr>
          <w:p>
            <w:pPr>
              <w:spacing w:after="0"/>
              <w:rPr>
                <w:sz w:val="20"/>
                <w:szCs w:val="20"/>
                <w:color w:val="auto"/>
              </w:rPr>
            </w:pPr>
          </w:p>
        </w:tc>
      </w:tr>
      <w:tr>
        <w:trPr>
          <w:trHeight w:val="249"/>
        </w:trPr>
        <w:tc>
          <w:tcPr>
            <w:tcW w:w="3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163,208</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(1,672 )</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161,543</w:t>
            </w:r>
          </w:p>
        </w:tc>
        <w:tc>
          <w:tcPr>
            <w:tcW w:w="100" w:type="dxa"/>
            <w:vAlign w:val="bottom"/>
            <w:shd w:val="clear" w:color="auto" w:fill="CFF0FC"/>
          </w:tcPr>
          <w:p>
            <w:pPr>
              <w:spacing w:after="0"/>
              <w:rPr>
                <w:sz w:val="21"/>
                <w:szCs w:val="2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8"/>
                <w:szCs w:val="18"/>
                <w:color w:val="auto"/>
              </w:rPr>
              <w:t>U.S. government securities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9,607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(27 )</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9,580</w:t>
            </w:r>
          </w:p>
        </w:tc>
        <w:tc>
          <w:tcPr>
            <w:tcW w:w="100" w:type="dxa"/>
            <w:vAlign w:val="bottom"/>
          </w:tcPr>
          <w:p>
            <w:pPr>
              <w:spacing w:after="0"/>
              <w:rPr>
                <w:sz w:val="20"/>
                <w:szCs w:val="20"/>
                <w:color w:val="auto"/>
              </w:rPr>
            </w:pPr>
          </w:p>
        </w:tc>
      </w:tr>
      <w:tr>
        <w:trPr>
          <w:trHeight w:val="236"/>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172,815</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171,123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198,811</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(1,699 )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197,119</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-2716530</wp:posOffset>
            </wp:positionV>
            <wp:extent cx="7747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-2716530</wp:posOffset>
            </wp:positionV>
            <wp:extent cx="6858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-2716530</wp:posOffset>
            </wp:positionV>
            <wp:extent cx="6858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-1773555</wp:posOffset>
            </wp:positionV>
            <wp:extent cx="7747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-1773555</wp:posOffset>
            </wp:positionV>
            <wp:extent cx="685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-1773555</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-187960</wp:posOffset>
            </wp:positionV>
            <wp:extent cx="7747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-187960</wp:posOffset>
            </wp:positionV>
            <wp:extent cx="685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right="80" w:firstLine="479"/>
        <w:spacing w:after="0" w:line="257" w:lineRule="auto"/>
        <w:rPr>
          <w:sz w:val="20"/>
          <w:szCs w:val="20"/>
          <w:color w:val="auto"/>
        </w:rPr>
      </w:pPr>
      <w:r>
        <w:rPr>
          <w:rFonts w:ascii="Arial" w:cs="Arial" w:eastAsia="Arial" w:hAnsi="Arial"/>
          <w:sz w:val="18"/>
          <w:szCs w:val="18"/>
          <w:color w:val="auto"/>
        </w:rPr>
        <w:t>The Company’s marketable securities generally have contractual maturity dates of 24 months or less. As of September 30, 2023, the Company had 49 securities with a total fair market value of $193.4 million in an unrealized loss position. The Company believes that any unrealized losses associated with the decline in value of its securities is temporary, is primarily related to market factors and believes that it is more likely than not that it will be able to hold its debt securities to maturity. Therefore, the Company anticipates a full recovery of the amortized cost basis of its debt securities at maturity and an allowance for credit losses was not recognized.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ind w:right="60" w:firstLine="479"/>
        <w:spacing w:after="0" w:line="293" w:lineRule="auto"/>
        <w:rPr>
          <w:sz w:val="20"/>
          <w:szCs w:val="20"/>
          <w:color w:val="auto"/>
        </w:rPr>
      </w:pPr>
      <w:r>
        <w:rPr>
          <w:rFonts w:ascii="Arial" w:cs="Arial" w:eastAsia="Arial" w:hAnsi="Arial"/>
          <w:sz w:val="16"/>
          <w:szCs w:val="16"/>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Fair Value Measurement, for financial assets and liabilities measured on a recurring basis. The guidance requires fair value measurements be classified and disclosed in one of the following three categories:</w:t>
      </w:r>
    </w:p>
    <w:p>
      <w:pPr>
        <w:spacing w:after="0" w:line="56" w:lineRule="exact"/>
        <w:rPr>
          <w:sz w:val="20"/>
          <w:szCs w:val="20"/>
          <w:color w:val="auto"/>
        </w:rPr>
      </w:pPr>
    </w:p>
    <w:p>
      <w:pPr>
        <w:ind w:left="960" w:hanging="473"/>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40" w:lineRule="exact"/>
        <w:rPr>
          <w:rFonts w:ascii="Arial" w:cs="Arial" w:eastAsia="Arial" w:hAnsi="Arial"/>
          <w:sz w:val="16"/>
          <w:szCs w:val="16"/>
          <w:color w:val="auto"/>
        </w:rPr>
      </w:pPr>
    </w:p>
    <w:p>
      <w:pPr>
        <w:ind w:left="960" w:right="20" w:hanging="473"/>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Quoted prices in markets that are not active, or inputs which are observable, either directly or indirectly, for substantially the full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 or liabilities.</w:t>
      </w:r>
    </w:p>
    <w:p>
      <w:pPr>
        <w:spacing w:after="0" w:line="62" w:lineRule="exact"/>
        <w:rPr>
          <w:rFonts w:ascii="Arial" w:cs="Arial" w:eastAsia="Arial" w:hAnsi="Arial"/>
          <w:sz w:val="18"/>
          <w:szCs w:val="18"/>
          <w:color w:val="auto"/>
        </w:rPr>
      </w:pPr>
    </w:p>
    <w:p>
      <w:pPr>
        <w:ind w:left="960" w:right="520" w:hanging="473"/>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Prices or valuation techniques that require inputs that are both significant to the fair value measurement and unobservable (i.e.,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supported by little or no market activity).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ind w:left="480"/>
        <w:spacing w:after="0"/>
        <w:rPr>
          <w:sz w:val="20"/>
          <w:szCs w:val="20"/>
          <w:color w:val="auto"/>
        </w:rPr>
      </w:pPr>
      <w:r>
        <w:rPr>
          <w:rFonts w:ascii="Arial" w:cs="Arial" w:eastAsia="Arial" w:hAnsi="Arial"/>
          <w:sz w:val="16"/>
          <w:szCs w:val="16"/>
          <w:color w:val="auto"/>
        </w:rPr>
        <w:t>The following fair value hierarchy table presents information about the Company’s assets and liabilities measured at fair value on a recurring basis: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10"/>
          </w:tcPr>
          <w:p>
            <w:pPr>
              <w:jc w:val="center"/>
              <w:ind w:right="95"/>
              <w:spacing w:after="0"/>
              <w:rPr>
                <w:sz w:val="20"/>
                <w:szCs w:val="20"/>
                <w:color w:val="auto"/>
              </w:rPr>
            </w:pPr>
            <w:r>
              <w:rPr>
                <w:rFonts w:ascii="Arial" w:cs="Arial" w:eastAsia="Arial" w:hAnsi="Arial"/>
                <w:sz w:val="14"/>
                <w:szCs w:val="14"/>
                <w:b w:val="1"/>
                <w:bCs w:val="1"/>
                <w:color w:val="auto"/>
                <w:w w:val="92"/>
              </w:rPr>
              <w:t>Fair value measurement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90"/>
              <w:spacing w:after="0" w:line="133" w:lineRule="exact"/>
              <w:rPr>
                <w:sz w:val="20"/>
                <w:szCs w:val="20"/>
                <w:color w:val="auto"/>
              </w:rPr>
            </w:pPr>
            <w:r>
              <w:rPr>
                <w:rFonts w:ascii="Arial" w:cs="Arial" w:eastAsia="Arial" w:hAnsi="Arial"/>
                <w:sz w:val="14"/>
                <w:szCs w:val="14"/>
                <w:b w:val="1"/>
                <w:bCs w:val="1"/>
                <w:color w:val="auto"/>
                <w:w w:val="91"/>
              </w:rPr>
              <w:t>Quoted prices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5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89"/>
              </w:rPr>
              <w:t>in active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6"/>
              </w:rPr>
              <w:t>markets for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0"/>
              <w:spacing w:after="0" w:line="149" w:lineRule="exact"/>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77"/>
              </w:rPr>
              <w:t>assets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0"/>
              <w:spacing w:after="0" w:line="149"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94"/>
              </w:rPr>
              <w:t>(Level 1)</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9,963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4,980</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9,963</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4,980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Agency securities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10,458</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101,132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U.S. government securities</w:t>
            </w: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103,020</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214,610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financial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9,963</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219,590</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25,996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161,543</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8"/>
                <w:szCs w:val="18"/>
                <w:color w:val="auto"/>
              </w:rPr>
              <w:t>U.S. government securities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9,580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171,123</w:t>
            </w: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Total financial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25,996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171,123</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6. Accrued Expenses and Other Current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6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20" w:type="dxa"/>
            <w:vAlign w:val="bottom"/>
          </w:tcPr>
          <w:p>
            <w:pPr>
              <w:ind w:left="48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275"/>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and related benefits</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6,982</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11,248</w:t>
            </w:r>
          </w:p>
        </w:tc>
        <w:tc>
          <w:tcPr>
            <w:tcW w:w="260" w:type="dxa"/>
            <w:vAlign w:val="bottom"/>
          </w:tcPr>
          <w:p>
            <w:pPr>
              <w:spacing w:after="0"/>
              <w:rPr>
                <w:sz w:val="20"/>
                <w:szCs w:val="20"/>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55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-5305425</wp:posOffset>
            </wp:positionV>
            <wp:extent cx="7747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-5305425</wp:posOffset>
            </wp:positionV>
            <wp:extent cx="6858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-5305425</wp:posOffset>
            </wp:positionV>
            <wp:extent cx="685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-4362450</wp:posOffset>
            </wp:positionV>
            <wp:extent cx="7747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-4362450</wp:posOffset>
            </wp:positionV>
            <wp:extent cx="6858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-4362450</wp:posOffset>
            </wp:positionV>
            <wp:extent cx="685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-4036695</wp:posOffset>
            </wp:positionV>
            <wp:extent cx="208280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82800" cy="1797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-2459355</wp:posOffset>
            </wp:positionV>
            <wp:extent cx="7747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-2459355</wp:posOffset>
            </wp:positionV>
            <wp:extent cx="6858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-685165</wp:posOffset>
            </wp:positionV>
            <wp:extent cx="6858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Common Stock</w:t>
      </w:r>
    </w:p>
    <w:p>
      <w:pPr>
        <w:spacing w:after="0" w:line="229" w:lineRule="exact"/>
        <w:rPr>
          <w:sz w:val="20"/>
          <w:szCs w:val="20"/>
          <w:color w:val="auto"/>
        </w:rPr>
      </w:pPr>
    </w:p>
    <w:p>
      <w:pPr>
        <w:ind w:right="20" w:firstLine="479"/>
        <w:spacing w:after="0" w:line="269" w:lineRule="auto"/>
        <w:rPr>
          <w:sz w:val="20"/>
          <w:szCs w:val="20"/>
          <w:color w:val="auto"/>
        </w:rPr>
      </w:pPr>
      <w:r>
        <w:rPr>
          <w:rFonts w:ascii="Arial" w:cs="Arial" w:eastAsia="Arial" w:hAnsi="Arial"/>
          <w:sz w:val="17"/>
          <w:szCs w:val="17"/>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Second quarter 2023 financing</w:t>
      </w:r>
    </w:p>
    <w:p>
      <w:pPr>
        <w:spacing w:after="0" w:line="225" w:lineRule="exact"/>
        <w:rPr>
          <w:sz w:val="20"/>
          <w:szCs w:val="20"/>
          <w:color w:val="auto"/>
        </w:rPr>
      </w:pPr>
    </w:p>
    <w:p>
      <w:pPr>
        <w:ind w:right="100" w:firstLine="479"/>
        <w:spacing w:after="0" w:line="275" w:lineRule="auto"/>
        <w:rPr>
          <w:sz w:val="20"/>
          <w:szCs w:val="20"/>
          <w:color w:val="auto"/>
        </w:rPr>
      </w:pPr>
      <w:r>
        <w:rPr>
          <w:rFonts w:ascii="Arial" w:cs="Arial" w:eastAsia="Arial" w:hAnsi="Arial"/>
          <w:sz w:val="17"/>
          <w:szCs w:val="17"/>
          <w:color w:val="auto"/>
        </w:rPr>
        <w:t>During the second quarter of 2023, the Company sold 6,761,200 shares of its common stock which comprised of (i) 5,312,978 shares of its voting common stock and (ii) 1,448,222 shares of its non-voting common stock at a price of $5.75 per share and to certain investors in lieu of common stock, the Company sold pre-funded warrants to purchase 12,895,256 shares of voting common stock at a price of $5.7499 per pre-funded warrant, resulting in gross proceeds of $113.0 million. Offering costs of $2.6 million, of which $0.3 million were previously paid and deferred, were recorded to additional paid-in capital in the accompanying balance sheets, resulting in net proceeds of $110.4 million.</w:t>
      </w:r>
    </w:p>
    <w:p>
      <w:pPr>
        <w:spacing w:after="0" w:line="176" w:lineRule="exact"/>
        <w:rPr>
          <w:sz w:val="20"/>
          <w:szCs w:val="20"/>
          <w:color w:val="auto"/>
        </w:rPr>
      </w:pPr>
    </w:p>
    <w:p>
      <w:pPr>
        <w:ind w:right="180" w:firstLine="479"/>
        <w:spacing w:after="0" w:line="311" w:lineRule="auto"/>
        <w:rPr>
          <w:sz w:val="20"/>
          <w:szCs w:val="20"/>
          <w:color w:val="auto"/>
        </w:rPr>
      </w:pPr>
      <w:r>
        <w:rPr>
          <w:rFonts w:ascii="Arial" w:cs="Arial" w:eastAsia="Arial" w:hAnsi="Arial"/>
          <w:sz w:val="16"/>
          <w:szCs w:val="16"/>
          <w:color w:val="auto"/>
        </w:rPr>
        <w:t>The purchase price per share of each pre-funded warrant represents the per share offering price for the common stock, minus the $0.0001 per share exercise price of such pre-funded warrant. As of September 30, 2023, no pre-funded warrants had been exercised. Of the voting common stock issued, 2,264,456 shares were purchased by the Company’s underwriters in connection with a 30-day option at a price of $5.75 per share.</w:t>
      </w:r>
    </w:p>
    <w:p>
      <w:pPr>
        <w:spacing w:after="0" w:line="149" w:lineRule="exact"/>
        <w:rPr>
          <w:sz w:val="20"/>
          <w:szCs w:val="20"/>
          <w:color w:val="auto"/>
        </w:rPr>
      </w:pPr>
    </w:p>
    <w:p>
      <w:pPr>
        <w:ind w:firstLine="479"/>
        <w:spacing w:after="0" w:line="255" w:lineRule="auto"/>
        <w:rPr>
          <w:sz w:val="20"/>
          <w:szCs w:val="20"/>
          <w:color w:val="auto"/>
        </w:rPr>
      </w:pPr>
      <w:r>
        <w:rPr>
          <w:rFonts w:ascii="Arial" w:cs="Arial" w:eastAsia="Arial" w:hAnsi="Arial"/>
          <w:sz w:val="18"/>
          <w:szCs w:val="18"/>
          <w:color w:val="auto"/>
        </w:rPr>
        <w:t>The pre-funded warrants were classified as a component of permanent stockholders’ equity within additional paid-in capital and were recorded at the issuance date using a relative fair value allocation method.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33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9"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Leases</w:t>
      </w:r>
    </w:p>
    <w:p>
      <w:pPr>
        <w:spacing w:after="0" w:line="225"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The Company leases office and laboratory space in Wilmington, Delaware under a noncancelable lease (the “Lease”).</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Future minimum annual lease payments under the Lease at September 30, 2023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2023 (remaining)</w:t>
            </w: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Total undiscounted lease payments</w:t>
            </w:r>
          </w:p>
        </w:tc>
        <w:tc>
          <w:tcPr>
            <w:tcW w:w="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r>
      <w:tr>
        <w:trPr>
          <w:trHeight w:val="237"/>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imputed interest</w:t>
            </w:r>
          </w:p>
        </w:tc>
        <w:tc>
          <w:tcPr>
            <w:tcW w:w="8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9240" w:type="dxa"/>
            <w:vAlign w:val="bottom"/>
          </w:tcPr>
          <w:p>
            <w:pPr>
              <w:ind w:left="20"/>
              <w:spacing w:after="0"/>
              <w:rPr>
                <w:sz w:val="20"/>
                <w:szCs w:val="20"/>
                <w:color w:val="auto"/>
              </w:rPr>
            </w:pPr>
            <w:r>
              <w:rPr>
                <w:rFonts w:ascii="Arial" w:cs="Arial" w:eastAsia="Arial" w:hAnsi="Arial"/>
                <w:sz w:val="18"/>
                <w:szCs w:val="18"/>
                <w:color w:val="auto"/>
              </w:rPr>
              <w:t>Current lease liability</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right="60" w:firstLine="479"/>
        <w:spacing w:after="0" w:line="291" w:lineRule="auto"/>
        <w:rPr>
          <w:sz w:val="20"/>
          <w:szCs w:val="20"/>
          <w:color w:val="auto"/>
        </w:rPr>
      </w:pPr>
      <w:r>
        <w:rPr>
          <w:rFonts w:ascii="Arial" w:cs="Arial" w:eastAsia="Arial" w:hAnsi="Arial"/>
          <w:sz w:val="16"/>
          <w:szCs w:val="16"/>
          <w:color w:val="auto"/>
        </w:rPr>
        <w:t>In August 2022, the Company entered into an amendment (the “Lease Amendment”) to the lease agreement for office and lab space at Chestnut Run Plaza in Wilmington, Delaware (the “Chestnut Run Lease”). The Chestnut Run Lease has a commencement date of the earlier of (i) the Landlord Work Substantial Completion Date (as such term is defined in the Chestnut Run Lease), or (ii) the date the Company takes possession of the premises for the conduct of the Company’s business (the “Commencement Date”). The Chestnut Run Lease premises includes approximately 81,000 rentable square feet, located at Chestnut Run Plaza in Wilmington, Delaware (the "Premises"). Under the terms of the Chestnut Run Lease, the landlord has provided an allowance towards the cost of completing tenant improvements for the Premises and improvements resulting from both the landlord's build-out and the Company's improvements are the landlord's assets for accounting purposes. Costs incurred by the Company related to the tenant improvements 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ind w:right="200"/>
        <w:spacing w:after="0" w:line="257" w:lineRule="auto"/>
        <w:rPr>
          <w:sz w:val="20"/>
          <w:szCs w:val="20"/>
          <w:color w:val="auto"/>
        </w:rPr>
      </w:pPr>
      <w:r>
        <w:rPr>
          <w:rFonts w:ascii="Arial" w:cs="Arial" w:eastAsia="Arial" w:hAnsi="Arial"/>
          <w:sz w:val="18"/>
          <w:szCs w:val="18"/>
          <w:color w:val="auto"/>
        </w:rPr>
        <w:t>excess of the landlord's allowance will be treated as prepaid rent and will increase the right-of-use asset once the accounting commencement date occurs. As of September 30, 2023, the Company recorded $12.2 million of prepaid rent. Upon the Commencement Date, which is expected to occur in the fourth quarter of 2023, the Company will recognize a right-of-use asset and operating lease liability in accordance with ASC 842, Leases. The Chestnut Run Lease has an initial term of 162 months with 3 five-year extension options and certain expansion rights. The estimated rent payments related to the Chestnut Run Lease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7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(remaining)</w:t>
            </w:r>
          </w:p>
        </w:tc>
        <w:tc>
          <w:tcPr>
            <w:tcW w:w="472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2024</w:t>
            </w:r>
          </w:p>
        </w:tc>
        <w:tc>
          <w:tcPr>
            <w:tcW w:w="47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1,092</w:t>
            </w:r>
          </w:p>
        </w:tc>
      </w:tr>
      <w:tr>
        <w:trPr>
          <w:trHeight w:val="249"/>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7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2,746</w:t>
            </w: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2026</w:t>
            </w:r>
          </w:p>
        </w:tc>
        <w:tc>
          <w:tcPr>
            <w:tcW w:w="47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2,979</w:t>
            </w:r>
          </w:p>
        </w:tc>
      </w:tr>
      <w:tr>
        <w:trPr>
          <w:trHeight w:val="249"/>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47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3,054</w:t>
            </w: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2028</w:t>
            </w:r>
          </w:p>
        </w:tc>
        <w:tc>
          <w:tcPr>
            <w:tcW w:w="47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3,130</w:t>
            </w:r>
          </w:p>
        </w:tc>
      </w:tr>
      <w:tr>
        <w:trPr>
          <w:trHeight w:val="249"/>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47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29,635</w:t>
            </w:r>
          </w:p>
        </w:tc>
      </w:tr>
    </w:tbl>
    <w:p>
      <w:pPr>
        <w:spacing w:after="0" w:line="202" w:lineRule="exact"/>
        <w:rPr>
          <w:sz w:val="20"/>
          <w:szCs w:val="20"/>
          <w:color w:val="auto"/>
        </w:rPr>
      </w:pPr>
    </w:p>
    <w:p>
      <w:pPr>
        <w:ind w:right="160" w:firstLine="479"/>
        <w:spacing w:after="0" w:line="263" w:lineRule="auto"/>
        <w:rPr>
          <w:sz w:val="20"/>
          <w:szCs w:val="20"/>
          <w:color w:val="auto"/>
        </w:rPr>
      </w:pPr>
      <w:r>
        <w:rPr>
          <w:rFonts w:ascii="Arial" w:cs="Arial" w:eastAsia="Arial" w:hAnsi="Arial"/>
          <w:sz w:val="18"/>
          <w:szCs w:val="18"/>
          <w:color w:val="auto"/>
        </w:rPr>
        <w:t>The Company paid a security deposit for the Chestnut Run Lease in the form of a letter of credit with Silicon Valley Bank, a division of First Citizens Bank, of $4.0 million, which is included in the balance sheet as restricted cash as of September 30, 2023. The security deposit may be reduced to $0.5 million over time in accordance with the terms of the Chestnut Run Lease.</w:t>
      </w:r>
    </w:p>
    <w:p>
      <w:pPr>
        <w:spacing w:after="0" w:line="184" w:lineRule="exact"/>
        <w:rPr>
          <w:sz w:val="20"/>
          <w:szCs w:val="20"/>
          <w:color w:val="auto"/>
        </w:rPr>
      </w:pPr>
    </w:p>
    <w:p>
      <w:pPr>
        <w:ind w:right="60" w:firstLine="479"/>
        <w:spacing w:after="0" w:line="270" w:lineRule="auto"/>
        <w:rPr>
          <w:sz w:val="20"/>
          <w:szCs w:val="20"/>
          <w:color w:val="auto"/>
        </w:rPr>
      </w:pPr>
      <w:r>
        <w:rPr>
          <w:rFonts w:ascii="Arial" w:cs="Arial" w:eastAsia="Arial" w:hAnsi="Arial"/>
          <w:sz w:val="17"/>
          <w:szCs w:val="17"/>
          <w:color w:val="auto"/>
        </w:rPr>
        <w:t>In connection with the Company’s expansion of operations in the State of Delaware, the Company was approved for a grant from the State of Delaware in 2021 that will provide up to $5.5 million in reimbursements over three years for the development of lab space in addition to increasing jobs in Delaware to meet specific targeted levels through 2023. During the third quarter of 2022, the Company was approved for an additional grant from the State of Delaware for the development of lab space in the amount of $1.0 million. In 2022, the Company received cash of $3.4 million from the grants for the development of lab space. The Company has met the minimum requirements stated in the grant agreement in order to not be required to pay back any portion of the $3.4 million disbursed. The Company has deferred the recognition of these grant funds as they relate to capitalized costs and has classified them as long-term liabilities on the balance sheet. The Company will recognize the grant funds in other income as grant income over the useful life of the related assets. Additionally, if the Company leaves the State of Delaware within five years of the disbursement, the Company is required to return an amount equal to the amount of grant funds disbursed on a pro-rated basis.</w:t>
      </w:r>
    </w:p>
    <w:p>
      <w:pPr>
        <w:spacing w:after="0" w:line="181" w:lineRule="exact"/>
        <w:rPr>
          <w:sz w:val="20"/>
          <w:szCs w:val="20"/>
          <w:color w:val="auto"/>
        </w:rPr>
      </w:pPr>
    </w:p>
    <w:p>
      <w:pPr>
        <w:ind w:right="460" w:firstLine="479"/>
        <w:spacing w:after="0" w:line="277" w:lineRule="auto"/>
        <w:rPr>
          <w:sz w:val="20"/>
          <w:szCs w:val="20"/>
          <w:color w:val="auto"/>
        </w:rPr>
      </w:pPr>
      <w:r>
        <w:rPr>
          <w:rFonts w:ascii="Arial" w:cs="Arial" w:eastAsia="Arial" w:hAnsi="Arial"/>
          <w:sz w:val="18"/>
          <w:szCs w:val="18"/>
          <w:color w:val="auto"/>
        </w:rPr>
        <w:t>Rent expense was $0.5 million for both the three months ended September 30, 2023 and 2022. Rent expense was $1.6 million for both the nine months ended September 30, 2023 and 2022.</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480" w:firstLine="479"/>
        <w:spacing w:after="0" w:line="277" w:lineRule="auto"/>
        <w:rPr>
          <w:sz w:val="20"/>
          <w:szCs w:val="20"/>
          <w:color w:val="auto"/>
        </w:rPr>
      </w:pPr>
      <w:r>
        <w:rPr>
          <w:rFonts w:ascii="Arial" w:cs="Arial" w:eastAsia="Arial" w:hAnsi="Arial"/>
          <w:sz w:val="18"/>
          <w:szCs w:val="18"/>
          <w:color w:val="auto"/>
        </w:rPr>
        <w:t>The Company entered into employment agreements with key personnel providing for compensation and severance in certain circumstances, as defined in the respective employment agreements.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401(k) Defined Contribution Plan</w:t>
      </w:r>
    </w:p>
    <w:p>
      <w:pPr>
        <w:spacing w:after="0" w:line="225" w:lineRule="exact"/>
        <w:rPr>
          <w:sz w:val="20"/>
          <w:szCs w:val="20"/>
          <w:color w:val="auto"/>
        </w:rPr>
      </w:pPr>
    </w:p>
    <w:p>
      <w:pPr>
        <w:ind w:right="180" w:firstLine="479"/>
        <w:spacing w:after="0" w:line="219" w:lineRule="exact"/>
        <w:rPr>
          <w:sz w:val="20"/>
          <w:szCs w:val="20"/>
          <w:color w:val="auto"/>
        </w:rPr>
      </w:pPr>
      <w:r>
        <w:rPr>
          <w:rFonts w:ascii="Arial" w:cs="Arial" w:eastAsia="Arial" w:hAnsi="Arial"/>
          <w:sz w:val="18"/>
          <w:szCs w:val="18"/>
          <w:color w:val="auto"/>
        </w:rPr>
        <w:t>The Company sponsors a 401(k) defined</w:t>
      </w:r>
      <w:r>
        <w:rPr>
          <w:rFonts w:ascii="MS PGothic" w:cs="MS PGothic" w:eastAsia="MS PGothic" w:hAnsi="MS PGothic"/>
          <w:sz w:val="18"/>
          <w:szCs w:val="18"/>
          <w:color w:val="auto"/>
        </w:rPr>
        <w:t>‑</w:t>
      </w:r>
      <w:r>
        <w:rPr>
          <w:rFonts w:ascii="Arial" w:cs="Arial" w:eastAsia="Arial" w:hAnsi="Arial"/>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match of a maximum amount of 3% of the participant’s compensation. For both the three months ended September 30, 2023 and 2022, the Company made matching contributions of $0.1 million. For the nine months ended September 30, 2023 and 2022, the Company made matching contributions of $0.5 million and $0.4 million, respectively.</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Other Research and Development Arrangements</w:t>
      </w:r>
    </w:p>
    <w:p>
      <w:pPr>
        <w:spacing w:after="0" w:line="225" w:lineRule="exact"/>
        <w:rPr>
          <w:sz w:val="20"/>
          <w:szCs w:val="20"/>
          <w:color w:val="auto"/>
        </w:rPr>
      </w:pPr>
    </w:p>
    <w:p>
      <w:pPr>
        <w:ind w:right="580" w:firstLine="479"/>
        <w:spacing w:after="0" w:line="277" w:lineRule="auto"/>
        <w:rPr>
          <w:sz w:val="20"/>
          <w:szCs w:val="20"/>
          <w:color w:val="auto"/>
        </w:rPr>
      </w:pPr>
      <w:r>
        <w:rPr>
          <w:rFonts w:ascii="Arial" w:cs="Arial" w:eastAsia="Arial" w:hAnsi="Arial"/>
          <w:sz w:val="18"/>
          <w:szCs w:val="18"/>
          <w:color w:val="auto"/>
        </w:rPr>
        <w:t>The Company enters into agreements with clinical research organizations ("CROs") to assist in the performance of research and development activities. Expenditures to CROs will represent a significant cost in clinical development for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right="80" w:firstLine="479"/>
        <w:spacing w:after="0" w:line="289" w:lineRule="auto"/>
        <w:rPr>
          <w:sz w:val="20"/>
          <w:szCs w:val="20"/>
          <w:color w:val="auto"/>
        </w:rPr>
      </w:pPr>
      <w:r>
        <w:rPr>
          <w:rFonts w:ascii="Arial" w:cs="Arial" w:eastAsia="Arial" w:hAnsi="Arial"/>
          <w:sz w:val="16"/>
          <w:szCs w:val="16"/>
          <w:color w:val="auto"/>
        </w:rPr>
        <w:t>The Company has two equity incentive plans: the 2016 Equity Incentive Plan, as amended, and the 2020 Equity Incentive Plan. New awards can only be granted under the 2020 Equity Incentive Plan (the “Plan”) and as of September 30, 2023, 4,773,019 shares were available for future grants. The number of shares of the Company’s common stock that may be issued pursuant to rights granted under the Plan shall automatically increase on January 1st of each year and continuing for ten years beginning on January 1, 2021, in an amount equal to five percent of the total number of shares of the Company’s common stock outstanding on December 31st of the preceding calendar year, subject to the discretion of the board of directors or compensation committee to determine a lesser number of shares shall be added for such year.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one year and then monthly thereafter, and have a term of ten years.</w:t>
      </w:r>
    </w:p>
    <w:p>
      <w:pPr>
        <w:spacing w:after="0" w:line="166" w:lineRule="exact"/>
        <w:rPr>
          <w:sz w:val="20"/>
          <w:szCs w:val="20"/>
          <w:color w:val="auto"/>
        </w:rPr>
      </w:pPr>
    </w:p>
    <w:p>
      <w:pPr>
        <w:ind w:right="100" w:firstLine="479"/>
        <w:spacing w:after="0" w:line="263" w:lineRule="auto"/>
        <w:rPr>
          <w:sz w:val="20"/>
          <w:szCs w:val="20"/>
          <w:color w:val="auto"/>
        </w:rPr>
      </w:pPr>
      <w:r>
        <w:rPr>
          <w:rFonts w:ascii="Arial" w:cs="Arial" w:eastAsia="Arial" w:hAnsi="Arial"/>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6"/>
          </w:tcPr>
          <w:p>
            <w:pPr>
              <w:jc w:val="right"/>
              <w:ind w:right="577"/>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w w:val="98"/>
              </w:rPr>
              <w:t>September 30,</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757"/>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ind w:right="15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3,319</w:t>
            </w:r>
          </w:p>
        </w:tc>
        <w:tc>
          <w:tcPr>
            <w:tcW w:w="26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4"/>
              </w:rPr>
              <w:t>3,214</w:t>
            </w: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9,544</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3,396</w:t>
            </w:r>
          </w:p>
        </w:tc>
        <w:tc>
          <w:tcPr>
            <w:tcW w:w="2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3,228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10,160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6,715</w:t>
            </w:r>
          </w:p>
        </w:tc>
        <w:tc>
          <w:tcPr>
            <w:tcW w:w="2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4"/>
              </w:rPr>
              <w:t>6,442</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19,704</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19,299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8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Stock Options</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0" w:type="dxa"/>
            <w:vAlign w:val="bottom"/>
            <w:gridSpan w:val="2"/>
          </w:tcPr>
          <w:p>
            <w:pPr>
              <w:ind w:left="480"/>
              <w:spacing w:after="0"/>
              <w:rPr>
                <w:sz w:val="20"/>
                <w:szCs w:val="20"/>
                <w:color w:val="auto"/>
              </w:rPr>
            </w:pPr>
            <w:r>
              <w:rPr>
                <w:rFonts w:ascii="Arial" w:cs="Arial" w:eastAsia="Arial" w:hAnsi="Arial"/>
                <w:sz w:val="18"/>
                <w:szCs w:val="18"/>
                <w:color w:val="auto"/>
                <w:w w:val="92"/>
              </w:rPr>
              <w:t>The following table summarizes stock option activity for the periods indicated:</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5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rPr>
              <w:t>exercise price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157"/>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86"/>
              </w:rPr>
              <w:t>of shares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157"/>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January 1, 2023</w:t>
            </w:r>
          </w:p>
        </w:tc>
        <w:tc>
          <w:tcPr>
            <w:tcW w:w="3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9,390,930</w:t>
            </w: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0"/>
              <w:spacing w:after="0"/>
              <w:rPr>
                <w:sz w:val="20"/>
                <w:szCs w:val="20"/>
                <w:color w:val="auto"/>
              </w:rPr>
            </w:pPr>
            <w:r>
              <w:rPr>
                <w:rFonts w:ascii="Arial" w:cs="Arial" w:eastAsia="Arial" w:hAnsi="Arial"/>
                <w:sz w:val="18"/>
                <w:szCs w:val="18"/>
                <w:color w:val="auto"/>
              </w:rPr>
              <w:t>Granted</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3,091,898</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3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(17,685 )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gridSpan w:val="3"/>
          </w:tcPr>
          <w:p>
            <w:pPr>
              <w:jc w:val="right"/>
              <w:ind w:right="130"/>
              <w:spacing w:after="0"/>
              <w:rPr>
                <w:sz w:val="20"/>
                <w:szCs w:val="20"/>
                <w:color w:val="auto"/>
              </w:rPr>
            </w:pPr>
            <w:r>
              <w:rPr>
                <w:rFonts w:ascii="Arial" w:cs="Arial" w:eastAsia="Arial" w:hAnsi="Arial"/>
                <w:sz w:val="18"/>
                <w:szCs w:val="18"/>
                <w:color w:val="auto"/>
              </w:rPr>
              <w:t>(330,938 )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2023</w:t>
            </w:r>
          </w:p>
        </w:tc>
        <w:tc>
          <w:tcPr>
            <w:tcW w:w="3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12,134,205</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1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Exercisable at September 30, 2023</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5,583,116</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-2211070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-2193925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-2211070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-2193925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-2211070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-2193925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-205105</wp:posOffset>
            </wp:positionV>
            <wp:extent cx="76835"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205740"/>
                    </a:xfrm>
                    <a:prstGeom prst="rect">
                      <a:avLst/>
                    </a:prstGeom>
                    <a:noFill/>
                  </pic:spPr>
                </pic:pic>
              </a:graphicData>
            </a:graphic>
          </wp:anchor>
        </w:drawing>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At September 30, 2023, the aggregate intrinsic value of outstanding options and exercisable options was $2.6 million and $2.4 million, respectively.</w:t>
      </w:r>
    </w:p>
    <w:p>
      <w:pPr>
        <w:spacing w:after="0" w:line="24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about stock options outstanding at September 30, 2023 under the Plan: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8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6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6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040" w:type="dxa"/>
            <w:vAlign w:val="bottom"/>
          </w:tcPr>
          <w:p>
            <w:pPr>
              <w:jc w:val="right"/>
              <w:ind w:right="55"/>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 years)</w:t>
            </w:r>
          </w:p>
        </w:tc>
        <w:tc>
          <w:tcPr>
            <w:tcW w:w="160" w:type="dxa"/>
            <w:vAlign w:val="bottom"/>
          </w:tcPr>
          <w:p>
            <w:pPr>
              <w:spacing w:after="0"/>
              <w:rPr>
                <w:sz w:val="16"/>
                <w:szCs w:val="16"/>
                <w:color w:val="auto"/>
              </w:rPr>
            </w:pPr>
          </w:p>
        </w:tc>
        <w:tc>
          <w:tcPr>
            <w:tcW w:w="80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060" w:type="dxa"/>
            <w:vAlign w:val="bottom"/>
          </w:tcPr>
          <w:p>
            <w:pPr>
              <w:jc w:val="right"/>
              <w:ind w:right="101"/>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$0.31</w:t>
            </w:r>
          </w:p>
        </w:tc>
        <w:tc>
          <w:tcPr>
            <w:tcW w:w="46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$4.88</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3,039,468</w:t>
            </w:r>
          </w:p>
        </w:tc>
        <w:tc>
          <w:tcPr>
            <w:tcW w:w="24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2,303,649</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 w:type="dxa"/>
            <w:vAlign w:val="bottom"/>
          </w:tcPr>
          <w:p>
            <w:pPr>
              <w:ind w:left="20"/>
              <w:spacing w:after="0"/>
              <w:rPr>
                <w:sz w:val="20"/>
                <w:szCs w:val="20"/>
                <w:color w:val="auto"/>
              </w:rPr>
            </w:pPr>
            <w:r>
              <w:rPr>
                <w:rFonts w:ascii="Arial" w:cs="Arial" w:eastAsia="Arial" w:hAnsi="Arial"/>
                <w:sz w:val="18"/>
                <w:szCs w:val="18"/>
                <w:color w:val="auto"/>
                <w:w w:val="88"/>
              </w:rPr>
              <w:t>$4.89</w:t>
            </w:r>
          </w:p>
        </w:tc>
        <w:tc>
          <w:tcPr>
            <w:tcW w:w="4660" w:type="dxa"/>
            <w:vAlign w:val="bottom"/>
          </w:tcPr>
          <w:p>
            <w:pPr>
              <w:ind w:left="40"/>
              <w:spacing w:after="0"/>
              <w:rPr>
                <w:sz w:val="20"/>
                <w:szCs w:val="20"/>
                <w:color w:val="auto"/>
              </w:rPr>
            </w:pPr>
            <w:r>
              <w:rPr>
                <w:rFonts w:ascii="Arial" w:cs="Arial" w:eastAsia="Arial" w:hAnsi="Arial"/>
                <w:sz w:val="18"/>
                <w:szCs w:val="18"/>
                <w:color w:val="auto"/>
              </w:rPr>
              <w:t>- $7.50</w:t>
            </w:r>
          </w:p>
        </w:tc>
        <w:tc>
          <w:tcPr>
            <w:tcW w:w="1040" w:type="dxa"/>
            <w:vAlign w:val="bottom"/>
          </w:tcPr>
          <w:p>
            <w:pPr>
              <w:jc w:val="right"/>
              <w:spacing w:after="0"/>
              <w:rPr>
                <w:sz w:val="20"/>
                <w:szCs w:val="20"/>
                <w:color w:val="auto"/>
              </w:rPr>
            </w:pPr>
            <w:r>
              <w:rPr>
                <w:rFonts w:ascii="Arial" w:cs="Arial" w:eastAsia="Arial" w:hAnsi="Arial"/>
                <w:sz w:val="18"/>
                <w:szCs w:val="18"/>
                <w:color w:val="auto"/>
              </w:rPr>
              <w:t>4,053,164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242,049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$7.51</w:t>
            </w:r>
          </w:p>
        </w:tc>
        <w:tc>
          <w:tcPr>
            <w:tcW w:w="46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$13.04</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3,204,778</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1,968,540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$13.05 - $88.98</w:t>
            </w:r>
          </w:p>
        </w:tc>
        <w:tc>
          <w:tcPr>
            <w:tcW w:w="1040" w:type="dxa"/>
            <w:vAlign w:val="bottom"/>
          </w:tcPr>
          <w:p>
            <w:pPr>
              <w:jc w:val="right"/>
              <w:spacing w:after="0"/>
              <w:rPr>
                <w:sz w:val="20"/>
                <w:szCs w:val="20"/>
                <w:color w:val="auto"/>
              </w:rPr>
            </w:pPr>
            <w:r>
              <w:rPr>
                <w:rFonts w:ascii="Arial" w:cs="Arial" w:eastAsia="Arial" w:hAnsi="Arial"/>
                <w:sz w:val="18"/>
                <w:szCs w:val="18"/>
                <w:color w:val="auto"/>
              </w:rPr>
              <w:t>1,836,795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7.81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1,068,878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0" w:type="dxa"/>
            <w:vAlign w:val="bottom"/>
            <w:tcBorders>
              <w:bottom w:val="single" w:sz="8" w:color="CFF0FC"/>
            </w:tcBorders>
            <w:shd w:val="clear" w:color="auto" w:fill="CFF0FC"/>
          </w:tcPr>
          <w:p>
            <w:pPr>
              <w:spacing w:after="0"/>
              <w:rPr>
                <w:sz w:val="23"/>
                <w:szCs w:val="23"/>
                <w:color w:val="auto"/>
              </w:rPr>
            </w:pPr>
          </w:p>
        </w:tc>
        <w:tc>
          <w:tcPr>
            <w:tcW w:w="46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12,134,205</w:t>
            </w: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5,583,116</w:t>
            </w:r>
          </w:p>
        </w:tc>
        <w:tc>
          <w:tcPr>
            <w:tcW w:w="2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-24765</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280" w:firstLine="479"/>
        <w:spacing w:after="0" w:line="263" w:lineRule="auto"/>
        <w:rPr>
          <w:sz w:val="20"/>
          <w:szCs w:val="20"/>
          <w:color w:val="auto"/>
        </w:rPr>
      </w:pPr>
      <w:r>
        <w:rPr>
          <w:rFonts w:ascii="Arial" w:cs="Arial" w:eastAsia="Arial" w:hAnsi="Arial"/>
          <w:sz w:val="18"/>
          <w:szCs w:val="18"/>
          <w:color w:val="auto"/>
        </w:rPr>
        <w:t>The weighted-average grant date fair value of options granted was $4.97 and $5.72 per option for the nine months ended September 30, 2023 and 2022, respectively. The aggregate intrinsic value of options exercised was $80 thousand for the nine months ended September 30, 2023. The Company recorded stock-based compensation expense of $6.5 million and $6.1 million for the three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ind w:right="340"/>
        <w:spacing w:after="0" w:line="259" w:lineRule="auto"/>
        <w:rPr>
          <w:sz w:val="20"/>
          <w:szCs w:val="20"/>
          <w:color w:val="auto"/>
        </w:rPr>
      </w:pPr>
      <w:r>
        <w:rPr>
          <w:rFonts w:ascii="Arial" w:cs="Arial" w:eastAsia="Arial" w:hAnsi="Arial"/>
          <w:sz w:val="18"/>
          <w:szCs w:val="18"/>
          <w:color w:val="auto"/>
        </w:rPr>
        <w:t>months ended September 30, 2023 and 2022, respectively, related to stock options. The Company recorded stock-based compensation expense of $18.9 million and $18.3 million for the nine months ended September 30, 2023 and 2022, respectively, related to stock options. As of September 30, 2023, the total unrecognized compensation expense related to unvested stock option awards was $44.1 million, which the Company expects to recognize over a weighted-average period of 2.19 years.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fair value of each option was estimated on the date of grant using the weighted average assumptions in the table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76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83.53</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84.91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3.81 %</w:t>
            </w:r>
          </w:p>
        </w:tc>
        <w:tc>
          <w:tcPr>
            <w:tcW w:w="60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2.52 %</w:t>
            </w:r>
          </w:p>
        </w:tc>
      </w:tr>
      <w:tr>
        <w:trPr>
          <w:trHeight w:val="250"/>
        </w:trPr>
        <w:tc>
          <w:tcPr>
            <w:tcW w:w="8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Expected life (in years)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Restricted Stock Awards and Units</w:t>
      </w:r>
    </w:p>
    <w:p>
      <w:pPr>
        <w:spacing w:after="0" w:line="225" w:lineRule="exact"/>
        <w:rPr>
          <w:sz w:val="20"/>
          <w:szCs w:val="20"/>
          <w:color w:val="auto"/>
        </w:rPr>
      </w:pPr>
    </w:p>
    <w:p>
      <w:pPr>
        <w:ind w:right="140" w:firstLine="479"/>
        <w:spacing w:after="0" w:line="311" w:lineRule="auto"/>
        <w:rPr>
          <w:sz w:val="20"/>
          <w:szCs w:val="20"/>
          <w:color w:val="auto"/>
        </w:rPr>
      </w:pPr>
      <w:r>
        <w:rPr>
          <w:rFonts w:ascii="Arial" w:cs="Arial" w:eastAsia="Arial" w:hAnsi="Arial"/>
          <w:sz w:val="16"/>
          <w:szCs w:val="16"/>
          <w:color w:val="auto"/>
        </w:rPr>
        <w:t>The Company issues restricted stock awards (“RSA”) to employees that generally vest over a four-year period with 25% of awards vesting after one year and then monthly thereafter. Any unvested shares will be forfeited upon termination of services. The fair value of an RSA is equal to the fair market value price of the Company’s common stock on the date of grant. RSA expense is recorded on a straight-line basis over the vesting period.</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RSA stock-based payment awards: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2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60" w:type="dxa"/>
            <w:vAlign w:val="bottom"/>
          </w:tcPr>
          <w:p>
            <w:pPr>
              <w:spacing w:after="0"/>
              <w:rPr>
                <w:sz w:val="16"/>
                <w:szCs w:val="16"/>
                <w:color w:val="auto"/>
              </w:rPr>
            </w:pPr>
          </w:p>
        </w:tc>
        <w:tc>
          <w:tcPr>
            <w:tcW w:w="19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balance at January 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201,716</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Vested</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(147,690 )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6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balance at September 30, 2023</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54,026</w:t>
            </w:r>
          </w:p>
        </w:tc>
        <w:tc>
          <w:tcPr>
            <w:tcW w:w="30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40" w:firstLine="479"/>
        <w:spacing w:after="0" w:line="279" w:lineRule="auto"/>
        <w:rPr>
          <w:sz w:val="20"/>
          <w:szCs w:val="20"/>
          <w:color w:val="auto"/>
        </w:rPr>
      </w:pPr>
      <w:r>
        <w:rPr>
          <w:rFonts w:ascii="Arial" w:cs="Arial" w:eastAsia="Arial" w:hAnsi="Arial"/>
          <w:sz w:val="17"/>
          <w:szCs w:val="17"/>
          <w:color w:val="auto"/>
        </w:rPr>
        <w:t>The Company recorded stock-based compensation expense of $0.1 million and $0.2 million for the three months ended September 30, 2023 and 2022, respectively, related to RSAs. The Company recorded stock-based compensation expense of $0.4 million and $0.6 million for the nine months ended September 30, 2023 and 2022, respectively, related to RSAs. As of September 30, 2023, the total unrecognized expense related to all RSAs was $0.2 million, which the Company expects to recognize over a weighted-average period of 0.49 years.</w:t>
      </w:r>
    </w:p>
    <w:p>
      <w:pPr>
        <w:spacing w:after="0" w:line="171" w:lineRule="exact"/>
        <w:rPr>
          <w:sz w:val="20"/>
          <w:szCs w:val="20"/>
          <w:color w:val="auto"/>
        </w:rPr>
      </w:pPr>
    </w:p>
    <w:p>
      <w:pPr>
        <w:ind w:right="200" w:firstLine="479"/>
        <w:spacing w:after="0" w:line="277" w:lineRule="auto"/>
        <w:rPr>
          <w:sz w:val="20"/>
          <w:szCs w:val="20"/>
          <w:color w:val="auto"/>
        </w:rPr>
      </w:pPr>
      <w:r>
        <w:rPr>
          <w:rFonts w:ascii="Arial" w:cs="Arial" w:eastAsia="Arial" w:hAnsi="Arial"/>
          <w:sz w:val="18"/>
          <w:szCs w:val="18"/>
          <w:color w:val="auto"/>
        </w:rPr>
        <w:t>The Company granted restricted stock units (“RSU”) to employees that generally vest over a four-year period with 25% of awards vesting after one year and then quarterly thereafter. Any unvested units will be forfeited upon termination of services.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RSU stock-based payment awards: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8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tcPr>
          <w:p>
            <w:pPr>
              <w:spacing w:after="0"/>
              <w:rPr>
                <w:sz w:val="16"/>
                <w:szCs w:val="16"/>
                <w:color w:val="auto"/>
              </w:rPr>
            </w:pPr>
          </w:p>
        </w:tc>
        <w:tc>
          <w:tcPr>
            <w:tcW w:w="18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balance at January 1, 2023</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165,000</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Vested</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(50,625 )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balance at September 30, 2023</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114,375</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20" w:firstLine="479"/>
        <w:spacing w:after="0" w:line="259" w:lineRule="auto"/>
        <w:rPr>
          <w:sz w:val="20"/>
          <w:szCs w:val="20"/>
          <w:color w:val="auto"/>
        </w:rPr>
      </w:pPr>
      <w:r>
        <w:rPr>
          <w:rFonts w:ascii="Arial" w:cs="Arial" w:eastAsia="Arial" w:hAnsi="Arial"/>
          <w:sz w:val="18"/>
          <w:szCs w:val="18"/>
          <w:color w:val="auto"/>
        </w:rPr>
        <w:t>The Company recorded stock-based compensation expense of $0.1 million for each of the three months ended September 30, 2023 and 2022, related to RSUs. The Company recorded stock-based compensation expense of $0.2 million for each of the nine months ended September 30, 2023 and 2022, related to RSUs. At September 30, 2023, the total unrecognized expense related to the RSUs was $0.6 million, which the Company expects to recognize over 2.36 years.</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16" w:name="page17"/>
    <w:bookmarkEnd w:id="16"/>
    <w:p>
      <w:pPr>
        <w:ind w:left="48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firstLine="479"/>
        <w:spacing w:after="0" w:line="255" w:lineRule="auto"/>
        <w:rPr>
          <w:sz w:val="20"/>
          <w:szCs w:val="20"/>
          <w:color w:val="auto"/>
        </w:rPr>
      </w:pPr>
      <w:r>
        <w:rPr>
          <w:rFonts w:ascii="Arial" w:cs="Arial" w:eastAsia="Arial" w:hAnsi="Arial"/>
          <w:sz w:val="18"/>
          <w:szCs w:val="18"/>
          <w:color w:val="auto"/>
        </w:rPr>
        <w:t>The Company has an Employee Stock Purchase Plan (the “ESPP”), which, as of September 30, 2023, had 1,698,350 shares of common stock reserved for future issuance.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board of directors or compensation committee to determine a lesser number of shares shall be added for such year. On January 1, 2023, 478,990 shares were added to the ESPP.</w:t>
      </w:r>
    </w:p>
    <w:p>
      <w:pPr>
        <w:spacing w:after="0" w:line="192" w:lineRule="exact"/>
        <w:rPr>
          <w:sz w:val="20"/>
          <w:szCs w:val="20"/>
          <w:color w:val="auto"/>
        </w:rPr>
      </w:pPr>
    </w:p>
    <w:p>
      <w:pPr>
        <w:ind w:right="120" w:firstLine="479"/>
        <w:spacing w:after="0" w:line="257" w:lineRule="auto"/>
        <w:rPr>
          <w:sz w:val="20"/>
          <w:szCs w:val="20"/>
          <w:color w:val="auto"/>
        </w:rPr>
      </w:pPr>
      <w:r>
        <w:rPr>
          <w:rFonts w:ascii="Arial" w:cs="Arial" w:eastAsia="Arial" w:hAnsi="Arial"/>
          <w:sz w:val="18"/>
          <w:szCs w:val="18"/>
          <w:color w:val="auto"/>
        </w:rPr>
        <w:t>Under the ESPP, eligible employees can purchase the Company’s common stock through accumulated payroll deductions at such times as are established by the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w:t>
      </w:r>
    </w:p>
    <w:p>
      <w:pPr>
        <w:spacing w:after="0" w:line="188" w:lineRule="exact"/>
        <w:rPr>
          <w:sz w:val="20"/>
          <w:szCs w:val="20"/>
          <w:color w:val="auto"/>
        </w:rPr>
      </w:pPr>
    </w:p>
    <w:p>
      <w:pPr>
        <w:ind w:right="60" w:firstLine="479"/>
        <w:spacing w:after="0" w:line="257" w:lineRule="auto"/>
        <w:rPr>
          <w:sz w:val="20"/>
          <w:szCs w:val="20"/>
          <w:color w:val="auto"/>
        </w:rPr>
      </w:pPr>
      <w:r>
        <w:rPr>
          <w:rFonts w:ascii="Arial" w:cs="Arial" w:eastAsia="Arial" w:hAnsi="Arial"/>
          <w:sz w:val="18"/>
          <w:szCs w:val="18"/>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$0.1 million for each of the three months ended September 30, 2023 and 2022, respectively, related to the ESPP. The Company recognized share-based compensation expense of $0.2 million and $0.3 million for the nine months ended September 30, 2023 and 2022, respectively, related to the ESPP.</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478"/>
        <w:spacing w:after="0" w:line="28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(i) Part I, Item 1A of our Annual Report on Form 10-K filed with the SEC on March 15, 2023, or our 2022 Annual Report on Form 10-K, and (ii) Part II, Item 1A of this Quarterly Report on Form 10-Q. These forward-looking statements may include, but are not limited to, statements regarding our future results of operations and financial position, inflation and interest rate risk, a potential recession, a potential temporary federal government shutdown,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 “may,” “will,” “potentially,” “estimate,” “continue,” “anticipate,” “strive,”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71" w:lineRule="exact"/>
        <w:rPr>
          <w:sz w:val="20"/>
          <w:szCs w:val="20"/>
          <w:color w:val="auto"/>
        </w:rPr>
      </w:pPr>
    </w:p>
    <w:p>
      <w:pPr>
        <w:ind w:right="360" w:firstLine="478"/>
        <w:spacing w:after="0" w:line="259" w:lineRule="auto"/>
        <w:rPr>
          <w:sz w:val="20"/>
          <w:szCs w:val="20"/>
          <w:color w:val="auto"/>
        </w:rPr>
      </w:pPr>
      <w:r>
        <w:rPr>
          <w:rFonts w:ascii="Arial" w:cs="Arial" w:eastAsia="Arial" w:hAnsi="Arial"/>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79"/>
        <w:spacing w:after="0" w:line="254" w:lineRule="auto"/>
        <w:rPr>
          <w:sz w:val="20"/>
          <w:szCs w:val="20"/>
          <w:color w:val="auto"/>
        </w:rPr>
      </w:pPr>
      <w:r>
        <w:rPr>
          <w:rFonts w:ascii="Arial" w:cs="Arial" w:eastAsia="Arial" w:hAnsi="Arial"/>
          <w:sz w:val="18"/>
          <w:szCs w:val="18"/>
          <w:color w:val="auto"/>
        </w:rPr>
        <w:t>We are a clinical-stage fully integrated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fully-integrated drug discovery engine and the development expertise necessary to identify compelling biological targets and create new chemical entities, or NCEs, and biologics that we rapidly advance into clinical trials.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multiple investigational new drug applications, or INDs, and successfully advanced several programs into clinical trials. In addition, we have other unique programs in various stages of preclinical development.</w:t>
      </w:r>
    </w:p>
    <w:p>
      <w:pPr>
        <w:spacing w:after="0" w:line="192" w:lineRule="exact"/>
        <w:rPr>
          <w:sz w:val="20"/>
          <w:szCs w:val="20"/>
          <w:color w:val="auto"/>
        </w:rPr>
      </w:pPr>
    </w:p>
    <w:p>
      <w:pPr>
        <w:ind w:right="160" w:firstLine="479"/>
        <w:spacing w:after="0" w:line="301" w:lineRule="auto"/>
        <w:rPr>
          <w:sz w:val="20"/>
          <w:szCs w:val="20"/>
          <w:color w:val="auto"/>
        </w:rPr>
      </w:pPr>
      <w:r>
        <w:rPr>
          <w:rFonts w:ascii="Arial" w:cs="Arial" w:eastAsia="Arial" w:hAnsi="Arial"/>
          <w:sz w:val="16"/>
          <w:szCs w:val="16"/>
          <w:color w:val="auto"/>
        </w:rPr>
        <w:t>By focusing on developing therapies using broad mechanisms that have multiple links to oncogenic driver pathways in select patients, we have developed a diverse pipeline consisting of multiple distinct programs spanning methyltransferases, kinases, protein-protein interactions, targeted protein degraders, and precision antibody drug conjugates. Our pipeline is designed to serve patients with high unmet medical need, where there are limited or no treatment options. We believe we can best address these diseases by developing therapies that target primary and secondary resistance mechanisms.</w:t>
      </w:r>
    </w:p>
    <w:p>
      <w:pPr>
        <w:spacing w:after="0" w:line="157" w:lineRule="exact"/>
        <w:rPr>
          <w:sz w:val="20"/>
          <w:szCs w:val="20"/>
          <w:color w:val="auto"/>
        </w:rPr>
      </w:pPr>
    </w:p>
    <w:p>
      <w:pPr>
        <w:ind w:right="80" w:firstLine="479"/>
        <w:spacing w:after="0" w:line="259" w:lineRule="auto"/>
        <w:rPr>
          <w:sz w:val="20"/>
          <w:szCs w:val="20"/>
          <w:color w:val="auto"/>
        </w:rPr>
      </w:pPr>
      <w:r>
        <w:rPr>
          <w:rFonts w:ascii="Arial" w:cs="Arial" w:eastAsia="Arial" w:hAnsi="Arial"/>
          <w:sz w:val="18"/>
          <w:szCs w:val="18"/>
          <w:color w:val="auto"/>
        </w:rPr>
        <w:t>We have several drug candidates in clinical development and we believe we can generate proof-of-concept clinical data to guide our future regulatory pathways to approval. Our SMARCA2 molecule is a unique, first-in-class protein degrader, targeting specific patient populations. Our CDK9 and MCL1 inhibitors are selective and potent, with potentially superior safety profiles. Our next generation CDK4/6 inhibitor is specifically designed to be a brain and tissue penetrant.</w:t>
      </w:r>
    </w:p>
    <w:p>
      <w:pPr>
        <w:spacing w:after="0" w:line="187" w:lineRule="exact"/>
        <w:rPr>
          <w:sz w:val="20"/>
          <w:szCs w:val="20"/>
          <w:color w:val="auto"/>
        </w:rPr>
      </w:pPr>
    </w:p>
    <w:p>
      <w:pPr>
        <w:ind w:firstLine="479"/>
        <w:spacing w:after="0" w:line="255" w:lineRule="auto"/>
        <w:rPr>
          <w:sz w:val="20"/>
          <w:szCs w:val="20"/>
          <w:color w:val="auto"/>
        </w:rPr>
      </w:pPr>
      <w:r>
        <w:rPr>
          <w:rFonts w:ascii="Arial" w:cs="Arial" w:eastAsia="Arial" w:hAnsi="Arial"/>
          <w:sz w:val="18"/>
          <w:szCs w:val="18"/>
          <w:color w:val="auto"/>
        </w:rPr>
        <w:t>On November 1, 2023, we announced that we will focus our resources on our novel, first-in-class SMARCA2 degrader compounds and our potent, highly selective and potentially best-in-class CDK9 inhibitor. These two proprietary and wholly-owned programs represent our best opportunities for demonstrating clinical proof-of-concept in 2024 and advancing into potential Phase 2/3 registration studies. We also announced a global partnership with AbCellera Biologics Incorporated ("AbCellera") to combine our small molecules expertise with their antibody expertise to develop precision antibody drug conjugates. We have already started work on our first program with a SMARCA payload on an antibody selected from a lead panel of antibodies previously discovered by AbCellera.</w:t>
      </w:r>
    </w:p>
    <w:p>
      <w:pPr>
        <w:spacing w:after="0" w:line="192"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 October 2022, we received clearance for PRT3789, a first-in-class, highly selective degrader of SMARCA2 protein, which along with SMARCA4 controls gene regulation through chromatin remodeling. Cancer cells with SMARCA4 mutations are dependent on SMARCA2 for their growth and survival and selectively degrading SMARCA2 induces cell death in cancer cells while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right="360"/>
        <w:spacing w:after="0" w:line="263" w:lineRule="auto"/>
        <w:rPr>
          <w:sz w:val="20"/>
          <w:szCs w:val="20"/>
          <w:color w:val="auto"/>
        </w:rPr>
      </w:pPr>
      <w:r>
        <w:rPr>
          <w:rFonts w:ascii="Arial" w:cs="Arial" w:eastAsia="Arial" w:hAnsi="Arial"/>
          <w:sz w:val="18"/>
          <w:szCs w:val="18"/>
          <w:color w:val="auto"/>
        </w:rPr>
        <w:t>sparing normal cells. PRT3789 is efficacious and well tolerated in preclinical models of SMARCA4 deleted/mutated cancers as monotherapy and in combination with standards of care. We believe a selective SMARCA2 degrader has the potential to be of benefit in up to 70,000 cancer patients in the United States and European Union with the SMARCA4 mutation.</w:t>
      </w:r>
    </w:p>
    <w:p>
      <w:pPr>
        <w:spacing w:after="0" w:line="184" w:lineRule="exact"/>
        <w:rPr>
          <w:sz w:val="20"/>
          <w:szCs w:val="20"/>
          <w:color w:val="auto"/>
        </w:rPr>
      </w:pPr>
    </w:p>
    <w:p>
      <w:pPr>
        <w:ind w:right="100" w:firstLine="449"/>
        <w:spacing w:after="0" w:line="342" w:lineRule="auto"/>
        <w:rPr>
          <w:sz w:val="20"/>
          <w:szCs w:val="20"/>
          <w:color w:val="auto"/>
        </w:rPr>
      </w:pPr>
      <w:r>
        <w:rPr>
          <w:rFonts w:ascii="Arial" w:cs="Arial" w:eastAsia="Arial" w:hAnsi="Arial"/>
          <w:sz w:val="16"/>
          <w:szCs w:val="16"/>
          <w:color w:val="auto"/>
        </w:rPr>
        <w:t>Patients with SMARCA4 mutations or deletions may have poor clinical outcomes and limited treatment options. Therefore, mutated or deleted SMARCA4 cancers provide a potential biomarker to select those patients most likely to respond to treatment with a highly selective SMARCA2 degrader.</w:t>
      </w:r>
    </w:p>
    <w:p>
      <w:pPr>
        <w:spacing w:after="0" w:line="124" w:lineRule="exact"/>
        <w:rPr>
          <w:sz w:val="20"/>
          <w:szCs w:val="20"/>
          <w:color w:val="auto"/>
        </w:rPr>
      </w:pPr>
    </w:p>
    <w:p>
      <w:pPr>
        <w:ind w:right="60" w:firstLine="449"/>
        <w:spacing w:after="0" w:line="308" w:lineRule="auto"/>
        <w:rPr>
          <w:sz w:val="20"/>
          <w:szCs w:val="20"/>
          <w:color w:val="auto"/>
        </w:rPr>
      </w:pPr>
      <w:r>
        <w:rPr>
          <w:rFonts w:ascii="Arial" w:cs="Arial" w:eastAsia="Arial" w:hAnsi="Arial"/>
          <w:sz w:val="17"/>
          <w:szCs w:val="17"/>
          <w:color w:val="auto"/>
        </w:rPr>
        <w:t>A Phase 1 multi-dose escalation clinical trial of PRT3789 is ongoing (NCT05639751) in biomarker-selected SMARCA4 mutated cancers. We intend to evaluate PRT3789 as monotherapy as well as in combination and plan to share initial Phase 1 data in the middle of 2024.</w:t>
      </w:r>
    </w:p>
    <w:p>
      <w:pPr>
        <w:spacing w:after="0" w:line="146"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We recently nominated a new chemical entity as a potent, orally bioavailable and highly selective SMARCA2 degrader candidate. This compound is &gt;1000x more selective for SMARCA2 over SMARCA4 and we expect to file an IND in the first half of 2024.</w:t>
      </w:r>
    </w:p>
    <w:p>
      <w:pPr>
        <w:spacing w:after="0" w:line="170" w:lineRule="exact"/>
        <w:rPr>
          <w:sz w:val="20"/>
          <w:szCs w:val="20"/>
          <w:color w:val="auto"/>
        </w:rPr>
      </w:pPr>
    </w:p>
    <w:p>
      <w:pPr>
        <w:ind w:firstLine="479"/>
        <w:spacing w:after="0" w:line="259" w:lineRule="auto"/>
        <w:rPr>
          <w:sz w:val="20"/>
          <w:szCs w:val="20"/>
          <w:color w:val="auto"/>
        </w:rPr>
      </w:pPr>
      <w:r>
        <w:rPr>
          <w:rFonts w:ascii="Arial" w:cs="Arial" w:eastAsia="Arial" w:hAnsi="Arial"/>
          <w:sz w:val="18"/>
          <w:szCs w:val="18"/>
          <w:color w:val="auto"/>
        </w:rPr>
        <w:t>Our CDK9 candidate, PRT2527, is designed to be a potent and selective CDK9 inhibitor. In preclinical studies, PRT2527 was shown to reduce MCL1 and MYC protein levels and was highly active in preclinical models at well-tolerated doses. Our preclinical studies suggest that PRT2527 demonstrates high kinase selectivity and potency, providing opportunity for a wider therapeutic index compared to less selective CDK9 inhibitors, allowing for rapid development in combinations.</w:t>
      </w:r>
    </w:p>
    <w:p>
      <w:pPr>
        <w:spacing w:after="0" w:line="187" w:lineRule="exact"/>
        <w:rPr>
          <w:sz w:val="20"/>
          <w:szCs w:val="20"/>
          <w:color w:val="auto"/>
        </w:rPr>
      </w:pPr>
    </w:p>
    <w:p>
      <w:pPr>
        <w:ind w:right="20" w:firstLine="479"/>
        <w:spacing w:after="0" w:line="259" w:lineRule="auto"/>
        <w:rPr>
          <w:sz w:val="20"/>
          <w:szCs w:val="20"/>
          <w:color w:val="auto"/>
        </w:rPr>
      </w:pPr>
      <w:r>
        <w:rPr>
          <w:rFonts w:ascii="Arial" w:cs="Arial" w:eastAsia="Arial" w:hAnsi="Arial"/>
          <w:sz w:val="18"/>
          <w:szCs w:val="18"/>
          <w:color w:val="auto"/>
        </w:rPr>
        <w:t>Preclinical data demonstrated that treatment with PRT2527 depleted oncogenic drivers with short half-lives, such as MYC and MCL1, and effectively induced apoptosis. PRT2527 treatment demonstrated robust efficacy in both hematological malignancies and solid tumor models with MYC dysregulation. Dose dependent increases in exposure and target engagement were observed as evidenced by MYC and MCL1 depletion to levels associated with tumor regression in preclinical models.</w:t>
      </w:r>
    </w:p>
    <w:p>
      <w:pPr>
        <w:spacing w:after="0" w:line="187" w:lineRule="exact"/>
        <w:rPr>
          <w:sz w:val="20"/>
          <w:szCs w:val="20"/>
          <w:color w:val="auto"/>
        </w:rPr>
      </w:pPr>
    </w:p>
    <w:p>
      <w:pPr>
        <w:jc w:val="both"/>
        <w:ind w:right="180" w:firstLine="479"/>
        <w:spacing w:after="0" w:line="263" w:lineRule="auto"/>
        <w:rPr>
          <w:sz w:val="20"/>
          <w:szCs w:val="20"/>
          <w:color w:val="auto"/>
        </w:rPr>
      </w:pPr>
      <w:r>
        <w:rPr>
          <w:rFonts w:ascii="Arial" w:cs="Arial" w:eastAsia="Arial" w:hAnsi="Arial"/>
          <w:sz w:val="18"/>
          <w:szCs w:val="18"/>
          <w:color w:val="auto"/>
        </w:rPr>
        <w:t>PRT2527 has completed a Phase 1 multi-dose escalation study (NCT05159518) in patients with solid tumors. In this trial, PRT2527 was shown to achieve high levels of target inhibition and the potential to be better tolerated than existing CDK9 inhibitors, specifically, manageable neutropenia and an absence of meaningful gastrointestinal events or hepatotoxicity.</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objective is to establish clinical proof-of concept data in both the monotherapy setting and in combination with zanubrutinib in 2024.</w:t>
      </w:r>
    </w:p>
    <w:p>
      <w:pPr>
        <w:spacing w:after="0" w:line="237" w:lineRule="exact"/>
        <w:rPr>
          <w:sz w:val="20"/>
          <w:szCs w:val="20"/>
          <w:color w:val="auto"/>
        </w:rPr>
      </w:pPr>
    </w:p>
    <w:p>
      <w:pPr>
        <w:ind w:right="60" w:firstLine="479"/>
        <w:spacing w:after="0" w:line="257" w:lineRule="auto"/>
        <w:rPr>
          <w:sz w:val="20"/>
          <w:szCs w:val="20"/>
          <w:color w:val="auto"/>
        </w:rPr>
      </w:pPr>
      <w:r>
        <w:rPr>
          <w:rFonts w:ascii="Arial" w:cs="Arial" w:eastAsia="Arial" w:hAnsi="Arial"/>
          <w:sz w:val="18"/>
          <w:szCs w:val="18"/>
          <w:color w:val="auto"/>
        </w:rPr>
        <w:t>Our MCL1 candidate, PRT1419,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We concluded a Phase 1 development of PRT1419 and established a confirmation dose in hematological cancers. Based on the potential to address the intended patient population with the CDK9 inhibitor which potently inhibits MCL-1, we made a decision to prioritize our CDK9 inhibitor, PRT2527, over PRT1419.</w:t>
      </w:r>
    </w:p>
    <w:p>
      <w:pPr>
        <w:spacing w:after="0" w:line="188" w:lineRule="exact"/>
        <w:rPr>
          <w:sz w:val="20"/>
          <w:szCs w:val="20"/>
          <w:color w:val="auto"/>
        </w:rPr>
      </w:pPr>
    </w:p>
    <w:p>
      <w:pPr>
        <w:ind w:right="60" w:firstLine="479"/>
        <w:spacing w:after="0" w:line="291" w:lineRule="auto"/>
        <w:rPr>
          <w:sz w:val="20"/>
          <w:szCs w:val="20"/>
          <w:color w:val="auto"/>
        </w:rPr>
      </w:pPr>
      <w:r>
        <w:rPr>
          <w:rFonts w:ascii="Arial" w:cs="Arial" w:eastAsia="Arial" w:hAnsi="Arial"/>
          <w:sz w:val="16"/>
          <w:szCs w:val="16"/>
          <w:color w:val="auto"/>
        </w:rPr>
        <w:t>In July 2022, we received IND clearance for PRT3645, a brain and tissue penetrant molecule that potently targets CDK4/6 with a biased selectivity for CDK4. A Phase 1 multi-dose escalation clinical trial of PRT3645 is underway and we intend to reach a biologically active dose confirmation. At the recent AACR-NCI-EORTC International Conference on Molecular Targets and Cancer Therapeutics, we presented data, showing that treatment with PRT3645 was associated with a substantial decrease in pRb and Ki67 expression, indicating a high level of target engagement at the doses evaluated. Also, PRT3645 was generally well tolerated in the initial three dose cohorts of patients with no clinically meaningful gastrointestinal, hematologic or neurological events reported to date, leveraging its enhanced selectivity profile. We intend to complete the dose escalation portion of the Phase 1 clinical trial of PRT3645 this year and following its completion to explore continued clinical development with external partners.</w:t>
      </w:r>
    </w:p>
    <w:p>
      <w:pPr>
        <w:spacing w:after="0" w:line="166" w:lineRule="exact"/>
        <w:rPr>
          <w:sz w:val="20"/>
          <w:szCs w:val="20"/>
          <w:color w:val="auto"/>
        </w:rPr>
      </w:pPr>
    </w:p>
    <w:p>
      <w:pPr>
        <w:ind w:right="80" w:firstLine="494"/>
        <w:spacing w:after="0" w:line="290" w:lineRule="auto"/>
        <w:rPr>
          <w:sz w:val="20"/>
          <w:szCs w:val="20"/>
          <w:color w:val="auto"/>
        </w:rPr>
      </w:pPr>
      <w:r>
        <w:rPr>
          <w:rFonts w:ascii="Arial" w:cs="Arial" w:eastAsia="Arial" w:hAnsi="Arial"/>
          <w:sz w:val="16"/>
          <w:szCs w:val="16"/>
          <w:color w:val="auto"/>
        </w:rPr>
        <w:t>We were incorporated in February 2016 under the laws of the State of Delaware. 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common stock and pre-funded warrants. Our net loss was $88.8 million and $86.8 million for the nine months ended September 30, 2023 and 2022, respectively. As of September 30, 2023, we had an accumulated deficit of $423.3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 w:name="page20"/>
    <w:bookmarkEnd w:id="19"/>
    <w:p>
      <w:pPr>
        <w:ind w:right="180"/>
        <w:spacing w:after="0" w:line="293" w:lineRule="auto"/>
        <w:rPr>
          <w:sz w:val="20"/>
          <w:szCs w:val="20"/>
          <w:color w:val="auto"/>
        </w:rPr>
      </w:pPr>
      <w:r>
        <w:rPr>
          <w:rFonts w:ascii="Arial" w:cs="Arial" w:eastAsia="Arial" w:hAnsi="Arial"/>
          <w:sz w:val="16"/>
          <w:szCs w:val="16"/>
          <w:color w:val="auto"/>
        </w:rPr>
        <w:t>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Furthermore, we expect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expenditures on other research and development activities.</w:t>
      </w:r>
    </w:p>
    <w:p>
      <w:pPr>
        <w:spacing w:after="0" w:line="164" w:lineRule="exact"/>
        <w:rPr>
          <w:sz w:val="20"/>
          <w:szCs w:val="20"/>
          <w:color w:val="auto"/>
        </w:rPr>
      </w:pPr>
    </w:p>
    <w:p>
      <w:pPr>
        <w:ind w:right="40" w:firstLine="479"/>
        <w:spacing w:after="0" w:line="272" w:lineRule="auto"/>
        <w:rPr>
          <w:sz w:val="20"/>
          <w:szCs w:val="20"/>
          <w:color w:val="auto"/>
        </w:rPr>
      </w:pPr>
      <w:r>
        <w:rPr>
          <w:rFonts w:ascii="Arial" w:cs="Arial" w:eastAsia="Arial" w:hAnsi="Arial"/>
          <w:sz w:val="17"/>
          <w:szCs w:val="17"/>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2023, we had $230.5 million in cash, cash equivalents, and marketable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firstLine="479"/>
        <w:spacing w:after="0" w:line="259" w:lineRule="auto"/>
        <w:rPr>
          <w:sz w:val="20"/>
          <w:szCs w:val="20"/>
          <w:color w:val="auto"/>
        </w:rPr>
      </w:pPr>
      <w:r>
        <w:rPr>
          <w:rFonts w:ascii="Arial" w:cs="Arial" w:eastAsia="Arial" w:hAnsi="Arial"/>
          <w:sz w:val="18"/>
          <w:szCs w:val="18"/>
          <w:color w:val="auto"/>
        </w:rPr>
        <w:t>To-date,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Research and development expenses consist primarily of costs incurred in connection with the discovery and development of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expense research and development costs as incurred, including:</w:t>
      </w:r>
    </w:p>
    <w:p>
      <w:pPr>
        <w:spacing w:after="0" w:line="103" w:lineRule="exact"/>
        <w:rPr>
          <w:sz w:val="20"/>
          <w:szCs w:val="20"/>
          <w:color w:val="auto"/>
        </w:rPr>
      </w:pPr>
    </w:p>
    <w:p>
      <w:pPr>
        <w:ind w:left="960" w:right="20" w:hanging="473"/>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to conduct the necessary discovery-stage laboratory work, preclinical studies and clinical trials required to obtain regulatory approval;</w:t>
      </w:r>
    </w:p>
    <w:p>
      <w:pPr>
        <w:spacing w:after="0" w:line="62" w:lineRule="exact"/>
        <w:rPr>
          <w:rFonts w:ascii="Arial" w:cs="Arial" w:eastAsia="Arial" w:hAnsi="Arial"/>
          <w:sz w:val="18"/>
          <w:szCs w:val="18"/>
          <w:color w:val="auto"/>
        </w:rPr>
      </w:pPr>
    </w:p>
    <w:p>
      <w:pPr>
        <w:ind w:left="960" w:right="860" w:hanging="473"/>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stock-based compensation expense for our employees engaged in research and development functions;</w:t>
      </w:r>
    </w:p>
    <w:p>
      <w:pPr>
        <w:spacing w:after="0" w:line="62" w:lineRule="exact"/>
        <w:rPr>
          <w:rFonts w:ascii="Arial" w:cs="Arial" w:eastAsia="Arial" w:hAnsi="Arial"/>
          <w:sz w:val="18"/>
          <w:szCs w:val="18"/>
          <w:color w:val="auto"/>
        </w:rPr>
      </w:pPr>
    </w:p>
    <w:p>
      <w:pPr>
        <w:ind w:left="960" w:right="380" w:hanging="473"/>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15" w:lineRule="exact"/>
        <w:rPr>
          <w:rFonts w:ascii="Arial" w:cs="Arial" w:eastAsia="Arial" w:hAnsi="Arial"/>
          <w:sz w:val="16"/>
          <w:szCs w:val="16"/>
          <w:color w:val="auto"/>
        </w:rPr>
      </w:pPr>
    </w:p>
    <w:p>
      <w:pPr>
        <w:ind w:left="960" w:right="20" w:hanging="473"/>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62" w:lineRule="exact"/>
        <w:rPr>
          <w:rFonts w:ascii="Arial" w:cs="Arial" w:eastAsia="Arial" w:hAnsi="Arial"/>
          <w:sz w:val="18"/>
          <w:szCs w:val="18"/>
          <w:color w:val="auto"/>
        </w:rPr>
      </w:pPr>
    </w:p>
    <w:p>
      <w:pPr>
        <w:ind w:left="960" w:hanging="47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paid to consultants who assist with research and development activities;</w:t>
      </w:r>
    </w:p>
    <w:p>
      <w:pPr>
        <w:spacing w:after="0" w:line="117" w:lineRule="exact"/>
        <w:rPr>
          <w:rFonts w:ascii="Arial" w:cs="Arial" w:eastAsia="Arial" w:hAnsi="Arial"/>
          <w:sz w:val="18"/>
          <w:szCs w:val="18"/>
          <w:color w:val="auto"/>
        </w:rPr>
      </w:pPr>
    </w:p>
    <w:p>
      <w:pPr>
        <w:ind w:left="960" w:hanging="47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 and</w:t>
      </w:r>
    </w:p>
    <w:p>
      <w:pPr>
        <w:spacing w:after="0" w:line="117" w:lineRule="exact"/>
        <w:rPr>
          <w:rFonts w:ascii="Arial" w:cs="Arial" w:eastAsia="Arial" w:hAnsi="Arial"/>
          <w:sz w:val="18"/>
          <w:szCs w:val="18"/>
          <w:color w:val="auto"/>
        </w:rPr>
      </w:pPr>
    </w:p>
    <w:p>
      <w:pPr>
        <w:ind w:left="960" w:hanging="47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301" w:lineRule="auto"/>
        <w:rPr>
          <w:sz w:val="20"/>
          <w:szCs w:val="20"/>
          <w:color w:val="auto"/>
        </w:rPr>
      </w:pPr>
      <w:r>
        <w:rPr>
          <w:rFonts w:ascii="Arial" w:cs="Arial" w:eastAsia="Arial" w:hAnsi="Arial"/>
          <w:sz w:val="16"/>
          <w:szCs w:val="16"/>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100" w:firstLine="478"/>
        <w:spacing w:after="0" w:line="257"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firstLine="478"/>
        <w:spacing w:after="0" w:line="301" w:lineRule="auto"/>
        <w:rPr>
          <w:sz w:val="20"/>
          <w:szCs w:val="20"/>
          <w:color w:val="auto"/>
        </w:rPr>
      </w:pPr>
      <w:r>
        <w:rPr>
          <w:rFonts w:ascii="Arial" w:cs="Arial" w:eastAsia="Arial" w:hAnsi="Arial"/>
          <w:sz w:val="16"/>
          <w:szCs w:val="16"/>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57" w:lineRule="exact"/>
        <w:rPr>
          <w:sz w:val="20"/>
          <w:szCs w:val="20"/>
          <w:color w:val="auto"/>
        </w:rPr>
      </w:pPr>
    </w:p>
    <w:p>
      <w:pPr>
        <w:ind w:right="60" w:firstLine="478"/>
        <w:spacing w:after="0" w:line="293" w:lineRule="auto"/>
        <w:rPr>
          <w:sz w:val="20"/>
          <w:szCs w:val="20"/>
          <w:color w:val="auto"/>
        </w:rPr>
      </w:pPr>
      <w:r>
        <w:rPr>
          <w:rFonts w:ascii="Arial" w:cs="Arial" w:eastAsia="Arial" w:hAnsi="Arial"/>
          <w:sz w:val="16"/>
          <w:szCs w:val="16"/>
          <w:color w:val="auto"/>
        </w:rPr>
        <w:t>We expect that our general and administrative expense will increase in the future to support our continued research and development activities and potential commercialization efforts, and as a result of increased costs associated with operating as a public company. These increases will likely include increased costs related to the hiring of additional personnel and fees to outside consultants, legal support and accountants, among other expenses. The costs associated with being a public company include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20" w:firstLine="478"/>
        <w:spacing w:after="0" w:line="263" w:lineRule="auto"/>
        <w:rPr>
          <w:sz w:val="20"/>
          <w:szCs w:val="20"/>
          <w:color w:val="auto"/>
        </w:rPr>
      </w:pPr>
      <w:r>
        <w:rPr>
          <w:rFonts w:ascii="Arial" w:cs="Arial" w:eastAsia="Arial" w:hAnsi="Arial"/>
          <w:sz w:val="18"/>
          <w:szCs w:val="18"/>
          <w:color w:val="auto"/>
        </w:rPr>
        <w:t>Other income, net consists primarily of interest earned on our cash equivalents and marketable securities and grant income received from the State of Delaware. We anticipate re-applying for grants from the State of Delaware from time to time as long as we maintain qualifying headcount levels in the State of Delaware.</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firstLine="478"/>
        <w:spacing w:after="0" w:line="263" w:lineRule="auto"/>
        <w:rPr>
          <w:sz w:val="20"/>
          <w:szCs w:val="20"/>
          <w:color w:val="auto"/>
        </w:rPr>
      </w:pPr>
      <w:r>
        <w:rPr>
          <w:rFonts w:ascii="Arial" w:cs="Arial" w:eastAsia="Arial" w:hAnsi="Arial"/>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results of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44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26,261</w:t>
            </w:r>
          </w:p>
        </w:tc>
        <w:tc>
          <w:tcPr>
            <w:tcW w:w="2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22,889</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7,124</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36"/>
        </w:trPr>
        <w:tc>
          <w:tcPr>
            <w:tcW w:w="66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33,385</w:t>
            </w:r>
          </w:p>
        </w:tc>
        <w:tc>
          <w:tcPr>
            <w:tcW w:w="28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30,406</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(33,385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(30,406</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(29,958</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-668020</wp:posOffset>
            </wp:positionV>
            <wp:extent cx="7747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-668020</wp:posOffset>
            </wp:positionV>
            <wp:extent cx="6858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40" w:firstLine="479"/>
        <w:spacing w:after="0" w:line="259" w:lineRule="auto"/>
        <w:rPr>
          <w:sz w:val="20"/>
          <w:szCs w:val="20"/>
          <w:color w:val="auto"/>
        </w:rPr>
      </w:pPr>
      <w:r>
        <w:rPr>
          <w:rFonts w:ascii="Arial" w:cs="Arial" w:eastAsia="Arial" w:hAnsi="Arial"/>
          <w:sz w:val="18"/>
          <w:szCs w:val="18"/>
          <w:color w:val="auto"/>
        </w:rPr>
        <w:t>Research and development expenses increased from $22.9 million for the three months ended September 30, 2022 to $26.3 million for the three months ended September 30, 2023. Research and development expenses increased primarily due to the timing of our clinical research programs. Research and development expenses may fluctuate from period to period depending upon the stage of certain projects and the level of preclinical and clinical trial-related activities.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left="480"/>
        <w:spacing w:after="0"/>
        <w:rPr>
          <w:sz w:val="20"/>
          <w:szCs w:val="20"/>
          <w:color w:val="auto"/>
        </w:rPr>
      </w:pPr>
      <w:r>
        <w:rPr>
          <w:rFonts w:ascii="Arial" w:cs="Arial" w:eastAsia="Arial" w:hAnsi="Arial"/>
          <w:sz w:val="18"/>
          <w:szCs w:val="18"/>
          <w:color w:val="auto"/>
        </w:rPr>
        <w:t>Research and development expenses by program are summarized in the table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PRT3789</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w:t>
            </w: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PRT2527</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2,181</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PRT1419 (Oral and IV)</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PRT3645</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1,492</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PRMT5 (PRT543 and PRT811)</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(223 )</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Discovery programs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5,481</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Internal costs, including personnel related</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13,237</w:t>
            </w:r>
          </w:p>
        </w:tc>
        <w:tc>
          <w:tcPr>
            <w:tcW w:w="3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26,261</w:t>
            </w:r>
          </w:p>
        </w:tc>
        <w:tc>
          <w:tcPr>
            <w:tcW w:w="300" w:type="dxa"/>
            <w:vAlign w:val="bottom"/>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20" w:firstLine="479"/>
        <w:spacing w:after="0" w:line="263" w:lineRule="auto"/>
        <w:rPr>
          <w:sz w:val="20"/>
          <w:szCs w:val="20"/>
          <w:color w:val="auto"/>
        </w:rPr>
      </w:pPr>
      <w:r>
        <w:rPr>
          <w:rFonts w:ascii="Arial" w:cs="Arial" w:eastAsia="Arial" w:hAnsi="Arial"/>
          <w:sz w:val="18"/>
          <w:szCs w:val="18"/>
          <w:color w:val="auto"/>
        </w:rPr>
        <w:t>General and administrative expenses decreased from $7.5 million for the three months ended September 30, 2022 to $7.1 million for three months ended September 30, 2023. General and administrative expenses decreased primarily due to our continued careful management of general and administrative expenses.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20" w:firstLine="478"/>
        <w:spacing w:after="0" w:line="277" w:lineRule="auto"/>
        <w:rPr>
          <w:sz w:val="20"/>
          <w:szCs w:val="20"/>
          <w:color w:val="auto"/>
        </w:rPr>
      </w:pPr>
      <w:r>
        <w:rPr>
          <w:rFonts w:ascii="Arial" w:cs="Arial" w:eastAsia="Arial" w:hAnsi="Arial"/>
          <w:sz w:val="18"/>
          <w:szCs w:val="18"/>
          <w:color w:val="auto"/>
        </w:rPr>
        <w:t>Other income, net increased from $0.4 million for the three months ended September 30, 2022, to $2.8 million for the three months ended September 30, 2023 primarily due to interest earned on the investment of our cash balance.</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results of operations.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44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73,061</w:t>
            </w:r>
          </w:p>
        </w:tc>
        <w:tc>
          <w:tcPr>
            <w:tcW w:w="28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67,020</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21,837</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(1,298 )</w:t>
            </w:r>
          </w:p>
        </w:tc>
        <w:tc>
          <w:tcPr>
            <w:tcW w:w="0" w:type="dxa"/>
            <w:vAlign w:val="bottom"/>
          </w:tcPr>
          <w:p>
            <w:pPr>
              <w:spacing w:after="0"/>
              <w:rPr>
                <w:sz w:val="1"/>
                <w:szCs w:val="1"/>
                <w:color w:val="auto"/>
              </w:rPr>
            </w:pPr>
          </w:p>
        </w:tc>
      </w:tr>
      <w:tr>
        <w:trPr>
          <w:trHeight w:val="237"/>
        </w:trPr>
        <w:tc>
          <w:tcPr>
            <w:tcW w:w="66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94,898</w:t>
            </w:r>
          </w:p>
        </w:tc>
        <w:tc>
          <w:tcPr>
            <w:tcW w:w="28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90,155</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(94,898</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(90,155</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6,141</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(88,757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(86,797</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-668020</wp:posOffset>
            </wp:positionV>
            <wp:extent cx="7747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-668020</wp:posOffset>
            </wp:positionV>
            <wp:extent cx="685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40" w:firstLine="479"/>
        <w:spacing w:after="0" w:line="259" w:lineRule="auto"/>
        <w:rPr>
          <w:sz w:val="20"/>
          <w:szCs w:val="20"/>
          <w:color w:val="auto"/>
        </w:rPr>
      </w:pPr>
      <w:r>
        <w:rPr>
          <w:rFonts w:ascii="Arial" w:cs="Arial" w:eastAsia="Arial" w:hAnsi="Arial"/>
          <w:sz w:val="18"/>
          <w:szCs w:val="18"/>
          <w:color w:val="auto"/>
        </w:rPr>
        <w:t>Research and development expenses increased from $67.0 million for the nine months ended September 30, 2022 to $73.1 million for the nine months ended September 30, 2023. Research and development expenses increased primarily due to the timing of our clinical research programs. Research and development expenses may fluctuate from period to period depending upon the stage of certain projects and the level of preclinical and clinical trial-related activities.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left="480"/>
        <w:spacing w:after="0"/>
        <w:rPr>
          <w:sz w:val="20"/>
          <w:szCs w:val="20"/>
          <w:color w:val="auto"/>
        </w:rPr>
      </w:pPr>
      <w:r>
        <w:rPr>
          <w:rFonts w:ascii="Arial" w:cs="Arial" w:eastAsia="Arial" w:hAnsi="Arial"/>
          <w:sz w:val="18"/>
          <w:szCs w:val="18"/>
          <w:color w:val="auto"/>
        </w:rPr>
        <w:t>Research and development expenses by program are summarized in the table below:</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PRT3789</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w:t>
            </w: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PRT2527</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4,983</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PRT1419 (Oral and IV)</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5,570</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5,872</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PRT3645</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3,938</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PRMT5 (PRT543 and PRT811)</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(165 )</w:t>
            </w: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9,787</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Discovery programs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14,124</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17,068</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Internal costs, including personnel related</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38,460</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73,061</w:t>
            </w:r>
          </w:p>
        </w:tc>
        <w:tc>
          <w:tcPr>
            <w:tcW w:w="3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67,020</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420" w:firstLine="479"/>
        <w:spacing w:after="0" w:line="263" w:lineRule="auto"/>
        <w:rPr>
          <w:sz w:val="20"/>
          <w:szCs w:val="20"/>
          <w:color w:val="auto"/>
        </w:rPr>
      </w:pPr>
      <w:r>
        <w:rPr>
          <w:rFonts w:ascii="Arial" w:cs="Arial" w:eastAsia="Arial" w:hAnsi="Arial"/>
          <w:sz w:val="18"/>
          <w:szCs w:val="18"/>
          <w:color w:val="auto"/>
        </w:rPr>
        <w:t>General and administrative expenses decreased from $23.1 million for the nine months ended September 30, 2022 to $21.8 million for the nine months ended September 30, 2023. General and administrative expenses decreased primarily due to our continued careful management of general and administrative expenses.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120" w:firstLine="478"/>
        <w:spacing w:after="0" w:line="277" w:lineRule="auto"/>
        <w:rPr>
          <w:sz w:val="20"/>
          <w:szCs w:val="20"/>
          <w:color w:val="auto"/>
        </w:rPr>
      </w:pPr>
      <w:r>
        <w:rPr>
          <w:rFonts w:ascii="Arial" w:cs="Arial" w:eastAsia="Arial" w:hAnsi="Arial"/>
          <w:sz w:val="18"/>
          <w:szCs w:val="18"/>
          <w:color w:val="auto"/>
        </w:rPr>
        <w:t>Other income, net increased from $3.4 million for the nine months ended September 30, 2022, to $6.1 million for the nine months ended September 30, 2023 primarily due to interest earned on the investment of our cash balance.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0" w:firstLine="479"/>
        <w:spacing w:after="0" w:line="279" w:lineRule="auto"/>
        <w:rPr>
          <w:sz w:val="20"/>
          <w:szCs w:val="20"/>
          <w:color w:val="auto"/>
        </w:rPr>
      </w:pPr>
      <w:r>
        <w:rPr>
          <w:rFonts w:ascii="Arial" w:cs="Arial" w:eastAsia="Arial" w:hAnsi="Arial"/>
          <w:sz w:val="17"/>
          <w:szCs w:val="17"/>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through the sale of convertible preferred stock, common stock, and pre-funded warrants. As of September 30, 2023, we had $230.5 million in cash, cash equivalents and marketable securities and had an accumulated deficit of $423.3 million.</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During the second quarter of 2023, we sold 6,761,200 shares of common stock which comprised of (i) 5,312,978 shares of voting common stock and</w:t>
      </w:r>
    </w:p>
    <w:p>
      <w:pPr>
        <w:spacing w:after="0" w:line="46" w:lineRule="exact"/>
        <w:rPr>
          <w:sz w:val="20"/>
          <w:szCs w:val="20"/>
          <w:color w:val="auto"/>
        </w:rPr>
      </w:pPr>
    </w:p>
    <w:p>
      <w:pPr>
        <w:ind w:right="20" w:firstLine="8"/>
        <w:spacing w:after="0" w:line="252"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1,448,222 shares of non-voting common stock at a price of $5.75 per share and to certain investors in lieu of common stock, we sold pre-funded warrants to purchase 12,895,256 shares of voting common stock at a price of $5.7499 per pre-funded warrant, resulting in gross proceeds of $113.0 million. We incurred offering costs of $2.6 million, of which $0.3 million were previously paid and deferred, which resulted in net proceeds of $110.4 million. The purchase price per share of each pre-funded warrant represents the per share offering price for the common stock, minus the $0.0001 per share exercise price of such pre-funded warrant. Of the voting common stock sold, 2,264,456 were purchased by our underwriters in connection with a 30-day option at a price of $5.75 per share.</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right="260" w:firstLine="478"/>
        <w:spacing w:after="0" w:line="263" w:lineRule="auto"/>
        <w:rPr>
          <w:sz w:val="20"/>
          <w:szCs w:val="20"/>
          <w:color w:val="auto"/>
        </w:rPr>
      </w:pPr>
      <w:r>
        <w:rPr>
          <w:rFonts w:ascii="Arial" w:cs="Arial" w:eastAsia="Arial" w:hAnsi="Arial"/>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84" w:lineRule="exact"/>
        <w:rPr>
          <w:sz w:val="20"/>
          <w:szCs w:val="20"/>
          <w:color w:val="auto"/>
        </w:rPr>
      </w:pPr>
    </w:p>
    <w:p>
      <w:pPr>
        <w:ind w:right="40" w:firstLine="478"/>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76" w:lineRule="exact"/>
        <w:rPr>
          <w:sz w:val="20"/>
          <w:szCs w:val="20"/>
          <w:color w:val="auto"/>
        </w:rPr>
      </w:pPr>
    </w:p>
    <w:p>
      <w:pPr>
        <w:ind w:left="5540" w:right="140" w:hanging="5053"/>
        <w:spacing w:after="0" w:line="527" w:lineRule="auto"/>
        <w:tabs>
          <w:tab w:leader="none" w:pos="97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timing, progress and results of discovery, preclinical development, laboratory testing and clinical trials for our product candidates;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left="960" w:hanging="473"/>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costs of manufacturing our product candidates for clinical trials and in preparation for marketing approval and commercialization;</w:t>
      </w:r>
    </w:p>
    <w:p>
      <w:pPr>
        <w:spacing w:after="0" w:line="128" w:lineRule="exact"/>
        <w:rPr>
          <w:rFonts w:ascii="Arial" w:cs="Arial" w:eastAsia="Arial" w:hAnsi="Arial"/>
          <w:sz w:val="17"/>
          <w:szCs w:val="17"/>
          <w:color w:val="auto"/>
        </w:rPr>
      </w:pPr>
    </w:p>
    <w:p>
      <w:pPr>
        <w:ind w:left="960" w:right="360" w:hanging="473"/>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enter into collaborations or other arrangements with additional third parties in order to further develop our product candidates;</w:t>
      </w:r>
    </w:p>
    <w:p>
      <w:pPr>
        <w:spacing w:after="0" w:line="62" w:lineRule="exact"/>
        <w:rPr>
          <w:rFonts w:ascii="Arial" w:cs="Arial" w:eastAsia="Arial" w:hAnsi="Arial"/>
          <w:sz w:val="18"/>
          <w:szCs w:val="18"/>
          <w:color w:val="auto"/>
        </w:rPr>
      </w:pPr>
    </w:p>
    <w:p>
      <w:pPr>
        <w:ind w:left="960" w:right="360" w:hanging="473"/>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960" w:hanging="47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additional product candidates or technologies;</w:t>
      </w:r>
    </w:p>
    <w:p>
      <w:pPr>
        <w:spacing w:after="0" w:line="117" w:lineRule="exact"/>
        <w:rPr>
          <w:rFonts w:ascii="Arial" w:cs="Arial" w:eastAsia="Arial" w:hAnsi="Arial"/>
          <w:sz w:val="18"/>
          <w:szCs w:val="18"/>
          <w:color w:val="auto"/>
        </w:rPr>
      </w:pPr>
    </w:p>
    <w:p>
      <w:pPr>
        <w:ind w:left="960" w:hanging="47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needed to attract and retain skilled personnel;</w:t>
      </w:r>
    </w:p>
    <w:p>
      <w:pPr>
        <w:spacing w:after="0" w:line="117" w:lineRule="exact"/>
        <w:rPr>
          <w:rFonts w:ascii="Arial" w:cs="Arial" w:eastAsia="Arial" w:hAnsi="Arial"/>
          <w:sz w:val="18"/>
          <w:szCs w:val="18"/>
          <w:color w:val="auto"/>
        </w:rPr>
      </w:pPr>
    </w:p>
    <w:p>
      <w:pPr>
        <w:ind w:left="960" w:hanging="47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being a public company;</w:t>
      </w:r>
    </w:p>
    <w:p>
      <w:pPr>
        <w:spacing w:after="0" w:line="117" w:lineRule="exact"/>
        <w:rPr>
          <w:rFonts w:ascii="Arial" w:cs="Arial" w:eastAsia="Arial" w:hAnsi="Arial"/>
          <w:sz w:val="18"/>
          <w:szCs w:val="18"/>
          <w:color w:val="auto"/>
        </w:rPr>
      </w:pPr>
    </w:p>
    <w:p>
      <w:pPr>
        <w:ind w:left="960" w:hanging="47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required to scale up our clinical, regulatory and manufacturing capabilities;</w:t>
      </w:r>
    </w:p>
    <w:p>
      <w:pPr>
        <w:spacing w:after="0" w:line="117" w:lineRule="exact"/>
        <w:rPr>
          <w:rFonts w:ascii="Arial" w:cs="Arial" w:eastAsia="Arial" w:hAnsi="Arial"/>
          <w:sz w:val="18"/>
          <w:szCs w:val="18"/>
          <w:color w:val="auto"/>
        </w:rPr>
      </w:pPr>
    </w:p>
    <w:p>
      <w:pPr>
        <w:ind w:left="960" w:right="40" w:hanging="473"/>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62" w:lineRule="exact"/>
        <w:rPr>
          <w:rFonts w:ascii="Arial" w:cs="Arial" w:eastAsia="Arial" w:hAnsi="Arial"/>
          <w:sz w:val="18"/>
          <w:szCs w:val="18"/>
          <w:color w:val="auto"/>
        </w:rPr>
      </w:pPr>
    </w:p>
    <w:p>
      <w:pPr>
        <w:ind w:left="960" w:hanging="473"/>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revenue, if any, received from commercial sales of our product candidates, should any of our product candidates receive marketing approval.</w:t>
      </w:r>
    </w:p>
    <w:p>
      <w:pPr>
        <w:spacing w:after="0" w:line="248" w:lineRule="exact"/>
        <w:rPr>
          <w:sz w:val="20"/>
          <w:szCs w:val="20"/>
          <w:color w:val="auto"/>
        </w:rPr>
      </w:pPr>
    </w:p>
    <w:p>
      <w:pPr>
        <w:ind w:right="140" w:firstLine="479"/>
        <w:spacing w:after="0" w:line="259" w:lineRule="auto"/>
        <w:rPr>
          <w:sz w:val="20"/>
          <w:szCs w:val="20"/>
          <w:color w:val="auto"/>
        </w:rPr>
      </w:pPr>
      <w:r>
        <w:rPr>
          <w:rFonts w:ascii="Arial" w:cs="Arial" w:eastAsia="Arial" w:hAnsi="Arial"/>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87" w:lineRule="exact"/>
        <w:rPr>
          <w:sz w:val="20"/>
          <w:szCs w:val="20"/>
          <w:color w:val="auto"/>
        </w:rPr>
      </w:pPr>
    </w:p>
    <w:p>
      <w:pPr>
        <w:ind w:firstLine="479"/>
        <w:spacing w:after="0" w:line="288" w:lineRule="auto"/>
        <w:rPr>
          <w:sz w:val="20"/>
          <w:szCs w:val="20"/>
          <w:color w:val="auto"/>
        </w:rPr>
      </w:pPr>
      <w:r>
        <w:rPr>
          <w:rFonts w:ascii="Arial" w:cs="Arial" w:eastAsia="Arial" w:hAnsi="Arial"/>
          <w:sz w:val="16"/>
          <w:szCs w:val="16"/>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(83,485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(60,802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(42,382 )</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80,336</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111,158</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(14,709 )</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20,194</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20" w:firstLine="479"/>
        <w:spacing w:after="0" w:line="259" w:lineRule="auto"/>
        <w:rPr>
          <w:sz w:val="20"/>
          <w:szCs w:val="20"/>
          <w:color w:val="auto"/>
        </w:rPr>
      </w:pPr>
      <w:r>
        <w:rPr>
          <w:rFonts w:ascii="Arial" w:cs="Arial" w:eastAsia="Arial" w:hAnsi="Arial"/>
          <w:sz w:val="18"/>
          <w:szCs w:val="18"/>
          <w:color w:val="auto"/>
        </w:rPr>
        <w:t>During the nine months ended September 30, 2023, we used $83.5 million of cash in operating activities. Cash used in operating activities reflected our net loss of $88.8 million and a $14.2 million net increase in our operating assets and liabilities, offset by noncash charges of $19.5 million, which primarily consisted of $19.7 million in stock-based compensation. The primary use of cash was to fund our operations related to the development of our product candidates.</w:t>
      </w:r>
    </w:p>
    <w:p>
      <w:pPr>
        <w:spacing w:after="0" w:line="187" w:lineRule="exact"/>
        <w:rPr>
          <w:sz w:val="20"/>
          <w:szCs w:val="20"/>
          <w:color w:val="auto"/>
        </w:rPr>
      </w:pPr>
    </w:p>
    <w:p>
      <w:pPr>
        <w:ind w:right="120" w:firstLine="479"/>
        <w:spacing w:after="0" w:line="277" w:lineRule="auto"/>
        <w:rPr>
          <w:sz w:val="20"/>
          <w:szCs w:val="20"/>
          <w:color w:val="auto"/>
        </w:rPr>
      </w:pPr>
      <w:r>
        <w:rPr>
          <w:rFonts w:ascii="Arial" w:cs="Arial" w:eastAsia="Arial" w:hAnsi="Arial"/>
          <w:sz w:val="18"/>
          <w:szCs w:val="18"/>
          <w:color w:val="auto"/>
        </w:rPr>
        <w:t>During the nine months ended September 30, 2022, we used $60.8 million of cash in operating activities. Cash used in operating activities reflected our net loss of $86.8 million offset by a $1.7 million net decrease in our operating assets and liabilities and noncash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right="160"/>
        <w:spacing w:after="0" w:line="263" w:lineRule="auto"/>
        <w:rPr>
          <w:sz w:val="20"/>
          <w:szCs w:val="20"/>
          <w:color w:val="auto"/>
        </w:rPr>
      </w:pPr>
      <w:r>
        <w:rPr>
          <w:rFonts w:ascii="Arial" w:cs="Arial" w:eastAsia="Arial" w:hAnsi="Arial"/>
          <w:sz w:val="18"/>
          <w:szCs w:val="18"/>
          <w:color w:val="auto"/>
        </w:rPr>
        <w:t>charges of $24.3 million, which consisted of $19.3 million in stock-based compensation, $2.7 million in amortization of premiums and discounts on marketable securities, $1.3 million noncash lease expense, and $1.0 million in depreciation. The primary use of cash was to fund our operations related to the development of our product candidates.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20" w:firstLine="478"/>
        <w:spacing w:after="0" w:line="259" w:lineRule="auto"/>
        <w:rPr>
          <w:sz w:val="20"/>
          <w:szCs w:val="20"/>
          <w:color w:val="auto"/>
        </w:rPr>
      </w:pPr>
      <w:r>
        <w:rPr>
          <w:rFonts w:ascii="Arial" w:cs="Arial" w:eastAsia="Arial" w:hAnsi="Arial"/>
          <w:sz w:val="18"/>
          <w:szCs w:val="18"/>
          <w:color w:val="auto"/>
        </w:rPr>
        <w:t>During the nine months ended September 30, 2023, net cash used in investing activities of $42.4 million consisted primarily of $162.2 million in purchases of marketable securities, partially offset by $122.3 million in proceeds from maturities of marketable securities. During the nine months ended September 30, 2022, net cash provided by investing activities of $80.3 million consisted primarily of $168.9 million in proceeds from maturities of marketable securities partially offset by $86.0 million used for purchases of marketable securities.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180" w:firstLine="478"/>
        <w:spacing w:after="0" w:line="259" w:lineRule="auto"/>
        <w:rPr>
          <w:sz w:val="20"/>
          <w:szCs w:val="20"/>
          <w:color w:val="auto"/>
        </w:rPr>
      </w:pPr>
      <w:r>
        <w:rPr>
          <w:rFonts w:ascii="Arial" w:cs="Arial" w:eastAsia="Arial" w:hAnsi="Arial"/>
          <w:sz w:val="18"/>
          <w:szCs w:val="18"/>
          <w:color w:val="auto"/>
        </w:rPr>
        <w:t>During the nine months ended September 30, 2023, net cash provided by financing activities was $111.2 million, which was primarily the result of $110.8 million in proceeds received from the sale of common stock and pre-funded warrants, net of issuance costs. For the nine months ended September 30, 2022 net cash provided by financing activities was $0.7 million from the exercise of stock options and purchases of stock under our Employee Stock Purchase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20" w:firstLine="479"/>
        <w:spacing w:after="0" w:line="263" w:lineRule="auto"/>
        <w:rPr>
          <w:sz w:val="20"/>
          <w:szCs w:val="20"/>
          <w:color w:val="auto"/>
        </w:rPr>
      </w:pPr>
      <w:r>
        <w:rPr>
          <w:rFonts w:ascii="Arial" w:cs="Arial" w:eastAsia="Arial" w:hAnsi="Arial"/>
          <w:sz w:val="18"/>
          <w:szCs w:val="18"/>
          <w:color w:val="auto"/>
        </w:rPr>
        <w:t>During the three months ended September 30, 2023, there were no material changes to our critical accounting policies and estimates from those described under the heading “Management’s Discussion and Analysis of Financial Condition and Results of Operations-Critical Accounting Policies and Estimates” in our 2022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firstLine="479"/>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84" w:lineRule="exact"/>
        <w:rPr>
          <w:sz w:val="20"/>
          <w:szCs w:val="20"/>
          <w:color w:val="auto"/>
        </w:rPr>
      </w:pPr>
    </w:p>
    <w:p>
      <w:pPr>
        <w:ind w:right="80" w:firstLine="479"/>
        <w:spacing w:after="0" w:line="259" w:lineRule="auto"/>
        <w:rPr>
          <w:sz w:val="20"/>
          <w:szCs w:val="20"/>
          <w:color w:val="auto"/>
        </w:rPr>
      </w:pPr>
      <w:r>
        <w:rPr>
          <w:rFonts w:ascii="Arial" w:cs="Arial" w:eastAsia="Arial" w:hAnsi="Arial"/>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right="60" w:firstLine="479"/>
        <w:spacing w:after="0" w:line="238" w:lineRule="auto"/>
        <w:rPr>
          <w:sz w:val="20"/>
          <w:szCs w:val="20"/>
          <w:color w:val="auto"/>
        </w:rPr>
      </w:pPr>
      <w:r>
        <w:rPr>
          <w:rFonts w:ascii="Arial" w:cs="Arial" w:eastAsia="Arial" w:hAnsi="Arial"/>
          <w:sz w:val="18"/>
          <w:szCs w:val="18"/>
          <w:color w:val="auto"/>
        </w:rPr>
        <w:t>We will remain an emerging growth company until the earliest of (1) the last day of our first fiscal year (a) in which we have total annual gross revenues of at least $1.235 billion, or (b) in which we are deemed to be a large accelerated filer, which means the market value of our common stock that is held by non-affiliates exceeds $700.0 million as of the prior June 30</w:t>
      </w:r>
      <w:r>
        <w:rPr>
          <w:rFonts w:ascii="Arial" w:cs="Arial" w:eastAsia="Arial" w:hAnsi="Arial"/>
          <w:sz w:val="24"/>
          <w:szCs w:val="24"/>
          <w:color w:val="auto"/>
          <w:vertAlign w:val="superscript"/>
        </w:rPr>
        <w:t>th</w:t>
      </w:r>
      <w:r>
        <w:rPr>
          <w:rFonts w:ascii="Arial" w:cs="Arial" w:eastAsia="Arial" w:hAnsi="Arial"/>
          <w:sz w:val="18"/>
          <w:szCs w:val="18"/>
          <w:color w:val="auto"/>
        </w:rPr>
        <w:t>, (2) the date on which we have issued more than $1.0 billion in non-convertible debt securities during the prior three-year period and (3) December 31, 2025.</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29" w:lineRule="exact"/>
        <w:rPr>
          <w:sz w:val="20"/>
          <w:szCs w:val="20"/>
          <w:color w:val="auto"/>
        </w:rPr>
      </w:pPr>
    </w:p>
    <w:p>
      <w:pPr>
        <w:ind w:right="120" w:firstLine="479"/>
        <w:spacing w:after="0" w:line="293"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64" w:lineRule="exact"/>
        <w:rPr>
          <w:sz w:val="20"/>
          <w:szCs w:val="20"/>
          <w:color w:val="auto"/>
        </w:rPr>
      </w:pPr>
    </w:p>
    <w:p>
      <w:pPr>
        <w:ind w:right="20" w:firstLine="479"/>
        <w:spacing w:after="0" w:line="257" w:lineRule="auto"/>
        <w:rPr>
          <w:sz w:val="20"/>
          <w:szCs w:val="20"/>
          <w:color w:val="auto"/>
        </w:rPr>
      </w:pPr>
      <w:r>
        <w:rPr>
          <w:rFonts w:ascii="Arial" w:cs="Arial" w:eastAsia="Arial" w:hAnsi="Arial"/>
          <w:sz w:val="18"/>
          <w:szCs w:val="18"/>
          <w:color w:val="auto"/>
        </w:rPr>
        <w:t>Subject to certain conditions, as an emerging growth company, we may rely on certain other exemptions and reduced reporting requirements,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IPO, (ii) in which we have total annual gross revenues of at least $1.235 billion or (iii) in which we are deemed to be a “large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line="308" w:lineRule="auto"/>
        <w:rPr>
          <w:sz w:val="20"/>
          <w:szCs w:val="20"/>
          <w:color w:val="auto"/>
        </w:rPr>
      </w:pPr>
      <w:r>
        <w:rPr>
          <w:rFonts w:ascii="Arial" w:cs="Arial" w:eastAsia="Arial" w:hAnsi="Arial"/>
          <w:sz w:val="17"/>
          <w:szCs w:val="17"/>
          <w:color w:val="auto"/>
        </w:rPr>
        <w:t>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46" w:lineRule="exact"/>
        <w:rPr>
          <w:sz w:val="20"/>
          <w:szCs w:val="20"/>
          <w:color w:val="auto"/>
        </w:rPr>
      </w:pPr>
    </w:p>
    <w:p>
      <w:pPr>
        <w:ind w:right="220" w:firstLine="479"/>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20" w:firstLine="47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w:t>
      </w:r>
    </w:p>
    <w:p>
      <w:pPr>
        <w:spacing w:after="0" w:line="229" w:lineRule="exact"/>
        <w:rPr>
          <w:sz w:val="20"/>
          <w:szCs w:val="20"/>
          <w:color w:val="auto"/>
        </w:rPr>
      </w:pPr>
    </w:p>
    <w:p>
      <w:pPr>
        <w:ind w:right="60" w:firstLine="479"/>
        <w:spacing w:after="0" w:line="269" w:lineRule="auto"/>
        <w:rPr>
          <w:sz w:val="20"/>
          <w:szCs w:val="20"/>
          <w:color w:val="auto"/>
        </w:rPr>
      </w:pPr>
      <w:r>
        <w:rPr>
          <w:rFonts w:ascii="Arial" w:cs="Arial" w:eastAsia="Arial" w:hAnsi="Arial"/>
          <w:sz w:val="17"/>
          <w:szCs w:val="17"/>
          <w:color w:val="auto"/>
        </w:rPr>
        <w:t>As of September 30, 2023,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September 30, 2023, the design and operation of our disclosure controls and procedures were effective at a reasonable assurance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firstLine="478"/>
        <w:spacing w:after="0" w:line="342" w:lineRule="auto"/>
        <w:rPr>
          <w:sz w:val="20"/>
          <w:szCs w:val="20"/>
          <w:color w:val="auto"/>
        </w:rPr>
      </w:pPr>
      <w:r>
        <w:rPr>
          <w:rFonts w:ascii="Arial" w:cs="Arial" w:eastAsia="Arial" w:hAnsi="Arial"/>
          <w:sz w:val="16"/>
          <w:szCs w:val="16"/>
          <w:color w:val="auto"/>
        </w:rPr>
        <w:t>Management determined that, as of September 30, 2023,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40" w:firstLine="479"/>
        <w:spacing w:after="0" w:line="257"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479"/>
        <w:spacing w:after="0" w:line="289" w:lineRule="auto"/>
        <w:rPr>
          <w:sz w:val="20"/>
          <w:szCs w:val="20"/>
          <w:color w:val="auto"/>
        </w:rPr>
      </w:pPr>
      <w:r>
        <w:rPr>
          <w:rFonts w:ascii="Arial" w:cs="Arial" w:eastAsia="Arial" w:hAnsi="Arial"/>
          <w:sz w:val="16"/>
          <w:szCs w:val="16"/>
          <w:color w:val="auto"/>
        </w:rPr>
        <w:t>Investing in our common stock involves a high degree of risk. Before making your decision to invest in shares of our common stock, you should carefully consider the risks and uncertainties described under Part I, Item 1A, “Risk Factors” in our 2022 Annual Report on Form 10-K. The following risk factors supplement and, to the extent inconsistent, supersede the risk factors disclosed in Part I, Item 1A, “Risk Factors” in our 2022 Annual Report on Form 10-K. You should consider carefully the risks and uncertainties described therein, together with all of the other information in this Quarterly Report on Form 10-Q, including Part I, Item 2, “Management’s Discussion and Analysis of Financial Condition and Results of Operations” and our financial statements and related notes, before deciding whether to purchase share of our common stock. Our business, results of operations, financial condition, and prospects could also be harmed by risks and uncertainties that are not presently known to us or that we currently believe are not material. If any of these risks actually occur, our business, results of operations, financial condition, and prospects could be materially and adversely affected. If that were to happen, the trading price of our common stock could decline, and you could lose all or part of your investment.</w:t>
      </w:r>
    </w:p>
    <w:p>
      <w:pPr>
        <w:spacing w:after="0" w:line="166"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b w:val="1"/>
          <w:bCs w:val="1"/>
          <w:i w:val="1"/>
          <w:iCs w:val="1"/>
          <w:color w:val="auto"/>
        </w:rPr>
        <w:t>Disruptions at the FDA, the SEC and other government agencies caused by funding shortages or government shutdowns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w:t>
      </w:r>
    </w:p>
    <w:p>
      <w:pPr>
        <w:spacing w:after="0" w:line="41" w:lineRule="exact"/>
        <w:rPr>
          <w:sz w:val="20"/>
          <w:szCs w:val="20"/>
          <w:color w:val="auto"/>
        </w:rPr>
      </w:pPr>
    </w:p>
    <w:p>
      <w:pPr>
        <w:ind w:firstLine="479"/>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w:t>
      </w:r>
    </w:p>
    <w:p>
      <w:pPr>
        <w:spacing w:after="0" w:line="63" w:lineRule="exact"/>
        <w:rPr>
          <w:sz w:val="20"/>
          <w:szCs w:val="20"/>
          <w:color w:val="auto"/>
        </w:rPr>
      </w:pPr>
    </w:p>
    <w:p>
      <w:pPr>
        <w:ind w:right="60" w:firstLine="479"/>
        <w:spacing w:after="0" w:line="257" w:lineRule="auto"/>
        <w:rPr>
          <w:sz w:val="20"/>
          <w:szCs w:val="20"/>
          <w:color w:val="auto"/>
        </w:rPr>
      </w:pPr>
      <w:r>
        <w:rPr>
          <w:rFonts w:ascii="Arial" w:cs="Arial" w:eastAsia="Arial" w:hAnsi="Arial"/>
          <w:sz w:val="18"/>
          <w:szCs w:val="18"/>
          <w:color w:val="auto"/>
        </w:rPr>
        <w:t>Disruptions at the FDA and other agencies may slow the time necessary for new drugs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and the SEC to timely review and process our submissions, which could have a material adverse effect on our business.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Unstable market, economic and political conditions may have serious adverse consequences on our business, financial condition, results of operations and prospects.</w:t>
      </w:r>
    </w:p>
    <w:p>
      <w:pPr>
        <w:spacing w:after="0" w:line="62" w:lineRule="exact"/>
        <w:rPr>
          <w:sz w:val="20"/>
          <w:szCs w:val="20"/>
          <w:color w:val="auto"/>
        </w:rPr>
      </w:pPr>
    </w:p>
    <w:p>
      <w:pPr>
        <w:ind w:firstLine="479"/>
        <w:spacing w:after="0" w:line="287" w:lineRule="auto"/>
        <w:rPr>
          <w:sz w:val="20"/>
          <w:szCs w:val="20"/>
          <w:color w:val="auto"/>
        </w:rPr>
      </w:pPr>
      <w:r>
        <w:rPr>
          <w:rFonts w:ascii="Arial" w:cs="Arial" w:eastAsia="Arial" w:hAnsi="Arial"/>
          <w:sz w:val="16"/>
          <w:szCs w:val="16"/>
          <w:color w:val="auto"/>
        </w:rPr>
        <w:t>Our business, financial condition, results of operations and prospects could be adversely affected by general conditions in the global economy and in the global financial markets. A severe or prolonged economic downturn could result in a variety of risks to our business, including our ability to raise additional capital when needed on acceptable terms, if at all. A weak or declining economy could also strain our suppliers, service providers, manufacturers or other partners and there is a risk that one or more would not survive or be able to meet their commitments to us under such circumstances. As widely reported, global credit and financial markets have experienced volatility and disruptions in the past several years and especially in 2020, 2021 and 2022 due to the impacts of the COVID-19 pandemic, and, more recently, the ongoing war in Ukraine and the global impact of restrictions and sanctions imposed on Russia, including severely diminished liquidity and credit availability, declines in consumer confidence, declines in economic growth, increases in unemployment rates and uncertainty about economic stability. Moreover, the global impacts of the war in Israel are still unknown. To the extent the wars in Ukraine or Israel may adversely affect our business, it may also have the effect of heightening many of the other risks described herein. Such risks include, but are not limited to, adverse effects on macroeconomic conditions, including inflation; disruptions to our global technology infrastructure, including through cyberattack, ransom attack, or cyber-intrusion; adverse changes in international trade policies and relations; disruptions in global supply chains; and constraints, volatility, or disruption in the capital markets, any of which could negatively affect our business and financial condition. There can be no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 w:name="page28"/>
    <w:bookmarkEnd w:id="27"/>
    <w:p>
      <w:pPr>
        <w:spacing w:after="0" w:line="272" w:lineRule="auto"/>
        <w:rPr>
          <w:sz w:val="20"/>
          <w:szCs w:val="20"/>
          <w:color w:val="auto"/>
        </w:rPr>
      </w:pPr>
      <w:r>
        <w:rPr>
          <w:rFonts w:ascii="Arial" w:cs="Arial" w:eastAsia="Arial" w:hAnsi="Arial"/>
          <w:sz w:val="17"/>
          <w:szCs w:val="17"/>
          <w:color w:val="auto"/>
        </w:rPr>
        <w:t>assurances that further deterioration in credit and financial markets and confidence in economic conditions will not occur. For example, U.S. debt ceiling and budget deficit concerns have increased the possibility of additional credit-rating downgrades and economic slowdowns, or a recession in the United States. Although U.S. lawmakers passed legislation to raise the federal debt ceiling on multiple occasions, including a suspension of the federal debt ceiling in June 2023,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Any of the foregoing could harm our business and we cannot anticipate all of the ways in which the current economic climate and financial market conditions could adversely impact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right="20" w:firstLine="479"/>
        <w:spacing w:after="0" w:line="291" w:lineRule="auto"/>
        <w:rPr>
          <w:sz w:val="20"/>
          <w:szCs w:val="20"/>
          <w:color w:val="auto"/>
        </w:rPr>
      </w:pPr>
      <w:r>
        <w:rPr>
          <w:rFonts w:ascii="Arial" w:cs="Arial" w:eastAsia="Arial" w:hAnsi="Arial"/>
          <w:sz w:val="16"/>
          <w:szCs w:val="16"/>
          <w:color w:val="auto"/>
        </w:rPr>
        <w:t>In the third quarter of 2020, we completed our IPO and sold 9,573,750 shares of common stock at an IPO price of $19.00 per share. The offer and sale of all of the shares in the IPO were registered under the Securities Act pursuant to registration statements on Form S-1 (File No. 333-248628), which was declared effective by the SEC on September 24, 2020, as supplemented by a registration statement on Form S-1 filed pursuant to Rule 462(b) (File No. 333-248628). We received net proceeds from the IPO of approximately $166.6 million, after deducting underwriting discounts and commissions of approximately $12.7 million and offering expenses of approximately $2.5 million. Morgan Stanley, Goldman Sachs &amp; Co. LLC and BofA Securities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58" w:lineRule="exact"/>
        <w:rPr>
          <w:sz w:val="20"/>
          <w:szCs w:val="20"/>
          <w:color w:val="auto"/>
        </w:rPr>
      </w:pPr>
    </w:p>
    <w:p>
      <w:pPr>
        <w:ind w:right="180" w:firstLine="479"/>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the prospectus filed with the SEC pursuant to Rule 424(b)(4) under the Securities Act on September 25,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Furnish the exhibits required by Item 601 of Regulation S-K (§ 229.601 of this chapter).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20" w:type="dxa"/>
            <w:vAlign w:val="bottom"/>
            <w:gridSpan w:val="8"/>
            <w:vMerge w:val="restart"/>
          </w:tcPr>
          <w:p>
            <w:pPr>
              <w:ind w:left="1940"/>
              <w:spacing w:after="0"/>
              <w:rPr>
                <w:sz w:val="20"/>
                <w:szCs w:val="20"/>
                <w:color w:val="auto"/>
              </w:rPr>
            </w:pPr>
            <w:r>
              <w:rPr>
                <w:rFonts w:ascii="Arial" w:cs="Arial" w:eastAsia="Arial" w:hAnsi="Arial"/>
                <w:sz w:val="14"/>
                <w:szCs w:val="14"/>
                <w:b w:val="1"/>
                <w:bCs w:val="1"/>
                <w:color w:val="auto"/>
              </w:rPr>
              <w:t>Description</w:t>
            </w:r>
          </w:p>
        </w:tc>
        <w:tc>
          <w:tcPr>
            <w:tcW w:w="660" w:type="dxa"/>
            <w:vAlign w:val="bottom"/>
          </w:tcPr>
          <w:p>
            <w:pPr>
              <w:ind w:left="120"/>
              <w:spacing w:after="0"/>
              <w:rPr>
                <w:sz w:val="20"/>
                <w:szCs w:val="20"/>
                <w:color w:val="auto"/>
              </w:rPr>
            </w:pPr>
            <w:r>
              <w:rPr>
                <w:rFonts w:ascii="Arial" w:cs="Arial" w:eastAsia="Arial" w:hAnsi="Arial"/>
                <w:sz w:val="14"/>
                <w:szCs w:val="14"/>
                <w:b w:val="1"/>
                <w:bCs w:val="1"/>
                <w:color w:val="auto"/>
              </w:rPr>
              <w:t>Form</w:t>
            </w:r>
          </w:p>
        </w:tc>
        <w:tc>
          <w:tcPr>
            <w:tcW w:w="840" w:type="dxa"/>
            <w:vAlign w:val="bottom"/>
          </w:tcPr>
          <w:p>
            <w:pPr>
              <w:ind w:left="180"/>
              <w:spacing w:after="0"/>
              <w:rPr>
                <w:sz w:val="20"/>
                <w:szCs w:val="20"/>
                <w:color w:val="auto"/>
              </w:rPr>
            </w:pPr>
            <w:r>
              <w:rPr>
                <w:rFonts w:ascii="Arial" w:cs="Arial" w:eastAsia="Arial" w:hAnsi="Arial"/>
                <w:sz w:val="14"/>
                <w:szCs w:val="14"/>
                <w:b w:val="1"/>
                <w:bCs w:val="1"/>
                <w:color w:val="auto"/>
              </w:rPr>
              <w:t>File No.</w:t>
            </w:r>
          </w:p>
        </w:tc>
        <w:tc>
          <w:tcPr>
            <w:tcW w:w="2000" w:type="dxa"/>
            <w:vAlign w:val="bottom"/>
          </w:tcPr>
          <w:p>
            <w:pPr>
              <w:ind w:left="180"/>
              <w:spacing w:after="0"/>
              <w:rPr>
                <w:sz w:val="20"/>
                <w:szCs w:val="20"/>
                <w:color w:val="auto"/>
              </w:rPr>
            </w:pPr>
            <w:r>
              <w:rPr>
                <w:rFonts w:ascii="Arial" w:cs="Arial" w:eastAsia="Arial" w:hAnsi="Arial"/>
                <w:sz w:val="14"/>
                <w:szCs w:val="14"/>
                <w:b w:val="1"/>
                <w:bCs w:val="1"/>
                <w:color w:val="auto"/>
              </w:rPr>
              <w:t>Exhibit No.  Exhibit Filing</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Filed/Furnished</w:t>
            </w:r>
          </w:p>
        </w:tc>
        <w:tc>
          <w:tcPr>
            <w:tcW w:w="0" w:type="dxa"/>
            <w:vAlign w:val="bottom"/>
          </w:tcPr>
          <w:p>
            <w:pPr>
              <w:spacing w:after="0"/>
              <w:rPr>
                <w:sz w:val="1"/>
                <w:szCs w:val="1"/>
                <w:color w:val="auto"/>
              </w:rPr>
            </w:pPr>
          </w:p>
        </w:tc>
      </w:tr>
      <w:tr>
        <w:trPr>
          <w:trHeight w:val="185"/>
        </w:trPr>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gridSpan w:val="8"/>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Date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3"/>
        </w:trPr>
        <w:tc>
          <w:tcPr>
            <w:tcW w:w="880" w:type="dxa"/>
            <w:vAlign w:val="bottom"/>
          </w:tcPr>
          <w:p>
            <w:pPr>
              <w:ind w:left="20"/>
              <w:spacing w:after="0" w:line="182"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tcBorders>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2"/>
              </w:rPr>
              <w:t>Certification of Principal Executive Officer Pursuant to Rules 13a-14(a)</w:t>
            </w:r>
          </w:p>
        </w:tc>
        <w:tc>
          <w:tcPr>
            <w:tcW w:w="22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jc w:val="center"/>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and 15d-14(a) under the Securities Exchange Act of 1934, as Adopted</w:t>
            </w:r>
          </w:p>
        </w:tc>
        <w:tc>
          <w:tcPr>
            <w:tcW w:w="3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9"/>
          </w:tcPr>
          <w:p>
            <w:pPr>
              <w:spacing w:after="0" w:line="196" w:lineRule="exact"/>
              <w:rPr>
                <w:sz w:val="20"/>
                <w:szCs w:val="20"/>
                <w:color w:val="auto"/>
              </w:rPr>
            </w:pPr>
            <w:r>
              <w:rPr>
                <w:rFonts w:ascii="Arial" w:cs="Arial" w:eastAsia="Arial" w:hAnsi="Arial"/>
                <w:sz w:val="18"/>
                <w:szCs w:val="18"/>
                <w:color w:val="0000FF"/>
              </w:rPr>
              <w:t>Pursuant to Section 302 of the Sarbanes-Oxley Act of 2002.</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w:t>
            </w: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89"/>
              </w:rPr>
              <w:t>15d-14(a) under the Securities Exchange Act of 1934, as Adopted Pursuant</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9"/>
          </w:tcPr>
          <w:p>
            <w:pPr>
              <w:spacing w:after="0" w:line="196" w:lineRule="exact"/>
              <w:rPr>
                <w:sz w:val="20"/>
                <w:szCs w:val="20"/>
                <w:color w:val="auto"/>
              </w:rPr>
            </w:pPr>
            <w:r>
              <w:rPr>
                <w:rFonts w:ascii="Arial" w:cs="Arial" w:eastAsia="Arial" w:hAnsi="Arial"/>
                <w:sz w:val="18"/>
                <w:szCs w:val="18"/>
                <w:color w:val="0000FF"/>
              </w:rPr>
              <w:t>to Section 302 of the Sarbanes-Oxley Act of 2002.</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2"/>
              </w:rPr>
              <w:t>Certification of Principal Executive Officer Pursuant to 18 U.S.C. Section</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0"/>
              </w:rPr>
              <w:t>1350, as Adopted Pursuant to Section 906 of the Sarbanes-Oxley Act of</w:t>
            </w:r>
          </w:p>
        </w:tc>
        <w:tc>
          <w:tcPr>
            <w:tcW w:w="2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60" w:type="dxa"/>
            <w:vAlign w:val="bottom"/>
            <w:gridSpan w:val="3"/>
          </w:tcPr>
          <w:p>
            <w:pPr>
              <w:ind w:left="120"/>
              <w:spacing w:after="0" w:line="196" w:lineRule="exact"/>
              <w:rPr>
                <w:sz w:val="20"/>
                <w:szCs w:val="20"/>
                <w:color w:val="auto"/>
              </w:rPr>
            </w:pPr>
            <w:r>
              <w:rPr>
                <w:rFonts w:ascii="Arial" w:cs="Arial" w:eastAsia="Arial" w:hAnsi="Arial"/>
                <w:sz w:val="18"/>
                <w:szCs w:val="18"/>
                <w:color w:val="0000FF"/>
                <w:w w:val="88"/>
              </w:rPr>
              <w:t>2002.</w:t>
            </w:r>
          </w:p>
        </w:tc>
        <w:tc>
          <w:tcPr>
            <w:tcW w:w="3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Certification of Principal Financial Officer Pursuant to 18 U.S.C. Section</w:t>
            </w:r>
          </w:p>
        </w:tc>
        <w:tc>
          <w:tcPr>
            <w:tcW w:w="14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0"/>
              </w:rPr>
              <w:t>1350, as Adopted Pursuant to Section 906 of the Sarbanes-Oxley Act of</w:t>
            </w:r>
          </w:p>
        </w:tc>
        <w:tc>
          <w:tcPr>
            <w:tcW w:w="2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60" w:type="dxa"/>
            <w:vAlign w:val="bottom"/>
            <w:gridSpan w:val="3"/>
          </w:tcPr>
          <w:p>
            <w:pPr>
              <w:ind w:left="120"/>
              <w:spacing w:after="0" w:line="196" w:lineRule="exact"/>
              <w:rPr>
                <w:sz w:val="20"/>
                <w:szCs w:val="20"/>
                <w:color w:val="auto"/>
              </w:rPr>
            </w:pPr>
            <w:r>
              <w:rPr>
                <w:rFonts w:ascii="Arial" w:cs="Arial" w:eastAsia="Arial" w:hAnsi="Arial"/>
                <w:sz w:val="18"/>
                <w:szCs w:val="18"/>
                <w:color w:val="0000FF"/>
                <w:w w:val="88"/>
              </w:rPr>
              <w:t>2002.</w:t>
            </w:r>
          </w:p>
        </w:tc>
        <w:tc>
          <w:tcPr>
            <w:tcW w:w="3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4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9"/>
          </w:tcPr>
          <w:p>
            <w:pPr>
              <w:spacing w:after="0"/>
              <w:rPr>
                <w:sz w:val="20"/>
                <w:szCs w:val="20"/>
                <w:color w:val="auto"/>
              </w:rPr>
            </w:pPr>
            <w:r>
              <w:rPr>
                <w:rFonts w:ascii="Arial" w:cs="Arial" w:eastAsia="Arial" w:hAnsi="Arial"/>
                <w:sz w:val="18"/>
                <w:szCs w:val="18"/>
                <w:color w:val="auto"/>
                <w:w w:val="99"/>
              </w:rPr>
              <w:t>Inline XBRL Taxonomy Extension Presentation Linkbase Document.</w:t>
            </w: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40" w:type="dxa"/>
            <w:vAlign w:val="bottom"/>
            <w:gridSpan w:val="9"/>
          </w:tcPr>
          <w:p>
            <w:pPr>
              <w:spacing w:after="0"/>
              <w:rPr>
                <w:sz w:val="20"/>
                <w:szCs w:val="20"/>
                <w:color w:val="auto"/>
              </w:rPr>
            </w:pPr>
            <w:r>
              <w:rPr>
                <w:rFonts w:ascii="Arial" w:cs="Arial" w:eastAsia="Arial" w:hAnsi="Arial"/>
                <w:sz w:val="18"/>
                <w:szCs w:val="18"/>
                <w:color w:val="auto"/>
                <w:w w:val="91"/>
              </w:rPr>
              <w:t>Cover Page Interactive Data File (formatted as Inline XBRL and contained</w:t>
            </w: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9"/>
          </w:tcPr>
          <w:p>
            <w:pPr>
              <w:spacing w:after="0"/>
              <w:rPr>
                <w:sz w:val="20"/>
                <w:szCs w:val="20"/>
                <w:color w:val="auto"/>
              </w:rPr>
            </w:pPr>
            <w:r>
              <w:rPr>
                <w:rFonts w:ascii="Arial" w:cs="Arial" w:eastAsia="Arial" w:hAnsi="Arial"/>
                <w:sz w:val="18"/>
                <w:szCs w:val="18"/>
                <w:color w:val="auto"/>
              </w:rPr>
              <w:t>in Exhibit 101)</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certifications furnished in Exhibits 32.1 and 32.2 hereto are deemed to accompany this Form 10-Q and are not deemed “filed” for purposes of</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18 of the Exchange Act, or otherwise subject to the liability of that section, nor shall they be deemed incorporated by reference into any filing under the Securities Act or the Exchange Act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4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680" w:type="dxa"/>
            <w:vAlign w:val="bottom"/>
            <w:gridSpan w:val="2"/>
          </w:tcPr>
          <w:p>
            <w:pPr>
              <w:ind w:left="1760"/>
              <w:spacing w:after="0"/>
              <w:rPr>
                <w:sz w:val="20"/>
                <w:szCs w:val="20"/>
                <w:color w:val="auto"/>
              </w:rPr>
            </w:pPr>
            <w:r>
              <w:rPr>
                <w:rFonts w:ascii="Arial" w:cs="Arial" w:eastAsia="Arial" w:hAnsi="Arial"/>
                <w:sz w:val="18"/>
                <w:szCs w:val="18"/>
                <w:color w:val="auto"/>
              </w:rPr>
              <w:t>Prelude Therapeutics Incorporated</w:t>
            </w:r>
          </w:p>
        </w:tc>
      </w:tr>
      <w:tr>
        <w:trPr>
          <w:trHeight w:val="473"/>
        </w:trPr>
        <w:tc>
          <w:tcPr>
            <w:tcW w:w="3540" w:type="dxa"/>
            <w:vAlign w:val="bottom"/>
          </w:tcPr>
          <w:p>
            <w:pPr>
              <w:spacing w:after="0"/>
              <w:rPr>
                <w:sz w:val="20"/>
                <w:szCs w:val="20"/>
                <w:color w:val="auto"/>
              </w:rPr>
            </w:pPr>
            <w:r>
              <w:rPr>
                <w:rFonts w:ascii="Arial" w:cs="Arial" w:eastAsia="Arial" w:hAnsi="Arial"/>
                <w:sz w:val="18"/>
                <w:szCs w:val="18"/>
                <w:color w:val="auto"/>
              </w:rPr>
              <w:t>Date: November 1, 2023</w:t>
            </w:r>
          </w:p>
        </w:tc>
        <w:tc>
          <w:tcPr>
            <w:tcW w:w="2100" w:type="dxa"/>
            <w:vAlign w:val="bottom"/>
          </w:tcPr>
          <w:p>
            <w:pPr>
              <w:ind w:left="1760"/>
              <w:spacing w:after="0"/>
              <w:rPr>
                <w:sz w:val="20"/>
                <w:szCs w:val="20"/>
                <w:color w:val="auto"/>
              </w:rPr>
            </w:pPr>
            <w:r>
              <w:rPr>
                <w:rFonts w:ascii="Arial" w:cs="Arial" w:eastAsia="Arial" w:hAnsi="Arial"/>
                <w:sz w:val="18"/>
                <w:szCs w:val="18"/>
                <w:color w:val="auto"/>
              </w:rPr>
              <w:t>By:</w:t>
            </w: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Krishna Vaddi</w:t>
            </w:r>
          </w:p>
        </w:tc>
      </w:tr>
      <w:tr>
        <w:trPr>
          <w:trHeight w:val="205"/>
        </w:trPr>
        <w:tc>
          <w:tcPr>
            <w:tcW w:w="3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580" w:type="dxa"/>
            <w:vAlign w:val="bottom"/>
          </w:tcPr>
          <w:p>
            <w:pPr>
              <w:jc w:val="center"/>
              <w:spacing w:after="0" w:line="205" w:lineRule="exact"/>
              <w:rPr>
                <w:sz w:val="20"/>
                <w:szCs w:val="20"/>
                <w:color w:val="auto"/>
              </w:rPr>
            </w:pPr>
            <w:r>
              <w:rPr>
                <w:rFonts w:ascii="Arial" w:cs="Arial" w:eastAsia="Arial" w:hAnsi="Arial"/>
                <w:sz w:val="18"/>
                <w:szCs w:val="18"/>
                <w:color w:val="auto"/>
                <w:w w:val="91"/>
              </w:rPr>
              <w:t>Krishna Vaddi, PhD</w:t>
            </w:r>
          </w:p>
        </w:tc>
      </w:tr>
      <w:tr>
        <w:trPr>
          <w:trHeight w:val="230"/>
        </w:trPr>
        <w:tc>
          <w:tcPr>
            <w:tcW w:w="35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233"/>
        </w:trPr>
        <w:tc>
          <w:tcPr>
            <w:tcW w:w="3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244"/>
        </w:trPr>
        <w:tc>
          <w:tcPr>
            <w:tcW w:w="3540" w:type="dxa"/>
            <w:vAlign w:val="bottom"/>
          </w:tcPr>
          <w:p>
            <w:pPr>
              <w:spacing w:after="0"/>
              <w:rPr>
                <w:sz w:val="20"/>
                <w:szCs w:val="20"/>
                <w:color w:val="auto"/>
              </w:rPr>
            </w:pPr>
            <w:r>
              <w:rPr>
                <w:rFonts w:ascii="Arial" w:cs="Arial" w:eastAsia="Arial" w:hAnsi="Arial"/>
                <w:sz w:val="18"/>
                <w:szCs w:val="18"/>
                <w:color w:val="auto"/>
              </w:rPr>
              <w:t>Date: November 1, 2023</w:t>
            </w:r>
          </w:p>
        </w:tc>
        <w:tc>
          <w:tcPr>
            <w:tcW w:w="2100" w:type="dxa"/>
            <w:vAlign w:val="bottom"/>
          </w:tcPr>
          <w:p>
            <w:pPr>
              <w:ind w:left="1760"/>
              <w:spacing w:after="0"/>
              <w:rPr>
                <w:sz w:val="20"/>
                <w:szCs w:val="20"/>
                <w:color w:val="auto"/>
              </w:rPr>
            </w:pPr>
            <w:r>
              <w:rPr>
                <w:rFonts w:ascii="Arial" w:cs="Arial" w:eastAsia="Arial" w:hAnsi="Arial"/>
                <w:sz w:val="18"/>
                <w:szCs w:val="18"/>
                <w:color w:val="auto"/>
              </w:rPr>
              <w:t>By:</w:t>
            </w: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Laurent Chardonnet</w:t>
            </w:r>
          </w:p>
        </w:tc>
      </w:tr>
      <w:tr>
        <w:trPr>
          <w:trHeight w:val="205"/>
        </w:trPr>
        <w:tc>
          <w:tcPr>
            <w:tcW w:w="3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580" w:type="dxa"/>
            <w:vAlign w:val="bottom"/>
          </w:tcPr>
          <w:p>
            <w:pPr>
              <w:jc w:val="center"/>
              <w:spacing w:after="0" w:line="205" w:lineRule="exact"/>
              <w:rPr>
                <w:sz w:val="20"/>
                <w:szCs w:val="20"/>
                <w:color w:val="auto"/>
              </w:rPr>
            </w:pPr>
            <w:r>
              <w:rPr>
                <w:rFonts w:ascii="Arial" w:cs="Arial" w:eastAsia="Arial" w:hAnsi="Arial"/>
                <w:sz w:val="18"/>
                <w:szCs w:val="18"/>
                <w:color w:val="auto"/>
                <w:w w:val="89"/>
              </w:rPr>
              <w:t>Laurent Chardonnet</w:t>
            </w:r>
          </w:p>
        </w:tc>
      </w:tr>
      <w:tr>
        <w:trPr>
          <w:trHeight w:val="234"/>
        </w:trPr>
        <w:tc>
          <w:tcPr>
            <w:tcW w:w="3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ind w:left="67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Krishna Vaddi, certify that:</w:t>
      </w:r>
    </w:p>
    <w:p>
      <w:pPr>
        <w:spacing w:after="0" w:line="22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Prelude Therapeutics Incorporated;</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6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1, 2023</w:t>
            </w: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Krishna Vaddi</w:t>
            </w:r>
          </w:p>
        </w:tc>
      </w:tr>
      <w:tr>
        <w:trPr>
          <w:trHeight w:val="209"/>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Krishna Vaddi, PhD</w:t>
            </w:r>
          </w:p>
        </w:tc>
      </w:tr>
      <w:tr>
        <w:trPr>
          <w:trHeight w:val="216"/>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r>
        <w:trPr>
          <w:trHeight w:val="230"/>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345"/>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Laurent Chardonnet, certify that:</w:t>
      </w:r>
    </w:p>
    <w:p>
      <w:pPr>
        <w:spacing w:after="0" w:line="225"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Prelude Therapeutics Incorporated;</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6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80" w:type="dxa"/>
            <w:vAlign w:val="bottom"/>
          </w:tcPr>
          <w:p>
            <w:pPr>
              <w:ind w:left="20"/>
              <w:spacing w:after="0"/>
              <w:rPr>
                <w:sz w:val="20"/>
                <w:szCs w:val="20"/>
                <w:color w:val="auto"/>
              </w:rPr>
            </w:pPr>
            <w:r>
              <w:rPr>
                <w:rFonts w:ascii="Arial" w:cs="Arial" w:eastAsia="Arial" w:hAnsi="Arial"/>
                <w:sz w:val="18"/>
                <w:szCs w:val="18"/>
                <w:color w:val="auto"/>
              </w:rPr>
              <w:t>Date: November 1, 2023</w:t>
            </w:r>
          </w:p>
        </w:tc>
        <w:tc>
          <w:tcPr>
            <w:tcW w:w="2240" w:type="dxa"/>
            <w:vAlign w:val="bottom"/>
          </w:tcPr>
          <w:p>
            <w:pPr>
              <w:ind w:left="19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Laurent Chardonnet</w:t>
            </w:r>
          </w:p>
        </w:tc>
      </w:tr>
      <w:tr>
        <w:trPr>
          <w:trHeight w:val="209"/>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89"/>
              </w:rPr>
              <w:t>Laurent Chardonnet</w:t>
            </w:r>
          </w:p>
        </w:tc>
      </w:tr>
      <w:tr>
        <w:trPr>
          <w:trHeight w:val="216"/>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and Financial Officer)</w:t>
            </w:r>
          </w:p>
        </w:tc>
      </w:tr>
      <w:tr>
        <w:trPr>
          <w:trHeight w:val="344"/>
        </w:trPr>
        <w:tc>
          <w:tcPr>
            <w:tcW w:w="37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1020" w:right="1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2023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1, 2023</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Krishna Vaddi</w:t>
            </w:r>
          </w:p>
        </w:tc>
      </w:tr>
      <w:tr>
        <w:trPr>
          <w:trHeight w:val="209"/>
        </w:trPr>
        <w:tc>
          <w:tcPr>
            <w:tcW w:w="3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1"/>
              </w:rPr>
              <w:t>Krishna Vaddi, PhD</w:t>
            </w:r>
          </w:p>
        </w:tc>
      </w:tr>
      <w:tr>
        <w:trPr>
          <w:trHeight w:val="216"/>
        </w:trPr>
        <w:tc>
          <w:tcPr>
            <w:tcW w:w="3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r>
        <w:trPr>
          <w:trHeight w:val="230"/>
        </w:trPr>
        <w:tc>
          <w:tcPr>
            <w:tcW w:w="3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344"/>
        </w:trPr>
        <w:tc>
          <w:tcPr>
            <w:tcW w:w="36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 Laurent Chardonnet, Chief Financial Officer of Prelude Therapeutics Incorporated (the “Company”), do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11" w:lineRule="exact"/>
        <w:rPr>
          <w:sz w:val="20"/>
          <w:szCs w:val="20"/>
          <w:color w:val="auto"/>
        </w:rPr>
      </w:pPr>
    </w:p>
    <w:p>
      <w:pPr>
        <w:ind w:left="1020" w:right="18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2023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20" w:right="68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80" w:type="dxa"/>
            <w:vAlign w:val="bottom"/>
          </w:tcPr>
          <w:p>
            <w:pPr>
              <w:ind w:left="20"/>
              <w:spacing w:after="0"/>
              <w:rPr>
                <w:sz w:val="20"/>
                <w:szCs w:val="20"/>
                <w:color w:val="auto"/>
              </w:rPr>
            </w:pPr>
            <w:r>
              <w:rPr>
                <w:rFonts w:ascii="Arial" w:cs="Arial" w:eastAsia="Arial" w:hAnsi="Arial"/>
                <w:sz w:val="18"/>
                <w:szCs w:val="18"/>
                <w:color w:val="auto"/>
              </w:rPr>
              <w:t>Date: November 1, 2023</w:t>
            </w:r>
          </w:p>
        </w:tc>
        <w:tc>
          <w:tcPr>
            <w:tcW w:w="2140" w:type="dxa"/>
            <w:vAlign w:val="bottom"/>
          </w:tcPr>
          <w:p>
            <w:pPr>
              <w:ind w:left="1820"/>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Laurent Chardonnet</w:t>
            </w:r>
          </w:p>
        </w:tc>
      </w:tr>
      <w:tr>
        <w:trPr>
          <w:trHeight w:val="209"/>
        </w:trPr>
        <w:tc>
          <w:tcPr>
            <w:tcW w:w="3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9"/>
              </w:rPr>
              <w:t>Laurent Chardonnet</w:t>
            </w:r>
          </w:p>
        </w:tc>
      </w:tr>
      <w:tr>
        <w:trPr>
          <w:trHeight w:val="216"/>
        </w:trPr>
        <w:tc>
          <w:tcPr>
            <w:tcW w:w="3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and Financial Officer)</w:t>
            </w:r>
          </w:p>
        </w:tc>
      </w:tr>
      <w:tr>
        <w:trPr>
          <w:trHeight w:val="344"/>
        </w:trPr>
        <w:tc>
          <w:tcPr>
            <w:tcW w:w="36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8"/>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Roman"/>
      <w:start w:val="2"/>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2023-11-01T15:50:47Z</dcterms:created>
  <dcterms:modified xsi:type="dcterms:W3CDTF">2023-11-01T15:50:47Z</dcterms:modified>
</cp:coreProperties>
</file>