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confidentially submitted to the Securities and Exchange Commission on December 21, 2020</w:t>
      </w:r>
    </w:p>
    <w:p>
      <w:pPr>
        <w:spacing w:after="0" w:line="3" w:lineRule="exact"/>
        <w:rPr>
          <w:sz w:val="24"/>
          <w:szCs w:val="24"/>
          <w:color w:val="auto"/>
        </w:rPr>
      </w:pPr>
    </w:p>
    <w:p>
      <w:pPr>
        <w:ind w:left="880"/>
        <w:spacing w:after="0"/>
        <w:rPr>
          <w:sz w:val="20"/>
          <w:szCs w:val="20"/>
          <w:color w:val="auto"/>
        </w:rPr>
      </w:pPr>
      <w:r>
        <w:rPr>
          <w:rFonts w:ascii="Arial" w:cs="Arial" w:eastAsia="Arial" w:hAnsi="Arial"/>
          <w:sz w:val="13"/>
          <w:szCs w:val="13"/>
          <w:b w:val="1"/>
          <w:bCs w:val="1"/>
          <w:color w:val="auto"/>
        </w:rPr>
        <w:t>This draft registration statement has not been publicly filed with the Securities and Exchange Commission and all information herein remains confidential.</w:t>
      </w:r>
    </w:p>
    <w:p>
      <w:pPr>
        <w:ind w:left="9760"/>
        <w:spacing w:after="0"/>
        <w:rPr>
          <w:sz w:val="20"/>
          <w:szCs w:val="20"/>
          <w:color w:val="auto"/>
        </w:rPr>
      </w:pPr>
      <w:r>
        <w:rPr>
          <w:rFonts w:ascii="Arial" w:cs="Arial" w:eastAsia="Arial" w:hAnsi="Arial"/>
          <w:sz w:val="14"/>
          <w:szCs w:val="14"/>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PRELUDE THERAPEUTICS INCORPORATED</w:t>
      </w:r>
    </w:p>
    <w:p>
      <w:pPr>
        <w:spacing w:after="0" w:line="36" w:lineRule="exact"/>
        <w:rPr>
          <w:sz w:val="24"/>
          <w:szCs w:val="24"/>
          <w:color w:val="auto"/>
        </w:rPr>
      </w:pPr>
    </w:p>
    <w:tbl>
      <w:tblPr>
        <w:tblLayout w:type="fixed"/>
        <w:tblInd w:w="130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4660" w:type="dxa"/>
            <w:vAlign w:val="bottom"/>
            <w:gridSpan w:val="3"/>
          </w:tcPr>
          <w:p>
            <w:pPr>
              <w:ind w:left="68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2000" w:type="dxa"/>
            <w:vAlign w:val="bottom"/>
          </w:tcPr>
          <w:p>
            <w:pPr>
              <w:spacing w:after="0"/>
              <w:rPr>
                <w:sz w:val="16"/>
                <w:szCs w:val="16"/>
                <w:color w:val="auto"/>
              </w:rPr>
            </w:pPr>
          </w:p>
        </w:tc>
      </w:tr>
      <w:tr>
        <w:trPr>
          <w:trHeight w:val="145"/>
        </w:trPr>
        <w:tc>
          <w:tcPr>
            <w:tcW w:w="2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232"/>
        </w:trPr>
        <w:tc>
          <w:tcPr>
            <w:tcW w:w="2040" w:type="dxa"/>
            <w:vAlign w:val="bottom"/>
          </w:tcPr>
          <w:p>
            <w:pPr>
              <w:jc w:val="center"/>
              <w:ind w:right="594"/>
              <w:spacing w:after="0"/>
              <w:rPr>
                <w:sz w:val="20"/>
                <w:szCs w:val="20"/>
                <w:color w:val="auto"/>
              </w:rPr>
            </w:pPr>
            <w:r>
              <w:rPr>
                <w:rFonts w:ascii="Arial" w:cs="Arial" w:eastAsia="Arial" w:hAnsi="Arial"/>
                <w:sz w:val="14"/>
                <w:szCs w:val="14"/>
                <w:b w:val="1"/>
                <w:bCs w:val="1"/>
                <w:color w:val="auto"/>
                <w:w w:val="94"/>
              </w:rPr>
              <w:t>Delaware</w:t>
            </w:r>
          </w:p>
        </w:tc>
        <w:tc>
          <w:tcPr>
            <w:tcW w:w="3440" w:type="dxa"/>
            <w:vAlign w:val="bottom"/>
            <w:gridSpan w:val="2"/>
          </w:tcPr>
          <w:p>
            <w:pPr>
              <w:jc w:val="center"/>
              <w:ind w:left="1288"/>
              <w:spacing w:after="0"/>
              <w:rPr>
                <w:sz w:val="20"/>
                <w:szCs w:val="20"/>
                <w:color w:val="auto"/>
              </w:rPr>
            </w:pPr>
            <w:r>
              <w:rPr>
                <w:rFonts w:ascii="Arial" w:cs="Arial" w:eastAsia="Arial" w:hAnsi="Arial"/>
                <w:sz w:val="14"/>
                <w:szCs w:val="14"/>
                <w:b w:val="1"/>
                <w:bCs w:val="1"/>
                <w:color w:val="auto"/>
                <w:w w:val="89"/>
              </w:rPr>
              <w:t>2834</w:t>
            </w:r>
          </w:p>
        </w:tc>
        <w:tc>
          <w:tcPr>
            <w:tcW w:w="1220" w:type="dxa"/>
            <w:vAlign w:val="bottom"/>
          </w:tcPr>
          <w:p>
            <w:pPr>
              <w:spacing w:after="0"/>
              <w:rPr>
                <w:sz w:val="20"/>
                <w:szCs w:val="20"/>
                <w:color w:val="auto"/>
              </w:rPr>
            </w:pPr>
          </w:p>
        </w:tc>
        <w:tc>
          <w:tcPr>
            <w:tcW w:w="2000" w:type="dxa"/>
            <w:vAlign w:val="bottom"/>
          </w:tcPr>
          <w:p>
            <w:pPr>
              <w:jc w:val="center"/>
              <w:ind w:left="674"/>
              <w:spacing w:after="0"/>
              <w:rPr>
                <w:sz w:val="20"/>
                <w:szCs w:val="20"/>
                <w:color w:val="auto"/>
              </w:rPr>
            </w:pPr>
            <w:r>
              <w:rPr>
                <w:rFonts w:ascii="Arial" w:cs="Arial" w:eastAsia="Arial" w:hAnsi="Arial"/>
                <w:sz w:val="14"/>
                <w:szCs w:val="14"/>
                <w:b w:val="1"/>
                <w:bCs w:val="1"/>
                <w:color w:val="auto"/>
                <w:w w:val="93"/>
              </w:rPr>
              <w:t>81-1384762</w:t>
            </w:r>
          </w:p>
        </w:tc>
      </w:tr>
      <w:tr>
        <w:trPr>
          <w:trHeight w:val="135"/>
        </w:trPr>
        <w:tc>
          <w:tcPr>
            <w:tcW w:w="2040" w:type="dxa"/>
            <w:vAlign w:val="bottom"/>
          </w:tcPr>
          <w:p>
            <w:pPr>
              <w:jc w:val="center"/>
              <w:ind w:right="594"/>
              <w:spacing w:after="0" w:line="135" w:lineRule="exact"/>
              <w:rPr>
                <w:sz w:val="20"/>
                <w:szCs w:val="20"/>
                <w:color w:val="auto"/>
              </w:rPr>
            </w:pPr>
            <w:r>
              <w:rPr>
                <w:rFonts w:ascii="Arial" w:cs="Arial" w:eastAsia="Arial" w:hAnsi="Arial"/>
                <w:sz w:val="13"/>
                <w:szCs w:val="13"/>
                <w:b w:val="1"/>
                <w:bCs w:val="1"/>
                <w:color w:val="auto"/>
                <w:w w:val="88"/>
              </w:rPr>
              <w:t>(State of incorporation or</w:t>
            </w:r>
          </w:p>
        </w:tc>
        <w:tc>
          <w:tcPr>
            <w:tcW w:w="1120" w:type="dxa"/>
            <w:vAlign w:val="bottom"/>
          </w:tcPr>
          <w:p>
            <w:pPr>
              <w:spacing w:after="0"/>
              <w:rPr>
                <w:sz w:val="11"/>
                <w:szCs w:val="11"/>
                <w:color w:val="auto"/>
              </w:rPr>
            </w:pPr>
          </w:p>
        </w:tc>
        <w:tc>
          <w:tcPr>
            <w:tcW w:w="3540" w:type="dxa"/>
            <w:vAlign w:val="bottom"/>
            <w:gridSpan w:val="2"/>
          </w:tcPr>
          <w:p>
            <w:pPr>
              <w:jc w:val="center"/>
              <w:ind w:right="980"/>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000" w:type="dxa"/>
            <w:vAlign w:val="bottom"/>
          </w:tcPr>
          <w:p>
            <w:pPr>
              <w:jc w:val="center"/>
              <w:ind w:left="67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040" w:type="dxa"/>
            <w:vAlign w:val="bottom"/>
          </w:tcPr>
          <w:p>
            <w:pPr>
              <w:jc w:val="center"/>
              <w:ind w:right="614"/>
              <w:spacing w:after="0"/>
              <w:rPr>
                <w:sz w:val="20"/>
                <w:szCs w:val="20"/>
                <w:color w:val="auto"/>
              </w:rPr>
            </w:pPr>
            <w:r>
              <w:rPr>
                <w:rFonts w:ascii="Arial" w:cs="Arial" w:eastAsia="Arial" w:hAnsi="Arial"/>
                <w:sz w:val="13"/>
                <w:szCs w:val="13"/>
                <w:b w:val="1"/>
                <w:bCs w:val="1"/>
                <w:color w:val="auto"/>
                <w:w w:val="88"/>
              </w:rPr>
              <w:t>organization)</w:t>
            </w:r>
          </w:p>
        </w:tc>
        <w:tc>
          <w:tcPr>
            <w:tcW w:w="1120" w:type="dxa"/>
            <w:vAlign w:val="bottom"/>
          </w:tcPr>
          <w:p>
            <w:pPr>
              <w:spacing w:after="0"/>
              <w:rPr>
                <w:sz w:val="14"/>
                <w:szCs w:val="14"/>
                <w:color w:val="auto"/>
              </w:rPr>
            </w:pPr>
          </w:p>
        </w:tc>
        <w:tc>
          <w:tcPr>
            <w:tcW w:w="3540" w:type="dxa"/>
            <w:vAlign w:val="bottom"/>
            <w:gridSpan w:val="2"/>
          </w:tcPr>
          <w:p>
            <w:pPr>
              <w:jc w:val="center"/>
              <w:ind w:right="980"/>
              <w:spacing w:after="0"/>
              <w:rPr>
                <w:sz w:val="20"/>
                <w:szCs w:val="20"/>
                <w:color w:val="auto"/>
              </w:rPr>
            </w:pPr>
            <w:r>
              <w:rPr>
                <w:rFonts w:ascii="Arial" w:cs="Arial" w:eastAsia="Arial" w:hAnsi="Arial"/>
                <w:sz w:val="13"/>
                <w:szCs w:val="13"/>
                <w:b w:val="1"/>
                <w:bCs w:val="1"/>
                <w:color w:val="auto"/>
                <w:w w:val="87"/>
              </w:rPr>
              <w:t>Classification Code Number)</w:t>
            </w:r>
          </w:p>
        </w:tc>
        <w:tc>
          <w:tcPr>
            <w:tcW w:w="2000" w:type="dxa"/>
            <w:vAlign w:val="bottom"/>
          </w:tcPr>
          <w:p>
            <w:pPr>
              <w:jc w:val="center"/>
              <w:ind w:left="674"/>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8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200 Powder Mill Road</w:t>
      </w:r>
    </w:p>
    <w:p>
      <w:pPr>
        <w:jc w:val="center"/>
        <w:ind w:right="-99"/>
        <w:spacing w:after="0" w:line="226" w:lineRule="auto"/>
        <w:rPr>
          <w:sz w:val="20"/>
          <w:szCs w:val="20"/>
          <w:color w:val="auto"/>
        </w:rPr>
      </w:pPr>
      <w:r>
        <w:rPr>
          <w:rFonts w:ascii="Arial" w:cs="Arial" w:eastAsia="Arial" w:hAnsi="Arial"/>
          <w:sz w:val="14"/>
          <w:szCs w:val="14"/>
          <w:b w:val="1"/>
          <w:bCs w:val="1"/>
          <w:color w:val="auto"/>
        </w:rPr>
        <w:t>Wilmington, Delaware 19803</w:t>
      </w:r>
    </w:p>
    <w:p>
      <w:pPr>
        <w:jc w:val="center"/>
        <w:ind w:right="-99"/>
        <w:spacing w:after="0" w:line="225" w:lineRule="auto"/>
        <w:rPr>
          <w:sz w:val="20"/>
          <w:szCs w:val="20"/>
          <w:color w:val="auto"/>
        </w:rPr>
      </w:pPr>
      <w:r>
        <w:rPr>
          <w:rFonts w:ascii="Arial" w:cs="Arial" w:eastAsia="Arial" w:hAnsi="Arial"/>
          <w:sz w:val="14"/>
          <w:szCs w:val="14"/>
          <w:b w:val="1"/>
          <w:bCs w:val="1"/>
          <w:color w:val="auto"/>
        </w:rPr>
        <w:t>(302) 467-1280</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Kris Vaddi, Ph.D.</w:t>
      </w:r>
    </w:p>
    <w:p>
      <w:pPr>
        <w:jc w:val="center"/>
        <w:ind w:right="-9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Prelude Therapeutics Incorporated</w:t>
      </w:r>
    </w:p>
    <w:p>
      <w:pPr>
        <w:jc w:val="center"/>
        <w:ind w:right="-99"/>
        <w:spacing w:after="0" w:line="222" w:lineRule="auto"/>
        <w:rPr>
          <w:sz w:val="20"/>
          <w:szCs w:val="20"/>
          <w:color w:val="auto"/>
        </w:rPr>
      </w:pPr>
      <w:r>
        <w:rPr>
          <w:rFonts w:ascii="Arial" w:cs="Arial" w:eastAsia="Arial" w:hAnsi="Arial"/>
          <w:sz w:val="14"/>
          <w:szCs w:val="14"/>
          <w:b w:val="1"/>
          <w:bCs w:val="1"/>
          <w:color w:val="auto"/>
        </w:rPr>
        <w:t>200 Powder Mill Road</w:t>
      </w:r>
    </w:p>
    <w:p>
      <w:pPr>
        <w:jc w:val="center"/>
        <w:ind w:right="-99"/>
        <w:spacing w:after="0" w:line="221" w:lineRule="auto"/>
        <w:rPr>
          <w:sz w:val="20"/>
          <w:szCs w:val="20"/>
          <w:color w:val="auto"/>
        </w:rPr>
      </w:pPr>
      <w:r>
        <w:rPr>
          <w:rFonts w:ascii="Arial" w:cs="Arial" w:eastAsia="Arial" w:hAnsi="Arial"/>
          <w:sz w:val="14"/>
          <w:szCs w:val="14"/>
          <w:b w:val="1"/>
          <w:bCs w:val="1"/>
          <w:color w:val="auto"/>
        </w:rPr>
        <w:t>Wilmington, Delaware 19803</w:t>
      </w:r>
    </w:p>
    <w:p>
      <w:pPr>
        <w:jc w:val="center"/>
        <w:ind w:right="-99"/>
        <w:spacing w:after="0" w:line="225" w:lineRule="auto"/>
        <w:rPr>
          <w:sz w:val="20"/>
          <w:szCs w:val="20"/>
          <w:color w:val="auto"/>
        </w:rPr>
      </w:pPr>
      <w:r>
        <w:rPr>
          <w:rFonts w:ascii="Arial" w:cs="Arial" w:eastAsia="Arial" w:hAnsi="Arial"/>
          <w:sz w:val="14"/>
          <w:szCs w:val="14"/>
          <w:b w:val="1"/>
          <w:bCs w:val="1"/>
          <w:color w:val="auto"/>
        </w:rPr>
        <w:t>(302) 467-1280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8" w:lineRule="exact"/>
        <w:rPr>
          <w:sz w:val="24"/>
          <w:szCs w:val="24"/>
          <w:color w:val="auto"/>
        </w:rPr>
      </w:pPr>
    </w:p>
    <w:tbl>
      <w:tblPr>
        <w:tblLayout w:type="fixed"/>
        <w:tblInd w:w="192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4820" w:type="dxa"/>
            <w:vAlign w:val="bottom"/>
          </w:tcPr>
          <w:p>
            <w:pPr>
              <w:ind w:left="72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680" w:type="dxa"/>
            <w:vAlign w:val="bottom"/>
          </w:tcPr>
          <w:p>
            <w:pPr>
              <w:jc w:val="center"/>
              <w:ind w:right="668"/>
              <w:spacing w:after="0"/>
              <w:rPr>
                <w:sz w:val="20"/>
                <w:szCs w:val="20"/>
                <w:color w:val="auto"/>
              </w:rPr>
            </w:pPr>
            <w:r>
              <w:rPr>
                <w:rFonts w:ascii="Arial" w:cs="Arial" w:eastAsia="Arial" w:hAnsi="Arial"/>
                <w:sz w:val="14"/>
                <w:szCs w:val="14"/>
                <w:b w:val="1"/>
                <w:bCs w:val="1"/>
                <w:color w:val="auto"/>
                <w:w w:val="91"/>
              </w:rPr>
              <w:t>Effie Toshav, Esq.</w:t>
            </w:r>
          </w:p>
        </w:tc>
        <w:tc>
          <w:tcPr>
            <w:tcW w:w="4820" w:type="dxa"/>
            <w:vAlign w:val="bottom"/>
          </w:tcPr>
          <w:p>
            <w:pPr>
              <w:jc w:val="center"/>
              <w:ind w:left="2828"/>
              <w:spacing w:after="0"/>
              <w:rPr>
                <w:sz w:val="20"/>
                <w:szCs w:val="20"/>
                <w:color w:val="auto"/>
              </w:rPr>
            </w:pPr>
            <w:r>
              <w:rPr>
                <w:rFonts w:ascii="Arial" w:cs="Arial" w:eastAsia="Arial" w:hAnsi="Arial"/>
                <w:sz w:val="14"/>
                <w:szCs w:val="14"/>
                <w:b w:val="1"/>
                <w:bCs w:val="1"/>
                <w:color w:val="auto"/>
                <w:w w:val="93"/>
              </w:rPr>
              <w:t>Richard C. Segal</w:t>
            </w:r>
          </w:p>
        </w:tc>
      </w:tr>
      <w:tr>
        <w:trPr>
          <w:trHeight w:val="148"/>
        </w:trPr>
        <w:tc>
          <w:tcPr>
            <w:tcW w:w="268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3"/>
              </w:rPr>
              <w:t>Robert A. Freedman, Esq.</w:t>
            </w:r>
          </w:p>
        </w:tc>
        <w:tc>
          <w:tcPr>
            <w:tcW w:w="4820" w:type="dxa"/>
            <w:vAlign w:val="bottom"/>
          </w:tcPr>
          <w:p>
            <w:pPr>
              <w:jc w:val="center"/>
              <w:ind w:left="2828"/>
              <w:spacing w:after="0" w:line="149" w:lineRule="exact"/>
              <w:rPr>
                <w:sz w:val="20"/>
                <w:szCs w:val="20"/>
                <w:color w:val="auto"/>
              </w:rPr>
            </w:pPr>
            <w:r>
              <w:rPr>
                <w:rFonts w:ascii="Arial" w:cs="Arial" w:eastAsia="Arial" w:hAnsi="Arial"/>
                <w:sz w:val="14"/>
                <w:szCs w:val="14"/>
                <w:b w:val="1"/>
                <w:bCs w:val="1"/>
                <w:color w:val="auto"/>
                <w:w w:val="94"/>
              </w:rPr>
              <w:t>Brent B. Siler</w:t>
            </w:r>
          </w:p>
        </w:tc>
      </w:tr>
      <w:tr>
        <w:trPr>
          <w:trHeight w:val="149"/>
        </w:trPr>
        <w:tc>
          <w:tcPr>
            <w:tcW w:w="268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0"/>
              </w:rPr>
              <w:t>Julia Forbess, Esq.</w:t>
            </w:r>
          </w:p>
        </w:tc>
        <w:tc>
          <w:tcPr>
            <w:tcW w:w="4820" w:type="dxa"/>
            <w:vAlign w:val="bottom"/>
          </w:tcPr>
          <w:p>
            <w:pPr>
              <w:jc w:val="center"/>
              <w:ind w:left="2828"/>
              <w:spacing w:after="0" w:line="149" w:lineRule="exact"/>
              <w:rPr>
                <w:sz w:val="20"/>
                <w:szCs w:val="20"/>
                <w:color w:val="auto"/>
              </w:rPr>
            </w:pPr>
            <w:r>
              <w:rPr>
                <w:rFonts w:ascii="Arial" w:cs="Arial" w:eastAsia="Arial" w:hAnsi="Arial"/>
                <w:sz w:val="14"/>
                <w:szCs w:val="14"/>
                <w:b w:val="1"/>
                <w:bCs w:val="1"/>
                <w:color w:val="auto"/>
                <w:w w:val="96"/>
              </w:rPr>
              <w:t>Divakar Gupta</w:t>
            </w:r>
          </w:p>
        </w:tc>
      </w:tr>
      <w:tr>
        <w:trPr>
          <w:trHeight w:val="148"/>
        </w:trPr>
        <w:tc>
          <w:tcPr>
            <w:tcW w:w="268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6"/>
              </w:rPr>
              <w:t>Fenwick &amp; West LLP</w:t>
            </w:r>
          </w:p>
        </w:tc>
        <w:tc>
          <w:tcPr>
            <w:tcW w:w="482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9"/>
        </w:trPr>
        <w:tc>
          <w:tcPr>
            <w:tcW w:w="268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4"/>
              </w:rPr>
              <w:t>555 California Street</w:t>
            </w:r>
          </w:p>
        </w:tc>
        <w:tc>
          <w:tcPr>
            <w:tcW w:w="4820" w:type="dxa"/>
            <w:vAlign w:val="bottom"/>
          </w:tcPr>
          <w:p>
            <w:pPr>
              <w:jc w:val="center"/>
              <w:ind w:left="2828"/>
              <w:spacing w:after="0" w:line="149" w:lineRule="exact"/>
              <w:rPr>
                <w:sz w:val="20"/>
                <w:szCs w:val="20"/>
                <w:color w:val="auto"/>
              </w:rPr>
            </w:pPr>
            <w:r>
              <w:rPr>
                <w:rFonts w:ascii="Arial" w:cs="Arial" w:eastAsia="Arial" w:hAnsi="Arial"/>
                <w:sz w:val="14"/>
                <w:szCs w:val="14"/>
                <w:b w:val="1"/>
                <w:bCs w:val="1"/>
                <w:color w:val="auto"/>
                <w:w w:val="93"/>
              </w:rPr>
              <w:t>500 Boylston Street, 14th Floor</w:t>
            </w:r>
          </w:p>
        </w:tc>
      </w:tr>
      <w:tr>
        <w:trPr>
          <w:trHeight w:val="148"/>
        </w:trPr>
        <w:tc>
          <w:tcPr>
            <w:tcW w:w="268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2"/>
              </w:rPr>
              <w:t>San Francisco, California 94104</w:t>
            </w:r>
          </w:p>
        </w:tc>
        <w:tc>
          <w:tcPr>
            <w:tcW w:w="4820" w:type="dxa"/>
            <w:vAlign w:val="bottom"/>
          </w:tcPr>
          <w:p>
            <w:pPr>
              <w:jc w:val="center"/>
              <w:ind w:left="2828"/>
              <w:spacing w:after="0" w:line="149" w:lineRule="exact"/>
              <w:rPr>
                <w:sz w:val="20"/>
                <w:szCs w:val="20"/>
                <w:color w:val="auto"/>
              </w:rPr>
            </w:pPr>
            <w:r>
              <w:rPr>
                <w:rFonts w:ascii="Arial" w:cs="Arial" w:eastAsia="Arial" w:hAnsi="Arial"/>
                <w:sz w:val="14"/>
                <w:szCs w:val="14"/>
                <w:b w:val="1"/>
                <w:bCs w:val="1"/>
                <w:color w:val="auto"/>
                <w:w w:val="88"/>
              </w:rPr>
              <w:t>Boston, Massachusetts 02116</w:t>
            </w:r>
          </w:p>
        </w:tc>
      </w:tr>
      <w:tr>
        <w:trPr>
          <w:trHeight w:val="186"/>
        </w:trPr>
        <w:tc>
          <w:tcPr>
            <w:tcW w:w="2680" w:type="dxa"/>
            <w:vAlign w:val="bottom"/>
          </w:tcPr>
          <w:p>
            <w:pPr>
              <w:jc w:val="center"/>
              <w:ind w:right="668"/>
              <w:spacing w:after="0"/>
              <w:rPr>
                <w:sz w:val="20"/>
                <w:szCs w:val="20"/>
                <w:color w:val="auto"/>
              </w:rPr>
            </w:pPr>
            <w:r>
              <w:rPr>
                <w:rFonts w:ascii="Arial" w:cs="Arial" w:eastAsia="Arial" w:hAnsi="Arial"/>
                <w:sz w:val="14"/>
                <w:szCs w:val="14"/>
                <w:b w:val="1"/>
                <w:bCs w:val="1"/>
                <w:color w:val="auto"/>
                <w:w w:val="93"/>
              </w:rPr>
              <w:t>(415) 875-2300</w:t>
            </w:r>
          </w:p>
        </w:tc>
        <w:tc>
          <w:tcPr>
            <w:tcW w:w="4820" w:type="dxa"/>
            <w:vAlign w:val="bottom"/>
          </w:tcPr>
          <w:p>
            <w:pPr>
              <w:jc w:val="center"/>
              <w:ind w:left="2808"/>
              <w:spacing w:after="0"/>
              <w:rPr>
                <w:sz w:val="20"/>
                <w:szCs w:val="20"/>
                <w:color w:val="auto"/>
              </w:rPr>
            </w:pPr>
            <w:r>
              <w:rPr>
                <w:rFonts w:ascii="Arial" w:cs="Arial" w:eastAsia="Arial" w:hAnsi="Arial"/>
                <w:sz w:val="14"/>
                <w:szCs w:val="14"/>
                <w:b w:val="1"/>
                <w:bCs w:val="1"/>
                <w:color w:val="auto"/>
                <w:w w:val="93"/>
              </w:rPr>
              <w:t>(617) 937-2300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6"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5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2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8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2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400" w:type="dxa"/>
            <w:vAlign w:val="bottom"/>
          </w:tcPr>
          <w:p>
            <w:pPr>
              <w:ind w:left="362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CALCULATION OF REGISTRATION FEE</w:t>
      </w:r>
    </w:p>
    <w:p>
      <w:pPr>
        <w:spacing w:after="0" w:line="65"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7"/>
        </w:trPr>
        <w:tc>
          <w:tcPr>
            <w:tcW w:w="796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796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20" w:type="dxa"/>
            <w:vAlign w:val="bottom"/>
          </w:tcPr>
          <w:p>
            <w:pPr>
              <w:spacing w:after="0"/>
              <w:rPr>
                <w:sz w:val="11"/>
                <w:szCs w:val="11"/>
                <w:color w:val="auto"/>
              </w:rPr>
            </w:pPr>
          </w:p>
        </w:tc>
      </w:tr>
      <w:tr>
        <w:trPr>
          <w:trHeight w:val="135"/>
        </w:trPr>
        <w:tc>
          <w:tcPr>
            <w:tcW w:w="7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53"/>
        </w:trPr>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Price(1)(2)</w:t>
            </w:r>
          </w:p>
        </w:tc>
        <w:tc>
          <w:tcPr>
            <w:tcW w:w="152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w:t>
            </w:r>
          </w:p>
        </w:tc>
      </w:tr>
      <w:tr>
        <w:trPr>
          <w:trHeight w:val="142"/>
        </w:trPr>
        <w:tc>
          <w:tcPr>
            <w:tcW w:w="79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$0.0001 per share</w:t>
            </w:r>
          </w:p>
        </w:tc>
        <w:tc>
          <w:tcPr>
            <w:tcW w:w="1540" w:type="dxa"/>
            <w:vAlign w:val="bottom"/>
            <w:tcBorders>
              <w:bottom w:val="single" w:sz="8" w:color="auto"/>
              <w:right w:val="single" w:sz="8" w:color="auto"/>
            </w:tcBorders>
          </w:tcPr>
          <w:p>
            <w:pPr>
              <w:jc w:val="right"/>
              <w:ind w:right="1077"/>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1054"/>
              <w:spacing w:after="0" w:line="142" w:lineRule="exact"/>
              <w:rPr>
                <w:sz w:val="20"/>
                <w:szCs w:val="20"/>
                <w:color w:val="auto"/>
              </w:rPr>
            </w:pPr>
            <w:r>
              <w:rPr>
                <w:rFonts w:ascii="Arial" w:cs="Arial" w:eastAsia="Arial" w:hAnsi="Arial"/>
                <w:sz w:val="14"/>
                <w:szCs w:val="14"/>
                <w:color w:val="auto"/>
              </w:rPr>
              <w:t>$</w:t>
            </w: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includes the offering price of additional shares that the underwriters have the option to purchase.</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in accordance with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8" w:lineRule="exact"/>
        <w:rPr>
          <w:sz w:val="24"/>
          <w:szCs w:val="24"/>
          <w:color w:val="auto"/>
        </w:rPr>
      </w:pPr>
    </w:p>
    <w:p>
      <w:pPr>
        <w:ind w:left="120" w:right="14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0" w:lineRule="exact"/>
        <w:rPr>
          <w:sz w:val="20"/>
          <w:szCs w:val="20"/>
          <w:color w:val="auto"/>
        </w:rPr>
      </w:pPr>
    </w:p>
    <w:p>
      <w:pPr>
        <w:ind w:left="120" w:right="2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3840" w:type="dxa"/>
            <w:vAlign w:val="bottom"/>
          </w:tcPr>
          <w:p>
            <w:pPr>
              <w:spacing w:after="0"/>
              <w:rPr>
                <w:sz w:val="20"/>
                <w:szCs w:val="20"/>
                <w:color w:val="auto"/>
              </w:rPr>
            </w:pPr>
            <w:r>
              <w:rPr>
                <w:rFonts w:ascii="Arial" w:cs="Arial" w:eastAsia="Arial" w:hAnsi="Arial"/>
                <w:sz w:val="22"/>
                <w:szCs w:val="22"/>
                <w:i w:val="1"/>
                <w:iCs w:val="1"/>
                <w:color w:val="DE1A1E"/>
              </w:rPr>
              <w:t>SUBJECT TO COMPLETION, DATED</w:t>
            </w:r>
          </w:p>
        </w:tc>
        <w:tc>
          <w:tcPr>
            <w:tcW w:w="980" w:type="dxa"/>
            <w:vAlign w:val="bottom"/>
          </w:tcPr>
          <w:p>
            <w:pPr>
              <w:jc w:val="right"/>
              <w:spacing w:after="0"/>
              <w:rPr>
                <w:sz w:val="20"/>
                <w:szCs w:val="20"/>
                <w:color w:val="auto"/>
              </w:rPr>
            </w:pPr>
            <w:r>
              <w:rPr>
                <w:rFonts w:ascii="Arial" w:cs="Arial" w:eastAsia="Arial" w:hAnsi="Arial"/>
                <w:sz w:val="22"/>
                <w:szCs w:val="22"/>
                <w:i w:val="1"/>
                <w:iCs w:val="1"/>
                <w:color w:val="DE1A1E"/>
              </w:rPr>
              <w:t>, 2021</w:t>
            </w:r>
          </w:p>
        </w:tc>
      </w:tr>
      <w:tr>
        <w:trPr>
          <w:trHeight w:val="274"/>
        </w:trPr>
        <w:tc>
          <w:tcPr>
            <w:tcW w:w="3840" w:type="dxa"/>
            <w:vAlign w:val="bottom"/>
          </w:tcPr>
          <w:p>
            <w:pPr>
              <w:spacing w:after="0"/>
              <w:rPr>
                <w:sz w:val="20"/>
                <w:szCs w:val="20"/>
                <w:color w:val="auto"/>
              </w:rPr>
            </w:pPr>
            <w:r>
              <w:rPr>
                <w:rFonts w:ascii="Arial" w:cs="Arial" w:eastAsia="Arial" w:hAnsi="Arial"/>
                <w:sz w:val="22"/>
                <w:szCs w:val="22"/>
                <w:i w:val="1"/>
                <w:iCs w:val="1"/>
                <w:color w:val="DE1A1E"/>
              </w:rPr>
              <w:t>PRELIMINARY PROSPECTUS</w:t>
            </w:r>
          </w:p>
        </w:tc>
        <w:tc>
          <w:tcPr>
            <w:tcW w:w="980" w:type="dxa"/>
            <w:vAlign w:val="bottom"/>
          </w:tcPr>
          <w:p>
            <w:pPr>
              <w:spacing w:after="0"/>
              <w:rPr>
                <w:sz w:val="23"/>
                <w:szCs w:val="23"/>
                <w:color w:val="auto"/>
              </w:rPr>
            </w:pPr>
          </w:p>
        </w:tc>
      </w:tr>
    </w:tbl>
    <w:p>
      <w:pPr>
        <w:spacing w:after="0" w:line="92" w:lineRule="exact"/>
        <w:rPr>
          <w:sz w:val="20"/>
          <w:szCs w:val="20"/>
          <w:color w:val="auto"/>
        </w:rPr>
      </w:pPr>
    </w:p>
    <w:p>
      <w:pPr>
        <w:ind w:left="568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104775</wp:posOffset>
            </wp:positionV>
            <wp:extent cx="218567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856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are offering</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shares of our common stock.</w:t>
      </w:r>
    </w:p>
    <w:p>
      <w:pPr>
        <w:spacing w:after="0" w:line="165" w:lineRule="exact"/>
        <w:rPr>
          <w:sz w:val="20"/>
          <w:szCs w:val="20"/>
          <w:color w:val="auto"/>
        </w:rPr>
      </w:pPr>
    </w:p>
    <w:p>
      <w:pPr>
        <w:sectPr>
          <w:pgSz w:w="11900" w:h="16838" w:orient="portrait"/>
          <w:cols w:equalWidth="0" w:num="2">
            <w:col w:w="1260" w:space="720"/>
            <w:col w:w="9160"/>
          </w:cols>
          <w:pgMar w:left="320" w:top="459" w:right="439" w:bottom="1440" w:gutter="0" w:footer="0" w:header="0"/>
          <w:type w:val="continuous"/>
        </w:sect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common stock is listed on The Nasdaq Global Select Market under the symbol “PRLD”. The closing price of our common stock on 2021, as reported by The Nasdaq Global Select Market, was $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w:t>
      </w:r>
    </w:p>
    <w:p>
      <w:pPr>
        <w:spacing w:after="0" w:line="346" w:lineRule="exact"/>
        <w:rPr>
          <w:sz w:val="20"/>
          <w:szCs w:val="20"/>
          <w:color w:val="auto"/>
        </w:rPr>
      </w:pPr>
    </w:p>
    <w:p>
      <w:pPr>
        <w:sectPr>
          <w:pgSz w:w="11900" w:h="16838" w:orient="portrait"/>
          <w:cols w:equalWidth="0" w:num="2">
            <w:col w:w="10140" w:space="720"/>
            <w:col w:w="280"/>
          </w:cols>
          <w:pgMar w:left="320" w:top="459" w:right="439" w:bottom="1440" w:gutter="0" w:footer="0" w:header="0"/>
          <w:type w:val="continuous"/>
        </w:sectPr>
      </w:pPr>
    </w:p>
    <w:p>
      <w:pPr>
        <w:ind w:left="120" w:right="200"/>
        <w:spacing w:after="0" w:line="301" w:lineRule="auto"/>
        <w:rPr>
          <w:sz w:val="20"/>
          <w:szCs w:val="20"/>
          <w:color w:val="auto"/>
        </w:rPr>
      </w:pPr>
      <w:r>
        <w:rPr>
          <w:rFonts w:ascii="Arial" w:cs="Arial" w:eastAsia="Arial" w:hAnsi="Arial"/>
          <w:sz w:val="16"/>
          <w:szCs w:val="16"/>
          <w:b w:val="1"/>
          <w:bCs w:val="1"/>
          <w:i w:val="1"/>
          <w:iCs w:val="1"/>
          <w:color w:val="auto"/>
        </w:rPr>
        <w:t>We have two classes of common stock: the voting common stock and the non-voting common stock. For a description of the rights of the voting common stock and non-voting common stock, please see “Description of Capital Stock” beginning on page 178 of this prospectus. We are offering voting common stock in this offering, and unless otherwise noted, all references in this prospectus to our “common stock” refer to our voting common stock. The non-voting common stock is not listed for trading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3"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as defined under the U.S. federal securities laws and will be subject to reduced public company reporting requirements for this prospectus and future filings. See “Prospectus Summary—Implications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142875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2" w:lineRule="exact"/>
        <w:rPr>
          <w:sz w:val="20"/>
          <w:szCs w:val="20"/>
          <w:color w:val="auto"/>
        </w:rPr>
      </w:pPr>
    </w:p>
    <w:p>
      <w:pPr>
        <w:ind w:left="120" w:right="46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Investing in our common stock involves a high degree of risk. Please read “</w:t>
      </w:r>
      <w:hyperlink w:anchor="page16">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8"/>
              </w:rPr>
              <w:t>PER SHARE OF</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80" w:type="dxa"/>
            <w:vAlign w:val="bottom"/>
            <w:vMerge w:val="restart"/>
          </w:tcPr>
          <w:p>
            <w:pPr>
              <w:spacing w:after="0"/>
              <w:rPr>
                <w:sz w:val="20"/>
                <w:szCs w:val="20"/>
                <w:color w:val="auto"/>
              </w:rPr>
            </w:pPr>
            <w:r>
              <w:rPr>
                <w:rFonts w:ascii="Arial" w:cs="Arial" w:eastAsia="Arial" w:hAnsi="Arial"/>
                <w:sz w:val="18"/>
                <w:szCs w:val="18"/>
                <w:i w:val="1"/>
                <w:iCs w:val="1"/>
                <w:color w:val="auto"/>
              </w:rPr>
              <w:t>Public offering price</w:t>
            </w:r>
          </w:p>
        </w:tc>
        <w:tc>
          <w:tcPr>
            <w:tcW w:w="11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8"/>
              </w:rPr>
              <w:t>COMMON STOCK</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0"/>
        </w:trPr>
        <w:tc>
          <w:tcPr>
            <w:tcW w:w="8080" w:type="dxa"/>
            <w:vAlign w:val="bottom"/>
            <w:vMerge w:val="continue"/>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80" w:type="dxa"/>
            <w:vAlign w:val="bottom"/>
            <w:vMerge w:val="continue"/>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79"/>
              </w:rPr>
              <w:t>$</w:t>
            </w:r>
          </w:p>
        </w:tc>
        <w:tc>
          <w:tcPr>
            <w:tcW w:w="1600" w:type="dxa"/>
            <w:vAlign w:val="bottom"/>
            <w:gridSpan w:val="2"/>
          </w:tcPr>
          <w:p>
            <w:pPr>
              <w:jc w:val="right"/>
              <w:ind w:right="420"/>
              <w:spacing w:after="0" w:line="195"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commissions(1)</w:t>
            </w:r>
          </w:p>
        </w:tc>
        <w:tc>
          <w:tcPr>
            <w:tcW w:w="1160" w:type="dxa"/>
            <w:vAlign w:val="bottom"/>
          </w:tcPr>
          <w:p>
            <w:pPr>
              <w:jc w:val="center"/>
              <w:spacing w:after="0"/>
              <w:rPr>
                <w:sz w:val="20"/>
                <w:szCs w:val="20"/>
                <w:color w:val="auto"/>
              </w:rPr>
            </w:pPr>
            <w:r>
              <w:rPr>
                <w:rFonts w:ascii="Arial" w:cs="Arial" w:eastAsia="Arial" w:hAnsi="Arial"/>
                <w:sz w:val="18"/>
                <w:szCs w:val="18"/>
                <w:i w:val="1"/>
                <w:iCs w:val="1"/>
                <w:color w:val="auto"/>
                <w:w w:val="79"/>
              </w:rPr>
              <w:t>$</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i w:val="1"/>
                <w:iCs w:val="1"/>
                <w:color w:val="auto"/>
              </w:rPr>
              <w:t>Proceeds, before expenses, to us</w:t>
            </w:r>
          </w:p>
        </w:tc>
        <w:tc>
          <w:tcPr>
            <w:tcW w:w="1160" w:type="dxa"/>
            <w:vAlign w:val="bottom"/>
          </w:tcPr>
          <w:p>
            <w:pPr>
              <w:jc w:val="center"/>
              <w:spacing w:after="0"/>
              <w:rPr>
                <w:sz w:val="20"/>
                <w:szCs w:val="20"/>
                <w:color w:val="auto"/>
              </w:rPr>
            </w:pPr>
            <w:r>
              <w:rPr>
                <w:rFonts w:ascii="Arial" w:cs="Arial" w:eastAsia="Arial" w:hAnsi="Arial"/>
                <w:sz w:val="18"/>
                <w:szCs w:val="18"/>
                <w:i w:val="1"/>
                <w:iCs w:val="1"/>
                <w:color w:val="auto"/>
                <w:w w:val="79"/>
              </w:rPr>
              <w:t>$</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“Underwriters” for a description of all compensation payable to the underwriters.</w:t>
      </w:r>
    </w:p>
    <w:p>
      <w:pPr>
        <w:sectPr>
          <w:pgSz w:w="11900" w:h="16838" w:orient="portrait"/>
          <w:cols w:equalWidth="0" w:num="1">
            <w:col w:w="11140"/>
          </w:cols>
          <w:pgMar w:left="320" w:top="459" w:right="439" w:bottom="1440" w:gutter="0" w:footer="0" w:header="0"/>
          <w:type w:val="continuous"/>
        </w:sectPr>
      </w:pPr>
    </w:p>
    <w:p>
      <w:pPr>
        <w:spacing w:after="0" w:line="13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We have granted the underwriters an option for a period of 30 days from the date of this prospectus to purchase an additional common stock.</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shares of</w:t>
      </w:r>
    </w:p>
    <w:p>
      <w:pPr>
        <w:spacing w:after="0" w:line="381" w:lineRule="exact"/>
        <w:rPr>
          <w:sz w:val="20"/>
          <w:szCs w:val="20"/>
          <w:color w:val="auto"/>
        </w:rPr>
      </w:pPr>
    </w:p>
    <w:p>
      <w:pPr>
        <w:sectPr>
          <w:pgSz w:w="11900" w:h="16838" w:orient="portrait"/>
          <w:cols w:equalWidth="0" w:num="2">
            <w:col w:w="9180" w:space="720"/>
            <w:col w:w="124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6"/>
          <w:szCs w:val="16"/>
          <w:i w:val="1"/>
          <w:iCs w:val="1"/>
          <w:color w:val="auto"/>
        </w:rPr>
        <w:t>The underwriters expect to deliver the shares of common stock against payment in New York. New York on or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192405</wp:posOffset>
            </wp:positionV>
            <wp:extent cx="147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i w:val="1"/>
          <w:iCs w:val="1"/>
          <w:color w:val="auto"/>
        </w:rPr>
        <w:t>, 2021.</w:t>
      </w:r>
    </w:p>
    <w:p>
      <w:pPr>
        <w:spacing w:after="0" w:line="211" w:lineRule="exact"/>
        <w:rPr>
          <w:sz w:val="20"/>
          <w:szCs w:val="20"/>
          <w:color w:val="auto"/>
        </w:rPr>
      </w:pPr>
    </w:p>
    <w:p>
      <w:pPr>
        <w:sectPr>
          <w:pgSz w:w="11900" w:h="16838" w:orient="portrait"/>
          <w:cols w:equalWidth="0" w:num="2">
            <w:col w:w="8440" w:space="720"/>
            <w:col w:w="1980"/>
          </w:cols>
          <w:pgMar w:left="320" w:top="459" w:right="439" w:bottom="1440" w:gutter="0" w:footer="0" w:header="0"/>
          <w:type w:val="continuous"/>
        </w:sect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MORGAN STANLEY</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1680"/>
        <w:spacing w:after="0"/>
        <w:rPr>
          <w:sz w:val="20"/>
          <w:szCs w:val="20"/>
          <w:color w:val="auto"/>
        </w:rPr>
      </w:pPr>
      <w:r>
        <w:rPr>
          <w:rFonts w:ascii="Arial" w:cs="Arial" w:eastAsia="Arial" w:hAnsi="Arial"/>
          <w:sz w:val="19"/>
          <w:szCs w:val="19"/>
          <w:i w:val="1"/>
          <w:iCs w:val="1"/>
          <w:color w:val="auto"/>
        </w:rPr>
        <w:t>GOLDMAN SACHS &amp; CO. LLC</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BofA SECURITIES</w:t>
      </w:r>
    </w:p>
    <w:p>
      <w:pPr>
        <w:spacing w:after="0" w:line="170" w:lineRule="exact"/>
        <w:rPr>
          <w:sz w:val="20"/>
          <w:szCs w:val="20"/>
          <w:color w:val="auto"/>
        </w:rPr>
      </w:pPr>
    </w:p>
    <w:p>
      <w:pPr>
        <w:sectPr>
          <w:pgSz w:w="11900" w:h="16838" w:orient="portrait"/>
          <w:cols w:equalWidth="0" w:num="3">
            <w:col w:w="3740" w:space="720"/>
            <w:col w:w="4360" w:space="720"/>
            <w:col w:w="160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5"/>
          <w:szCs w:val="15"/>
          <w:i w:val="1"/>
          <w:iCs w:val="1"/>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i w:val="1"/>
          <w:iCs w:val="1"/>
          <w:color w:val="auto"/>
        </w:rPr>
        <w:t>, 2021</w:t>
      </w:r>
    </w:p>
    <w:p>
      <w:pPr>
        <w:sectPr>
          <w:pgSz w:w="11900" w:h="16838" w:orient="portrait"/>
          <w:cols w:equalWidth="0" w:num="2">
            <w:col w:w="1360" w:space="720"/>
            <w:col w:w="906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gridSpan w:val="7"/>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PAGE</w:t>
            </w:r>
          </w:p>
        </w:tc>
        <w:tc>
          <w:tcPr>
            <w:tcW w:w="4500" w:type="dxa"/>
            <w:vAlign w:val="bottom"/>
            <w:gridSpan w:val="5"/>
            <w:vMerge w:val="restart"/>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MANAGEMENT</w:t>
              </w:r>
            </w:hyperlink>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820" w:type="dxa"/>
            <w:vAlign w:val="bottom"/>
            <w:gridSpan w:val="7"/>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6"/>
                <w:szCs w:val="16"/>
                <w:color w:val="auto"/>
              </w:rPr>
            </w:pPr>
          </w:p>
        </w:tc>
        <w:tc>
          <w:tcPr>
            <w:tcW w:w="4500" w:type="dxa"/>
            <w:vAlign w:val="bottom"/>
            <w:gridSpan w:val="5"/>
            <w:vMerge w:val="continue"/>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820" w:type="dxa"/>
            <w:vAlign w:val="bottom"/>
            <w:gridSpan w:val="7"/>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THE OFFERING</w:t>
              </w:r>
            </w:hyperlink>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4500" w:type="dxa"/>
            <w:vAlign w:val="bottom"/>
            <w:gridSpan w:val="5"/>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EXECUTIVE COMPENSATION</w:t>
              </w:r>
            </w:hyperlink>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0"/>
        </w:trPr>
        <w:tc>
          <w:tcPr>
            <w:tcW w:w="4820" w:type="dxa"/>
            <w:vAlign w:val="bottom"/>
            <w:gridSpan w:val="7"/>
          </w:tcPr>
          <w:p>
            <w:pPr>
              <w:spacing w:after="0" w:line="190"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800" w:type="dxa"/>
            <w:vAlign w:val="bottom"/>
            <w:gridSpan w:val="2"/>
          </w:tcPr>
          <w:p>
            <w:pPr>
              <w:jc w:val="right"/>
              <w:ind w:right="400"/>
              <w:spacing w:after="0" w:line="190" w:lineRule="exact"/>
              <w:rPr>
                <w:sz w:val="20"/>
                <w:szCs w:val="20"/>
                <w:color w:val="auto"/>
              </w:rPr>
            </w:pPr>
            <w:r>
              <w:rPr>
                <w:rFonts w:ascii="Arial" w:cs="Arial" w:eastAsia="Arial" w:hAnsi="Arial"/>
                <w:sz w:val="18"/>
                <w:szCs w:val="18"/>
                <w:color w:val="auto"/>
              </w:rPr>
              <w:t>12</w:t>
            </w:r>
          </w:p>
        </w:tc>
        <w:tc>
          <w:tcPr>
            <w:tcW w:w="4060" w:type="dxa"/>
            <w:vAlign w:val="bottom"/>
            <w:tcBorders>
              <w:bottom w:val="single" w:sz="8" w:color="0000EE"/>
            </w:tcBorders>
            <w:gridSpan w:val="4"/>
          </w:tcPr>
          <w:p>
            <w:pPr>
              <w:spacing w:after="0" w:line="190" w:lineRule="exact"/>
              <w:rPr>
                <w:rFonts w:ascii="Arial" w:cs="Arial" w:eastAsia="Arial" w:hAnsi="Arial"/>
                <w:sz w:val="18"/>
                <w:szCs w:val="18"/>
                <w:color w:val="0000EE"/>
                <w:w w:val="95"/>
              </w:rPr>
            </w:pPr>
            <w:hyperlink w:anchor="page175">
              <w:r>
                <w:rPr>
                  <w:rFonts w:ascii="Arial" w:cs="Arial" w:eastAsia="Arial" w:hAnsi="Arial"/>
                  <w:sz w:val="18"/>
                  <w:szCs w:val="18"/>
                  <w:color w:val="0000EE"/>
                  <w:w w:val="95"/>
                </w:rPr>
                <w:t>CERTAIN RELATIONSHIPS AND RELATED PARTY</w:t>
              </w:r>
            </w:hyperlink>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60" w:type="dxa"/>
            <w:vAlign w:val="bottom"/>
            <w:gridSpan w:val="5"/>
          </w:tcPr>
          <w:p>
            <w:pPr>
              <w:spacing w:after="0" w:line="196"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SPECIAL NOTE REGARDING FORWARD-LOOKING</w:t>
              </w:r>
            </w:hyperlink>
          </w:p>
        </w:tc>
        <w:tc>
          <w:tcPr>
            <w:tcW w:w="66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20" w:type="dxa"/>
            <w:vAlign w:val="bottom"/>
            <w:gridSpan w:val="4"/>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TRANSACTIONS</w:t>
              </w:r>
            </w:hyperlink>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STATEMENTS</w:t>
              </w:r>
            </w:hyperlink>
          </w:p>
        </w:tc>
        <w:tc>
          <w:tcPr>
            <w:tcW w:w="28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8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71</w:t>
            </w:r>
          </w:p>
        </w:tc>
        <w:tc>
          <w:tcPr>
            <w:tcW w:w="4500" w:type="dxa"/>
            <w:vAlign w:val="bottom"/>
            <w:gridSpan w:val="5"/>
          </w:tcPr>
          <w:p>
            <w:pPr>
              <w:spacing w:after="0" w:line="196" w:lineRule="exact"/>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PRINCIPAL STOCKHOLDERS</w:t>
              </w:r>
            </w:hyperlink>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4820" w:type="dxa"/>
            <w:vAlign w:val="bottom"/>
            <w:gridSpan w:val="7"/>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MARKET AND INDUSTRY DATA</w:t>
              </w:r>
            </w:hyperlink>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4500" w:type="dxa"/>
            <w:vAlign w:val="bottom"/>
            <w:gridSpan w:val="5"/>
          </w:tcPr>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DESCRIPTION OF CAPITAL STOCK</w:t>
              </w:r>
            </w:hyperlink>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820" w:type="dxa"/>
            <w:vAlign w:val="bottom"/>
            <w:gridSpan w:val="7"/>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USE OF PROCEEDS</w:t>
              </w:r>
            </w:hyperlink>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74</w:t>
            </w:r>
          </w:p>
        </w:tc>
        <w:tc>
          <w:tcPr>
            <w:tcW w:w="4500" w:type="dxa"/>
            <w:vAlign w:val="bottom"/>
            <w:gridSpan w:val="5"/>
          </w:tcPr>
          <w:p>
            <w:pPr>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SHARES ELIGIBLE FOR FUTURE SALE</w:t>
              </w:r>
            </w:hyperlink>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0"/>
        </w:trPr>
        <w:tc>
          <w:tcPr>
            <w:tcW w:w="4820" w:type="dxa"/>
            <w:vAlign w:val="bottom"/>
            <w:gridSpan w:val="7"/>
          </w:tcPr>
          <w:p>
            <w:pPr>
              <w:spacing w:after="0" w:line="190" w:lineRule="exact"/>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DIVIDEND POLICY</w:t>
              </w:r>
            </w:hyperlink>
          </w:p>
        </w:tc>
        <w:tc>
          <w:tcPr>
            <w:tcW w:w="800" w:type="dxa"/>
            <w:vAlign w:val="bottom"/>
            <w:gridSpan w:val="2"/>
          </w:tcPr>
          <w:p>
            <w:pPr>
              <w:jc w:val="right"/>
              <w:ind w:right="400"/>
              <w:spacing w:after="0" w:line="190" w:lineRule="exact"/>
              <w:rPr>
                <w:sz w:val="20"/>
                <w:szCs w:val="20"/>
                <w:color w:val="auto"/>
              </w:rPr>
            </w:pPr>
            <w:r>
              <w:rPr>
                <w:rFonts w:ascii="Arial" w:cs="Arial" w:eastAsia="Arial" w:hAnsi="Arial"/>
                <w:sz w:val="18"/>
                <w:szCs w:val="18"/>
                <w:color w:val="auto"/>
              </w:rPr>
              <w:t>76</w:t>
            </w:r>
          </w:p>
        </w:tc>
        <w:tc>
          <w:tcPr>
            <w:tcW w:w="4500" w:type="dxa"/>
            <w:vAlign w:val="bottom"/>
            <w:gridSpan w:val="5"/>
          </w:tcPr>
          <w:p>
            <w:pPr>
              <w:spacing w:after="0" w:line="190" w:lineRule="exact"/>
              <w:rPr>
                <w:rFonts w:ascii="Arial" w:cs="Arial" w:eastAsia="Arial" w:hAnsi="Arial"/>
                <w:sz w:val="18"/>
                <w:szCs w:val="18"/>
                <w:color w:val="0000EE"/>
              </w:rPr>
            </w:pPr>
            <w:hyperlink w:anchor="page190">
              <w:r>
                <w:rPr>
                  <w:rFonts w:ascii="Arial" w:cs="Arial" w:eastAsia="Arial" w:hAnsi="Arial"/>
                  <w:sz w:val="18"/>
                  <w:szCs w:val="18"/>
                  <w:color w:val="0000EE"/>
                </w:rPr>
                <w:t>MATERIAL U.S. FEDERAL INCOME TAX</w:t>
              </w:r>
            </w:hyperlink>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gridSpan w:val="7"/>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CAPITALIZATION</w:t>
              </w:r>
            </w:hyperlink>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4320" w:type="dxa"/>
            <w:vAlign w:val="bottom"/>
            <w:gridSpan w:val="4"/>
          </w:tcPr>
          <w:p>
            <w:pPr>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CONSEQUENCES TO NON-U.S. HOLDERS</w:t>
              </w:r>
            </w:hyperlink>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4820" w:type="dxa"/>
            <w:vAlign w:val="bottom"/>
            <w:gridSpan w:val="7"/>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DILUTION</w:t>
              </w:r>
            </w:hyperlink>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4500" w:type="dxa"/>
            <w:vAlign w:val="bottom"/>
            <w:gridSpan w:val="5"/>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UNDERWRITERS</w:t>
              </w:r>
            </w:hyperlink>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820" w:type="dxa"/>
            <w:vAlign w:val="bottom"/>
            <w:gridSpan w:val="7"/>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SELECTED FINANCIAL DATA</w:t>
              </w:r>
            </w:hyperlink>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81</w:t>
            </w:r>
          </w:p>
        </w:tc>
        <w:tc>
          <w:tcPr>
            <w:tcW w:w="4500" w:type="dxa"/>
            <w:vAlign w:val="bottom"/>
            <w:gridSpan w:val="5"/>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LEGAL MATTERS</w:t>
              </w:r>
            </w:hyperlink>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0000EE"/>
            </w:tcBorders>
            <w:gridSpan w:val="6"/>
          </w:tcPr>
          <w:p>
            <w:pPr>
              <w:spacing w:after="0" w:line="190"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MANAGEMENT’S DISCUSSION AND ANALYSIS OF</w:t>
              </w:r>
            </w:hyperlink>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00" w:type="dxa"/>
            <w:vAlign w:val="bottom"/>
            <w:gridSpan w:val="5"/>
          </w:tcPr>
          <w:p>
            <w:pPr>
              <w:spacing w:after="0" w:line="190" w:lineRule="exact"/>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EXPERTS</w:t>
              </w:r>
            </w:hyperlink>
          </w:p>
        </w:tc>
        <w:tc>
          <w:tcPr>
            <w:tcW w:w="8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4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FINANCIAL CONDITION AND RESULTS OF</w:t>
              </w:r>
            </w:hyperlink>
          </w:p>
        </w:tc>
        <w:tc>
          <w:tcPr>
            <w:tcW w:w="110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00" w:type="dxa"/>
            <w:vAlign w:val="bottom"/>
            <w:gridSpan w:val="5"/>
          </w:tcPr>
          <w:p>
            <w:pPr>
              <w:spacing w:after="0" w:line="196" w:lineRule="exact"/>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ADDITIONAL INFORMATION</w:t>
              </w:r>
            </w:hyperlink>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OPERATIONS</w:t>
              </w:r>
            </w:hyperlink>
          </w:p>
        </w:tc>
        <w:tc>
          <w:tcPr>
            <w:tcW w:w="3540" w:type="dxa"/>
            <w:vAlign w:val="bottom"/>
            <w:gridSpan w:val="5"/>
          </w:tcPr>
          <w:p>
            <w:pPr>
              <w:spacing w:after="0"/>
              <w:rPr>
                <w:sz w:val="17"/>
                <w:szCs w:val="17"/>
                <w:color w:val="auto"/>
              </w:rPr>
            </w:pPr>
          </w:p>
        </w:tc>
        <w:tc>
          <w:tcPr>
            <w:tcW w:w="8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83</w:t>
            </w:r>
          </w:p>
        </w:tc>
        <w:tc>
          <w:tcPr>
            <w:tcW w:w="4500" w:type="dxa"/>
            <w:vAlign w:val="bottom"/>
            <w:gridSpan w:val="5"/>
          </w:tcPr>
          <w:p>
            <w:pPr>
              <w:spacing w:after="0" w:line="196" w:lineRule="exact"/>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INDEX TO FINANCIAL STATEMENTS</w:t>
              </w:r>
            </w:hyperlink>
          </w:p>
        </w:tc>
        <w:tc>
          <w:tcPr>
            <w:tcW w:w="4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37"/>
        </w:trPr>
        <w:tc>
          <w:tcPr>
            <w:tcW w:w="4820" w:type="dxa"/>
            <w:vAlign w:val="bottom"/>
            <w:gridSpan w:val="7"/>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BUSINESS</w:t>
              </w:r>
            </w:hyperlink>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316865</wp:posOffset>
            </wp:positionV>
            <wp:extent cx="147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The mark “Prelude Therapeutics,” the Prelude logo and all product names are our common law trademarks. All other service marks, trademarks and trade names appearing in this prospectus are the property of their respective owners. Solely for convenience, the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10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30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80" w:firstLine="426"/>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thereto and the information set forth under the sections entitled “Risk Factors,” “Selected Financial Data” and “Management’s Discussion and Analysis of Financial Condition and Results of Operations,” in each case included in this prospectus. Some of the statements in this prospectus constitute forward-looking statements that involve risks and uncertainties. See the section entitled “Special Note Regarding Forward-Looking Statements.” Unless the context otherwise requires, we use the terms “Prelude,” “the company,” “we,” “us” and “our” in this prospectus to refer to Prelude Therapeutics Incorporated.</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53" w:lineRule="auto"/>
        <w:rPr>
          <w:sz w:val="20"/>
          <w:szCs w:val="20"/>
          <w:color w:val="auto"/>
        </w:rPr>
      </w:pPr>
      <w:r>
        <w:rPr>
          <w:rFonts w:ascii="Arial" w:cs="Arial" w:eastAsia="Arial" w:hAnsi="Arial"/>
          <w:sz w:val="18"/>
          <w:szCs w:val="18"/>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three investigational new drug applications, or INDs, and successfully advanced these three programs into clinical development. In addition, we have three unique programs in various stages of preclinical development that we plan to advance into clinical development beginning in 2021.</w:t>
      </w:r>
    </w:p>
    <w:p>
      <w:pPr>
        <w:spacing w:after="0" w:line="196" w:lineRule="exact"/>
        <w:rPr>
          <w:sz w:val="20"/>
          <w:szCs w:val="20"/>
          <w:color w:val="auto"/>
        </w:rPr>
      </w:pPr>
    </w:p>
    <w:p>
      <w:pPr>
        <w:ind w:left="300" w:right="100" w:firstLine="426"/>
        <w:spacing w:after="0" w:line="273" w:lineRule="auto"/>
        <w:rPr>
          <w:sz w:val="20"/>
          <w:szCs w:val="20"/>
          <w:color w:val="auto"/>
        </w:rPr>
      </w:pPr>
      <w:r>
        <w:rPr>
          <w:rFonts w:ascii="Arial" w:cs="Arial" w:eastAsia="Arial" w:hAnsi="Arial"/>
          <w:sz w:val="17"/>
          <w:szCs w:val="17"/>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78"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We are currently advancing our first clinical candidate, PRT543, in a Phase 1 clinical trial in select solid tumors and myeloid malignancies in patients who are refractory to or intolerant of established therapies. Interim Phase 1 results indicate dose-dependent increases in exposure and target engagement, and we have observed early signs of clinical activity, including an ongoing, confirmed complete response, or CR, in a patient with HRD+ high grade serous ovarian cancer through nine months of therapy. A complete response is defined as the disappearance of all target lesions. While we will need to enroll and demonstrate objective responses in additional patients to support further development and potential approval by the FDA or other regulatory authorities, and while such approval is not guaranteed, we are encouraged by the clinical activity as of the date of this prospectus. We began patient enrollment into the solid tumor expansion portion of our ongoing Phase 1 trial during the fourth quarter of 2020 and we expect to begin patient enrollment into additional solid tumor and myeloid malignancies expansion cohorts early in 2021. We anticipate presenting initial clinical data from the trial at medical meetings in the second half of 2021.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518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312"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We are also advancing PRT811, a second PRMT5 inhibitor that we have optimized for high brain exposure, in a Phase 1 clinical trial in solid tumors, including GBM. As of the date of this prospectus, the trial has demonstrated early signs of clinical activity and tolerability. The previously disclosed refractory GBM patient whose tumor had demonstrated a 66% reduction on monotherapy PRT811 subsequently underwent a follow-up MRI at week 18 and the regression has improved to 77% from baseline, confirming a partial response, or PR, per RANO (response assessment in neuro-oncology) criteria. We expect to begin enrolling patients in the expansion portion of the Phase 1 clinical trial in the first half of 2021 and anticipate obtaining initial clinical data from these expansion cohorts by the end of 2021.</w:t>
      </w:r>
    </w:p>
    <w:p>
      <w:pPr>
        <w:spacing w:after="0" w:line="178"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PRT1419, our third clinical candidate,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have begun enrolling patients with hematologic malignancies, including patients with myelodysplastic syndrome, or MDS, acute myeloid leukemia, or AML, non-Hodgkin’s lymphoma, or NHL, and multiple myeloma, or MM, into the Phase 1 clinical trial for PRT1419. We expect to begin enrolling patients in the expansion portion of the Phase 1 clinical trial in the second half of 2021.</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pipeline is summarized in the figure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Prelude Discovery and Development Approach</w:t>
      </w:r>
    </w:p>
    <w:p>
      <w:pPr>
        <w:spacing w:after="0" w:line="121" w:lineRule="exact"/>
        <w:rPr>
          <w:sz w:val="20"/>
          <w:szCs w:val="20"/>
          <w:color w:val="auto"/>
        </w:rPr>
      </w:pPr>
    </w:p>
    <w:p>
      <w:pPr>
        <w:ind w:left="300" w:right="300" w:firstLine="426"/>
        <w:spacing w:after="0" w:line="277" w:lineRule="auto"/>
        <w:rPr>
          <w:sz w:val="20"/>
          <w:szCs w:val="20"/>
          <w:color w:val="auto"/>
        </w:rPr>
      </w:pPr>
      <w:r>
        <w:rPr>
          <w:rFonts w:ascii="Arial" w:cs="Arial" w:eastAsia="Arial" w:hAnsi="Arial"/>
          <w:sz w:val="18"/>
          <w:szCs w:val="18"/>
          <w:color w:val="auto"/>
        </w:rPr>
        <w:t>We carefully evaluate and select our targets based on three key pillars, which provide a framework for optimizing our drug discovery and development efforts.</w:t>
      </w:r>
    </w:p>
    <w:p>
      <w:pPr>
        <w:spacing w:after="0" w:line="76" w:lineRule="exact"/>
        <w:rPr>
          <w:sz w:val="20"/>
          <w:szCs w:val="20"/>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Identify target mechanisms with compelling biological rationale</w:t>
      </w:r>
    </w:p>
    <w:p>
      <w:pPr>
        <w:spacing w:after="0" w:line="130" w:lineRule="exact"/>
        <w:rPr>
          <w:rFonts w:ascii="Arial" w:cs="Arial" w:eastAsia="Arial" w:hAnsi="Arial"/>
          <w:sz w:val="18"/>
          <w:szCs w:val="18"/>
          <w:color w:val="auto"/>
        </w:rPr>
      </w:pPr>
    </w:p>
    <w:p>
      <w:pPr>
        <w:ind w:left="1640" w:right="280" w:hanging="397"/>
        <w:spacing w:after="0" w:line="277" w:lineRule="auto"/>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Current target mechanisms of focus include: transcriptional regulation, deoxyribonucleic acid, or DNA, repair pathway, cell cycle regulation, exploitation of synthetic lethality and brain penetrant molecules</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Leverage our advanced medicinal chemistry capabilities to create better product candidates</w:t>
      </w:r>
    </w:p>
    <w:p>
      <w:pPr>
        <w:spacing w:after="0" w:line="130" w:lineRule="exact"/>
        <w:rPr>
          <w:rFonts w:ascii="Arial" w:cs="Arial" w:eastAsia="Arial" w:hAnsi="Arial"/>
          <w:sz w:val="18"/>
          <w:szCs w:val="18"/>
          <w:color w:val="auto"/>
        </w:rPr>
      </w:pPr>
    </w:p>
    <w:p>
      <w:pPr>
        <w:ind w:left="1640" w:hanging="397"/>
        <w:spacing w:after="0"/>
        <w:tabs>
          <w:tab w:leader="none" w:pos="164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We view all target classes equally and strive to invent clinical candidates that meet our desired target product profiles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87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312" w:lineRule="exact"/>
        <w:rPr>
          <w:sz w:val="20"/>
          <w:szCs w:val="20"/>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Pursue targets that drive cancers with high unmet need</w:t>
      </w:r>
    </w:p>
    <w:p>
      <w:pPr>
        <w:spacing w:after="0" w:line="130" w:lineRule="exact"/>
        <w:rPr>
          <w:rFonts w:ascii="Arial" w:cs="Arial" w:eastAsia="Arial" w:hAnsi="Arial"/>
          <w:sz w:val="18"/>
          <w:szCs w:val="18"/>
          <w:color w:val="auto"/>
        </w:rPr>
      </w:pPr>
    </w:p>
    <w:p>
      <w:pPr>
        <w:ind w:left="1640" w:right="540" w:hanging="397"/>
        <w:spacing w:after="0" w:line="277" w:lineRule="auto"/>
        <w:tabs>
          <w:tab w:leader="none" w:pos="164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Focus on targets that allow us to select patients and cancers with high unmet need with no approved therapies, or patient populations that are underserved by approved treatments</w:t>
      </w:r>
    </w:p>
    <w:p>
      <w:pPr>
        <w:spacing w:after="0" w:line="170"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Once we have identified optimal targets using the three pillars above, we engage our unique discovery engine to rapidly and efficiently invent and develop molecules. We believe our expertise, capabilities and experience to select high value biological targets and invent molecules with an optimized balance of biological and chemical properties differentiates us from others in the precision oncology space. We believe our unique discovery engine will enable us to continue delivering a new IND every 12 to 18 months.</w:t>
      </w:r>
    </w:p>
    <w:p>
      <w:pPr>
        <w:spacing w:after="0" w:line="187" w:lineRule="exact"/>
        <w:rPr>
          <w:sz w:val="20"/>
          <w:szCs w:val="20"/>
          <w:color w:val="auto"/>
        </w:rPr>
      </w:pPr>
    </w:p>
    <w:p>
      <w:pPr>
        <w:ind w:left="300" w:right="140" w:firstLine="426"/>
        <w:spacing w:after="0" w:line="286" w:lineRule="auto"/>
        <w:rPr>
          <w:sz w:val="20"/>
          <w:szCs w:val="20"/>
          <w:color w:val="auto"/>
        </w:rPr>
      </w:pPr>
      <w:r>
        <w:rPr>
          <w:rFonts w:ascii="Arial" w:cs="Arial" w:eastAsia="Arial" w:hAnsi="Arial"/>
          <w:sz w:val="17"/>
          <w:szCs w:val="17"/>
          <w:color w:val="auto"/>
        </w:rPr>
        <w:t>We design our clinical trials to leverage the broad utility of our compounds with a focus on efficient regulatory pathways to enable our potentially transformative medicines to quickly reach patients with high unmet medical need. By focusing on validated cancer signaling pathways and early clinical proof-of-concept, we seek to advance our programs through expedited approval processes.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auto"/>
        </w:rPr>
        <w:t>Our first two candidates, PRT543 and PRT811, are designed to be potent, selective and oral inhibitors of PRMT5. We believe targeting PRMT5 has broad applicability and a strong scientific rationale for the treatment of cancer as it regulates transcription, translation and messenger ribonucleic acid, or mRNA, as well as the splicing of cancer related genes. Inhibition of PRMT5 has been observed to suppress tumor growth and produce synthetic lethality preclinically.</w:t>
      </w:r>
    </w:p>
    <w:p>
      <w:pPr>
        <w:spacing w:after="0" w:line="187" w:lineRule="exact"/>
        <w:rPr>
          <w:sz w:val="20"/>
          <w:szCs w:val="20"/>
          <w:color w:val="auto"/>
        </w:rPr>
      </w:pPr>
    </w:p>
    <w:p>
      <w:pPr>
        <w:ind w:left="300" w:right="60" w:firstLine="426"/>
        <w:spacing w:after="0" w:line="268" w:lineRule="auto"/>
        <w:rPr>
          <w:sz w:val="20"/>
          <w:szCs w:val="20"/>
          <w:color w:val="auto"/>
        </w:rPr>
      </w:pPr>
      <w:r>
        <w:rPr>
          <w:rFonts w:ascii="Arial" w:cs="Arial" w:eastAsia="Arial" w:hAnsi="Arial"/>
          <w:sz w:val="17"/>
          <w:szCs w:val="17"/>
          <w:color w:val="auto"/>
        </w:rPr>
        <w:t xml:space="preserve">PRT543, our first clinical candidate, is currently in a Phase 1 clinical trial in advanced solid tumors and select myeloid malignancies. We have been encouraged by both the clinical activity and tolerability data that have been seen in 61 patients (42 with advanced solid tumors, one with NHL, 11 with MF and seven with MDS) that have enrolled into the study as of December 16, 2020. We have observed early signs of clinical activity, including a confirmed CR per RECIST v1.1, in a patient with HRD+ high grade serous ovarian cancer, in the 35 mg 5x/week (once a day, for five days, with two days off) cohort. This patient has received nine months of study therapy as of December 16, 2020 and remains in CR. We will need to enroll and demonstrate objective responses in additional patients to support further development and potential approval by FDA or other regulatory authorities, and such approval is not guaranteed. In addition, extended duration of therapy and improvements in symptoms have been observed in several patients with MF, with one patient demonstrating a response of clinical improvement and another patient showing an approximately 66% reduction in Total Symptom Score, or TSS, a validated clinical endpoint in MF. Clinical improvement means an achievement in anemia, spleen, or symptom response without progressive disease or increase in the severity of anemia, thrombocytopenia or neutropenia. We have begun enrolling patients into the expansion portion of the Phase 1 clinical trial in select tumor types that are potentially driven by </w:t>
      </w:r>
      <w:r>
        <w:rPr>
          <w:rFonts w:ascii="Arial" w:cs="Arial" w:eastAsia="Arial" w:hAnsi="Arial"/>
          <w:sz w:val="17"/>
          <w:szCs w:val="17"/>
          <w:i w:val="1"/>
          <w:iCs w:val="1"/>
          <w:color w:val="auto"/>
        </w:rPr>
        <w:t>PRMT5</w:t>
      </w:r>
      <w:r>
        <w:rPr>
          <w:rFonts w:ascii="Arial" w:cs="Arial" w:eastAsia="Arial" w:hAnsi="Arial"/>
          <w:sz w:val="17"/>
          <w:szCs w:val="17"/>
          <w:color w:val="auto"/>
        </w:rPr>
        <w:t xml:space="preserve"> dysregulation. These tumor types include ACC, MF, genomically selected MDS and HRD+ tumors. We began patient enrollment into the solid tumor expansion portion of our ongoing Phase 1 trial during the fourth quarter of 2020 and we expect to begin patient enrollment into additional solid tumor and myeloid malignancies expansion cohorts early in 2021. We anticipate presenting initial clinical data from the trial at medical meetings in the second half of 2021.</w:t>
      </w:r>
    </w:p>
    <w:p>
      <w:pPr>
        <w:spacing w:after="0" w:line="182" w:lineRule="exact"/>
        <w:rPr>
          <w:sz w:val="20"/>
          <w:szCs w:val="20"/>
          <w:color w:val="auto"/>
        </w:rPr>
      </w:pPr>
    </w:p>
    <w:p>
      <w:pPr>
        <w:ind w:left="300" w:right="180" w:firstLine="426"/>
        <w:spacing w:after="0" w:line="275" w:lineRule="auto"/>
        <w:rPr>
          <w:sz w:val="20"/>
          <w:szCs w:val="20"/>
          <w:color w:val="auto"/>
        </w:rPr>
      </w:pPr>
      <w:r>
        <w:rPr>
          <w:rFonts w:ascii="Arial" w:cs="Arial" w:eastAsia="Arial" w:hAnsi="Arial"/>
          <w:sz w:val="17"/>
          <w:szCs w:val="17"/>
          <w:color w:val="auto"/>
        </w:rPr>
        <w:t>PRT811, our second clinical candidate, is currently advancing in the dose escalation portion of a Phase 1 clinical trial in solid tumors, including GBM and primary central nervous system lymphomas, or PCNSL. PRT811 has been optimized for high brain exposure and hence we believe is uniquely positioned to treat PRMT5 sensitive CNS cancers. We have been encouraged by both the clinical activity and tolerability data that have been seen in 24 patients (eight with GBM, 16 with various advanced solid tumors) that have enrolled into the dose escalation portion of the study as of December 16, 2020. We have observed early signs of clinical activity in 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850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312" w:lineRule="exact"/>
        <w:rPr>
          <w:sz w:val="20"/>
          <w:szCs w:val="20"/>
          <w:color w:val="auto"/>
        </w:rPr>
      </w:pPr>
    </w:p>
    <w:p>
      <w:pPr>
        <w:ind w:left="300" w:right="100"/>
        <w:spacing w:after="0" w:line="291" w:lineRule="auto"/>
        <w:rPr>
          <w:sz w:val="20"/>
          <w:szCs w:val="20"/>
          <w:color w:val="auto"/>
        </w:rPr>
      </w:pPr>
      <w:r>
        <w:rPr>
          <w:rFonts w:ascii="Arial" w:cs="Arial" w:eastAsia="Arial" w:hAnsi="Arial"/>
          <w:sz w:val="16"/>
          <w:szCs w:val="16"/>
          <w:color w:val="auto"/>
        </w:rPr>
        <w:t>refractory GBM patient whose tumor initially demonstrated a 66% reduction on monotherapy PRT811 at week 6, and subsequently underwent a follow-up MRI at week 18, and the regression has improved to 77% from baseline, confirming a PR per RANO (response assessment in neuro-oncology) criteria. This patient has received five months of study therapy as of December 16, 2020 and remains in PR and is clinically stable. We will need to enroll and demonstrate objective responses in additional patients to support further development and potential approval by FDA or other regulatory authorities, and such approval is not guaranteed. We plan to initially enroll patients in the expansion portion of the clinical trial with GBM, PCNSL and solid tumors with metastatic disease to the CNS once we have established an expansion dose. We expect these expansions to begin in the first half of 2021 and anticipate initial clinical results from these expansion cohorts by the end of 2021.</w:t>
      </w:r>
    </w:p>
    <w:p>
      <w:pPr>
        <w:spacing w:after="0" w:line="166" w:lineRule="exact"/>
        <w:rPr>
          <w:sz w:val="20"/>
          <w:szCs w:val="20"/>
          <w:color w:val="auto"/>
        </w:rPr>
      </w:pPr>
    </w:p>
    <w:p>
      <w:pPr>
        <w:ind w:left="300" w:right="240" w:firstLine="426"/>
        <w:spacing w:after="0" w:line="272" w:lineRule="auto"/>
        <w:rPr>
          <w:sz w:val="20"/>
          <w:szCs w:val="20"/>
          <w:color w:val="auto"/>
        </w:rPr>
      </w:pPr>
      <w:r>
        <w:rPr>
          <w:rFonts w:ascii="Arial" w:cs="Arial" w:eastAsia="Arial" w:hAnsi="Arial"/>
          <w:sz w:val="17"/>
          <w:szCs w:val="17"/>
          <w:color w:val="auto"/>
        </w:rPr>
        <w:t>PRT1419, our third clinical candidate, is designed to be a potent and selective inhibitor of the anti-apoptotic protein, MCL1. We believe hematological malignancies are particularly sensitive to MCL1 inhibitors. MCL1 upregulation has been noted as a mechanism of acquired resistance to venetoclax and tyrosine kinase inhibitors, or TKIs. In addition, certain solid tumors are responsive to MCL1 inhibition, informing a potential patient selection strategy. We have enrolled four patients into the Phase 1 clinical trial investigating oral PRT1419 in high risk MDS, AML, NHL and MM. Additionally, during the fourth quarter of 2020 we filed an IND with the FDA for an intravenous, or IV, formulation of PRT1419, which we plan to evaluate in various advanced solid tumors. We believe that the physicochemical and pharmacological properties of PRT1419 allow the optionality of administering PRT1419 by either oral or IV routes.</w:t>
      </w:r>
    </w:p>
    <w:p>
      <w:pPr>
        <w:spacing w:after="0" w:line="177"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In addition to our three clinical stage candidates, our two most advanced preclinical programs target cyclin-dependent kinase 9, or CDK9, and Brahma homologue, or BRM, otherwise known as SMARCA2, respectively. PRT2527, designed to be a potent and selective CDK9 inhibitor, has entered IND-enabling studies with an IND submission expected in 2021. We have also identified SMARCA2 protein degraders that appear to be potent based on preclinical data demonstrating degradation of SMARCA2 at sub-nanomolar concentration. Optimization of the lead compound, PRT-SCA2, is progressing, and we expect to initiate IND-enabling studies in 2021. Our sixth program is exploring a kinase target for solid tumors. We are optimizing our lead compound, PRT-K4, and expect to begin IND-enabling studies in 2021.</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color w:val="auto"/>
        </w:rPr>
        <w:t>We were founded in 2016 by Kris Vaddi, Ph.D., a founding scientist at Incyte, and have assembled an experienced management team and board of directors with deep expertise in oncology and drug development. We have built from the “ground up” our internal discovery team, led by scientific and medical teams with deep expertise and proven capabilities in inventing and rapidly advancing small molecule medicines that address important gaps in the current precision oncology ecosystem. Members of our management team have successfully developed and commercialized numerous drugs such as Jakafi, Olumiant, Velcade, VITRAKVI, Retevmo, Tabrecta and Pemazyre.</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Factor Summary</w:t>
      </w:r>
    </w:p>
    <w:p>
      <w:pPr>
        <w:spacing w:after="0" w:line="121"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common stock. These risks are discussed more fully in the section titled “Risk Factors” beginning on page 12 of this prospectus, and include the following:</w:t>
      </w:r>
    </w:p>
    <w:p>
      <w:pPr>
        <w:spacing w:after="0" w:line="92" w:lineRule="exact"/>
        <w:rPr>
          <w:sz w:val="20"/>
          <w:szCs w:val="20"/>
          <w:color w:val="auto"/>
        </w:rPr>
      </w:pPr>
    </w:p>
    <w:p>
      <w:pPr>
        <w:ind w:left="1240" w:right="220" w:hanging="523"/>
        <w:spacing w:after="0" w:line="28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584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312" w:lineRule="exact"/>
        <w:rPr>
          <w:sz w:val="20"/>
          <w:szCs w:val="20"/>
          <w:color w:val="auto"/>
        </w:rPr>
      </w:pPr>
    </w:p>
    <w:p>
      <w:pPr>
        <w:ind w:left="1240" w:right="60" w:hanging="523"/>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funding to pursue our business objectives. If we are unable to raise capital when needed or on terms acceptable to us, we could be forced to delay, reduce or eliminate our research or drug development programs or any future commercialization efforts or other operations.</w:t>
      </w:r>
    </w:p>
    <w:p>
      <w:pPr>
        <w:spacing w:after="0" w:line="89" w:lineRule="exact"/>
        <w:rPr>
          <w:rFonts w:ascii="Arial" w:cs="Arial" w:eastAsia="Arial" w:hAnsi="Arial"/>
          <w:sz w:val="18"/>
          <w:szCs w:val="18"/>
          <w:color w:val="auto"/>
        </w:rPr>
      </w:pPr>
    </w:p>
    <w:p>
      <w:pPr>
        <w:ind w:left="1240" w:right="16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75" w:lineRule="exact"/>
        <w:rPr>
          <w:rFonts w:ascii="Arial" w:cs="Arial" w:eastAsia="Arial" w:hAnsi="Arial"/>
          <w:sz w:val="18"/>
          <w:szCs w:val="18"/>
          <w:color w:val="auto"/>
        </w:rPr>
      </w:pPr>
    </w:p>
    <w:p>
      <w:pPr>
        <w:ind w:left="1240" w:hanging="523"/>
        <w:spacing w:after="0" w:line="259"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highly dependent on the success of our product candidates, PRT543, PRT811 and PRT1419, which are in early clinical development, and PRT2527, which is in preclinical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92" w:lineRule="exact"/>
        <w:rPr>
          <w:rFonts w:ascii="Arial" w:cs="Arial" w:eastAsia="Arial" w:hAnsi="Arial"/>
          <w:sz w:val="18"/>
          <w:szCs w:val="18"/>
          <w:color w:val="auto"/>
        </w:rPr>
      </w:pPr>
    </w:p>
    <w:p>
      <w:pPr>
        <w:ind w:left="1240" w:right="520" w:hanging="523"/>
        <w:spacing w:after="0" w:line="342"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development and commercialization of pharmaceutical products are subject to extensive regulation, and we may not obtain regulatory approvals for PRT543, PRT811, PRT1419, PRT2527 or any other product candidates, on a timely basis or at all.</w:t>
      </w:r>
    </w:p>
    <w:p>
      <w:pPr>
        <w:spacing w:after="0" w:line="29" w:lineRule="exact"/>
        <w:rPr>
          <w:rFonts w:ascii="Arial" w:cs="Arial" w:eastAsia="Arial" w:hAnsi="Arial"/>
          <w:sz w:val="16"/>
          <w:szCs w:val="16"/>
          <w:color w:val="auto"/>
        </w:rPr>
      </w:pPr>
    </w:p>
    <w:p>
      <w:pPr>
        <w:ind w:left="1240" w:right="12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and intend to continue to rely, on third parties to conduct our clinical trials and perform some of our research and preclinical studies.</w:t>
      </w:r>
    </w:p>
    <w:p>
      <w:pPr>
        <w:spacing w:after="0" w:line="75" w:lineRule="exact"/>
        <w:rPr>
          <w:rFonts w:ascii="Arial" w:cs="Arial" w:eastAsia="Arial" w:hAnsi="Arial"/>
          <w:sz w:val="18"/>
          <w:szCs w:val="18"/>
          <w:color w:val="auto"/>
        </w:rPr>
      </w:pPr>
    </w:p>
    <w:p>
      <w:pPr>
        <w:ind w:left="1240" w:right="280" w:hanging="523"/>
        <w:spacing w:after="0" w:line="342"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currently rely on third-party suppliers, including single source suppliers, to manufacture preclinical and clinical supplies of our product candidates and we intend to rely on third parties to produce commercial supplies of any approved product candidate.</w:t>
      </w:r>
    </w:p>
    <w:p>
      <w:pPr>
        <w:spacing w:after="0" w:line="29" w:lineRule="exact"/>
        <w:rPr>
          <w:rFonts w:ascii="Arial" w:cs="Arial" w:eastAsia="Arial" w:hAnsi="Arial"/>
          <w:sz w:val="16"/>
          <w:szCs w:val="16"/>
          <w:color w:val="auto"/>
        </w:rPr>
      </w:pPr>
    </w:p>
    <w:p>
      <w:pPr>
        <w:ind w:left="1240" w:right="120" w:hanging="523"/>
        <w:spacing w:after="0" w:line="286"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70" w:lineRule="exact"/>
        <w:rPr>
          <w:rFonts w:ascii="Arial" w:cs="Arial" w:eastAsia="Arial" w:hAnsi="Arial"/>
          <w:sz w:val="17"/>
          <w:szCs w:val="17"/>
          <w:color w:val="auto"/>
        </w:rPr>
      </w:pPr>
    </w:p>
    <w:p>
      <w:pPr>
        <w:ind w:left="1240" w:right="40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clinical trials and clinical trial operations.</w:t>
      </w:r>
    </w:p>
    <w:p>
      <w:pPr>
        <w:spacing w:after="0" w:line="130"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Delaware law and provisions in our restated certificate of incorporation and amended and restated bylaws could make a merger, tender offer, or proxy contest difficult, thereby depressing the market price of our common stock.</w:t>
      </w:r>
    </w:p>
    <w:p>
      <w:pPr>
        <w:spacing w:after="0" w:line="75" w:lineRule="exact"/>
        <w:rPr>
          <w:rFonts w:ascii="Arial" w:cs="Arial" w:eastAsia="Arial" w:hAnsi="Arial"/>
          <w:sz w:val="18"/>
          <w:szCs w:val="18"/>
          <w:color w:val="auto"/>
        </w:rPr>
      </w:pPr>
    </w:p>
    <w:p>
      <w:pPr>
        <w:jc w:val="both"/>
        <w:ind w:left="1240" w:right="180" w:hanging="523"/>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We were incorporated under the laws of the State of Delaware in February 2016. Our principal executive offices are located at 200 Powder Mill Road, Wilmington, DE 19803, and our telephone number is (302) 467-1280. Our website address is www.preludetx.com.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150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JOBS Act. An emerging growth company may take advantage of reduced reporting requirements that are otherwise applicable to public companies. These provisions include, but are not limited to:</w:t>
      </w:r>
    </w:p>
    <w:p>
      <w:pPr>
        <w:spacing w:after="0" w:line="89" w:lineRule="exact"/>
        <w:rPr>
          <w:sz w:val="20"/>
          <w:szCs w:val="20"/>
          <w:color w:val="auto"/>
        </w:rPr>
      </w:pPr>
    </w:p>
    <w:p>
      <w:pPr>
        <w:ind w:left="1240" w:hanging="523"/>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w:t>
      </w:r>
    </w:p>
    <w:p>
      <w:pPr>
        <w:spacing w:after="0" w:line="89"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on the effectiveness of our internal controls over financial reporting;</w:t>
      </w:r>
    </w:p>
    <w:p>
      <w:pPr>
        <w:spacing w:after="0" w:line="75" w:lineRule="exact"/>
        <w:rPr>
          <w:rFonts w:ascii="Arial" w:cs="Arial" w:eastAsia="Arial" w:hAnsi="Arial"/>
          <w:sz w:val="18"/>
          <w:szCs w:val="18"/>
          <w:color w:val="auto"/>
        </w:rPr>
      </w:pPr>
    </w:p>
    <w:p>
      <w:pPr>
        <w:ind w:left="1240" w:right="70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arrangements in our periodic reports, proxy statements and registration statements, including this prospectus; and</w:t>
      </w:r>
    </w:p>
    <w:p>
      <w:pPr>
        <w:spacing w:after="0" w:line="75" w:lineRule="exact"/>
        <w:rPr>
          <w:rFonts w:ascii="Arial" w:cs="Arial" w:eastAsia="Arial" w:hAnsi="Arial"/>
          <w:sz w:val="18"/>
          <w:szCs w:val="18"/>
          <w:color w:val="auto"/>
        </w:rPr>
      </w:pPr>
    </w:p>
    <w:p>
      <w:pPr>
        <w:ind w:left="1240" w:right="6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We may use these provisions until December 31, 2025. However, if certain events occur prior to December 31, 2025,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84" w:lineRule="exact"/>
        <w:rPr>
          <w:sz w:val="20"/>
          <w:szCs w:val="20"/>
          <w:color w:val="auto"/>
        </w:rPr>
      </w:pPr>
    </w:p>
    <w:p>
      <w:pPr>
        <w:jc w:val="both"/>
        <w:ind w:left="300" w:right="160" w:firstLine="426"/>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9"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issued subsequent to the enactment of the JOBS Act until such time as those standards apply to private companies.</w:t>
      </w:r>
    </w:p>
    <w:p>
      <w:pPr>
        <w:spacing w:after="0" w:line="170" w:lineRule="exact"/>
        <w:rPr>
          <w:sz w:val="20"/>
          <w:szCs w:val="20"/>
          <w:color w:val="auto"/>
        </w:rPr>
      </w:pPr>
    </w:p>
    <w:p>
      <w:pPr>
        <w:ind w:left="300" w:right="200" w:firstLine="426"/>
        <w:spacing w:after="0" w:line="279" w:lineRule="auto"/>
        <w:rPr>
          <w:sz w:val="20"/>
          <w:szCs w:val="20"/>
          <w:color w:val="auto"/>
        </w:rPr>
      </w:pPr>
      <w:r>
        <w:rPr>
          <w:rFonts w:ascii="Arial" w:cs="Arial" w:eastAsia="Arial" w:hAnsi="Arial"/>
          <w:sz w:val="17"/>
          <w:szCs w:val="17"/>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We will remain an emerging growth company until the earliest of (1) the last day of our first fiscal year (a) in which we have total annual gross revenues of at least $1.07 billion, or (b) in which we are deemed to be a large accelerated filer, which means the market value of our common stock that is held by non-affiliates exceeds $700.0 million as of the prior June 30th, (2) the date on which we have issued more than $1.0 billion in non-convertible debt securities during the prior three-year period and (3) December 31, 2025.</w:t>
      </w:r>
    </w:p>
    <w:p>
      <w:pPr>
        <w:spacing w:after="0" w:line="171" w:lineRule="exact"/>
        <w:rPr>
          <w:sz w:val="20"/>
          <w:szCs w:val="20"/>
          <w:color w:val="auto"/>
        </w:rPr>
      </w:pPr>
    </w:p>
    <w:p>
      <w:pPr>
        <w:ind w:left="300" w:right="120" w:firstLine="426"/>
        <w:spacing w:after="0" w:line="275"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835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835660"/>
                    </a:xfrm>
                    <a:prstGeom prst="rect">
                      <a:avLst/>
                    </a:prstGeom>
                    <a:noFill/>
                  </pic:spPr>
                </pic:pic>
              </a:graphicData>
            </a:graphic>
          </wp:anchor>
        </w:drawing>
      </w:r>
    </w:p>
    <w:p>
      <w:pPr>
        <w:spacing w:after="0" w:line="312" w:lineRule="exact"/>
        <w:rPr>
          <w:sz w:val="20"/>
          <w:szCs w:val="20"/>
          <w:color w:val="auto"/>
        </w:rPr>
      </w:pPr>
    </w:p>
    <w:p>
      <w:pPr>
        <w:ind w:left="300"/>
        <w:spacing w:after="0" w:line="301" w:lineRule="auto"/>
        <w:rPr>
          <w:sz w:val="20"/>
          <w:szCs w:val="20"/>
          <w:color w:val="auto"/>
        </w:rPr>
      </w:pPr>
      <w:r>
        <w:rPr>
          <w:rFonts w:ascii="Arial" w:cs="Arial" w:eastAsia="Arial" w:hAnsi="Arial"/>
          <w:sz w:val="16"/>
          <w:szCs w:val="16"/>
          <w:color w:val="auto"/>
        </w:rPr>
        <w:t>$700.0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Confidential Treatment Requested by Prelude Therapeutics Incorporated</w:t>
      </w:r>
    </w:p>
    <w:p>
      <w:pPr>
        <w:spacing w:after="0" w:line="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4993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4993005"/>
                    </a:xfrm>
                    <a:prstGeom prst="rect">
                      <a:avLst/>
                    </a:prstGeom>
                    <a:noFill/>
                  </pic:spPr>
                </pic:pic>
              </a:graphicData>
            </a:graphic>
          </wp:anchor>
        </w:drawing>
      </w:r>
    </w:p>
    <w:p>
      <w:pPr>
        <w:spacing w:after="0" w:line="30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offered by us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common stock to be outstanding immediately after this offering</w:t>
      </w: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Nasdaq Global Select Market symbol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have granted the underwriters an option, exercisable for 30 days after the date of this prospectus, to purchase up to an additional</w:t>
      </w:r>
    </w:p>
    <w:p>
      <w:pPr>
        <w:ind w:right="100" w:firstLine="720"/>
        <w:spacing w:after="0" w:line="260" w:lineRule="auto"/>
        <w:rPr>
          <w:sz w:val="20"/>
          <w:szCs w:val="20"/>
          <w:color w:val="auto"/>
        </w:rPr>
      </w:pPr>
      <w:r>
        <w:rPr>
          <w:rFonts w:ascii="Arial" w:cs="Arial" w:eastAsia="Arial" w:hAnsi="Arial"/>
          <w:sz w:val="18"/>
          <w:szCs w:val="18"/>
          <w:color w:val="auto"/>
        </w:rPr>
        <w:t>shares from us at the public offering price per share less the underwriting discounts and commissions.</w:t>
      </w:r>
    </w:p>
    <w:p>
      <w:pPr>
        <w:spacing w:after="0" w:line="253" w:lineRule="exact"/>
        <w:rPr>
          <w:sz w:val="20"/>
          <w:szCs w:val="20"/>
          <w:color w:val="auto"/>
        </w:rPr>
      </w:pPr>
    </w:p>
    <w:p>
      <w:pPr>
        <w:ind w:left="540"/>
        <w:spacing w:after="0"/>
        <w:tabs>
          <w:tab w:leader="none" w:pos="194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their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additional shares in full).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from this offering will be</w:t>
      </w:r>
    </w:p>
    <w:p>
      <w:pPr>
        <w:spacing w:after="0" w:line="23" w:lineRule="exact"/>
        <w:rPr>
          <w:sz w:val="20"/>
          <w:szCs w:val="20"/>
          <w:color w:val="auto"/>
        </w:rPr>
      </w:pPr>
    </w:p>
    <w:p>
      <w:pPr>
        <w:spacing w:after="0"/>
        <w:tabs>
          <w:tab w:leader="none" w:pos="1520" w:val="left"/>
          <w:tab w:leader="none" w:pos="38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7"/>
          <w:szCs w:val="17"/>
          <w:color w:val="auto"/>
        </w:rPr>
        <w:t>million if the</w:t>
      </w:r>
    </w:p>
    <w:p>
      <w:pPr>
        <w:spacing w:after="0" w:line="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underwriters exercise their option to purchase additional shares in full), based upon the assumed public offering price of $ per share, which was the last reported sale price of our common stock on the</w:t>
      </w:r>
    </w:p>
    <w:p>
      <w:pPr>
        <w:spacing w:after="0"/>
        <w:tabs>
          <w:tab w:leader="none" w:pos="3040" w:val="left"/>
        </w:tabs>
        <w:rPr>
          <w:sz w:val="20"/>
          <w:szCs w:val="20"/>
          <w:color w:val="auto"/>
        </w:rPr>
      </w:pPr>
      <w:r>
        <w:rPr>
          <w:rFonts w:ascii="Arial" w:cs="Arial" w:eastAsia="Arial" w:hAnsi="Arial"/>
          <w:sz w:val="18"/>
          <w:szCs w:val="18"/>
          <w:color w:val="auto"/>
        </w:rPr>
        <w:t>Nasdaq Global Select Market on</w:t>
      </w:r>
      <w:r>
        <w:rPr>
          <w:sz w:val="20"/>
          <w:szCs w:val="20"/>
          <w:color w:val="auto"/>
        </w:rPr>
        <w:tab/>
      </w:r>
      <w:r>
        <w:rPr>
          <w:rFonts w:ascii="Arial" w:cs="Arial" w:eastAsia="Arial" w:hAnsi="Arial"/>
          <w:sz w:val="16"/>
          <w:szCs w:val="16"/>
          <w:color w:val="auto"/>
        </w:rPr>
        <w:t>, 2021, after deducting the</w:t>
      </w:r>
    </w:p>
    <w:p>
      <w:pPr>
        <w:spacing w:after="0" w:line="9"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estimated underwriting discounts and commissions and estimated offering expenses payable by us.</w:t>
      </w:r>
    </w:p>
    <w:p>
      <w:pPr>
        <w:spacing w:after="0" w:line="3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intend to use the net proceeds from this offering, together with our existing cash and cash equivalents, to advance the clinical development of PRT543, PRT811, PRT1419 and PRT2527 and to fund further development of our preclinical programs towards IND filings and/or into clinical trials and to fund working capital and general corporate purposes. See the section entitled “Use of Proceeds.”</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two classes of common stock: the voting common stock and non-voting common stock. For a description of the rights of the voting common stock and non-voting common stock, see “Description of Capital Stock.”</w:t>
      </w:r>
    </w:p>
    <w:p>
      <w:pPr>
        <w:spacing w:after="0" w:line="3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You should read the section entitled “Risk Factors” in this prospectus for a discussion of factors that you should consider carefully before deciding to invest in shares of our common stock.</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“PRLD”</w:t>
      </w:r>
    </w:p>
    <w:p>
      <w:pPr>
        <w:spacing w:after="0" w:line="200" w:lineRule="exact"/>
        <w:rPr>
          <w:sz w:val="20"/>
          <w:szCs w:val="20"/>
          <w:color w:val="auto"/>
        </w:rPr>
      </w:pPr>
    </w:p>
    <w:p>
      <w:pPr>
        <w:sectPr>
          <w:pgSz w:w="11900" w:h="16838" w:orient="portrait"/>
          <w:cols w:equalWidth="0" w:num="2">
            <w:col w:w="5300" w:space="540"/>
            <w:col w:w="5100"/>
          </w:cols>
          <w:pgMar w:left="320" w:top="459" w:right="6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940"/>
          </w:cols>
          <w:pgMar w:left="320" w:top="459" w:right="6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3004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3004185"/>
                    </a:xfrm>
                    <a:prstGeom prst="rect">
                      <a:avLst/>
                    </a:prstGeom>
                    <a:noFill/>
                  </pic:spPr>
                </pic:pic>
              </a:graphicData>
            </a:graphic>
          </wp:anchor>
        </w:drawing>
      </w:r>
    </w:p>
    <w:p>
      <w:pPr>
        <w:spacing w:after="0" w:line="312" w:lineRule="exact"/>
        <w:rPr>
          <w:sz w:val="20"/>
          <w:szCs w:val="20"/>
          <w:color w:val="auto"/>
        </w:rPr>
      </w:pPr>
    </w:p>
    <w:p>
      <w:pPr>
        <w:jc w:val="both"/>
        <w:ind w:left="300" w:right="40" w:firstLine="426"/>
        <w:spacing w:after="0" w:line="263" w:lineRule="auto"/>
        <w:rPr>
          <w:sz w:val="20"/>
          <w:szCs w:val="20"/>
          <w:color w:val="auto"/>
        </w:rPr>
      </w:pPr>
      <w:r>
        <w:rPr>
          <w:rFonts w:ascii="Arial" w:cs="Arial" w:eastAsia="Arial" w:hAnsi="Arial"/>
          <w:sz w:val="18"/>
          <w:szCs w:val="18"/>
          <w:color w:val="auto"/>
        </w:rPr>
        <w:t>The number of shares of our common stock and non-voting common stock to be outstanding after this offering is based on 43,703,381 shares of our common stock outstanding as of September 30, 2020 (including 1,312,024 unvested restricted shares outstanding as of September 30, 2020) and excludes:</w:t>
      </w:r>
    </w:p>
    <w:p>
      <w:pPr>
        <w:spacing w:after="0" w:line="89" w:lineRule="exact"/>
        <w:rPr>
          <w:sz w:val="20"/>
          <w:szCs w:val="20"/>
          <w:color w:val="auto"/>
        </w:rPr>
      </w:pPr>
    </w:p>
    <w:p>
      <w:pPr>
        <w:jc w:val="both"/>
        <w:ind w:left="1240" w:right="120" w:hanging="523"/>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6,649,882 shares of common stock issuable upon the exercise of stock options outstanding as of September 30, 2020 under our 2016 Stock Incentive Plan, or the 2016 Plan, and our 2020 Equity Incentive Plan, or the 2020 Plan, with a weighted average exercise price of $7.00 per share;</w:t>
      </w:r>
    </w:p>
    <w:p>
      <w:pPr>
        <w:spacing w:after="0" w:line="89" w:lineRule="exact"/>
        <w:rPr>
          <w:rFonts w:ascii="Arial" w:cs="Arial" w:eastAsia="Arial" w:hAnsi="Arial"/>
          <w:sz w:val="18"/>
          <w:szCs w:val="18"/>
          <w:color w:val="auto"/>
        </w:rPr>
      </w:pPr>
    </w:p>
    <w:p>
      <w:pPr>
        <w:ind w:left="1240" w:right="26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127,000 shares of common stock issuable upon the exercise of stock options granted after September 30, 2020 under the 2020 Plan with an exercise price of $52.90; and</w:t>
      </w:r>
    </w:p>
    <w:p>
      <w:pPr>
        <w:spacing w:after="0" w:line="75" w:lineRule="exact"/>
        <w:rPr>
          <w:rFonts w:ascii="Arial" w:cs="Arial" w:eastAsia="Arial" w:hAnsi="Arial"/>
          <w:sz w:val="18"/>
          <w:szCs w:val="18"/>
          <w:color w:val="auto"/>
        </w:rPr>
      </w:pPr>
    </w:p>
    <w:p>
      <w:pPr>
        <w:ind w:left="1240" w:hanging="523"/>
        <w:spacing w:after="0" w:line="275"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5,197,407 shares of common stock reserved for future issuance as of September 30, 2020 under our stock-based compensation plans, consisting of (i) 4,677,407 shares of common stock reserved for future issuance under the 2020 Plan, and (ii) 520,000 shares of common stock reserved for future issuance under our 2020 Employee Stock Purchase Plan, or the ESPP. Our 2020 Plan and ESPP also provide for automatic annual increases in the number of shares reserved under the plans each year, as more fully described in “Executive Compensation—Equity Compensation Plans and Other Benefit Plans.”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as otherwise indicated, all information in this prospectus assumes or gives effect to:</w:t>
      </w:r>
    </w:p>
    <w:p>
      <w:pPr>
        <w:spacing w:after="0" w:line="131" w:lineRule="exact"/>
        <w:rPr>
          <w:sz w:val="20"/>
          <w:szCs w:val="20"/>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outstanding options after September 30, 2020;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4710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4710430"/>
                    </a:xfrm>
                    <a:prstGeom prst="rect">
                      <a:avLst/>
                    </a:prstGeom>
                    <a:noFill/>
                  </pic:spPr>
                </pic:pic>
              </a:graphicData>
            </a:graphic>
          </wp:anchor>
        </w:drawing>
      </w:r>
    </w:p>
    <w:p>
      <w:pPr>
        <w:spacing w:after="0" w:line="30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20" w:firstLine="426"/>
        <w:spacing w:after="0" w:line="287" w:lineRule="auto"/>
        <w:rPr>
          <w:sz w:val="20"/>
          <w:szCs w:val="20"/>
          <w:color w:val="auto"/>
        </w:rPr>
      </w:pPr>
      <w:r>
        <w:rPr>
          <w:rFonts w:ascii="Arial" w:cs="Arial" w:eastAsia="Arial" w:hAnsi="Arial"/>
          <w:sz w:val="16"/>
          <w:szCs w:val="16"/>
          <w:color w:val="auto"/>
        </w:rPr>
        <w:t>The following tables set forth our summary statements of operations and balance sheet data. The summary statement of operations data presented below for the years ended December 31, 2018 and 2019 are derived from our audited financial statements included elsewhere in this prospectus. The summary statement of operations data for the nine months ended September 30, 2019 and 2020 and balance sheet data as of September 30, 2020 are derived from our unaudited interim financial statements included elsewhere in this prospectus. The unaudited interim financial statements, in management’s opinion, have been prepared on the same basis as the audited financial statements and the related notes included elsewhere in this prospectus, and include all adjustments, consisting only of normal recurring adjustments, that management considers necessary for a fair presentation of the information for the periods presented. The following summary financial data should be read in conjunction with “Selected Financial Data,”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nine months ended September 30, 2020 are not necessarily indicative of the results that may be expected for the year ended December 31, 2020. The summary financial data in this section are not intended to replace our financial statements and are qualified in their entirety by the financial statements and related notes included elsewhere in this prospectus.</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restart"/>
          </w:tcPr>
          <w:p>
            <w:pPr>
              <w:jc w:val="right"/>
              <w:ind w:right="252"/>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gridSpan w:val="2"/>
            <w:vMerge w:val="continue"/>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15,430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23"/>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2,354</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3,830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2,584</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14,975</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28,109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18,014</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39,317</w:t>
            </w:r>
          </w:p>
        </w:tc>
        <w:tc>
          <w:tcPr>
            <w:tcW w:w="0" w:type="dxa"/>
            <w:vAlign w:val="bottom"/>
          </w:tcPr>
          <w:p>
            <w:pPr>
              <w:spacing w:after="0"/>
              <w:rPr>
                <w:sz w:val="1"/>
                <w:szCs w:val="1"/>
                <w:color w:val="auto"/>
              </w:rPr>
            </w:pPr>
          </w:p>
        </w:tc>
      </w:tr>
      <w:tr>
        <w:trPr>
          <w:trHeight w:val="223"/>
        </w:trPr>
        <w:tc>
          <w:tcPr>
            <w:tcW w:w="5300" w:type="dxa"/>
            <w:vAlign w:val="bottom"/>
            <w:gridSpan w:val="2"/>
          </w:tcPr>
          <w:p>
            <w:pPr>
              <w:ind w:left="720"/>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(14,975)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(28,109)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(18,014)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(39,317)</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483</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(14,680)</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(27,570)</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information: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Net loss per share of common stock, basic and diluted</w:t>
            </w:r>
            <w:r>
              <w:rPr>
                <w:rFonts w:ascii="Arial" w:cs="Arial" w:eastAsia="Arial" w:hAnsi="Arial"/>
                <w:sz w:val="15"/>
                <w:szCs w:val="15"/>
                <w:color w:val="auto"/>
              </w:rPr>
              <w:t>(1)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Weighted average common shares outstanding, basic and diluted</w:t>
            </w:r>
            <w:r>
              <w:rPr>
                <w:rFonts w:ascii="Arial" w:cs="Arial" w:eastAsia="Arial" w:hAnsi="Arial"/>
                <w:sz w:val="15"/>
                <w:szCs w:val="15"/>
                <w:color w:val="auto"/>
                <w:w w:val="97"/>
              </w:rPr>
              <w:t>(1)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1,402,928</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1,668,549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87"/>
              </w:rPr>
              <w:t>1,622,546</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2,380,100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580" w:hanging="422"/>
        <w:spacing w:after="0" w:line="34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Note 3 to our financial statements included elsewhere in this prospectus for a description of how we compute net loss per share of common stock, basic and diluted and the weighted average shares outstanding used in the computation of these per share amounts.</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3081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3081655"/>
                    </a:xfrm>
                    <a:prstGeom prst="rect">
                      <a:avLst/>
                    </a:prstGeom>
                    <a:noFill/>
                  </pic:spPr>
                </pic:pic>
              </a:graphicData>
            </a:graphic>
          </wp:anchor>
        </w:drawing>
      </w:r>
    </w:p>
    <w:p>
      <w:pPr>
        <w:spacing w:after="0" w:line="30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20" w:type="dxa"/>
            <w:vAlign w:val="bottom"/>
          </w:tcPr>
          <w:p>
            <w:pPr>
              <w:spacing w:after="0"/>
              <w:rPr>
                <w:sz w:val="14"/>
                <w:szCs w:val="14"/>
                <w:color w:val="auto"/>
              </w:rPr>
            </w:pPr>
          </w:p>
        </w:tc>
        <w:tc>
          <w:tcPr>
            <w:tcW w:w="1920" w:type="dxa"/>
            <w:vAlign w:val="bottom"/>
            <w:gridSpan w:val="4"/>
          </w:tcPr>
          <w:p>
            <w:pPr>
              <w:ind w:left="140"/>
              <w:spacing w:after="0"/>
              <w:rPr>
                <w:sz w:val="20"/>
                <w:szCs w:val="20"/>
                <w:color w:val="auto"/>
              </w:rPr>
            </w:pPr>
            <w:r>
              <w:rPr>
                <w:rFonts w:ascii="Arial" w:cs="Arial" w:eastAsia="Arial" w:hAnsi="Arial"/>
                <w:sz w:val="14"/>
                <w:szCs w:val="14"/>
                <w:b w:val="1"/>
                <w:bCs w:val="1"/>
                <w:color w:val="auto"/>
              </w:rPr>
              <w:t>As of September 30, 2020</w:t>
            </w:r>
          </w:p>
        </w:tc>
        <w:tc>
          <w:tcPr>
            <w:tcW w:w="0" w:type="dxa"/>
            <w:vAlign w:val="bottom"/>
          </w:tcPr>
          <w:p>
            <w:pPr>
              <w:spacing w:after="0"/>
              <w:rPr>
                <w:sz w:val="1"/>
                <w:szCs w:val="1"/>
                <w:color w:val="auto"/>
              </w:rPr>
            </w:pPr>
          </w:p>
        </w:tc>
      </w:tr>
      <w:tr>
        <w:trPr>
          <w:trHeight w:val="142"/>
        </w:trPr>
        <w:tc>
          <w:tcPr>
            <w:tcW w:w="53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9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Actual</w:t>
            </w:r>
          </w:p>
        </w:tc>
        <w:tc>
          <w:tcPr>
            <w:tcW w:w="9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3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$ 234,792</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226,702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Total assets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239,681</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228,307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320" w:hanging="419"/>
        <w:spacing w:after="0" w:line="268" w:lineRule="auto"/>
        <w:tabs>
          <w:tab w:leader="none" w:pos="700" w:val="left"/>
        </w:tabs>
        <w:rPr>
          <w:sz w:val="20"/>
          <w:szCs w:val="20"/>
          <w:color w:val="auto"/>
        </w:rPr>
      </w:pPr>
      <w:r>
        <w:rPr>
          <w:rFonts w:ascii="Arial" w:cs="Arial" w:eastAsia="Arial" w:hAnsi="Arial"/>
          <w:sz w:val="17"/>
          <w:szCs w:val="17"/>
          <w:color w:val="auto"/>
        </w:rPr>
        <w:t>(1)</w:t>
        <w:tab/>
        <w:t>As adjusted amounts reflect the sale of shares of our common stock by us in this offering at the assumed public offering price of $ per share, which is the last reported sale price of our common stock on the Nasdaq Global Select Market on , 2021 after deducting the estimated underwriting discounts and commissions and estimated offering expenses. A $1.00 increase (decrease) in the assumed public offering price of $ per share, which is the last reported sale price of our common stock on the Nasdaq Global Select Market on , 2021, would increase (decrease) the as adjusted amount of each of cash and cash equivalents, working capital, total assets and total stockholders’ equity by $ million, assuming that the number of shares offered by us, as set forth on the cover of this</w:t>
      </w:r>
    </w:p>
    <w:p>
      <w:pPr>
        <w:spacing w:after="0" w:line="1" w:lineRule="exact"/>
        <w:rPr>
          <w:sz w:val="20"/>
          <w:szCs w:val="20"/>
          <w:color w:val="auto"/>
        </w:rPr>
      </w:pPr>
    </w:p>
    <w:p>
      <w:pPr>
        <w:ind w:left="720" w:right="600"/>
        <w:spacing w:after="0" w:line="281" w:lineRule="auto"/>
        <w:rPr>
          <w:sz w:val="20"/>
          <w:szCs w:val="20"/>
          <w:color w:val="auto"/>
        </w:rPr>
      </w:pPr>
      <w:r>
        <w:rPr>
          <w:rFonts w:ascii="Arial" w:cs="Arial" w:eastAsia="Arial" w:hAnsi="Arial"/>
          <w:sz w:val="16"/>
          <w:szCs w:val="16"/>
          <w:color w:val="auto"/>
        </w:rPr>
        <w:t>prospectus, remains the same and after deducting estimated underwriting discounts and commissions and estimated offering expenses payable by us. Similarly, each increase (decrease) of 1,000,000 in the number of shares offered by us in this offering would increase (decrease) the as adjusted amount of each of cash and cash equivalents, working capital, total assets and total stockholders’ equity by</w:t>
      </w:r>
    </w:p>
    <w:p>
      <w:pPr>
        <w:spacing w:after="0" w:line="2" w:lineRule="exact"/>
        <w:rPr>
          <w:sz w:val="20"/>
          <w:szCs w:val="20"/>
          <w:color w:val="auto"/>
        </w:rPr>
      </w:pPr>
    </w:p>
    <w:p>
      <w:pPr>
        <w:ind w:left="720" w:right="880"/>
        <w:spacing w:after="0" w:line="250" w:lineRule="auto"/>
        <w:rPr>
          <w:sz w:val="20"/>
          <w:szCs w:val="20"/>
          <w:color w:val="auto"/>
        </w:rPr>
      </w:pPr>
      <w:r>
        <w:rPr>
          <w:rFonts w:ascii="Arial" w:cs="Arial" w:eastAsia="Arial" w:hAnsi="Arial"/>
          <w:sz w:val="18"/>
          <w:szCs w:val="18"/>
          <w:color w:val="auto"/>
        </w:rPr>
        <w:t>$ million, assuming the assumed public offering price remains the same and after deducting estimated underwriting discounts commissions and estimated offering expenses payable by us.</w:t>
      </w:r>
    </w:p>
    <w:p>
      <w:pPr>
        <w:ind w:left="720" w:right="140" w:hanging="422"/>
        <w:spacing w:after="0" w:line="26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financial statements and related notes appearing at the end of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76"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Investment in drug development is a highly speculative undertaking and involves a substantial degree of risk. We commenced operations in 2016 and are a clinical-stage biopharmaceutical company with a limited operating history. We have not yet commercialized any product and we do not expect to generate revenue from sales of any products for several years, if at all. Consequently, there have been limited operations upon which we or you can evaluate our business, and predictions about our future success or viability may not be as accurate as they could be if we had a longer operating history or a history of successfully developing and commercializing cancer therapies. For the year ended December 31, 2019, we reported a net loss of</w:t>
      </w:r>
    </w:p>
    <w:p>
      <w:pPr>
        <w:spacing w:after="0" w:line="2"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$27.6 million. For the three and nine months ended September 30, 2020, we reported a net loss of $16.8 million and $37.7 million, respectively. As of September 30, 2020, we had an accumulated deficit of $88.2 million. We expect to continue to incur significant research and development and other expenses related to our ongoing operations.</w:t>
      </w:r>
    </w:p>
    <w:p>
      <w:pPr>
        <w:spacing w:after="0" w:line="19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Since our inception, we have focused substantially all of our efforts and financial resources on the research, preclinical and clinical development of our product candidates, PRT543, PRT811 and PRT1419, and our research efforts on other potential product candidates targeting Protein Arginine Methyltransferase 5, or PRMT5, Myeloid Cell Leukemia Sequence 1, or MCL1, Cyclin-dependent kinase 9, or CDK9, and Brahma homologue, or BRM, otherwise known as SMARCA2. To date, we have funded our operations with proceeds from sales of shares of our convertible preferred stock and common stock in our initial public offering, or the IPO. From inception through September 30, 2020, we received an aggregate of $311.0 million in net proceeds from such sales. As of September 30, 2020, our cash and cash equivalents were $234.8 million.</w:t>
      </w:r>
    </w:p>
    <w:p>
      <w:pPr>
        <w:spacing w:after="0" w:line="16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expect to incur increasing levels of operating losses for the foreseeable future, particularly as we advance PRT543, PRT811 and PRT1419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and the planned expansion cohorts of PRT543 and PRT811, the ongoing Phase 1 clinical trial for PRT1419 and development and subsequent INDs of other future product candidates we may choose to pursue, including PRT2527, our CDK9 inhibitor, a SMARCA2 protein degrader and a kinase inhibitor. In addition, if we obtain marketing approval for PRT543, PRT811, PRT1419 or another product candidate, we will incur significant sales, marketing and outsourced manufacturing expenses in connection with the commercialization of PRT543, PRT811, PRT1419 or such other product candidate, respectively.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PRT543, PRT811, PRT1419 or another product candidate. Our ability to generate revenue depends on a number of factors, including, but not limited to, our ability to:</w:t>
      </w:r>
    </w:p>
    <w:p>
      <w:pPr>
        <w:spacing w:after="0" w:line="9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complete successful Phase 1 portions of PRT543. PRT811 and PRT1419 clinical trials;</w:t>
      </w:r>
    </w:p>
    <w:p>
      <w:pPr>
        <w:spacing w:after="0" w:line="130" w:lineRule="exact"/>
        <w:rPr>
          <w:rFonts w:ascii="Arial" w:cs="Arial" w:eastAsia="Arial" w:hAnsi="Arial"/>
          <w:sz w:val="18"/>
          <w:szCs w:val="18"/>
          <w:color w:val="auto"/>
        </w:rPr>
      </w:pPr>
    </w:p>
    <w:p>
      <w:pPr>
        <w:ind w:left="1080" w:right="100" w:hanging="532"/>
        <w:spacing w:after="0" w:line="31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initiate and successfully complete all safety, pharmacokinetic and other studies required to obtain U.S. and foreign marketing approval for PRT543 as a treatment for patients with hematological malignancies and advanced solid tumors, PRT811 as a treatment for patients with glioblastoma and advanced solid tumors and PRT1419 as a treatment for patients with certain hematological malignancies;</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 favorable results from our clinical trials and apply for and obtain marketing approval for PRT543, PRT811 and PRT1419;</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may increase the value of our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successfully manufacture or contract with others to manufacture PRT543, PRT811, PRT1419 and our other product candidates;</w:t>
      </w:r>
    </w:p>
    <w:p>
      <w:pPr>
        <w:spacing w:after="0" w:line="142" w:lineRule="exact"/>
        <w:rPr>
          <w:rFonts w:ascii="Arial" w:cs="Arial" w:eastAsia="Arial" w:hAnsi="Arial"/>
          <w:sz w:val="17"/>
          <w:szCs w:val="17"/>
          <w:color w:val="auto"/>
        </w:rPr>
      </w:pPr>
    </w:p>
    <w:p>
      <w:pPr>
        <w:ind w:left="1080" w:right="22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commercialize PRT543, PRT811, PRT1419, if approved, respectively, by building a sales force or entering into collaborations with third parties;</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 INDs for PRT2527 and the SMARCA2 protein degrader that are made effective by the U.S. Food and Drug Administration, or the FDA;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 and</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market acceptance of PRT543, PRT811, PRT1419 and our other successful product candidates with the medical community and with third-party payors.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95" w:lineRule="exact"/>
        <w:rPr>
          <w:sz w:val="20"/>
          <w:szCs w:val="20"/>
          <w:color w:val="auto"/>
        </w:rPr>
      </w:pPr>
    </w:p>
    <w:p>
      <w:pPr>
        <w:ind w:left="560" w:right="22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advance our product candidates, PRT543, PRT811 and PRT1419, and other pipeline product candidates through clinical development, and seek to design additional product candidates from our discovery programs. We expect increased expenses as we continue our research and development,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that the net proceeds from this offering, together with our existing cash and cash equivalents will enable us to fund our operating</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expenses, and capital expenditure requirements into .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22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timing and results of preclinical studies and clinical trials for our current or any future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 and other indications for our current product candidates that we may pursue;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14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and distribution capabilities;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PRT543, PRT811, PRT1419, or PRT2527 if any are approved, or our other pipeline product candidates that receive marketing approval;</w:t>
      </w:r>
    </w:p>
    <w:p>
      <w:pPr>
        <w:spacing w:after="0" w:line="75"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29"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 and</w:t>
      </w:r>
    </w:p>
    <w:p>
      <w:pPr>
        <w:spacing w:after="0" w:line="75"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we pursue strategic collaborations, including collaborations to commercialize PRT543, PRT811, PRT1419, PRT2527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8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Even if this offering is successful, 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272" w:lineRule="exact"/>
        <w:rPr>
          <w:sz w:val="20"/>
          <w:szCs w:val="20"/>
          <w:color w:val="auto"/>
        </w:rPr>
      </w:pPr>
    </w:p>
    <w:p>
      <w:pPr>
        <w:ind w:left="560" w:right="6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commercialization efforts or grant rights to third parties to develop and market product candidates that we would otherwise prefer to develop and market ourselves.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Design and Development of our Product Candidates</w:t>
      </w:r>
    </w:p>
    <w:p>
      <w:pPr>
        <w:spacing w:after="0" w:line="121" w:lineRule="exact"/>
        <w:rPr>
          <w:sz w:val="20"/>
          <w:szCs w:val="20"/>
          <w:color w:val="auto"/>
        </w:rPr>
      </w:pPr>
    </w:p>
    <w:p>
      <w:pPr>
        <w:jc w:val="both"/>
        <w:ind w:left="560" w:right="160"/>
        <w:spacing w:after="0" w:line="340" w:lineRule="auto"/>
        <w:rPr>
          <w:sz w:val="20"/>
          <w:szCs w:val="20"/>
          <w:color w:val="auto"/>
        </w:rPr>
      </w:pPr>
      <w:r>
        <w:rPr>
          <w:rFonts w:ascii="Arial" w:cs="Arial" w:eastAsia="Arial" w:hAnsi="Arial"/>
          <w:sz w:val="15"/>
          <w:szCs w:val="15"/>
          <w:b w:val="1"/>
          <w:bCs w:val="1"/>
          <w:i w:val="1"/>
          <w:iCs w:val="1"/>
          <w:color w:val="auto"/>
        </w:rPr>
        <w:t>We are highly dependent on the success of our product candidates, PRT543, PRT811 and PRT1419, which are in early clinical development, and PRT2527, which is in preclinical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23"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Our future success is highly dependent on our ability to obtain regulatory approval for, and then successfully commercialize, our product candidates, PRT543, PRT811 and PRT1419. We are early in our development efforts and our lead product candidates, PRT543, PRT811 and PRT1419, are each currently in a Phase 1 clinical trial. Our other product candidates, including PRT2527, are in earlier stages of development. We currently have no products that are approved for sale in any jurisdiction. There can be no assurance that PRT543, PRT811, PRT1419, PRT2527 or our other product candidates in development will achieve success in their clinical trials or obtain regulatory approval.</w:t>
      </w:r>
    </w:p>
    <w:p>
      <w:pPr>
        <w:spacing w:after="0" w:line="17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Our ability to generate product revenues, which we do not expect will occur for many years, if ever, will depend heavily on the successful development and eventual commercialization of PRT543, PRT811, PRT1419, PRT2527 or other product candidates in development. The success of our product candidates, including PRT543, PRT811, PRT1419 and PRT2527, will depend on several factors, including the following:</w:t>
      </w:r>
    </w:p>
    <w:p>
      <w:pPr>
        <w:spacing w:after="0" w:line="71"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INDs by the FDA or other similar clinical trial applications from foreign regulatory authorities for our future clinical trials for our pipeline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or that of our collaborators, to develop and obtain clearance or approval of companion diagnostics, on a timely basis, or at all;</w:t>
      </w:r>
    </w:p>
    <w:p>
      <w:pPr>
        <w:spacing w:after="0" w:line="153" w:lineRule="exact"/>
        <w:rPr>
          <w:rFonts w:ascii="Arial" w:cs="Arial" w:eastAsia="Arial" w:hAnsi="Arial"/>
          <w:sz w:val="16"/>
          <w:szCs w:val="16"/>
          <w:color w:val="auto"/>
        </w:rPr>
      </w:pPr>
    </w:p>
    <w:p>
      <w:pPr>
        <w:ind w:left="1080" w:right="3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130"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patent, trade secret and other intellectual property protection and regulatory exclusivity for our product candidates;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and implementing marketing and reimbursement strategies;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third-party payor coverage and adequate reimbursement;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PRT543, PRT811 or PRT1419, vary adversely from our expectations.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Drug development involves a lengthy and expensive process, and clinical testing is uncertain as to the outcome.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currently have three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1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 In addition, although we have observed encouraging clinical activity in the dose escalation portion of the Phase 1 portion of our ongoing PRT543 and PRT811 clinical trials, the primary objectives were to determine the safety, tolerability and maximum tolerated dose of PRT543 and PRT811, respectively, and to determine a recommended Phase 2 dose for the expansion portion of our Phase 1 clinical trials, and not to demonstrate efficacy. The assessments of clinical activity from this portion of the clinical trials, some of which were not pre-specified, may not be predictive of the results in dose expansion cohorts, specific tumor types or further clinical trials of PRT543 and PRT811. In addition, while we may believe certain results in patients, such as stable disease, suggest encouraging clinical activity, stable disease is not considered a response for regulatory purposes. Stable disease, or SD, is defined as failure to meet the definition of objective clinical response or progressive disease. Furthermore, safety events may be observed in later trials that alter the anticipated risk-benefit profiles of PRT543 and PRT811.</w:t>
      </w:r>
    </w:p>
    <w:p>
      <w:pPr>
        <w:spacing w:after="0" w:line="294" w:lineRule="exact"/>
        <w:rPr>
          <w:sz w:val="20"/>
          <w:szCs w:val="20"/>
          <w:color w:val="auto"/>
        </w:rPr>
      </w:pPr>
    </w:p>
    <w:p>
      <w:pPr>
        <w:ind w:left="560" w:right="1240"/>
        <w:spacing w:after="0" w:line="308" w:lineRule="auto"/>
        <w:rPr>
          <w:sz w:val="20"/>
          <w:szCs w:val="20"/>
          <w:color w:val="auto"/>
        </w:rPr>
      </w:pPr>
      <w:r>
        <w:rPr>
          <w:rFonts w:ascii="Arial" w:cs="Arial" w:eastAsia="Arial" w:hAnsi="Arial"/>
          <w:sz w:val="17"/>
          <w:szCs w:val="17"/>
          <w:b w:val="1"/>
          <w:bCs w:val="1"/>
          <w:i w:val="1"/>
          <w:iCs w:val="1"/>
          <w:color w:val="auto"/>
        </w:rPr>
        <w:t>We may incur additional costs or experience delays in completing, or ultimately be unable to complete the development and/or commercialization of PRT543, PRT811, PRT1419, PRT2527 or our other product candidates.</w:t>
      </w:r>
    </w:p>
    <w:p>
      <w:pPr>
        <w:spacing w:after="0" w:line="38"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89" w:lineRule="exact"/>
        <w:rPr>
          <w:sz w:val="20"/>
          <w:szCs w:val="20"/>
          <w:color w:val="auto"/>
        </w:rPr>
      </w:pPr>
    </w:p>
    <w:p>
      <w:pPr>
        <w:ind w:left="1080" w:right="30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may disagree as to the design or implementation of our clinical trials or with our recommended Phase 2 doses for any of our pipeline programs;</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CROs, and prospective trial sites;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for our product candidates may produce negative or inconclusive results, and we may decide, or regulators may require us, to conduct additional clinical trials, delay or halt clinical trials or abandon product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30"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92"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for clinical trial participants from investigational and approved therapies may make it more difficult to enroll patients in our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difficulties in maintaining contact with patients after treatment, resulting in incomplete data;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or third-party collaborators may fail to obtain regulatory approval of companion diagnostic tests, if required, on a timely basis, or at all;</w:t>
      </w:r>
    </w:p>
    <w:p>
      <w:pPr>
        <w:spacing w:after="0" w:line="153" w:lineRule="exact"/>
        <w:rPr>
          <w:rFonts w:ascii="Arial" w:cs="Arial" w:eastAsia="Arial" w:hAnsi="Arial"/>
          <w:sz w:val="16"/>
          <w:szCs w:val="16"/>
          <w:color w:val="auto"/>
        </w:rPr>
      </w:pPr>
    </w:p>
    <w:p>
      <w:pPr>
        <w:ind w:left="1080" w:right="40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third-party contractors may fail to meet their contractual obligations to us in a timely manner, or at all, or may fail to comply with regulatory requirements;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for our product candidates for various reasons, including a finding by us or by a Data Monitoring Committee for a trial that the participants are being exposed to unacceptable health risks;</w:t>
      </w:r>
    </w:p>
    <w:p>
      <w:pPr>
        <w:spacing w:after="0" w:line="75" w:lineRule="exact"/>
        <w:rPr>
          <w:rFonts w:ascii="Arial" w:cs="Arial" w:eastAsia="Arial" w:hAnsi="Arial"/>
          <w:sz w:val="18"/>
          <w:szCs w:val="18"/>
          <w:color w:val="auto"/>
        </w:rPr>
      </w:pPr>
    </w:p>
    <w:p>
      <w:pPr>
        <w:ind w:left="1080" w:right="98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have undesirable or unexpected side effects or other unexpected characteristics, causing us or our investigators, regulators or IRBs/ECs to suspend or terminate the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clinical trials for our product candidates may be greater than we anticipate;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Delays, including delays caused by the above factors, can be costly and could negatively affect our ability to complete a clinical trial or obtain timely marketing approvals. We do not know whether any of our planned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8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2"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This is acutely relevant for our development of PRT543 for the treatment of patients with myeloid malignancies and other solid tumors, including adenoid cystic carcinoma, or ACC, indications for which investigational drugs by our competitors are competing for clinical trial participants. Patient enrollment is also affected by other factors, including:</w:t>
      </w:r>
    </w:p>
    <w:p>
      <w:pPr>
        <w:spacing w:after="0" w:line="100"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invasive procedures required to enroll patients and to obtain evidence of the product candidate’s performance during the clinical trial;</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reluctance of physicians to encourage patient participation in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COVID-19 pandemic, may result in increased development costs, which would cause the value of our company to decline and limit our ability to obtain additional financing.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1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2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screening, enrolling and maintaining patients in our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or unwillingness of subjects to travel to the clinical trial sites;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difficulties, or incompleteness in data collection and analysis and other related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decreased implementation of protocol required clinical trial activities and quality of source data verification at clinical trial sites;</w:t>
      </w:r>
    </w:p>
    <w:p>
      <w:pPr>
        <w:spacing w:after="0" w:line="142" w:lineRule="exact"/>
        <w:rPr>
          <w:rFonts w:ascii="Arial" w:cs="Arial" w:eastAsia="Arial" w:hAnsi="Arial"/>
          <w:sz w:val="17"/>
          <w:szCs w:val="17"/>
          <w:color w:val="auto"/>
        </w:rPr>
      </w:pPr>
    </w:p>
    <w:p>
      <w:pPr>
        <w:ind w:left="1080" w:right="20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75"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89"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due to production shortages resulting from any events affecting raw material supply or manufacturing capabilities domestically and abroad;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75" w:lineRule="exact"/>
        <w:rPr>
          <w:rFonts w:ascii="Arial" w:cs="Arial" w:eastAsia="Arial" w:hAnsi="Arial"/>
          <w:sz w:val="18"/>
          <w:szCs w:val="18"/>
          <w:color w:val="auto"/>
        </w:rPr>
      </w:pPr>
    </w:p>
    <w:p>
      <w:pPr>
        <w:ind w:left="1080" w:right="460" w:hanging="532"/>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local regulations as part of a response to the COVID-19 pandemic which may require us to change the ways in which our clinical trials are conducted, which may result in unexpected costs, delays, or to discontinue the clinical trials altogether;</w:t>
      </w:r>
    </w:p>
    <w:p>
      <w:pPr>
        <w:spacing w:after="0" w:line="29"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of regulatory authorities such as FDA or European Medicines Agency, or EMA, to accept data from clinical trials in affected geographies; and</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CROs, CMOs and clinical sites as we seek to mitigate the impact of COVID-19 on our studies and current timelines. Measures we have taken in response to COVID-19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clinical trials and we may continue to experience some delays in our clinical trials and preclinical studies and delays in data collection and analysis.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EMA or other health authorities, which could result in delays in meetings related to planned or completed clinical trials and ultimately of reviews and approvals of our product candidates. The global COVID-19 pandemic continues to rapidly evolve. The extent to which the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304" w:lineRule="exact"/>
        <w:rPr>
          <w:sz w:val="20"/>
          <w:szCs w:val="20"/>
          <w:color w:val="auto"/>
        </w:rPr>
      </w:pPr>
    </w:p>
    <w:p>
      <w:pPr>
        <w:ind w:left="560" w:right="140"/>
        <w:spacing w:after="0" w:line="286"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PRT543, PRT811, PRT1419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is the case with pharmaceuticals generally, we have observed side effects and adverse events associated with our clinical product candidate, PRT543. These side effects included diarrhea, nausea and fatigue, but none of these side effects were considered related to PRT543. At the highest dose level of our clinical product candidate, PRT543, there were occurrences of grade 4 thrombocytopenia that were deemed related to PRT543, but the toxicity was reversible after a one to two week drug holiday and the affected patients remained on the study and were restarted at a lower dose. We have also observed side effects and adverse effects associated with PRT811. These side effects included nausea, constipation, vomiting and hyponatremia, but none of these side effects were considered related to PRT811.</w:t>
      </w:r>
    </w:p>
    <w:p>
      <w:pPr>
        <w:spacing w:after="0" w:line="17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1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Additionally, due to the high mortality rates of the cancers for which we are initially pursuing development and the pretreated nature of many patients in our ongoing clinical trials of PRT543, PRT811 and PRT1419, a material percentage of patients in these clinical trials may die during a trial, which could impact development of PRT543, PRT811 and PRT1419, respectively.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Any of these occurrences may harm our business, prospects, financial condition and results of operations significantly.</w:t>
      </w:r>
    </w:p>
    <w:p>
      <w:pPr>
        <w:spacing w:after="0" w:line="17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testing to confirm these determinations, require more restrictive labeling, or deny regulatory approval of the product candidate.</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8"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76"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89"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78" w:lineRule="exact"/>
        <w:rPr>
          <w:sz w:val="20"/>
          <w:szCs w:val="20"/>
          <w:color w:val="auto"/>
        </w:rPr>
      </w:pPr>
    </w:p>
    <w:p>
      <w:pPr>
        <w:ind w:left="560" w:right="120"/>
        <w:spacing w:after="0" w:line="342" w:lineRule="auto"/>
        <w:rPr>
          <w:sz w:val="20"/>
          <w:szCs w:val="20"/>
          <w:color w:val="auto"/>
        </w:rPr>
      </w:pPr>
      <w:r>
        <w:rPr>
          <w:rFonts w:ascii="Arial" w:cs="Arial" w:eastAsia="Arial" w:hAnsi="Arial"/>
          <w:sz w:val="16"/>
          <w:szCs w:val="16"/>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such as the preliminary data analysis for the Phase 1 dose expansion portions of our PRT543 and PRT811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after this offering. See the description of risks under the heading “Risks Related to our Common Stock and This Offering” for more disclosure related to the risk of volatility in our stock price.</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PRT543, PRT811 or PRT1419, or any other product candidates may be harmed, which could harm our business, financial condition, results of operations and prospects.</w:t>
      </w:r>
    </w:p>
    <w:p>
      <w:pPr>
        <w:spacing w:after="0" w:line="274"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successful in our efforts to design additional potential product candidates.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67"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target selection methodology used may not be successful in identifying potential product candidates;</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drugs that will obtain marketing approval or achieve market acceptance;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560" w:right="340"/>
        <w:spacing w:after="0" w:line="342" w:lineRule="auto"/>
        <w:rPr>
          <w:sz w:val="20"/>
          <w:szCs w:val="20"/>
          <w:color w:val="auto"/>
        </w:rPr>
      </w:pPr>
      <w:r>
        <w:rPr>
          <w:rFonts w:ascii="Arial" w:cs="Arial" w:eastAsia="Arial" w:hAnsi="Arial"/>
          <w:sz w:val="16"/>
          <w:szCs w:val="16"/>
          <w:b w:val="1"/>
          <w:bCs w:val="1"/>
          <w:i w:val="1"/>
          <w:iCs w:val="1"/>
          <w:color w:val="auto"/>
        </w:rPr>
        <w:t>The development and commercialization of pharmaceutical products are subject to extensive regulation, and we may not obtain regulatory approvals for PRT543, PRT811, PRT1419, PRT2527 or any other product candidates, on a timely basis or at all.</w:t>
      </w:r>
    </w:p>
    <w:p>
      <w:pPr>
        <w:spacing w:after="0" w:line="16"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PRT543, PRT811 and PRT1419,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Phase 1 clinical trials of PRT543 or PRT811 may be sufficient to support FDA approval of an NDA for PRT543 or PRT811, respectively, but the FDA may disagree with the sufficiency of our data and require additional clinical trials. Additionally, depending upon the results of the expansion portions of the Phase 1 clinical trials of PRT543 or PRT811, we may choose to seek Subpart H accelerated approval for PRT543 or PRT811, respectively, which would require completion of a confirmatory trial to validate the clinical benefit of the drug. Despite the time and expense associated with preclinical studies and clinical trials, failure can occur at any stage. The results of preclinical and early clinical trials of PRT543, PRT811, PRT1419, PRT2527 or any other product candidate may not be predictive of the results of our later-stage clinical trials.</w:t>
      </w:r>
    </w:p>
    <w:p>
      <w:pPr>
        <w:spacing w:after="0" w:line="18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FDA could delay, limit or deny approval of a product candidate for many reasons, including because the FDA:</w:t>
      </w:r>
    </w:p>
    <w:p>
      <w:pPr>
        <w:spacing w:after="0" w:line="131"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deem our product candidate to be safe and effective;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determines that the objective response rate, or ORR, and duration of response are not clinically meaningful;</w:t>
      </w:r>
    </w:p>
    <w:p>
      <w:pPr>
        <w:spacing w:after="0" w:line="130"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determine that population studied in the clinical trial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the specifications;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we experience delays in obtaining approval or if we fail to obtain approval of PRT543, PRT811 or PRT1419, our commercial prospects will be harmed and our ability to generate revenues will be materially impaired which would adversely affect our business, prospects, financial condition and results of operations.</w:t>
      </w:r>
    </w:p>
    <w:p>
      <w:pPr>
        <w:spacing w:after="0" w:line="292"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2"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17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60"/>
        <w:spacing w:after="0" w:line="279" w:lineRule="auto"/>
        <w:rPr>
          <w:sz w:val="20"/>
          <w:szCs w:val="20"/>
          <w:color w:val="auto"/>
        </w:rPr>
      </w:pPr>
      <w:r>
        <w:rPr>
          <w:rFonts w:ascii="Arial" w:cs="Arial" w:eastAsia="Arial" w:hAnsi="Arial"/>
          <w:sz w:val="17"/>
          <w:szCs w:val="17"/>
          <w:color w:val="auto"/>
        </w:rPr>
        <w:t>and/or fully enrolled prior to approval.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77" w:lineRule="exact"/>
        <w:rPr>
          <w:sz w:val="20"/>
          <w:szCs w:val="20"/>
          <w:color w:val="auto"/>
        </w:rPr>
      </w:pPr>
    </w:p>
    <w:p>
      <w:pPr>
        <w:ind w:left="1080" w:right="14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333" w:lineRule="exact"/>
        <w:rPr>
          <w:sz w:val="20"/>
          <w:szCs w:val="20"/>
          <w:color w:val="auto"/>
        </w:rPr>
      </w:pPr>
    </w:p>
    <w:p>
      <w:pPr>
        <w:jc w:val="both"/>
        <w:ind w:left="560" w:right="660"/>
        <w:spacing w:after="0" w:line="263" w:lineRule="auto"/>
        <w:rPr>
          <w:sz w:val="20"/>
          <w:szCs w:val="20"/>
          <w:color w:val="auto"/>
        </w:rPr>
      </w:pPr>
      <w:r>
        <w:rPr>
          <w:rFonts w:ascii="Arial" w:cs="Arial" w:eastAsia="Arial" w:hAnsi="Arial"/>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76"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apply for an orphan drug designation in the United States or other geographies for our product candidates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293" w:lineRule="exact"/>
        <w:rPr>
          <w:sz w:val="20"/>
          <w:szCs w:val="20"/>
          <w:color w:val="auto"/>
        </w:rPr>
      </w:pPr>
    </w:p>
    <w:p>
      <w:pPr>
        <w:ind w:left="560" w:right="40"/>
        <w:spacing w:after="0" w:line="375" w:lineRule="auto"/>
        <w:rPr>
          <w:sz w:val="20"/>
          <w:szCs w:val="20"/>
          <w:color w:val="auto"/>
        </w:rPr>
      </w:pPr>
      <w:r>
        <w:rPr>
          <w:rFonts w:ascii="Arial" w:cs="Arial" w:eastAsia="Arial" w:hAnsi="Arial"/>
          <w:sz w:val="15"/>
          <w:szCs w:val="15"/>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7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286"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 companion diagnostic is generally developed in conjunction with the clinical program for an associated therapeutic product. To date, the FDA has required premarket approval of all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therapeutic product’s labeling limits the use of the therapeutic product to only those patients who express the specific genetic alteration that the companion diagnostic was developed to detect.</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18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If we decide to pursue a Fast Track Designation by the FDA, it may not lead to a faster development or regulatory review or approval process.</w:t>
      </w:r>
    </w:p>
    <w:p>
      <w:pPr>
        <w:spacing w:after="0" w:line="15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6"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7"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contract manufacturing organizations, or CMOs, could be subject to periodic unannounced inspections by the FDA to monitor and ensure compliance with cGMPs.</w:t>
      </w:r>
    </w:p>
    <w:p>
      <w:pPr>
        <w:spacing w:after="0" w:line="15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69" w:lineRule="exact"/>
        <w:rPr>
          <w:sz w:val="20"/>
          <w:szCs w:val="20"/>
          <w:color w:val="auto"/>
        </w:rPr>
      </w:pPr>
    </w:p>
    <w:p>
      <w:pPr>
        <w:ind w:left="560" w:right="60"/>
        <w:spacing w:after="0" w:line="340" w:lineRule="auto"/>
        <w:rPr>
          <w:sz w:val="20"/>
          <w:szCs w:val="20"/>
          <w:color w:val="auto"/>
        </w:rPr>
      </w:pPr>
      <w:r>
        <w:rPr>
          <w:rFonts w:ascii="Arial" w:cs="Arial" w:eastAsia="Arial" w:hAnsi="Arial"/>
          <w:sz w:val="15"/>
          <w:szCs w:val="15"/>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23"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9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84"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54" w:lineRule="exact"/>
        <w:rPr>
          <w:sz w:val="20"/>
          <w:szCs w:val="20"/>
          <w:color w:val="auto"/>
        </w:rPr>
      </w:pPr>
    </w:p>
    <w:p>
      <w:pPr>
        <w:ind w:left="560" w:right="240"/>
        <w:spacing w:after="0" w:line="340" w:lineRule="auto"/>
        <w:rPr>
          <w:sz w:val="20"/>
          <w:szCs w:val="20"/>
          <w:color w:val="auto"/>
        </w:rPr>
      </w:pPr>
      <w:r>
        <w:rPr>
          <w:rFonts w:ascii="Arial" w:cs="Arial" w:eastAsia="Arial" w:hAnsi="Arial"/>
          <w:sz w:val="15"/>
          <w:szCs w:val="15"/>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23"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67" w:lineRule="exact"/>
        <w:rPr>
          <w:sz w:val="20"/>
          <w:szCs w:val="20"/>
          <w:color w:val="auto"/>
        </w:rPr>
      </w:pPr>
    </w:p>
    <w:p>
      <w:pPr>
        <w:ind w:left="108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1080" w:right="80" w:hanging="532"/>
        <w:spacing w:after="0" w:line="25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civil,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93"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prohibits, among other things, knowingly and willfully executing, or attempting to execute, a scheme to defraud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100" w:right="40"/>
        <w:spacing w:after="0" w:line="263" w:lineRule="auto"/>
        <w:rPr>
          <w:sz w:val="20"/>
          <w:szCs w:val="20"/>
          <w:color w:val="auto"/>
        </w:rPr>
      </w:pPr>
      <w:r>
        <w:rPr>
          <w:rFonts w:ascii="Arial" w:cs="Arial" w:eastAsia="Arial" w:hAnsi="Arial"/>
          <w:sz w:val="18"/>
          <w:szCs w:val="18"/>
          <w:color w:val="auto"/>
        </w:rPr>
        <w:t>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9" w:lineRule="exact"/>
        <w:rPr>
          <w:sz w:val="20"/>
          <w:szCs w:val="20"/>
          <w:color w:val="auto"/>
        </w:rPr>
      </w:pPr>
    </w:p>
    <w:p>
      <w:pPr>
        <w:ind w:left="1080" w:right="220" w:hanging="532"/>
        <w:spacing w:after="0" w:line="30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62" w:lineRule="exact"/>
        <w:rPr>
          <w:rFonts w:ascii="Arial" w:cs="Arial" w:eastAsia="Arial" w:hAnsi="Arial"/>
          <w:sz w:val="16"/>
          <w:szCs w:val="16"/>
          <w:color w:val="auto"/>
        </w:rPr>
      </w:pPr>
    </w:p>
    <w:p>
      <w:pPr>
        <w:ind w:left="1080" w:hanging="532"/>
        <w:spacing w:after="0" w:line="271"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and ownership and investment interests held by, physicians, defined to include doctors, dentists, optometrists, podiatrists and chiropractors ,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anesthesiologist assistants, certified nurse anesthetists and certified nurse-midwives; and</w:t>
      </w:r>
    </w:p>
    <w:p>
      <w:pPr>
        <w:spacing w:after="0" w:line="83" w:lineRule="exact"/>
        <w:rPr>
          <w:rFonts w:ascii="Arial" w:cs="Arial" w:eastAsia="Arial" w:hAnsi="Arial"/>
          <w:sz w:val="17"/>
          <w:szCs w:val="17"/>
          <w:color w:val="auto"/>
        </w:rPr>
      </w:pPr>
    </w:p>
    <w:p>
      <w:pPr>
        <w:ind w:left="1080" w:right="80" w:hanging="532"/>
        <w:spacing w:after="0" w:line="270"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81"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62"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65"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For example, in March 2010, the former U.S. President signed into law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products;</w:t>
      </w:r>
    </w:p>
    <w:p>
      <w:pPr>
        <w:spacing w:after="0" w:line="142"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89"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report financial arrangements with physicians, as defined by such law, and teaching hospitals;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There remain judicial and Congressional challenges as well as efforts by the current U.S. President’s administration to repeal or replace certain aspects of the ACA. Since January 2017, the current U.S. President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individual mandate to carry health insurance, eliminating the implementation of certain ACA-mandated fees, and increasing the point-of-sale discount that is owed by pharmaceutical manufacturers who participate in Medicare Part D. On December 14, 2018, a U.S. District Court Judge in the Northern District of Texas ruled that the individual mandate is a critical and inseverable feature of the ACA, and therefore, because it was repealed as part of legislation enacted in 2017, informally titled the Tax Cuts and Jobs Act, the remaining provisions of the ACA are invalid as well.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is currently reviewing this case, although it is unclear when a decision will be made. It is unclear how such litigation and other efforts to repeal and replace the ACA will impact the ACA and our business.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unless additional Congressional action is taken. The Coronavirus Aid, Relief, and Economic Security Act, or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82"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current U.S. President’s administration issued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In addition,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w:t>
      </w:r>
    </w:p>
    <w:p>
      <w:pPr>
        <w:spacing w:after="0" w:line="17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On July 24, 2020 and September 13, 2020, the current U.S. President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U.S Department of Health and Human Services, or HHS, also published an interim final rule that establishes a Most Favored Nation, or MFN, Model for Medicare Part B drug payment. This regulation would substantially change the drug</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reimbursement landscape as it bases Medicare Part B payment for 50 selected drugs on prices in foreign countries instead of average sales price, or ASP, and establishes a fixed add-on payment in place of the current 6 percent (4.3 percent after sequestration) of ASP. The MFN drug payment amount is expected to be lower than the current ASP-based payment limit because U.S. drug prices are generally the highest in the world. Although the MFN Model payment methodology is scheduled to begin on January 1, 2021, it faces uncertain prospects for implementation. Among other things, a change in administration or litigation challenging the regulation could delay or halt its implementation.</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U.S Department of Health and Human Services, or HHS, recently published an interim final rule that establishes a Most Favored Nation, or MFN, Model for Medicare Part B drug payment. This regulation would substantially change the drug reimbursement landscape as it bases Medicare Part B payment for 50 selected drugs on prices in foreign countries instead of average sales price, or ASP, and establishes a fixed add-on payment in place of the current 6 percent (4.3 percent after sequestration) of ASP. The MFN drug payment amount is expected to be lower than the current ASP-based payment limit because U.S. drug prices are generally the highest in the world. Although the MFN Model interim final rule with comment period is effective as of November 27 and the model payment methodology is scheduled to begin on January 1, 2021, it faces uncertain prospects for implementation. Among other things, a change in administration or litigation challenging the regulation could delay or halt its implementation.</w:t>
      </w:r>
    </w:p>
    <w:p>
      <w:pPr>
        <w:spacing w:after="0" w:line="166"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49"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to address the COVID-19 pandemic.</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Governments outside of the United States tend to impose strict price controls, which may adversely affect our revenues, if any.</w:t>
      </w:r>
    </w:p>
    <w:p>
      <w:pPr>
        <w:spacing w:after="0" w:line="129"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265"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7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8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92"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our leasing and operation of real property may subject us to liability pursuant to certain of these laws or regulations. Under existing U.S. environmental laws and regulations, current or previous owners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8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73"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60" w:right="40"/>
        <w:spacing w:after="0" w:line="327" w:lineRule="auto"/>
        <w:rPr>
          <w:sz w:val="20"/>
          <w:szCs w:val="20"/>
          <w:color w:val="auto"/>
        </w:rPr>
      </w:pPr>
      <w:r>
        <w:rPr>
          <w:rFonts w:ascii="Arial" w:cs="Arial" w:eastAsia="Arial" w:hAnsi="Arial"/>
          <w:sz w:val="15"/>
          <w:szCs w:val="15"/>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3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do not have the ability to independently conduct all aspects of our preclinical testing or clinical trials ourselves. As a result, we are dependent on third parties to conduct our ongoing and planned clinical trials of PRT543, PRT811 and PRT1419, and any preclinical studies and clinical trials of any other product candidates. The timing of the initiation and completion of these trials will therefore be partially controlled by such third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17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PRT543, PRT811, PRT1419 or any other product candidates and will not be able to, or may be delayed in our efforts to, successfully commercialize our products.</w:t>
      </w:r>
    </w:p>
    <w:p>
      <w:pPr>
        <w:spacing w:after="0" w:line="284" w:lineRule="exact"/>
        <w:rPr>
          <w:sz w:val="20"/>
          <w:szCs w:val="20"/>
          <w:color w:val="auto"/>
        </w:rPr>
      </w:pPr>
    </w:p>
    <w:p>
      <w:pPr>
        <w:ind w:left="560" w:right="80"/>
        <w:spacing w:after="0" w:line="275" w:lineRule="auto"/>
        <w:rPr>
          <w:sz w:val="20"/>
          <w:szCs w:val="20"/>
          <w:color w:val="auto"/>
        </w:rPr>
      </w:pPr>
      <w:r>
        <w:rPr>
          <w:rFonts w:ascii="Arial" w:cs="Arial" w:eastAsia="Arial" w:hAnsi="Arial"/>
          <w:sz w:val="17"/>
          <w:szCs w:val="17"/>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In addition, the ongoing COVID-19 pandemic may result in disruptions to the operations or an extended shutdown of certain businesses, which could include certain of our contract manufacturers.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5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product development, analytical testing, and data generation to support regulatory applications;</w:t>
      </w:r>
    </w:p>
    <w:p>
      <w:pPr>
        <w:spacing w:after="0" w:line="130"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225"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8" w:lineRule="exact"/>
        <w:rPr>
          <w:sz w:val="20"/>
          <w:szCs w:val="20"/>
          <w:color w:val="auto"/>
        </w:rPr>
      </w:pPr>
    </w:p>
    <w:p>
      <w:pPr>
        <w:jc w:val="both"/>
        <w:ind w:left="120" w:right="940" w:firstLine="440"/>
        <w:spacing w:after="0" w:line="286" w:lineRule="auto"/>
        <w:rPr>
          <w:sz w:val="20"/>
          <w:szCs w:val="20"/>
          <w:color w:val="auto"/>
        </w:rPr>
      </w:pPr>
      <w:r>
        <w:rPr>
          <w:rFonts w:ascii="Arial" w:cs="Arial" w:eastAsia="Arial" w:hAnsi="Arial"/>
          <w:sz w:val="17"/>
          <w:szCs w:val="17"/>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recent COVID-19 pandemic. If our current third-party manufacturers cannot perform as agreed, we may be required to replace such manufacturers and we may be unable to replace them on a timely basis or at all.</w:t>
      </w:r>
    </w:p>
    <w:p>
      <w:pPr>
        <w:spacing w:after="0" w:line="178"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54" w:lineRule="exact"/>
        <w:rPr>
          <w:sz w:val="20"/>
          <w:szCs w:val="20"/>
          <w:color w:val="auto"/>
        </w:rPr>
      </w:pPr>
    </w:p>
    <w:p>
      <w:pPr>
        <w:ind w:left="560" w:right="900"/>
        <w:spacing w:after="0" w:line="342" w:lineRule="auto"/>
        <w:rPr>
          <w:sz w:val="20"/>
          <w:szCs w:val="20"/>
          <w:color w:val="auto"/>
        </w:rPr>
      </w:pPr>
      <w:r>
        <w:rPr>
          <w:rFonts w:ascii="Arial" w:cs="Arial" w:eastAsia="Arial" w:hAnsi="Arial"/>
          <w:sz w:val="16"/>
          <w:szCs w:val="16"/>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1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76" w:lineRule="exact"/>
        <w:rPr>
          <w:sz w:val="20"/>
          <w:szCs w:val="20"/>
          <w:color w:val="auto"/>
        </w:rPr>
      </w:pPr>
    </w:p>
    <w:p>
      <w:pPr>
        <w:ind w:left="1080" w:right="20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92"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right="12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75"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92"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89"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and</w:t>
      </w:r>
    </w:p>
    <w:p>
      <w:pPr>
        <w:spacing w:after="0" w:line="75" w:lineRule="exact"/>
        <w:rPr>
          <w:rFonts w:ascii="Arial" w:cs="Arial" w:eastAsia="Arial" w:hAnsi="Arial"/>
          <w:sz w:val="18"/>
          <w:szCs w:val="18"/>
          <w:color w:val="auto"/>
        </w:rPr>
      </w:pPr>
    </w:p>
    <w:p>
      <w:pPr>
        <w:ind w:left="1080" w:right="74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560" w:right="100"/>
        <w:spacing w:after="0" w:line="286"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5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total addressable market opportunity for PRT543, PRT811, PRT1419 and any other product candidates we may develop will ultimately depend upon, among other things, the diagnosis criteria included in the final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284" w:lineRule="exact"/>
        <w:rPr>
          <w:sz w:val="20"/>
          <w:szCs w:val="20"/>
          <w:color w:val="auto"/>
        </w:rPr>
      </w:pPr>
    </w:p>
    <w:p>
      <w:pPr>
        <w:ind w:left="560" w:right="460"/>
        <w:spacing w:after="0" w:line="308" w:lineRule="auto"/>
        <w:rPr>
          <w:sz w:val="20"/>
          <w:szCs w:val="20"/>
          <w:color w:val="auto"/>
        </w:rPr>
      </w:pPr>
      <w:r>
        <w:rPr>
          <w:rFonts w:ascii="Arial" w:cs="Arial" w:eastAsia="Arial" w:hAnsi="Arial"/>
          <w:sz w:val="17"/>
          <w:szCs w:val="17"/>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3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67"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acceptance of our product candidates as front-line treatment for various indications;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existence of distribution and/or use restrictions, such as through a REMS;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333" w:lineRule="exact"/>
        <w:rPr>
          <w:sz w:val="20"/>
          <w:szCs w:val="20"/>
          <w:color w:val="auto"/>
        </w:rPr>
      </w:pPr>
    </w:p>
    <w:p>
      <w:pPr>
        <w:ind w:left="560" w:right="12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5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3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raise financing necessary to build our commercialization infrastructure;</w:t>
      </w:r>
    </w:p>
    <w:p>
      <w:pPr>
        <w:spacing w:after="0" w:line="130"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an adequate number of physicians as to the benefits of our products;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third-party payor coverage and reimbursement in any geography;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286"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Black Diamond Therapeutics, Inc., Constellation Pharmaceuticals, Inc., Kronos Bio, Inc., Repare Therapeutics Inc., Revolution Medicines, Inc., Relay Therapeutics, Inc., and Zentalis Pharmaceuticals, LLC. In addition, we may face competition from companies pursuing the development of product candidates that are based on targeting pathways of adaptive resistance, including Amgen Inc., or Amgen, AbbVie Inc., or AbbVie, AstraZeneca PLC, or AstraZeneca, GlaxoSmithKline plc, or GlaxoSmithKline, Johnson &amp; Johnson, Pfizer Inc., or Pfizer, Bayer AG, or Bayer, and Novartis International AG, or Novartis.</w:t>
      </w:r>
    </w:p>
    <w:p>
      <w:pPr>
        <w:spacing w:after="0" w:line="18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Specifically, with respect to our lead product candidates, we expect that our current product candidates PRT543 and PRT811 will compete against other PRMT5 inhibitors which are currently in clinical development, including those of GlaxoSmithKline (GSK3326595), Johnson &amp; Johnson (JNJ-64619178) and Pfizer (PF-06939999). Development efforts and clinical results of these other product candidates may be unsuccessful, which could result in a negative perception of PRMT5 inhibitors, for instance, and negatively impact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regulatory approval process of our product candidates, which would have a material and adverse effect on our business. For our product candidate PRT1419, other companies are developing MCL1 inhibitors with monotherapy and/or combination trials ongoing, including Amgen (AMG176), AstraZeneca (AZD5991) and Novartis (MIK665). For our preclinical CDK9 program, AstraZeneca, Bayer and Kronos Bio have CDK9 programs in Phase 1 clinical trials.</w:t>
      </w:r>
    </w:p>
    <w:p>
      <w:pPr>
        <w:spacing w:after="0" w:line="18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166"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7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19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54"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21"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and to attract, retain and motivate qualified personnel and manage our human capital.</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18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continue to attract and retain high quality personnel, which could negatively affect our ability to successfully develop and commercialize our product candidates and to grow our business and operations as currently contemplated.</w:t>
      </w:r>
    </w:p>
    <w:p>
      <w:pPr>
        <w:spacing w:after="0" w:line="278" w:lineRule="exact"/>
        <w:rPr>
          <w:sz w:val="20"/>
          <w:szCs w:val="20"/>
          <w:color w:val="auto"/>
        </w:rPr>
      </w:pPr>
    </w:p>
    <w:p>
      <w:pPr>
        <w:ind w:left="560" w:right="40"/>
        <w:spacing w:after="0" w:line="308"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3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of December 16, 2020, we had 68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9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PRT543, PRT811 and PRT1419,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PRT543, PRT811, PRT1419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9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PRT543, PRT811 or PRT1419, our other pipeline product candidates or any future product candidates and, accordingly, may not achieve our research, development and commercialization goals.</w:t>
      </w:r>
    </w:p>
    <w:p>
      <w:pPr>
        <w:spacing w:after="0" w:line="292" w:lineRule="exact"/>
        <w:rPr>
          <w:sz w:val="20"/>
          <w:szCs w:val="20"/>
          <w:color w:val="auto"/>
        </w:rPr>
      </w:pPr>
    </w:p>
    <w:p>
      <w:pPr>
        <w:ind w:left="560" w:right="740"/>
        <w:spacing w:after="0" w:line="375" w:lineRule="auto"/>
        <w:rPr>
          <w:sz w:val="20"/>
          <w:szCs w:val="20"/>
          <w:color w:val="auto"/>
        </w:rPr>
      </w:pPr>
      <w:r>
        <w:rPr>
          <w:rFonts w:ascii="Arial" w:cs="Arial" w:eastAsia="Arial" w:hAnsi="Arial"/>
          <w:sz w:val="15"/>
          <w:szCs w:val="15"/>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92"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74" w:lineRule="exact"/>
        <w:rPr>
          <w:sz w:val="20"/>
          <w:szCs w:val="20"/>
          <w:color w:val="auto"/>
        </w:rPr>
      </w:pPr>
    </w:p>
    <w:p>
      <w:pPr>
        <w:ind w:left="560" w:right="20"/>
        <w:spacing w:after="0" w:line="279" w:lineRule="auto"/>
        <w:rPr>
          <w:sz w:val="20"/>
          <w:szCs w:val="20"/>
          <w:color w:val="auto"/>
        </w:rPr>
      </w:pPr>
      <w:r>
        <w:rPr>
          <w:rFonts w:ascii="Arial" w:cs="Arial" w:eastAsia="Arial" w:hAnsi="Arial"/>
          <w:sz w:val="17"/>
          <w:szCs w:val="17"/>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63"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situation,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8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 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PRT543, PRT811, PRT1419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PRT543, PRT811, PRT1419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84" w:lineRule="exact"/>
        <w:rPr>
          <w:sz w:val="20"/>
          <w:szCs w:val="20"/>
          <w:color w:val="auto"/>
        </w:rPr>
      </w:pPr>
    </w:p>
    <w:p>
      <w:pPr>
        <w:ind w:left="560" w:right="240"/>
        <w:spacing w:after="0" w:line="375" w:lineRule="auto"/>
        <w:rPr>
          <w:sz w:val="20"/>
          <w:szCs w:val="20"/>
          <w:color w:val="auto"/>
        </w:rPr>
      </w:pPr>
      <w:r>
        <w:rPr>
          <w:rFonts w:ascii="Arial" w:cs="Arial" w:eastAsia="Arial" w:hAnsi="Arial"/>
          <w:sz w:val="15"/>
          <w:szCs w:val="15"/>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International data protection laws, including Regulation 2016/679, known as the General Data Protection Regulation, or GDPR, may also apply to health-related and other personal information obtained outside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(e.g.,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On August 10, 2020, the U.S. Department of Commerce and the European Commission announced new discussions to evaluate the potential for an enhanced EU-U.S. Privacy Shield framework to comply with the July 16 judgment of the Court of Justice. While the Court of Justice upheld the use of other data transfer mechanisms, such as the Binding Corporate Rules, the decision has led to some uncertainty regarding the use of such mechanisms for data transfers to the United States, and the court made clear that reliance on Binding Corporate Rules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Binding Corporate Rules, for cross-border data transfers. To comply with this guidance, we may need to implement additional safeguards to further enhance the security of data transferred out of the European Economic Area, which could increase our compliance costs, expose us to further regulatory scrutiny and liability, and adversely affect our business. To the extent that we were to rely on Privacy Shield, we will not be able to do so in the future, which could increase our costs and our ability to efficiently process personal data from the EU.</w:t>
      </w:r>
    </w:p>
    <w:p>
      <w:pPr>
        <w:spacing w:after="0" w:line="39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including the GDPR, after which the GDPR will be converted into United Kingdom law. Beginning in 2021, the United Kingdom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9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on July 1, 2020, along with related regulations which came into force on August 14, 2020 and may impact our business activities and exemplifies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vulnerability of our business to the evolving regulatory environment related to personal data and protected health information. Additionally, although not effective until January 1, 2023, the California Privacy Rights Act (the “CPRA”), which expands upon the CCPA, was passed in the recent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unlimited civil penalties for violations, as well as a private right of action for data breaches that is expected to increase data breach litigation. The CCPA and CPRA may increase our compliance costs and potential liability, particularly in the event of a data breach. Additionally, the CCPA has prompted a number of proposals in the U.S. for new federal and state-level privacy legislation that, if passed, could increase our potential liability, increase our compliance costs, and adversely affect our business.</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0"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Our company is located in Delaware. Any unplanned event, such as flood, fire, explosion, earthquake, extreme weather condition, medical epidemic, including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77"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62"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6"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and cost in combining the operations, systems and personnel of any acquired businesses with our operations, systems and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portfolio of investments may be subject to market, interest and credit risk that may reduce its value.</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the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560" w:right="18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5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for example, PRT543, PRT811 and PRT1419,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19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abroad relating to PRT543 and PRT811.</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17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only one issued U.S. patent covering PRT543 that is expected to expire no earlier than August 9, 2038, and one issued U.S. patent covering PRT811 that is expected to expire no earlier than March 14, 2039. We do not yet have issued patents on all of our product candidates.</w:t>
      </w:r>
    </w:p>
    <w:p>
      <w:pPr>
        <w:spacing w:after="0" w:line="18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17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7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1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17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285"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86"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6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Competitors and other third parties may infringe, misappropriate or otherwise violate our patents, trademarks, copyrights, trade secrets or other intellectual property. To counter infringement, misappropriation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16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17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(e.g.,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able to effectively protect or enforce our intellectual property and proprietary rights throughout the world.</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166"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right="40"/>
        <w:spacing w:after="0" w:line="375" w:lineRule="auto"/>
        <w:rPr>
          <w:sz w:val="20"/>
          <w:szCs w:val="20"/>
          <w:color w:val="auto"/>
        </w:rPr>
      </w:pPr>
      <w:r>
        <w:rPr>
          <w:rFonts w:ascii="Arial" w:cs="Arial" w:eastAsia="Arial" w:hAnsi="Arial"/>
          <w:sz w:val="15"/>
          <w:szCs w:val="15"/>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19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9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16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84"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6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6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Rights to improvements to our product candidates may be held by third parties.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term of our patents may be inadequate to protect our competitive position on our products.</w:t>
      </w:r>
    </w:p>
    <w:p>
      <w:pPr>
        <w:spacing w:after="0" w:line="117"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277"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85"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80" w:right="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80" w:right="10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75" w:lineRule="exact"/>
        <w:rPr>
          <w:rFonts w:ascii="Arial" w:cs="Arial" w:eastAsia="Arial" w:hAnsi="Arial"/>
          <w:sz w:val="18"/>
          <w:szCs w:val="18"/>
          <w:color w:val="auto"/>
        </w:rPr>
      </w:pPr>
    </w:p>
    <w:p>
      <w:pPr>
        <w:ind w:left="1080" w:right="220" w:hanging="532"/>
        <w:spacing w:after="0" w:line="34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 how, and a third party may subsequently file a patent covering such intellectual property.</w:t>
      </w:r>
    </w:p>
    <w:p>
      <w:pPr>
        <w:spacing w:after="0" w:line="170"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21"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public offering price.</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 active trading market for our common stock may never be sustained following this offering. The market value of our common stock may decrease from the public offering price. As a result of these and other factors, you may be unable to resell your shares of our common stock at or above the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92"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76" w:lineRule="exact"/>
        <w:rPr>
          <w:sz w:val="20"/>
          <w:szCs w:val="20"/>
          <w:color w:val="auto"/>
        </w:rPr>
      </w:pPr>
    </w:p>
    <w:p>
      <w:pPr>
        <w:ind w:left="1080" w:right="6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future preclinical or clinical trials or funding support by us, or future collaborators or licensing partners;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intellectual property infringement lawsuit or opposition, interference or cancellation proceeding in which we may become involved;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the recent COVID-19 pandemic.</w:t>
      </w:r>
    </w:p>
    <w:p>
      <w:pPr>
        <w:spacing w:after="0" w:line="225"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is likely to be highly volatile, which could result in substantial losses for purchasers of our common stock.</w:t>
      </w:r>
    </w:p>
    <w:p>
      <w:pPr>
        <w:spacing w:after="0" w:line="62"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market price of our common stock has been highly volatile since our IPO and has ranged from $23.69 to $82.64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in this offering. The market price for our common stock may be influenced by many factors, including the other risks described in this section of the prospectus and the following:</w:t>
      </w:r>
    </w:p>
    <w:p>
      <w:pPr>
        <w:spacing w:after="0" w:line="63" w:lineRule="exact"/>
        <w:rPr>
          <w:sz w:val="20"/>
          <w:szCs w:val="20"/>
          <w:color w:val="auto"/>
        </w:rPr>
      </w:pPr>
    </w:p>
    <w:p>
      <w:pPr>
        <w:ind w:left="1080" w:right="20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enrollment or results of clinical trials of our product candidates, or those of our competitors or our future collaborators, or changes in the development status of our product candidates;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developments concerning any future collaborations, including but not limited to those with development and commercialization partners;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 candidates and products;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by us, insiders or our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 such as the recent COVID-19 pandemic.</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8" w:lineRule="exact"/>
        <w:rPr>
          <w:sz w:val="20"/>
          <w:szCs w:val="20"/>
          <w:color w:val="auto"/>
        </w:rPr>
      </w:pPr>
    </w:p>
    <w:p>
      <w:pPr>
        <w:jc w:val="center"/>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You will experience immediate and substantial dilution as a result of this offering and may experience additional dilution in the future.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price per share of our common stock being offered may be higher than the net tangible book value per share of our outstanding common stock</w:t>
      </w:r>
    </w:p>
    <w:p>
      <w:pPr>
        <w:spacing w:after="0" w:line="46"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color w:val="auto"/>
        </w:rPr>
        <w:t>prior to this offering. Assuming that an aggregate of shares of our common stock are sold at a price of $ per share, the last reported sale price of our common stock on the Nasdaq Global Select Market on , 2021, and after deducting estimated underwriting discounts and commissions and estimated offering expenses payable by us, new investors in this offering will incur immediate dilution of $ per share. For a</w:t>
      </w:r>
    </w:p>
    <w:p>
      <w:pPr>
        <w:ind w:left="120" w:right="140"/>
        <w:spacing w:after="0" w:line="253" w:lineRule="auto"/>
        <w:rPr>
          <w:sz w:val="20"/>
          <w:szCs w:val="20"/>
          <w:color w:val="auto"/>
        </w:rPr>
      </w:pPr>
      <w:r>
        <w:rPr>
          <w:rFonts w:ascii="Arial" w:cs="Arial" w:eastAsia="Arial" w:hAnsi="Arial"/>
          <w:sz w:val="18"/>
          <w:szCs w:val="18"/>
          <w:color w:val="auto"/>
        </w:rPr>
        <w:t>more detailed discussion of the foregoing, see the section entitled “Dilution” below. To the extent outstanding stock options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301"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Management will have broad discretion as to the use of proceeds from this offering and we may use the net proceeds in ways with which you may disagree.</w:t>
      </w:r>
    </w:p>
    <w:p>
      <w:pPr>
        <w:spacing w:after="0" w:line="62"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offering, their ultimate use may vary substantially from their currently intended use. Our management might not apply our net proceeds in ways that ultimately increase the value of your investment. We expect to use the net proceeds from this offering to fund research, clinical and process development and manufacturing of our product candidates, working capital, capital expenditures and other general corporate purposes. The failure by our management to apply these funds effectively could harm our business. Pending their use, we plan to invest the net proceeds from this offering in short-term or long-term,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Based on shares outstanding as of September 30, 2020, upon completion of this offering, we will have outstanding a total of shares of common stock and non-voting common stock. In connection with this offering, each of our directors and officers and certain of our stockholders will enter into lock-up agreements with the underwriters that restrict their ability to sell or transfer their shares. In connection with our IPO, each of our officers, directors and substantially all of our stockholders entered into lock-up agreements with the underwriters that restrict their ability to sell or transfer their shares. The lock-up agreements pertaining to this offering will expire 90 days from the date of this prospectus and the lock-up agreements pertaining to our IPO will expire 180 days from the date of effectiveness of our IPO registration statement. However, our underwriters may, in their sole discretion, permit our officers, directors and other stockholders who are subject to the contractual lock-ups to sell shares prior to the expiration of the lock-up agreements. See “Underwriters” for a description of these lock-up agreements.</w:t>
      </w:r>
    </w:p>
    <w:p>
      <w:pPr>
        <w:spacing w:after="0" w:line="17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16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including conducting our planned clinical trials, manufacturing and commercialization efforts, expanded research and development activities and costs associated with operating as a public company.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29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As of November 30, 2020, prior to this offering, our executive officers, directors, beneficial owners of 5% or more of our capital stock and their respective affiliates beneficially owned approximately 73.4% of our common stock. Upon the completion of this offering, that same group will hold</w:t>
      </w:r>
    </w:p>
    <w:p>
      <w:pPr>
        <w:ind w:left="120" w:right="360" w:firstLine="176"/>
        <w:spacing w:after="0" w:line="255"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our outstanding voting stock (assuming no exercise of the underwriters’ option to purchase additional shares, no exercise of our outstanding warrant or options and no purchases of shares in this offering by any of this group). The voting power of this group may increase to the extent they convert shares of non-voting common stock they hold into common stock.</w:t>
      </w:r>
    </w:p>
    <w:p>
      <w:pPr>
        <w:spacing w:after="0" w:line="190"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This group of stockholders have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Participation in this offering by our existing stockholders or their affiliated entities may reduce the public float for our common stock.</w:t>
      </w:r>
    </w:p>
    <w:p>
      <w:pPr>
        <w:spacing w:after="0" w:line="14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the extent our existing stockholders who are our affiliates or their affiliated entities participate in this offering, such purchases would reduce the non-affiliate public float of our common stock after this offering, which is the number of shares of common stock that are not held by our officers, directors and affiliated stockholders. A reduction in the public float could reduce the number of shares of common stock that can be traded at any given time, which could adversely impact the liquidity of our common stock and depress the price at which you may be able to sell common stock purchased in this offering.</w:t>
      </w:r>
    </w:p>
    <w:p>
      <w:pPr>
        <w:spacing w:after="0" w:line="296"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at November 30, 2020, the common stock will have 100% of the voting power, but if the holders of non-voting common stock were to convert all of their shares into common stock, the prior common stock would have 74.6% of the voting power, and the former non-voting common stock would represent 25.4%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276" w:lineRule="exact"/>
        <w:rPr>
          <w:sz w:val="20"/>
          <w:szCs w:val="20"/>
          <w:color w:val="auto"/>
        </w:rPr>
      </w:pPr>
    </w:p>
    <w:p>
      <w:pPr>
        <w:ind w:left="560" w:right="20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prospectus as well as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prospectus.</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this prospectus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8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9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w:t>
      </w:r>
    </w:p>
    <w:p>
      <w:pPr>
        <w:ind w:left="120" w:hanging="4"/>
        <w:spacing w:after="0" w:line="252"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02" w:lineRule="exact"/>
        <w:rPr>
          <w:sz w:val="20"/>
          <w:szCs w:val="20"/>
          <w:color w:val="auto"/>
        </w:rPr>
      </w:pPr>
    </w:p>
    <w:p>
      <w:pPr>
        <w:ind w:left="560" w:right="600"/>
        <w:spacing w:after="0" w:line="375" w:lineRule="auto"/>
        <w:rPr>
          <w:sz w:val="20"/>
          <w:szCs w:val="20"/>
          <w:color w:val="auto"/>
        </w:rPr>
      </w:pPr>
      <w:r>
        <w:rPr>
          <w:rFonts w:ascii="Arial" w:cs="Arial" w:eastAsia="Arial" w:hAnsi="Arial"/>
          <w:sz w:val="15"/>
          <w:szCs w:val="15"/>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1"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71"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0" w:lineRule="exact"/>
        <w:rPr>
          <w:rFonts w:ascii="Arial" w:cs="Arial" w:eastAsia="Arial" w:hAnsi="Arial"/>
          <w:sz w:val="18"/>
          <w:szCs w:val="18"/>
          <w:color w:val="auto"/>
        </w:rPr>
      </w:pPr>
    </w:p>
    <w:p>
      <w:pPr>
        <w:jc w:val="center"/>
        <w:ind w:left="5540" w:right="1360" w:hanging="4992"/>
        <w:spacing w:after="0" w:line="449" w:lineRule="auto"/>
        <w:tabs>
          <w:tab w:leader="none" w:pos="10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67</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30"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92" w:lineRule="exact"/>
        <w:rPr>
          <w:sz w:val="20"/>
          <w:szCs w:val="20"/>
          <w:color w:val="auto"/>
        </w:rPr>
      </w:pPr>
    </w:p>
    <w:p>
      <w:pPr>
        <w:jc w:val="both"/>
        <w:ind w:left="560" w:right="200"/>
        <w:spacing w:after="0" w:line="263" w:lineRule="auto"/>
        <w:rPr>
          <w:sz w:val="20"/>
          <w:szCs w:val="20"/>
          <w:color w:val="auto"/>
        </w:rPr>
      </w:pPr>
      <w:r>
        <w:rPr>
          <w:rFonts w:ascii="Arial" w:cs="Arial" w:eastAsia="Arial" w:hAnsi="Arial"/>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7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87" w:lineRule="exact"/>
        <w:rPr>
          <w:sz w:val="20"/>
          <w:szCs w:val="20"/>
          <w:color w:val="auto"/>
        </w:rPr>
      </w:pPr>
    </w:p>
    <w:p>
      <w:pPr>
        <w:jc w:val="center"/>
        <w:ind w:left="760" w:right="120"/>
        <w:spacing w:after="0" w:line="449" w:lineRule="auto"/>
        <w:rPr>
          <w:sz w:val="20"/>
          <w:szCs w:val="20"/>
          <w:color w:val="auto"/>
        </w:rPr>
      </w:pPr>
      <w:r>
        <w:rPr>
          <w:rFonts w:ascii="Arial" w:cs="Arial" w:eastAsia="Arial" w:hAnsi="Arial"/>
          <w:sz w:val="18"/>
          <w:szCs w:val="18"/>
          <w:color w:val="auto"/>
        </w:rPr>
        <w:t>Our stockholders will not be deemed to have waived our compliance with the federal securities laws and the regulations promulgated thereunder. 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95" w:lineRule="exact"/>
        <w:rPr>
          <w:sz w:val="20"/>
          <w:szCs w:val="20"/>
          <w:color w:val="auto"/>
        </w:rPr>
      </w:pPr>
    </w:p>
    <w:p>
      <w:pPr>
        <w:ind w:left="560" w:right="64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not currently required to comply with the SEC’s rules that implement Section 404 of the Sarbanes-Oxley Act, and are therefore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In addition, if we are not able to continue to meet these requirements, we may not be able to remain listed on the Nasdaq Global Select Market.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risk management program or processes or procedures for identifying and addressing risks to our business in other areas.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about us and our industry. The words “believe,” “may,” “will,” “potentially,” “estimate,” “continue,” “anticipate,” “intend,” “could,” “would,” “project,” “plan,” “expect” and similar expressions that convey uncertainty of future events or outcomes are intended to identify forward-looking statements, although not all forward-looking statements contain these identifying words.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131" w:lineRule="exact"/>
        <w:rPr>
          <w:sz w:val="20"/>
          <w:szCs w:val="20"/>
          <w:color w:val="auto"/>
        </w:rPr>
      </w:pPr>
    </w:p>
    <w:p>
      <w:pPr>
        <w:ind w:left="1080" w:right="32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 PRT543, PRT811 and PRT 1419, for the treatment of solid tumors and myeloid malignancies;</w:t>
      </w:r>
    </w:p>
    <w:p>
      <w:pPr>
        <w:spacing w:after="0" w:line="75" w:lineRule="exact"/>
        <w:rPr>
          <w:rFonts w:ascii="Arial" w:cs="Arial" w:eastAsia="Arial" w:hAnsi="Arial"/>
          <w:sz w:val="18"/>
          <w:szCs w:val="18"/>
          <w:color w:val="auto"/>
        </w:rPr>
      </w:pPr>
    </w:p>
    <w:p>
      <w:pPr>
        <w:ind w:left="1080" w:right="106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discovery, development and commercialization of our product candidates;</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 PRT543, PRT811 and PRT1419, as well as our other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planned clinical trials;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outbreak of the coronavirus, or COVID-19, pandemic and its potentially material adverse impact on our business, the macroeconomy, and the execution of our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attract and retain key management and technical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expectations regarding our ability to obtain, maintain and enforce intellectual property protection for our product candidates;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use of the net proceeds from this offering;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7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with the Securities and Exchange Commission, or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320" w:top="459" w:right="6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contains estimates and other statistical data made by independent parties and by us relating to our industry and the markets in which we operate, including our general expectations and market position, market opportunity, the incidence of certain medical conditions and other industry data. These data, to the extent they contain estimates or projections, involve a number of assumptions and limitations, and you are cautioned not to give undue weight to such estimates or projections. Industry publications and other reports we have obtained from independent parties generally state that the data contained in these publications or other reports have been obtained in good faith or from sources considered to be reliable, but they do not guarantee the accuracy or completeness of such data. The industry in which we operate is subject to risks and uncertainties due to a variety of factors, including those described in the section entitled “Risk Factors.” These and other factors could cause results to differ materially from those expressed in these publications and reports.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estimate that we will receive net proceeds of approximately $ million from the sale of shares of common stock in this offering, or approximately $ million if the underwriters exercise their option to purchase additional shares in full, based on an assumed public offering price of $ per share, which is the last reported sale price of our common stock on the Nasdaq Global Select Market on , 2021, after deducting the estimated underwriting discounts and commissions and estimated offering expenses payable by us.</w:t>
      </w:r>
    </w:p>
    <w:p>
      <w:pPr>
        <w:spacing w:after="0" w:line="187"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Each $1.00 increase (decrease) in the assumed public offering price of $ per share, which is the last reported sale price of our common stock on the Nasdaq Global Select Market on , 2021, would increase (decrease) the net proceeds to us from this offering by $ million,</w:t>
      </w:r>
    </w:p>
    <w:p>
      <w:pPr>
        <w:ind w:left="120" w:right="300"/>
        <w:spacing w:after="0" w:line="281" w:lineRule="auto"/>
        <w:rPr>
          <w:sz w:val="20"/>
          <w:szCs w:val="20"/>
          <w:color w:val="auto"/>
        </w:rPr>
      </w:pPr>
      <w:r>
        <w:rPr>
          <w:rFonts w:ascii="Arial" w:cs="Arial" w:eastAsia="Arial" w:hAnsi="Arial"/>
          <w:sz w:val="16"/>
          <w:szCs w:val="16"/>
          <w:color w:val="auto"/>
        </w:rPr>
        <w:t>assuming the number of shares offered, as set forth on the cover of this prospectus, remains the same, and after deducting the estimated underwriting discounts and commissions and estimated offering expenses payable by us. Similarly, each increase (decrease) of 1,000,000 shares in the number of</w:t>
      </w:r>
    </w:p>
    <w:p>
      <w:pPr>
        <w:spacing w:after="0" w:line="1" w:lineRule="exact"/>
        <w:rPr>
          <w:sz w:val="20"/>
          <w:szCs w:val="20"/>
          <w:color w:val="auto"/>
        </w:rPr>
      </w:pPr>
    </w:p>
    <w:p>
      <w:pPr>
        <w:jc w:val="both"/>
        <w:ind w:left="120" w:right="480"/>
        <w:spacing w:after="0" w:line="255" w:lineRule="auto"/>
        <w:rPr>
          <w:sz w:val="20"/>
          <w:szCs w:val="20"/>
          <w:color w:val="auto"/>
        </w:rPr>
      </w:pPr>
      <w:r>
        <w:rPr>
          <w:rFonts w:ascii="Arial" w:cs="Arial" w:eastAsia="Arial" w:hAnsi="Arial"/>
          <w:sz w:val="18"/>
          <w:szCs w:val="18"/>
          <w:color w:val="auto"/>
        </w:rPr>
        <w:t>shares of common stock offered would increase (decrease) the net proceeds that we receive from this offering by $ million, assuming the assumed public offering price remains the same and after deducting the estimated underwriting discounts and commissions and estimated offering expenses payable by us.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intend to use the net proceeds we receive from this offering, as follows: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ind w:left="240"/>
              <w:spacing w:after="0"/>
              <w:rPr>
                <w:sz w:val="20"/>
                <w:szCs w:val="20"/>
                <w:color w:val="auto"/>
              </w:rPr>
            </w:pPr>
            <w:r>
              <w:rPr>
                <w:rFonts w:ascii="Arial" w:cs="Arial" w:eastAsia="Arial" w:hAnsi="Arial"/>
                <w:sz w:val="18"/>
                <w:szCs w:val="18"/>
                <w:color w:val="auto"/>
              </w:rPr>
              <w:t>approximately $</w:t>
            </w:r>
          </w:p>
        </w:tc>
        <w:tc>
          <w:tcPr>
            <w:tcW w:w="1340" w:type="dxa"/>
            <w:vAlign w:val="bottom"/>
          </w:tcPr>
          <w:p>
            <w:pPr>
              <w:ind w:left="140"/>
              <w:spacing w:after="0"/>
              <w:rPr>
                <w:sz w:val="20"/>
                <w:szCs w:val="20"/>
                <w:color w:val="auto"/>
              </w:rPr>
            </w:pPr>
            <w:r>
              <w:rPr>
                <w:rFonts w:ascii="Arial" w:cs="Arial" w:eastAsia="Arial" w:hAnsi="Arial"/>
                <w:sz w:val="18"/>
                <w:szCs w:val="18"/>
                <w:color w:val="auto"/>
              </w:rPr>
              <w:t>million to $</w:t>
            </w:r>
          </w:p>
        </w:tc>
        <w:tc>
          <w:tcPr>
            <w:tcW w:w="6940" w:type="dxa"/>
            <w:vAlign w:val="bottom"/>
          </w:tcPr>
          <w:p>
            <w:pPr>
              <w:ind w:left="360"/>
              <w:spacing w:after="0"/>
              <w:rPr>
                <w:sz w:val="20"/>
                <w:szCs w:val="20"/>
                <w:color w:val="auto"/>
              </w:rPr>
            </w:pPr>
            <w:r>
              <w:rPr>
                <w:rFonts w:ascii="Arial" w:cs="Arial" w:eastAsia="Arial" w:hAnsi="Arial"/>
                <w:sz w:val="18"/>
                <w:szCs w:val="18"/>
                <w:color w:val="auto"/>
                <w:w w:val="96"/>
              </w:rPr>
              <w:t>million to advance the clinical development of PRT543, including to completion of our</w:t>
            </w:r>
          </w:p>
        </w:tc>
      </w:tr>
      <w:tr>
        <w:trPr>
          <w:trHeight w:val="216"/>
        </w:trPr>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5"/>
              </w:rPr>
              <w:t>ongoing Phase 1 clinical trial in patients with solid tumors and hematological malignancies and, subject to feedback from the FDA, to</w:t>
            </w:r>
          </w:p>
        </w:tc>
      </w:tr>
      <w:tr>
        <w:trPr>
          <w:trHeight w:val="230"/>
        </w:trPr>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0"/>
              </w:rPr>
              <w:t>enable registration readiness and scale up of drug supply and to conduct potential Phase 2 clinical trials in one or more targeted indications;</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ind w:left="240"/>
              <w:spacing w:after="0"/>
              <w:rPr>
                <w:sz w:val="20"/>
                <w:szCs w:val="20"/>
                <w:color w:val="auto"/>
              </w:rPr>
            </w:pPr>
            <w:r>
              <w:rPr>
                <w:rFonts w:ascii="Arial" w:cs="Arial" w:eastAsia="Arial" w:hAnsi="Arial"/>
                <w:sz w:val="18"/>
                <w:szCs w:val="18"/>
                <w:color w:val="auto"/>
              </w:rPr>
              <w:t>approximately $</w:t>
            </w:r>
          </w:p>
        </w:tc>
        <w:tc>
          <w:tcPr>
            <w:tcW w:w="1340" w:type="dxa"/>
            <w:vAlign w:val="bottom"/>
          </w:tcPr>
          <w:p>
            <w:pPr>
              <w:ind w:left="140"/>
              <w:spacing w:after="0"/>
              <w:rPr>
                <w:sz w:val="20"/>
                <w:szCs w:val="20"/>
                <w:color w:val="auto"/>
              </w:rPr>
            </w:pPr>
            <w:r>
              <w:rPr>
                <w:rFonts w:ascii="Arial" w:cs="Arial" w:eastAsia="Arial" w:hAnsi="Arial"/>
                <w:sz w:val="18"/>
                <w:szCs w:val="18"/>
                <w:color w:val="auto"/>
              </w:rPr>
              <w:t>million to $</w:t>
            </w:r>
          </w:p>
        </w:tc>
        <w:tc>
          <w:tcPr>
            <w:tcW w:w="6940" w:type="dxa"/>
            <w:vAlign w:val="bottom"/>
          </w:tcPr>
          <w:p>
            <w:pPr>
              <w:ind w:left="360"/>
              <w:spacing w:after="0"/>
              <w:rPr>
                <w:sz w:val="20"/>
                <w:szCs w:val="20"/>
                <w:color w:val="auto"/>
              </w:rPr>
            </w:pPr>
            <w:r>
              <w:rPr>
                <w:rFonts w:ascii="Arial" w:cs="Arial" w:eastAsia="Arial" w:hAnsi="Arial"/>
                <w:sz w:val="18"/>
                <w:szCs w:val="18"/>
                <w:color w:val="auto"/>
                <w:w w:val="96"/>
              </w:rPr>
              <w:t>million to advance the clinical development of PRT811, including to completion of our</w:t>
            </w:r>
          </w:p>
        </w:tc>
      </w:tr>
      <w:tr>
        <w:trPr>
          <w:trHeight w:val="216"/>
        </w:trPr>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7"/>
              </w:rPr>
              <w:t>ongoing Phase 1 clinical trial in patients with advanced solid tumors and, subject to feedback from the FDA, to enable registration</w:t>
            </w:r>
          </w:p>
        </w:tc>
      </w:tr>
      <w:tr>
        <w:trPr>
          <w:trHeight w:val="230"/>
        </w:trPr>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readiness and scale up of drug supply and to conduct potential Phase 2 clinical trials in one or more indications;</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ind w:left="240"/>
              <w:spacing w:after="0"/>
              <w:rPr>
                <w:sz w:val="20"/>
                <w:szCs w:val="20"/>
                <w:color w:val="auto"/>
              </w:rPr>
            </w:pPr>
            <w:r>
              <w:rPr>
                <w:rFonts w:ascii="Arial" w:cs="Arial" w:eastAsia="Arial" w:hAnsi="Arial"/>
                <w:sz w:val="18"/>
                <w:szCs w:val="18"/>
                <w:color w:val="auto"/>
              </w:rPr>
              <w:t>approximately $</w:t>
            </w:r>
          </w:p>
        </w:tc>
        <w:tc>
          <w:tcPr>
            <w:tcW w:w="1340" w:type="dxa"/>
            <w:vAlign w:val="bottom"/>
          </w:tcPr>
          <w:p>
            <w:pPr>
              <w:ind w:left="140"/>
              <w:spacing w:after="0"/>
              <w:rPr>
                <w:sz w:val="20"/>
                <w:szCs w:val="20"/>
                <w:color w:val="auto"/>
              </w:rPr>
            </w:pPr>
            <w:r>
              <w:rPr>
                <w:rFonts w:ascii="Arial" w:cs="Arial" w:eastAsia="Arial" w:hAnsi="Arial"/>
                <w:sz w:val="18"/>
                <w:szCs w:val="18"/>
                <w:color w:val="auto"/>
              </w:rPr>
              <w:t>million to $</w:t>
            </w:r>
          </w:p>
        </w:tc>
        <w:tc>
          <w:tcPr>
            <w:tcW w:w="6940" w:type="dxa"/>
            <w:vAlign w:val="bottom"/>
          </w:tcPr>
          <w:p>
            <w:pPr>
              <w:ind w:left="360"/>
              <w:spacing w:after="0"/>
              <w:rPr>
                <w:sz w:val="20"/>
                <w:szCs w:val="20"/>
                <w:color w:val="auto"/>
              </w:rPr>
            </w:pPr>
            <w:r>
              <w:rPr>
                <w:rFonts w:ascii="Arial" w:cs="Arial" w:eastAsia="Arial" w:hAnsi="Arial"/>
                <w:sz w:val="18"/>
                <w:szCs w:val="18"/>
                <w:color w:val="auto"/>
                <w:w w:val="95"/>
              </w:rPr>
              <w:t>million to advance the clinical development of PRT1419, including to completion of our</w:t>
            </w:r>
          </w:p>
        </w:tc>
      </w:tr>
      <w:tr>
        <w:trPr>
          <w:trHeight w:val="216"/>
        </w:trPr>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4"/>
              </w:rPr>
              <w:t>ongoing Phase 1 clinical trials in patients with R/R high risk MF or MDS and R/R NHL or MM or solid tumors and, subject to feedback</w:t>
            </w:r>
          </w:p>
        </w:tc>
      </w:tr>
      <w:tr>
        <w:trPr>
          <w:trHeight w:val="230"/>
        </w:trPr>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from the FDA, we may to conduct initiate potential Phase 2 clinical trials in one or more targeted indications;</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ind w:left="240"/>
              <w:spacing w:after="0"/>
              <w:rPr>
                <w:sz w:val="20"/>
                <w:szCs w:val="20"/>
                <w:color w:val="auto"/>
              </w:rPr>
            </w:pPr>
            <w:r>
              <w:rPr>
                <w:rFonts w:ascii="Arial" w:cs="Arial" w:eastAsia="Arial" w:hAnsi="Arial"/>
                <w:sz w:val="18"/>
                <w:szCs w:val="18"/>
                <w:color w:val="auto"/>
              </w:rPr>
              <w:t>approximately $</w:t>
            </w:r>
          </w:p>
        </w:tc>
        <w:tc>
          <w:tcPr>
            <w:tcW w:w="1340" w:type="dxa"/>
            <w:vAlign w:val="bottom"/>
          </w:tcPr>
          <w:p>
            <w:pPr>
              <w:ind w:left="140"/>
              <w:spacing w:after="0"/>
              <w:rPr>
                <w:sz w:val="20"/>
                <w:szCs w:val="20"/>
                <w:color w:val="auto"/>
              </w:rPr>
            </w:pPr>
            <w:r>
              <w:rPr>
                <w:rFonts w:ascii="Arial" w:cs="Arial" w:eastAsia="Arial" w:hAnsi="Arial"/>
                <w:sz w:val="18"/>
                <w:szCs w:val="18"/>
                <w:color w:val="auto"/>
              </w:rPr>
              <w:t>million to $</w:t>
            </w:r>
          </w:p>
        </w:tc>
        <w:tc>
          <w:tcPr>
            <w:tcW w:w="6940" w:type="dxa"/>
            <w:vAlign w:val="bottom"/>
          </w:tcPr>
          <w:p>
            <w:pPr>
              <w:ind w:left="360"/>
              <w:spacing w:after="0"/>
              <w:rPr>
                <w:sz w:val="20"/>
                <w:szCs w:val="20"/>
                <w:color w:val="auto"/>
              </w:rPr>
            </w:pPr>
            <w:r>
              <w:rPr>
                <w:rFonts w:ascii="Arial" w:cs="Arial" w:eastAsia="Arial" w:hAnsi="Arial"/>
                <w:sz w:val="18"/>
                <w:szCs w:val="18"/>
                <w:color w:val="auto"/>
                <w:w w:val="98"/>
              </w:rPr>
              <w:t>million to advance the preclinical and clinical development of PRT2527, including to</w:t>
            </w:r>
          </w:p>
        </w:tc>
      </w:tr>
      <w:tr>
        <w:trPr>
          <w:trHeight w:val="230"/>
        </w:trPr>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completion of our planned Phase 1 clinical trial in solid tumors and/or hematological malignancies;</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ind w:left="240"/>
              <w:spacing w:after="0"/>
              <w:rPr>
                <w:sz w:val="20"/>
                <w:szCs w:val="20"/>
                <w:color w:val="auto"/>
              </w:rPr>
            </w:pPr>
            <w:r>
              <w:rPr>
                <w:rFonts w:ascii="Arial" w:cs="Arial" w:eastAsia="Arial" w:hAnsi="Arial"/>
                <w:sz w:val="18"/>
                <w:szCs w:val="18"/>
                <w:color w:val="auto"/>
              </w:rPr>
              <w:t>approximately $</w:t>
            </w:r>
          </w:p>
        </w:tc>
        <w:tc>
          <w:tcPr>
            <w:tcW w:w="1340" w:type="dxa"/>
            <w:vAlign w:val="bottom"/>
          </w:tcPr>
          <w:p>
            <w:pPr>
              <w:ind w:left="140"/>
              <w:spacing w:after="0"/>
              <w:rPr>
                <w:sz w:val="20"/>
                <w:szCs w:val="20"/>
                <w:color w:val="auto"/>
              </w:rPr>
            </w:pPr>
            <w:r>
              <w:rPr>
                <w:rFonts w:ascii="Arial" w:cs="Arial" w:eastAsia="Arial" w:hAnsi="Arial"/>
                <w:sz w:val="18"/>
                <w:szCs w:val="18"/>
                <w:color w:val="auto"/>
              </w:rPr>
              <w:t>million to $</w:t>
            </w:r>
          </w:p>
        </w:tc>
        <w:tc>
          <w:tcPr>
            <w:tcW w:w="6940" w:type="dxa"/>
            <w:vAlign w:val="bottom"/>
          </w:tcPr>
          <w:p>
            <w:pPr>
              <w:ind w:left="360"/>
              <w:spacing w:after="0"/>
              <w:rPr>
                <w:sz w:val="20"/>
                <w:szCs w:val="20"/>
                <w:color w:val="auto"/>
              </w:rPr>
            </w:pPr>
            <w:r>
              <w:rPr>
                <w:rFonts w:ascii="Arial" w:cs="Arial" w:eastAsia="Arial" w:hAnsi="Arial"/>
                <w:sz w:val="18"/>
                <w:szCs w:val="18"/>
                <w:color w:val="auto"/>
                <w:w w:val="93"/>
              </w:rPr>
              <w:t>million to fund further development of our preclinical programs towards IND filings and/or</w:t>
            </w:r>
          </w:p>
        </w:tc>
      </w:tr>
      <w:tr>
        <w:trPr>
          <w:trHeight w:val="230"/>
        </w:trPr>
        <w:tc>
          <w:tcPr>
            <w:tcW w:w="300" w:type="dxa"/>
            <w:vAlign w:val="bottom"/>
          </w:tcPr>
          <w:p>
            <w:pPr>
              <w:spacing w:after="0"/>
              <w:rPr>
                <w:sz w:val="20"/>
                <w:szCs w:val="20"/>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into clinical trials; and</w:t>
            </w:r>
          </w:p>
        </w:tc>
        <w:tc>
          <w:tcPr>
            <w:tcW w:w="1340" w:type="dxa"/>
            <w:vAlign w:val="bottom"/>
          </w:tcPr>
          <w:p>
            <w:pPr>
              <w:spacing w:after="0"/>
              <w:rPr>
                <w:sz w:val="20"/>
                <w:szCs w:val="20"/>
                <w:color w:val="auto"/>
              </w:rPr>
            </w:pPr>
          </w:p>
        </w:tc>
        <w:tc>
          <w:tcPr>
            <w:tcW w:w="6940" w:type="dxa"/>
            <w:vAlign w:val="bottom"/>
          </w:tcPr>
          <w:p>
            <w:pPr>
              <w:spacing w:after="0"/>
              <w:rPr>
                <w:sz w:val="20"/>
                <w:szCs w:val="20"/>
                <w:color w:val="auto"/>
              </w:rPr>
            </w:pPr>
          </w:p>
        </w:tc>
      </w:tr>
    </w:tbl>
    <w:p>
      <w:pPr>
        <w:spacing w:after="0" w:line="107"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remaining amounts to fund working capital and general corporate purposes.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our planned use of the net proceeds, we estimate such funds, together with our existing cash and cash equivalents, will be sufficient for</w:t>
      </w:r>
    </w:p>
    <w:p>
      <w:pPr>
        <w:spacing w:after="0" w:line="46"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us to fund our operating expenses and capital expenditure requirements into . We have based this estimate on assumptions that may prove to be wrong, and we could use our available capital resources sooner than we expect.</w:t>
      </w:r>
    </w:p>
    <w:p>
      <w:pPr>
        <w:spacing w:after="0" w:line="18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The amounts we actually expend in these areas, and the timing thereof, may vary significantly from our current intentions and will depend on a number of factors, including the success of research and product development efforts, cash generated from future operations and actual expenses to operate our business. We may use a portion of the net proceeds for the acquisition of, or investment in, businesses that complement our business, although we have no present commitments or agreements.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amounts and timing of our preclinical and clinical expenditures and the extent of preclinical and clinical development may vary significantly depending on numerous factors, including the status, results and timing of our current preclinical studies and clinical trials, and the preclinical studies and clinical trials which we may commence in the future, the product approval process with the FDA and other regulatory agencies, any new collaborations we may enter into with third parties, any unforeseen cash needs and other factors described under “Risk Factors” in this prospectus. As a result, we cannot predict with any certainty all of the particular uses for the net proceeds or the amounts that we will actually spend on the uses set forth above. Accordingly, our management will have broad discretion in the application of the net proceeds, and investors will be relying on the judgment of our management regarding the application of the net proceeds of this offering.</w:t>
      </w:r>
    </w:p>
    <w:p>
      <w:pPr>
        <w:spacing w:after="0" w:line="17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6"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Pending the uses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40"/>
          </w:cols>
          <w:pgMar w:left="320" w:top="459" w:right="5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for use in the operation of our business and do not anticipate paying any cash dividends on our common stock or non-voting common stock in the foreseeable future.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9"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Confidential Treatment Requested by Prelude Therapeutics Incorporated</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our cash and cash equivalents and capitalization as of September 30, 2020 on:</w:t>
      </w:r>
    </w:p>
    <w:p>
      <w:pPr>
        <w:spacing w:after="0" w:line="154"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actual basis; and</w:t>
      </w:r>
    </w:p>
    <w:p>
      <w:pPr>
        <w:sectPr>
          <w:pgSz w:w="11900" w:h="16838" w:orient="portrait"/>
          <w:cols w:equalWidth="0" w:num="1">
            <w:col w:w="11140"/>
          </w:cols>
          <w:pgMar w:left="320" w:top="459" w:right="43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an as adjusted basis, giving effect to the sale of shares of common stock in this offering, at an assumed public offering price of $ per share, which is the last reported sale price of our common stock on the Nasdaq Global Select Market on , 2021, after deducting the estimated underwriting discounts and commissions and estimated offering expenses payable by us.</w:t>
      </w:r>
    </w:p>
    <w:p>
      <w:pPr>
        <w:spacing w:after="0" w:line="165" w:lineRule="exact"/>
        <w:rPr>
          <w:sz w:val="20"/>
          <w:szCs w:val="20"/>
          <w:color w:val="auto"/>
        </w:rPr>
      </w:pPr>
    </w:p>
    <w:p>
      <w:pPr>
        <w:sectPr>
          <w:pgSz w:w="11900" w:h="16838" w:orient="portrait"/>
          <w:cols w:equalWidth="0" w:num="2">
            <w:col w:w="620" w:space="460"/>
            <w:col w:w="10060"/>
          </w:cols>
          <w:pgMar w:left="320" w:top="459" w:right="439" w:bottom="1440" w:gutter="0" w:footer="0" w:header="0"/>
          <w:type w:val="continuous"/>
        </w:sectPr>
      </w:pPr>
    </w:p>
    <w:p>
      <w:pPr>
        <w:ind w:left="120" w:right="60" w:firstLine="440"/>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public offering price and other terms of this offering as determined at pricing.</w:t>
      </w:r>
    </w:p>
    <w:p>
      <w:pPr>
        <w:spacing w:after="0" w:line="170"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You should read this table together with the sections titled “Selected Financial Data” and “Management’s Discussion and Analysis of Financial Condition and Results of Operations” and our financial statements and related notes, each included elsewhere in this prospectus.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w w:val="90"/>
              </w:rPr>
              <w:t>As of September 30, 2020</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Actual</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gridSpan w:val="4"/>
          </w:tcPr>
          <w:p>
            <w:pPr>
              <w:jc w:val="center"/>
              <w:ind w:right="48"/>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gridSpan w:val="3"/>
          </w:tcPr>
          <w:p>
            <w:pPr>
              <w:jc w:val="center"/>
              <w:ind w:right="788"/>
              <w:spacing w:after="0"/>
              <w:rPr>
                <w:sz w:val="20"/>
                <w:szCs w:val="20"/>
                <w:color w:val="auto"/>
              </w:rPr>
            </w:pPr>
            <w:r>
              <w:rPr>
                <w:rFonts w:ascii="Arial" w:cs="Arial" w:eastAsia="Arial" w:hAnsi="Arial"/>
                <w:sz w:val="14"/>
                <w:szCs w:val="14"/>
                <w:b w:val="1"/>
                <w:bCs w:val="1"/>
                <w:color w:val="auto"/>
                <w:w w:val="93"/>
              </w:rPr>
              <w:t>share data)</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$0.0001 par value: 10,000,000 shares authorized, no shares issued or outstanding, actual; actual</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as adjusted</w:t>
            </w:r>
          </w:p>
        </w:tc>
        <w:tc>
          <w:tcPr>
            <w:tcW w:w="5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20" w:type="dxa"/>
            <w:vAlign w:val="bottom"/>
            <w:gridSpan w:val="3"/>
          </w:tcPr>
          <w:p>
            <w:pPr>
              <w:spacing w:after="0" w:line="201" w:lineRule="exact"/>
              <w:rPr>
                <w:sz w:val="20"/>
                <w:szCs w:val="20"/>
                <w:color w:val="auto"/>
              </w:rPr>
            </w:pPr>
            <w:r>
              <w:rPr>
                <w:rFonts w:ascii="Arial" w:cs="Arial" w:eastAsia="Arial" w:hAnsi="Arial"/>
                <w:sz w:val="18"/>
                <w:szCs w:val="18"/>
                <w:color w:val="auto"/>
                <w:w w:val="94"/>
              </w:rPr>
              <w:t>Voting common stock, $0.0001 par value: 487,149,741 shares authorized, actual and as adjusted: 32,593,010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80"/>
              <w:spacing w:after="0"/>
              <w:rPr>
                <w:sz w:val="20"/>
                <w:szCs w:val="20"/>
                <w:color w:val="auto"/>
              </w:rPr>
            </w:pPr>
            <w:r>
              <w:rPr>
                <w:rFonts w:ascii="Arial" w:cs="Arial" w:eastAsia="Arial" w:hAnsi="Arial"/>
                <w:sz w:val="18"/>
                <w:szCs w:val="18"/>
                <w:color w:val="auto"/>
                <w:w w:val="96"/>
              </w:rPr>
              <w:t>shares issued and outstanding, actual;</w:t>
            </w:r>
          </w:p>
        </w:tc>
        <w:tc>
          <w:tcPr>
            <w:tcW w:w="5140" w:type="dxa"/>
            <w:vAlign w:val="bottom"/>
          </w:tcPr>
          <w:p>
            <w:pPr>
              <w:ind w:left="280"/>
              <w:spacing w:after="0"/>
              <w:rPr>
                <w:sz w:val="20"/>
                <w:szCs w:val="20"/>
                <w:color w:val="auto"/>
              </w:rPr>
            </w:pPr>
            <w:r>
              <w:rPr>
                <w:rFonts w:ascii="Arial" w:cs="Arial" w:eastAsia="Arial" w:hAnsi="Arial"/>
                <w:sz w:val="18"/>
                <w:szCs w:val="18"/>
                <w:color w:val="auto"/>
              </w:rPr>
              <w:t>shares issued and outstanding, as adjusted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Non-voting common stock, $0.0001 par value: 12,850,259 shares authorized, 11,110,371 shares issued and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actual and as adjusted</w:t>
            </w:r>
          </w:p>
        </w:tc>
        <w:tc>
          <w:tcPr>
            <w:tcW w:w="5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316,479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(88,176)</w:t>
            </w:r>
          </w:p>
        </w:tc>
        <w:tc>
          <w:tcPr>
            <w:tcW w:w="2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228,307</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5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tabs>
          <w:tab w:leader="none" w:pos="520" w:val="left"/>
          <w:tab w:leader="none" w:pos="4040" w:val="left"/>
        </w:tabs>
        <w:rPr>
          <w:sz w:val="20"/>
          <w:szCs w:val="20"/>
          <w:color w:val="auto"/>
        </w:rPr>
      </w:pPr>
      <w:r>
        <w:rPr>
          <w:rFonts w:ascii="Arial" w:cs="Arial" w:eastAsia="Arial" w:hAnsi="Arial"/>
          <w:sz w:val="18"/>
          <w:szCs w:val="18"/>
          <w:color w:val="auto"/>
        </w:rPr>
        <w:t>(1)</w:t>
        <w:tab/>
        <w:t>As adjusted amounts reflect the sale of</w:t>
      </w:r>
      <w:r>
        <w:rPr>
          <w:sz w:val="20"/>
          <w:szCs w:val="20"/>
          <w:color w:val="auto"/>
        </w:rPr>
        <w:tab/>
      </w:r>
      <w:r>
        <w:rPr>
          <w:rFonts w:ascii="Arial" w:cs="Arial" w:eastAsia="Arial" w:hAnsi="Arial"/>
          <w:sz w:val="16"/>
          <w:szCs w:val="16"/>
          <w:color w:val="auto"/>
        </w:rPr>
        <w:t>shares of our common stock by us in this offering at the assumed public offering price of</w:t>
      </w:r>
    </w:p>
    <w:p>
      <w:pPr>
        <w:spacing w:after="0" w:line="23" w:lineRule="exact"/>
        <w:rPr>
          <w:sz w:val="20"/>
          <w:szCs w:val="20"/>
          <w:color w:val="auto"/>
        </w:rPr>
      </w:pPr>
    </w:p>
    <w:p>
      <w:pPr>
        <w:ind w:left="540"/>
        <w:spacing w:after="0"/>
        <w:tabs>
          <w:tab w:leader="none" w:pos="1340" w:val="left"/>
          <w:tab w:leader="none" w:pos="9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which is the last reported sale price of our common stock on the Nasdaq Global Select Market on</w:t>
      </w:r>
      <w:r>
        <w:rPr>
          <w:sz w:val="20"/>
          <w:szCs w:val="20"/>
          <w:color w:val="auto"/>
        </w:rPr>
        <w:tab/>
      </w:r>
      <w:r>
        <w:rPr>
          <w:rFonts w:ascii="Arial" w:cs="Arial" w:eastAsia="Arial" w:hAnsi="Arial"/>
          <w:sz w:val="16"/>
          <w:szCs w:val="16"/>
          <w:color w:val="auto"/>
        </w:rPr>
        <w:t>, 2021, after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deducting the estimated underwriting discounts and commissions and estimated offering expenses. A $1.00 increase (decrease) in the assumed</w:t>
      </w:r>
    </w:p>
    <w:p>
      <w:pPr>
        <w:spacing w:after="0" w:line="32" w:lineRule="exact"/>
        <w:rPr>
          <w:sz w:val="20"/>
          <w:szCs w:val="20"/>
          <w:color w:val="auto"/>
        </w:rPr>
      </w:pPr>
    </w:p>
    <w:p>
      <w:pPr>
        <w:ind w:left="540"/>
        <w:spacing w:after="0"/>
        <w:tabs>
          <w:tab w:leader="none" w:pos="306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6"/>
          <w:szCs w:val="16"/>
          <w:color w:val="auto"/>
        </w:rPr>
        <w:t>per share, which is the last reported sale price of our common stock on the Nasdaq Global Select Market</w:t>
      </w:r>
    </w:p>
    <w:p>
      <w:pPr>
        <w:spacing w:after="0" w:line="9"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 2021, would increase (decrease) the as adjusted amount of each of cash and cash equivalents, additional paid-in capital, total</w:t>
      </w:r>
    </w:p>
    <w:p>
      <w:pPr>
        <w:spacing w:after="0" w:line="21" w:lineRule="exact"/>
        <w:rPr>
          <w:sz w:val="20"/>
          <w:szCs w:val="20"/>
          <w:color w:val="auto"/>
        </w:rPr>
      </w:pPr>
    </w:p>
    <w:p>
      <w:pPr>
        <w:ind w:left="540"/>
        <w:spacing w:after="0"/>
        <w:tabs>
          <w:tab w:leader="none" w:pos="4740" w:val="left"/>
        </w:tabs>
        <w:rPr>
          <w:sz w:val="20"/>
          <w:szCs w:val="20"/>
          <w:color w:val="auto"/>
        </w:rPr>
      </w:pPr>
      <w:r>
        <w:rPr>
          <w:rFonts w:ascii="Arial" w:cs="Arial" w:eastAsia="Arial" w:hAnsi="Arial"/>
          <w:sz w:val="18"/>
          <w:szCs w:val="18"/>
          <w:color w:val="auto"/>
        </w:rPr>
        <w:t>stockholders’ equity and total capitalization by $</w:t>
      </w:r>
      <w:r>
        <w:rPr>
          <w:sz w:val="20"/>
          <w:szCs w:val="20"/>
          <w:color w:val="auto"/>
        </w:rPr>
        <w:tab/>
      </w:r>
      <w:r>
        <w:rPr>
          <w:rFonts w:ascii="Arial" w:cs="Arial" w:eastAsia="Arial" w:hAnsi="Arial"/>
          <w:sz w:val="16"/>
          <w:szCs w:val="16"/>
          <w:color w:val="auto"/>
        </w:rPr>
        <w:t>million, assuming that the number of shares offered by us, as set forth on the cover of</w:t>
      </w:r>
    </w:p>
    <w:p>
      <w:pPr>
        <w:spacing w:after="0" w:line="9" w:lineRule="exact"/>
        <w:rPr>
          <w:sz w:val="20"/>
          <w:szCs w:val="20"/>
          <w:color w:val="auto"/>
        </w:rPr>
      </w:pPr>
    </w:p>
    <w:p>
      <w:pPr>
        <w:ind w:left="540" w:right="60"/>
        <w:spacing w:after="0" w:line="281" w:lineRule="auto"/>
        <w:rPr>
          <w:sz w:val="20"/>
          <w:szCs w:val="20"/>
          <w:color w:val="auto"/>
        </w:rPr>
      </w:pPr>
      <w:r>
        <w:rPr>
          <w:rFonts w:ascii="Arial" w:cs="Arial" w:eastAsia="Arial" w:hAnsi="Arial"/>
          <w:sz w:val="16"/>
          <w:szCs w:val="16"/>
          <w:color w:val="auto"/>
        </w:rPr>
        <w:t>this prospectus, remains the same and after deducting estimated underwriting discounts and commissions and estimated offering expenses payable by us. Similarly, each increase (decrease) of 1,000,000 in the number of shares offered by us in this offering would increase (decrease) the as adjusted amount of each of cash and cash equivalents, working capital, total assets, additional paid-in capital, total stockholders’ equity and total</w:t>
      </w:r>
    </w:p>
    <w:p>
      <w:pPr>
        <w:spacing w:after="0" w:line="2" w:lineRule="exact"/>
        <w:rPr>
          <w:sz w:val="20"/>
          <w:szCs w:val="20"/>
          <w:color w:val="auto"/>
        </w:rPr>
      </w:pPr>
    </w:p>
    <w:p>
      <w:pPr>
        <w:ind w:left="540" w:right="360"/>
        <w:spacing w:after="0" w:line="260" w:lineRule="auto"/>
        <w:rPr>
          <w:sz w:val="20"/>
          <w:szCs w:val="20"/>
          <w:color w:val="auto"/>
        </w:rPr>
      </w:pPr>
      <w:r>
        <w:rPr>
          <w:rFonts w:ascii="Arial" w:cs="Arial" w:eastAsia="Arial" w:hAnsi="Arial"/>
          <w:sz w:val="18"/>
          <w:szCs w:val="18"/>
          <w:color w:val="auto"/>
        </w:rPr>
        <w:t>capitalization by $ million, assuming the assumed public offering price remains the same and after deducting estimated underwriting discounts commissions and estimated offering expenses payable by us.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above excludes the following:</w:t>
      </w:r>
    </w:p>
    <w:p>
      <w:pPr>
        <w:spacing w:after="0" w:line="131" w:lineRule="exact"/>
        <w:rPr>
          <w:sz w:val="20"/>
          <w:szCs w:val="20"/>
          <w:color w:val="auto"/>
        </w:rPr>
      </w:pPr>
    </w:p>
    <w:p>
      <w:pPr>
        <w:ind w:left="1080" w:right="20" w:hanging="532"/>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6,649,882 shares of common stock issuable upon the exercise of stock options outstanding as of September 30, 2020 under our 2016 Stock Incentive Plan, or the 2016 Plan, and our 2020 Equity Incentive Plan, or the 2020 Plan, with an average exercise price of $7.00 per share;</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127,000 shares of common stock issuable upon the exercise of stock options granted after September 30, 2020 under the 2020 Plan with an exercise price of $52.90; and</w:t>
      </w:r>
    </w:p>
    <w:p>
      <w:pPr>
        <w:spacing w:after="0" w:line="75" w:lineRule="exact"/>
        <w:rPr>
          <w:rFonts w:ascii="Arial" w:cs="Arial" w:eastAsia="Arial" w:hAnsi="Arial"/>
          <w:sz w:val="18"/>
          <w:szCs w:val="18"/>
          <w:color w:val="auto"/>
        </w:rPr>
      </w:pPr>
    </w:p>
    <w:p>
      <w:pPr>
        <w:ind w:left="1080" w:right="320" w:hanging="532"/>
        <w:spacing w:after="0" w:line="25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5,197,407 shares of common stock reserved for future issuance under our stock-based compensation plans, consisting of (i) 4,677,407 shares of common stock reserved for future issuance under the 2020 Plan, and (ii) 520,000 shares of common stock reserved for future issuance under our 2020 Employee Stock Purchase Plan, or the ESPP. Our 2020 Plan and ESPP also provide for automatic annual increases in the number of shares reserved under the plans each year, as more fully described in “Executive Compensation—Equity Compensation Plans and Other Benefit Plans.”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amount per share paid by purchasers of shares of common stock in this offering and the as adjusted net tangible book value per share of common stock immediately after this offering.</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Net tangible book value per share is determined by dividing our total tangible assets less our total liabilities by the number of shares of common stock outstanding. Our net tangible book value as of September 30, 2020 was $228.3 million, or $5.22 per share, based on 43,703,381 shares of common stock and non-voting common stock (of which 11,110,371 shares are non-voting common stock) outstanding as of that date.</w:t>
      </w:r>
    </w:p>
    <w:p>
      <w:pPr>
        <w:spacing w:after="0" w:line="165" w:lineRule="exact"/>
        <w:rPr>
          <w:sz w:val="20"/>
          <w:szCs w:val="20"/>
          <w:color w:val="auto"/>
        </w:rPr>
      </w:pPr>
    </w:p>
    <w:p>
      <w:pPr>
        <w:ind w:left="120" w:right="640" w:firstLine="440"/>
        <w:spacing w:after="0" w:line="291" w:lineRule="auto"/>
        <w:rPr>
          <w:sz w:val="20"/>
          <w:szCs w:val="20"/>
          <w:color w:val="auto"/>
        </w:rPr>
      </w:pPr>
      <w:r>
        <w:rPr>
          <w:rFonts w:ascii="Arial" w:cs="Arial" w:eastAsia="Arial" w:hAnsi="Arial"/>
          <w:sz w:val="16"/>
          <w:szCs w:val="16"/>
          <w:color w:val="auto"/>
        </w:rPr>
        <w:t>Net tangible book value dilution per share to new investors in this offering represents the difference between the amount per share paid by purchasers of shares of common stock in this offering and the as adjusted net tangible book value per share of common stock immediately after</w:t>
      </w:r>
    </w:p>
    <w:p>
      <w:pPr>
        <w:ind w:left="120" w:right="40"/>
        <w:spacing w:after="0" w:line="250" w:lineRule="auto"/>
        <w:rPr>
          <w:sz w:val="20"/>
          <w:szCs w:val="20"/>
          <w:color w:val="auto"/>
        </w:rPr>
      </w:pPr>
      <w:r>
        <w:rPr>
          <w:rFonts w:ascii="Arial" w:cs="Arial" w:eastAsia="Arial" w:hAnsi="Arial"/>
          <w:sz w:val="18"/>
          <w:szCs w:val="18"/>
          <w:color w:val="auto"/>
        </w:rPr>
        <w:t>completion of this offering. After giving effect to our sale in this offering of shares of our common stock at an assumed public offering price of $ per share, which is the last reported sale price of our common stock on the Nasdaq Global Select Market on , 2021, and after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deducting the estimated underwriting discounts and commissions and estimated offering expenses payable by us, our as adjusted net tangible book value</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40" w:type="dxa"/>
            <w:vAlign w:val="bottom"/>
            <w:gridSpan w:val="3"/>
          </w:tcPr>
          <w:p>
            <w:pPr>
              <w:spacing w:after="0"/>
              <w:rPr>
                <w:sz w:val="20"/>
                <w:szCs w:val="20"/>
                <w:color w:val="auto"/>
              </w:rPr>
            </w:pPr>
            <w:r>
              <w:rPr>
                <w:rFonts w:ascii="Arial" w:cs="Arial" w:eastAsia="Arial" w:hAnsi="Arial"/>
                <w:sz w:val="18"/>
                <w:szCs w:val="18"/>
                <w:color w:val="auto"/>
              </w:rPr>
              <w:t>as of September 30, 2020 would have been approximately $</w:t>
            </w:r>
          </w:p>
        </w:tc>
        <w:tc>
          <w:tcPr>
            <w:tcW w:w="1300" w:type="dxa"/>
            <w:vAlign w:val="bottom"/>
          </w:tcPr>
          <w:p>
            <w:pPr>
              <w:ind w:left="200"/>
              <w:spacing w:after="0"/>
              <w:rPr>
                <w:sz w:val="20"/>
                <w:szCs w:val="20"/>
                <w:color w:val="auto"/>
              </w:rPr>
            </w:pPr>
            <w:r>
              <w:rPr>
                <w:rFonts w:ascii="Arial" w:cs="Arial" w:eastAsia="Arial" w:hAnsi="Arial"/>
                <w:sz w:val="18"/>
                <w:szCs w:val="18"/>
                <w:color w:val="auto"/>
              </w:rPr>
              <w:t>million, or $</w:t>
            </w:r>
          </w:p>
        </w:tc>
        <w:tc>
          <w:tcPr>
            <w:tcW w:w="4880" w:type="dxa"/>
            <w:vAlign w:val="bottom"/>
            <w:gridSpan w:val="3"/>
          </w:tcPr>
          <w:p>
            <w:pPr>
              <w:ind w:left="500"/>
              <w:spacing w:after="0"/>
              <w:rPr>
                <w:sz w:val="20"/>
                <w:szCs w:val="20"/>
                <w:color w:val="auto"/>
              </w:rPr>
            </w:pPr>
            <w:r>
              <w:rPr>
                <w:rFonts w:ascii="Arial" w:cs="Arial" w:eastAsia="Arial" w:hAnsi="Arial"/>
                <w:sz w:val="18"/>
                <w:szCs w:val="18"/>
                <w:color w:val="auto"/>
              </w:rPr>
              <w:t>per share of our common stock. This represents an</w:t>
            </w: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w w:val="96"/>
              </w:rPr>
              <w:t>immediate increase in ad adjusted net tangible book value of $</w:t>
            </w:r>
          </w:p>
        </w:tc>
        <w:tc>
          <w:tcPr>
            <w:tcW w:w="6180" w:type="dxa"/>
            <w:vAlign w:val="bottom"/>
            <w:gridSpan w:val="4"/>
          </w:tcPr>
          <w:p>
            <w:pPr>
              <w:ind w:left="200"/>
              <w:spacing w:after="0"/>
              <w:rPr>
                <w:sz w:val="20"/>
                <w:szCs w:val="20"/>
                <w:color w:val="auto"/>
              </w:rPr>
            </w:pPr>
            <w:r>
              <w:rPr>
                <w:rFonts w:ascii="Arial" w:cs="Arial" w:eastAsia="Arial" w:hAnsi="Arial"/>
                <w:sz w:val="18"/>
                <w:szCs w:val="18"/>
                <w:color w:val="auto"/>
                <w:w w:val="95"/>
              </w:rPr>
              <w:t>per share to our existing stockholders and an immediate dilution in net tangible</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book value of $</w:t>
            </w:r>
          </w:p>
        </w:tc>
        <w:tc>
          <w:tcPr>
            <w:tcW w:w="9620" w:type="dxa"/>
            <w:vAlign w:val="bottom"/>
            <w:gridSpan w:val="6"/>
          </w:tcPr>
          <w:p>
            <w:pPr>
              <w:ind w:left="260"/>
              <w:spacing w:after="0"/>
              <w:rPr>
                <w:sz w:val="20"/>
                <w:szCs w:val="20"/>
                <w:color w:val="auto"/>
              </w:rPr>
            </w:pPr>
            <w:r>
              <w:rPr>
                <w:rFonts w:ascii="Arial" w:cs="Arial" w:eastAsia="Arial" w:hAnsi="Arial"/>
                <w:sz w:val="18"/>
                <w:szCs w:val="18"/>
                <w:color w:val="auto"/>
              </w:rPr>
              <w:t>per share to investors in this offering, as illustrated in the following table:</w:t>
            </w:r>
          </w:p>
        </w:tc>
      </w:tr>
      <w:tr>
        <w:trPr>
          <w:trHeight w:val="243"/>
        </w:trPr>
        <w:tc>
          <w:tcPr>
            <w:tcW w:w="380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gridSpan w:val="3"/>
          </w:tcPr>
          <w:p>
            <w:pPr>
              <w:ind w:left="360"/>
              <w:spacing w:after="0"/>
              <w:rPr>
                <w:sz w:val="20"/>
                <w:szCs w:val="20"/>
                <w:color w:val="auto"/>
              </w:rPr>
            </w:pPr>
            <w:r>
              <w:rPr>
                <w:rFonts w:ascii="Arial" w:cs="Arial" w:eastAsia="Arial" w:hAnsi="Arial"/>
                <w:sz w:val="18"/>
                <w:szCs w:val="18"/>
                <w:color w:val="auto"/>
                <w:w w:val="92"/>
              </w:rPr>
              <w:t>Net tangible book value per share as of September 30, 2020</w:t>
            </w:r>
          </w:p>
        </w:tc>
        <w:tc>
          <w:tcPr>
            <w:tcW w:w="1300" w:type="dxa"/>
            <w:vAlign w:val="bottom"/>
          </w:tcPr>
          <w:p>
            <w:pPr>
              <w:spacing w:after="0"/>
              <w:rPr>
                <w:sz w:val="18"/>
                <w:szCs w:val="18"/>
                <w:color w:val="auto"/>
              </w:rPr>
            </w:pP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$ 5.22</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02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r>
      <w:tr>
        <w:trPr>
          <w:trHeight w:val="223"/>
        </w:trPr>
        <w:tc>
          <w:tcPr>
            <w:tcW w:w="4840" w:type="dxa"/>
            <w:vAlign w:val="bottom"/>
            <w:gridSpan w:val="3"/>
          </w:tcPr>
          <w:p>
            <w:pPr>
              <w:spacing w:after="0"/>
              <w:rPr>
                <w:sz w:val="20"/>
                <w:szCs w:val="20"/>
                <w:color w:val="auto"/>
              </w:rPr>
            </w:pPr>
            <w:r>
              <w:rPr>
                <w:rFonts w:ascii="Arial" w:cs="Arial" w:eastAsia="Arial" w:hAnsi="Arial"/>
                <w:sz w:val="18"/>
                <w:szCs w:val="18"/>
                <w:color w:val="auto"/>
                <w:w w:val="95"/>
              </w:rPr>
              <w:t>As adjusted net tangible book value per share after this offering</w:t>
            </w:r>
          </w:p>
        </w:tc>
        <w:tc>
          <w:tcPr>
            <w:tcW w:w="1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Dilution per share to new investors in this offering</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6140" w:type="dxa"/>
            <w:vAlign w:val="bottom"/>
            <w:gridSpan w:val="4"/>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6140" w:type="dxa"/>
            <w:vAlign w:val="bottom"/>
            <w:gridSpan w:val="4"/>
          </w:tcPr>
          <w:p>
            <w:pPr>
              <w:ind w:left="440"/>
              <w:spacing w:after="0"/>
              <w:rPr>
                <w:sz w:val="20"/>
                <w:szCs w:val="20"/>
                <w:color w:val="auto"/>
              </w:rPr>
            </w:pPr>
            <w:r>
              <w:rPr>
                <w:rFonts w:ascii="Arial" w:cs="Arial" w:eastAsia="Arial" w:hAnsi="Arial"/>
                <w:sz w:val="18"/>
                <w:szCs w:val="18"/>
                <w:color w:val="auto"/>
                <w:w w:val="98"/>
              </w:rPr>
              <w:t>Each $1.00 increase (decrease) in the assumed public offering price of $</w:t>
            </w:r>
          </w:p>
        </w:tc>
        <w:tc>
          <w:tcPr>
            <w:tcW w:w="488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per share, which is the last reported sale price of our common</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stock on the Nasdaq Global Select Market on</w:t>
            </w:r>
          </w:p>
        </w:tc>
        <w:tc>
          <w:tcPr>
            <w:tcW w:w="7220" w:type="dxa"/>
            <w:vAlign w:val="bottom"/>
            <w:gridSpan w:val="5"/>
          </w:tcPr>
          <w:p>
            <w:pPr>
              <w:jc w:val="right"/>
              <w:ind w:right="240"/>
              <w:spacing w:after="0"/>
              <w:rPr>
                <w:sz w:val="20"/>
                <w:szCs w:val="20"/>
                <w:color w:val="auto"/>
              </w:rPr>
            </w:pPr>
            <w:r>
              <w:rPr>
                <w:rFonts w:ascii="Arial" w:cs="Arial" w:eastAsia="Arial" w:hAnsi="Arial"/>
                <w:sz w:val="18"/>
                <w:szCs w:val="18"/>
                <w:color w:val="auto"/>
                <w:w w:val="90"/>
              </w:rPr>
              <w:t>, 2021, would increase (decrease) the as adjusted amount of each of cash and cash equivalents,</w:t>
            </w: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w w:val="97"/>
              </w:rPr>
              <w:t>working capital, total assets and total stockholders’ equity by $</w:t>
            </w:r>
          </w:p>
        </w:tc>
        <w:tc>
          <w:tcPr>
            <w:tcW w:w="6180" w:type="dxa"/>
            <w:vAlign w:val="bottom"/>
            <w:gridSpan w:val="4"/>
          </w:tcPr>
          <w:p>
            <w:pPr>
              <w:jc w:val="right"/>
              <w:ind w:right="260"/>
              <w:spacing w:after="0"/>
              <w:rPr>
                <w:sz w:val="20"/>
                <w:szCs w:val="20"/>
                <w:color w:val="auto"/>
              </w:rPr>
            </w:pPr>
            <w:r>
              <w:rPr>
                <w:rFonts w:ascii="Arial" w:cs="Arial" w:eastAsia="Arial" w:hAnsi="Arial"/>
                <w:sz w:val="18"/>
                <w:szCs w:val="18"/>
                <w:color w:val="auto"/>
                <w:w w:val="96"/>
              </w:rPr>
              <w:t>million, assuming that the number of shares offered by us, as set forth on the</w:t>
            </w:r>
          </w:p>
        </w:tc>
      </w:tr>
    </w:tbl>
    <w:p>
      <w:pPr>
        <w:ind w:left="120" w:right="440"/>
        <w:spacing w:after="0" w:line="281" w:lineRule="auto"/>
        <w:rPr>
          <w:sz w:val="20"/>
          <w:szCs w:val="20"/>
          <w:color w:val="auto"/>
        </w:rPr>
      </w:pPr>
      <w:r>
        <w:rPr>
          <w:rFonts w:ascii="Arial" w:cs="Arial" w:eastAsia="Arial" w:hAnsi="Arial"/>
          <w:sz w:val="16"/>
          <w:szCs w:val="16"/>
          <w:color w:val="auto"/>
        </w:rPr>
        <w:t>cover of this prospectus, remains the same and after deducting estimated underwriting discounts and commissions and estimated offering expenses payable by us. Similarly, an increase (decrease) of 1,000,000 in the number of shares offered by us in this offering would increase (decrease) the as</w:t>
      </w:r>
    </w:p>
    <w:p>
      <w:pPr>
        <w:spacing w:after="0" w:line="1" w:lineRule="exact"/>
        <w:rPr>
          <w:sz w:val="20"/>
          <w:szCs w:val="20"/>
          <w:color w:val="auto"/>
        </w:rPr>
      </w:pPr>
    </w:p>
    <w:p>
      <w:pPr>
        <w:ind w:left="120" w:right="280"/>
        <w:spacing w:after="0" w:line="255" w:lineRule="auto"/>
        <w:rPr>
          <w:sz w:val="20"/>
          <w:szCs w:val="20"/>
          <w:color w:val="auto"/>
        </w:rPr>
      </w:pPr>
      <w:r>
        <w:rPr>
          <w:rFonts w:ascii="Arial" w:cs="Arial" w:eastAsia="Arial" w:hAnsi="Arial"/>
          <w:sz w:val="18"/>
          <w:szCs w:val="18"/>
          <w:color w:val="auto"/>
        </w:rPr>
        <w:t>adjusted amount of each of cash and cash equivalents, working capital, total assets and total stockholders’ equity by $ million, assuming the assumed public offering price remains the same and after deducting estimated underwriting discounts commissions and estimated offering expenses payable by us.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underwriters exercise their option in full to purchase additional shares, the as adjusted net tangible book value per share after this offering</w:t>
      </w:r>
    </w:p>
    <w:p>
      <w:pPr>
        <w:spacing w:after="0" w:line="46"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would be $ per share, the increase in as adjusted net tangible book value per share to existing stockholders would be $ per share and the dilution to new investors in this offering would be $ per share.</w:t>
      </w:r>
    </w:p>
    <w:p>
      <w:pPr>
        <w:spacing w:after="0" w:line="185" w:lineRule="exact"/>
        <w:rPr>
          <w:sz w:val="20"/>
          <w:szCs w:val="20"/>
          <w:color w:val="auto"/>
        </w:rPr>
      </w:pPr>
    </w:p>
    <w:p>
      <w:pPr>
        <w:ind w:left="5540" w:right="1560" w:hanging="4977"/>
        <w:spacing w:after="0" w:line="449" w:lineRule="auto"/>
        <w:rPr>
          <w:sz w:val="20"/>
          <w:szCs w:val="20"/>
          <w:color w:val="auto"/>
        </w:rPr>
      </w:pPr>
      <w:r>
        <w:rPr>
          <w:rFonts w:ascii="Arial" w:cs="Arial" w:eastAsia="Arial" w:hAnsi="Arial"/>
          <w:sz w:val="18"/>
          <w:szCs w:val="18"/>
          <w:color w:val="auto"/>
        </w:rPr>
        <w:t>In addition, to the extent that any outstanding options are exercised, investors in this offering will experience further dilution. 79</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number of shares of our common stock to be outstanding after this offering is based on 43,703,381 shares of common stock and non-voting common stock (of which 11,110,371 shares are non-voting common stock) immediately prior to the completion of this offering, and excludes:</w:t>
      </w:r>
    </w:p>
    <w:p>
      <w:pPr>
        <w:spacing w:after="0" w:line="29" w:lineRule="exact"/>
        <w:rPr>
          <w:sz w:val="20"/>
          <w:szCs w:val="20"/>
          <w:color w:val="auto"/>
        </w:rPr>
      </w:pPr>
    </w:p>
    <w:p>
      <w:pPr>
        <w:ind w:left="1080" w:right="12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6,649,882 shares of common stock issuable upon the exercise of stock options outstanding as of September 30, 2020 under our 2016 Plan and our 2020 Plan, with an average exercise price of $7.00 per share;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127,000 shares of common stock issuable upon the exercise of stock options granted after September 30, 2020 under the 2020 Plan with an exercise price of $52.90; and</w:t>
      </w:r>
    </w:p>
    <w:p>
      <w:pPr>
        <w:spacing w:after="0" w:line="75" w:lineRule="exact"/>
        <w:rPr>
          <w:rFonts w:ascii="Arial" w:cs="Arial" w:eastAsia="Arial" w:hAnsi="Arial"/>
          <w:sz w:val="18"/>
          <w:szCs w:val="18"/>
          <w:color w:val="auto"/>
        </w:rPr>
      </w:pPr>
    </w:p>
    <w:p>
      <w:pPr>
        <w:ind w:left="1080" w:right="340" w:hanging="532"/>
        <w:spacing w:after="0" w:line="25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5,197,407 shares of common stock reserved for future issuance under our stock-based compensation plans, consisting of (i) 4,677,407 shares of common stock reserved for future issuance under the 2020 Plan, and (ii) 520,000 shares of common stock reserved for future issuance under our 2020 Employee Stock Purchase Plan, or the ESPP. Our 2020 Plan and ESPP also provide for automatic annual increases in the number of shares reserved under the plans each year, as more fully described in “Executive Compensation—Equity Compensation Plans and Other Benefit Plans.”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To the extent that these outstanding stock options are exercised, new stock options are issued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following tables set forth our selected statements of operations and balance sheet data. The selected statement of operations data presented below for the years ended December 31, 2018 and 2019 and balance sheet data as of December 31, 2018 and 2019 are derived from our audited financial statements included elsewhere in this prospectus. The selected statement of operations data for the nine months ended September 30, 2019 and 2020 and balance sheet data as of September 30, 2020 are derived from our unaudited interim financial statements included elsewhere in this prospectus. The unaudited interim financial statements, in management’s opinion, have been prepared on the same basis as the audited financial statements and the related notes included elsewhere in this prospectus, and include all adjustments, consisting only of normal recurring adjustments, that management considers necessary for a fair presentation of the information for the periods presented. The following selected financial data below should be read in conjunction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nine months ended September 30, 2020 are not necessarily indicative of the results that may be expected for the year ended December 31, 2020. The selected financial data in this section are not intended to replace the financial statements and are qualified in their entirety by the financial statements and related notes included elsewhere in this prospectus.</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4"/>
            <w:vMerge w:val="restart"/>
          </w:tcPr>
          <w:p>
            <w:pPr>
              <w:jc w:val="right"/>
              <w:ind w:right="272"/>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080" w:type="dxa"/>
            <w:vAlign w:val="bottom"/>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12,621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24,279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15,430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23"/>
        </w:trPr>
        <w:tc>
          <w:tcPr>
            <w:tcW w:w="608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3,830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2,584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14,975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28,109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18,014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39,317</w:t>
            </w:r>
          </w:p>
        </w:tc>
        <w:tc>
          <w:tcPr>
            <w:tcW w:w="0" w:type="dxa"/>
            <w:vAlign w:val="bottom"/>
          </w:tcPr>
          <w:p>
            <w:pPr>
              <w:spacing w:after="0"/>
              <w:rPr>
                <w:sz w:val="1"/>
                <w:szCs w:val="1"/>
                <w:color w:val="auto"/>
              </w:rPr>
            </w:pPr>
          </w:p>
        </w:tc>
      </w:tr>
      <w:tr>
        <w:trPr>
          <w:trHeight w:val="223"/>
        </w:trPr>
        <w:tc>
          <w:tcPr>
            <w:tcW w:w="6080" w:type="dxa"/>
            <w:vAlign w:val="bottom"/>
            <w:gridSpan w:val="2"/>
          </w:tcPr>
          <w:p>
            <w:pPr>
              <w:ind w:left="720"/>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(28,109)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(18,014)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(39,317)</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483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(14,680)</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(27,570)</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information:</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Net loss per share of common stock, basic and diluted</w:t>
            </w: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Weighted average common shares outstanding, basic and</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9"/>
              </w:rPr>
              <w:t>1,402,928</w:t>
            </w:r>
          </w:p>
        </w:tc>
        <w:tc>
          <w:tcPr>
            <w:tcW w:w="4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1,668,549</w:t>
            </w:r>
          </w:p>
        </w:tc>
        <w:tc>
          <w:tcPr>
            <w:tcW w:w="4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87"/>
              </w:rPr>
              <w:t>1,622,546</w:t>
            </w:r>
          </w:p>
        </w:tc>
        <w:tc>
          <w:tcPr>
            <w:tcW w:w="4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2,380,100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60" w:hanging="424"/>
        <w:spacing w:after="0" w:line="308"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See Note 3 to our financial statements included elsewhere in this prospectus for a description of how we compute net loss per share of common stock, basic and diluted and the weighted average shares outstanding used in the computation of these per share amounts.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82"/>
        </w:trPr>
        <w:tc>
          <w:tcPr>
            <w:tcW w:w="5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960" w:type="dxa"/>
            <w:vAlign w:val="bottom"/>
            <w:tcBorders>
              <w:bottom w:val="single" w:sz="8" w:color="auto"/>
            </w:tcBorders>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52"/>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120" w:type="dxa"/>
            <w:vAlign w:val="bottom"/>
            <w:vMerge w:val="continue"/>
          </w:tcPr>
          <w:p>
            <w:pPr>
              <w:spacing w:after="0"/>
              <w:rPr>
                <w:sz w:val="14"/>
                <w:szCs w:val="14"/>
                <w:color w:val="auto"/>
              </w:rPr>
            </w:pPr>
          </w:p>
        </w:tc>
        <w:tc>
          <w:tcPr>
            <w:tcW w:w="34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0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Sheet Data:</w:t>
            </w:r>
          </w:p>
        </w:tc>
        <w:tc>
          <w:tcPr>
            <w:tcW w:w="26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0" w:type="dxa"/>
            <w:vAlign w:val="bottom"/>
            <w:gridSpan w:val="2"/>
          </w:tcPr>
          <w:p>
            <w:pPr>
              <w:jc w:val="right"/>
              <w:ind w:right="28"/>
              <w:spacing w:after="0"/>
              <w:rPr>
                <w:sz w:val="20"/>
                <w:szCs w:val="20"/>
                <w:color w:val="auto"/>
              </w:rPr>
            </w:pPr>
            <w:r>
              <w:rPr>
                <w:rFonts w:ascii="Arial" w:cs="Arial" w:eastAsia="Arial" w:hAnsi="Arial"/>
                <w:sz w:val="18"/>
                <w:szCs w:val="18"/>
                <w:color w:val="auto"/>
              </w:rPr>
              <w:t>$ 15,595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$ 18,879</w:t>
            </w:r>
          </w:p>
        </w:tc>
        <w:tc>
          <w:tcPr>
            <w:tcW w:w="1300" w:type="dxa"/>
            <w:vAlign w:val="bottom"/>
            <w:gridSpan w:val="2"/>
          </w:tcPr>
          <w:p>
            <w:pPr>
              <w:jc w:val="right"/>
              <w:ind w:right="42"/>
              <w:spacing w:after="0"/>
              <w:rPr>
                <w:sz w:val="20"/>
                <w:szCs w:val="20"/>
                <w:color w:val="auto"/>
              </w:rPr>
            </w:pPr>
            <w:r>
              <w:rPr>
                <w:rFonts w:ascii="Arial" w:cs="Arial" w:eastAsia="Arial" w:hAnsi="Arial"/>
                <w:sz w:val="18"/>
                <w:szCs w:val="18"/>
                <w:color w:val="auto"/>
              </w:rPr>
              <w:t>$ 234,792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13,148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15,389</w:t>
            </w:r>
          </w:p>
        </w:tc>
        <w:tc>
          <w:tcPr>
            <w:tcW w:w="13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226,702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Total assets</w:t>
            </w:r>
          </w:p>
        </w:tc>
        <w:tc>
          <w:tcPr>
            <w:tcW w:w="3400" w:type="dxa"/>
            <w:vAlign w:val="bottom"/>
            <w:gridSpan w:val="2"/>
          </w:tcPr>
          <w:p>
            <w:pPr>
              <w:jc w:val="right"/>
              <w:ind w:right="28"/>
              <w:spacing w:after="0"/>
              <w:rPr>
                <w:sz w:val="20"/>
                <w:szCs w:val="20"/>
                <w:color w:val="auto"/>
              </w:rPr>
            </w:pPr>
            <w:r>
              <w:rPr>
                <w:rFonts w:ascii="Arial" w:cs="Arial" w:eastAsia="Arial" w:hAnsi="Arial"/>
                <w:sz w:val="18"/>
                <w:szCs w:val="18"/>
                <w:color w:val="auto"/>
              </w:rPr>
              <w:t>16.406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21,871</w:t>
            </w:r>
          </w:p>
        </w:tc>
        <w:tc>
          <w:tcPr>
            <w:tcW w:w="1300" w:type="dxa"/>
            <w:vAlign w:val="bottom"/>
            <w:gridSpan w:val="2"/>
          </w:tcPr>
          <w:p>
            <w:pPr>
              <w:jc w:val="right"/>
              <w:ind w:right="42"/>
              <w:spacing w:after="0"/>
              <w:rPr>
                <w:sz w:val="20"/>
                <w:szCs w:val="20"/>
                <w:color w:val="auto"/>
              </w:rPr>
            </w:pPr>
            <w:r>
              <w:rPr>
                <w:rFonts w:ascii="Arial" w:cs="Arial" w:eastAsia="Arial" w:hAnsi="Arial"/>
                <w:sz w:val="18"/>
                <w:szCs w:val="18"/>
                <w:color w:val="auto"/>
              </w:rPr>
              <w:t>239,681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3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36,595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66,443</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Accumulated deficit</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(22,927)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(50,497)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(88,176)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(22,693)</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(49,412)</w:t>
            </w:r>
          </w:p>
        </w:tc>
        <w:tc>
          <w:tcPr>
            <w:tcW w:w="13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367,107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520" w:hanging="424"/>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financial statements and related notes appearing at the end of this prospectus for further details regarding our current assets and current liabilities.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titled “Selected Financial Data” in this prospectus and our financial statements and the related notes and other financial information included elsewhere in this prospectus. Some of the information contained in this discussion and analysis, including information with respect to our plans and strategy for our business, and the potential impacts of the ongoing COVID-19 pandemic, contains forward-looking statements that involve risks and uncertainties. You should review the section titled “Risk Factors” in this prospectus for a discussion of important factors that could cause actual results to differ materially from the results described below. Please also see the section entitled “Special Note Regarding Forward-Looking Statements.”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three investigational new drug applications, or INDs, and successfully advanced these three programs into clinical development. In addition, we have three unique programs in various stages of preclinical development that we plan to advance into clinical development beginning in 2021.</w:t>
      </w:r>
    </w:p>
    <w:p>
      <w:pPr>
        <w:spacing w:after="0" w:line="165"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We are currently advancing our first clinical candidate, PRT543, in a Phase 1 clinical trial in select solid tumors and myeloid malignancies in patients who are refractory to or intolerant of established therapies. Interim Phase 1 results indicate dose-dependent increases in exposure and target engagement, and we have observed early signs of clinical activity, including an ongoing confirmed complete response, or CR, in a patient with HRD+ high grade serous ovarian cancer through nine months of therapy. A complete response is defined as the disappearance of all target lesions. We will need to enroll and demonstrate objective responses in additional patients to support further development and potential approval by the FDA or other regulatory authorities, and while such approval is not guaranteed, we are encouraged by the clinical activity as of the date of this prospectus. We began patient enrollment into the solid tumor expansion portion of our ongoing Phase 1 trial during the fourth quarter of 2020 and we expect to begin patient enrollment into additional solid tumor and myeloid malignancies expansion cohorts early in 2021. We anticipate presenting initial clinical data from the trial at medical meetings in the second half of 2021.</w:t>
      </w:r>
    </w:p>
    <w:p>
      <w:pPr>
        <w:spacing w:after="0" w:line="17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are also advancing PRT811, a second PRMT5 inhibitor that we have optimized for high brain exposure, in a Phase 1 clinical trial in solid tumors, including GBM. As of the date of this prospectus, the trial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demonstrated early signs of clinical activity and tolerability. The previously disclosed refractory GBM patient whose tumor had demonstrated a 66% reduction on monotherapy PRT811 subsequently underwent a follow-up MRI at week 18 and the regression has improved to 77% from baseline, confirming a partial response, or PR, per RANO (response assessment in neuro-oncology) criteria. We expect to begin enrolling patients in the expansion portion of the Phase 1 clinical trial in the first half of 2021 and anticipate obtaining initial clinical data from these expansion cohorts by the end of 2021.</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PRT1419, our third clinical candidate,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have begun enrolling patients with hematologic malignancies, including patients with myelodysplastic syndrome, or MDS, acute myeloid leukemia, or AML, non-Hodgkin’s lymphoma, or NHL, and multiple myeloma, or MM, into the Phase 1 clinical trial for PRT1419. We expect to begin enrolling patients in the expansion portion of the Phase 1 clinical trial in the second half of 2021.</w:t>
      </w:r>
    </w:p>
    <w:p>
      <w:pPr>
        <w:spacing w:after="0" w:line="16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through our IPO. Our net loss was $14.7 million and $27.6 million for the years ended December 31, 2018 and 2019, respectively, and $16.8 and $37.7 million for the three and nine months ended September 30, 2020. As of September 30, 2020, we had an accumulated deficit of $88.2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8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September 30, 2020, we had $234.8 million in cash and cash equivalents. We expect our existing cash and cash equivalents, together with</w:t>
      </w:r>
    </w:p>
    <w:p>
      <w:pPr>
        <w:spacing w:after="0" w:line="46" w:lineRule="exact"/>
        <w:rPr>
          <w:sz w:val="20"/>
          <w:szCs w:val="20"/>
          <w:color w:val="auto"/>
        </w:rPr>
      </w:pPr>
    </w:p>
    <w:p>
      <w:pPr>
        <w:ind w:left="120"/>
        <w:spacing w:after="0"/>
        <w:tabs>
          <w:tab w:leader="none" w:pos="10620" w:val="left"/>
        </w:tabs>
        <w:rPr>
          <w:sz w:val="20"/>
          <w:szCs w:val="20"/>
          <w:color w:val="auto"/>
        </w:rPr>
      </w:pPr>
      <w:r>
        <w:rPr>
          <w:rFonts w:ascii="Arial" w:cs="Arial" w:eastAsia="Arial" w:hAnsi="Arial"/>
          <w:sz w:val="17"/>
          <w:szCs w:val="17"/>
          <w:color w:val="auto"/>
        </w:rPr>
        <w:t>the anticipated net proceeds from this offering, to enable us to fund our operating expenses and capital expenditure requirements into</w:t>
      </w:r>
      <w:r>
        <w:rPr>
          <w:sz w:val="20"/>
          <w:szCs w:val="20"/>
          <w:color w:val="auto"/>
        </w:rPr>
        <w:tab/>
      </w:r>
      <w:r>
        <w:rPr>
          <w:rFonts w:ascii="Arial" w:cs="Arial" w:eastAsia="Arial" w:hAnsi="Arial"/>
          <w:sz w:val="13"/>
          <w:szCs w:val="13"/>
          <w:color w:val="auto"/>
        </w:rPr>
        <w:t>.</w:t>
      </w:r>
    </w:p>
    <w:p>
      <w:pPr>
        <w:spacing w:after="0" w:line="33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COVID-19 Impact</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are continuing to proactively monitor and assess the current coronavirus disease 2019, or COVID-19, global pandemic. Since early March we have been monitoring the potential impact on our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that may result from this rapidly evolving crisis and to avoid any unnecessary potential delays to our programs. At this time, our lead programs and research activities remain on track. The safety and well-being of employees, patients and partners is our highest priority.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including:</w:t>
      </w:r>
    </w:p>
    <w:p>
      <w:pPr>
        <w:spacing w:after="0" w:line="76" w:lineRule="exact"/>
        <w:rPr>
          <w:sz w:val="20"/>
          <w:szCs w:val="20"/>
          <w:color w:val="auto"/>
        </w:rPr>
      </w:pPr>
    </w:p>
    <w:p>
      <w:pPr>
        <w:ind w:left="1080" w:right="52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incurred to conduct the necessary discovery-stage laboratory work, preclinical studies and clinical trials required to obtain regulatory approval;</w:t>
      </w:r>
    </w:p>
    <w:p>
      <w:pPr>
        <w:spacing w:after="0" w:line="75"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stock-based compensation expense for our employees engaged in research and development functions;</w:t>
      </w:r>
    </w:p>
    <w:p>
      <w:pPr>
        <w:spacing w:after="0" w:line="75" w:lineRule="exact"/>
        <w:rPr>
          <w:rFonts w:ascii="Arial" w:cs="Arial" w:eastAsia="Arial" w:hAnsi="Arial"/>
          <w:sz w:val="18"/>
          <w:szCs w:val="18"/>
          <w:color w:val="auto"/>
        </w:rPr>
      </w:pPr>
    </w:p>
    <w:p>
      <w:pPr>
        <w:ind w:left="1080" w:right="100" w:hanging="532"/>
        <w:spacing w:after="0" w:line="34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29"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paid to consultants who assist with research and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depreciation and maintenance.</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5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employees and consultants in executive, finance and accounting,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expect that our general and administrative expense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have seen, and may continue to see, increased costs associated with being a public company, including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Other income, net consists primarily of interest earned on our cash equivalents and grant income received from the State of Delaware. We anticipate re-applying for the grant from the State of Delaware from time to time as long as we maintain qualifying headcount levels in the State of Delaware. We expect our interest income, net to increase due to our investment of cash received from the IPO.</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the three months ended September 30, 2019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60" w:type="dxa"/>
            <w:vAlign w:val="bottom"/>
            <w:gridSpan w:val="3"/>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94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2940" w:type="dxa"/>
            <w:vAlign w:val="bottom"/>
          </w:tcPr>
          <w:p>
            <w:pPr>
              <w:spacing w:after="0"/>
              <w:rPr>
                <w:sz w:val="12"/>
                <w:szCs w:val="12"/>
                <w:color w:val="auto"/>
              </w:rPr>
            </w:pPr>
          </w:p>
        </w:tc>
        <w:tc>
          <w:tcPr>
            <w:tcW w:w="66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9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600" w:type="dxa"/>
            <w:vAlign w:val="bottom"/>
            <w:gridSpan w:val="2"/>
          </w:tcPr>
          <w:p>
            <w:pPr>
              <w:jc w:val="right"/>
              <w:ind w:right="21"/>
              <w:spacing w:after="0"/>
              <w:rPr>
                <w:sz w:val="20"/>
                <w:szCs w:val="20"/>
                <w:color w:val="auto"/>
              </w:rPr>
            </w:pPr>
            <w:r>
              <w:rPr>
                <w:rFonts w:ascii="Arial" w:cs="Arial" w:eastAsia="Arial" w:hAnsi="Arial"/>
                <w:sz w:val="18"/>
                <w:szCs w:val="18"/>
                <w:color w:val="auto"/>
              </w:rPr>
              <w:t>$ 5,490</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$ 15,293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9,803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6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1,394</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9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6,884</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18,144</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(11,260)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Other income, net</w:t>
            </w:r>
          </w:p>
        </w:tc>
        <w:tc>
          <w:tcPr>
            <w:tcW w:w="2940" w:type="dxa"/>
            <w:vAlign w:val="bottom"/>
          </w:tcPr>
          <w:p>
            <w:pPr>
              <w:spacing w:after="0"/>
              <w:rPr>
                <w:sz w:val="19"/>
                <w:szCs w:val="19"/>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(10,026)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Research and development expenses increased by $9.8 million from $5.5 million for the three months ended September 30, 2019 to $15.3 million for the three months ended September 30, 2020. The increase was mainly due to increased clinical research costs for the PRT543 and PRT811 clinical trials and increased costs associated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with the initiation of the clinical trial for PRT1419, which began in the third quarter of 2020. We also incurred an increase in chemistry, manufacturing and other costs for those trials.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71"/>
        </w:trPr>
        <w:tc>
          <w:tcPr>
            <w:tcW w:w="9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5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PRT543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PRT811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PRT1419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Discovery programs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1,609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Internal costs, including personnel related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1,674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23"/>
        </w:trPr>
        <w:tc>
          <w:tcPr>
            <w:tcW w:w="9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5,490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15,293</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General and administrative expenses increased by $1.5 million from $1.4 million for the three months ended September 30, 2019 to $2.9 million for the three months ended September 30, 2020. The increase was primarily due to an increase in personnel related expense due to increases in employee headcount and an increase in our professional fees as we expanded our operations to support our research and development efforts and incurred additional costs to operate as a public company.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Other income, net increased by $1.2 million primarily due to the receipt and recognition of a research and development tax credit from the State of Delaware in the third quarter of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the nine months ended September 30, 2019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6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8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jc w:val="right"/>
              <w:ind w:right="161"/>
              <w:spacing w:after="0" w:line="142" w:lineRule="exact"/>
              <w:rPr>
                <w:sz w:val="20"/>
                <w:szCs w:val="20"/>
                <w:color w:val="auto"/>
              </w:rPr>
            </w:pPr>
            <w:r>
              <w:rPr>
                <w:rFonts w:ascii="Arial" w:cs="Arial" w:eastAsia="Arial" w:hAnsi="Arial"/>
                <w:sz w:val="14"/>
                <w:szCs w:val="14"/>
                <w:b w:val="1"/>
                <w:bCs w:val="1"/>
                <w:color w:val="auto"/>
              </w:rPr>
              <w:t>2019</w:t>
            </w:r>
          </w:p>
        </w:tc>
        <w:tc>
          <w:tcPr>
            <w:tcW w:w="98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060" w:type="dxa"/>
            <w:vAlign w:val="bottom"/>
            <w:gridSpan w:val="2"/>
          </w:tcPr>
          <w:p>
            <w:pPr>
              <w:jc w:val="right"/>
              <w:ind w:right="41"/>
              <w:spacing w:after="0"/>
              <w:rPr>
                <w:sz w:val="20"/>
                <w:szCs w:val="20"/>
                <w:color w:val="auto"/>
              </w:rPr>
            </w:pPr>
            <w:r>
              <w:rPr>
                <w:rFonts w:ascii="Arial" w:cs="Arial" w:eastAsia="Arial" w:hAnsi="Arial"/>
                <w:sz w:val="18"/>
                <w:szCs w:val="18"/>
                <w:color w:val="auto"/>
              </w:rPr>
              <w:t>$ 15,430</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$ 33,605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18,175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2,584</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30"/>
        </w:trPr>
        <w:tc>
          <w:tcPr>
            <w:tcW w:w="39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18,014</w:t>
            </w: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39,317</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21,303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(21,303)</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Other income, net</w:t>
            </w:r>
          </w:p>
        </w:tc>
        <w:tc>
          <w:tcPr>
            <w:tcW w:w="4280" w:type="dxa"/>
            <w:vAlign w:val="bottom"/>
          </w:tcPr>
          <w:p>
            <w:pPr>
              <w:spacing w:after="0"/>
              <w:rPr>
                <w:sz w:val="19"/>
                <w:szCs w:val="19"/>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483</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(37,679)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(20,148)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280" w:type="dxa"/>
            <w:vAlign w:val="bottom"/>
            <w:vMerge w:val="restart"/>
          </w:tcPr>
          <w:p>
            <w:pPr>
              <w:jc w:val="right"/>
              <w:ind w:right="2550"/>
              <w:spacing w:after="0"/>
              <w:rPr>
                <w:sz w:val="20"/>
                <w:szCs w:val="20"/>
                <w:color w:val="auto"/>
              </w:rPr>
            </w:pPr>
            <w:r>
              <w:rPr>
                <w:rFonts w:ascii="Arial" w:cs="Arial" w:eastAsia="Arial" w:hAnsi="Arial"/>
                <w:sz w:val="18"/>
                <w:szCs w:val="18"/>
                <w:color w:val="auto"/>
              </w:rPr>
              <w:t>87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expenses increased by $18.2 million from $15.4 million for the nine months ended September 30, 2019 to</w:t>
      </w:r>
    </w:p>
    <w:p>
      <w:pPr>
        <w:spacing w:after="0" w:line="35"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$33.6 million for the nine months ended September 30, 2020. The increase was mainly due to increased patient enrollment and monitoring costs for the PRT543 and PRT811 clinical trials and increased costs associated with the initiation of the clinical trial for PRT1419, which began in the third quarter of 2020. We also incurred an increase in chemistry, manufacturing and other costs for those trials.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4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PRT543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PRT811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PRT1419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Discovery programs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Internal costs, including personnel related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10,393</w:t>
            </w:r>
          </w:p>
        </w:tc>
        <w:tc>
          <w:tcPr>
            <w:tcW w:w="0" w:type="dxa"/>
            <w:vAlign w:val="bottom"/>
          </w:tcPr>
          <w:p>
            <w:pPr>
              <w:spacing w:after="0"/>
              <w:rPr>
                <w:sz w:val="1"/>
                <w:szCs w:val="1"/>
                <w:color w:val="auto"/>
              </w:rPr>
            </w:pPr>
          </w:p>
        </w:tc>
      </w:tr>
      <w:tr>
        <w:trPr>
          <w:trHeight w:val="223"/>
        </w:trPr>
        <w:tc>
          <w:tcPr>
            <w:tcW w:w="9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15,430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33,605</w:t>
            </w: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General and administrative expenses increased by $3.1 million from $2.6 million for the nine months ended September 30, 2019 to $5.7 million for the nine months ended September 30, 2020. The increase was primarily due to an increase in personnel related expense due to increases in employee headcount and an increase in our professional fees as we expanded our operations to support our research and development efforts. We also incurred additional expenses as we began to operate as a public company.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Other income, net increased by $1.2 million primarily due to the receipt and recognition of a research and development tax credit from the State of Delaware in the third quarter of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the years ended December 31, 2018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8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jc w:val="right"/>
              <w:ind w:right="161"/>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060" w:type="dxa"/>
            <w:vAlign w:val="bottom"/>
            <w:gridSpan w:val="2"/>
          </w:tcPr>
          <w:p>
            <w:pPr>
              <w:jc w:val="right"/>
              <w:ind w:right="41"/>
              <w:spacing w:after="0"/>
              <w:rPr>
                <w:sz w:val="20"/>
                <w:szCs w:val="20"/>
                <w:color w:val="auto"/>
              </w:rPr>
            </w:pPr>
            <w:r>
              <w:rPr>
                <w:rFonts w:ascii="Arial" w:cs="Arial" w:eastAsia="Arial" w:hAnsi="Arial"/>
                <w:sz w:val="18"/>
                <w:szCs w:val="18"/>
                <w:color w:val="auto"/>
              </w:rPr>
              <w:t>$ 12,621</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$ 24,279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11,658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2,354</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30"/>
        </w:trPr>
        <w:tc>
          <w:tcPr>
            <w:tcW w:w="39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14,975</w:t>
            </w: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28,109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(13,134)</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Other income, net</w:t>
            </w:r>
          </w:p>
        </w:tc>
        <w:tc>
          <w:tcPr>
            <w:tcW w:w="4280" w:type="dxa"/>
            <w:vAlign w:val="bottom"/>
          </w:tcPr>
          <w:p>
            <w:pPr>
              <w:spacing w:after="0"/>
              <w:rPr>
                <w:sz w:val="19"/>
                <w:szCs w:val="19"/>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(27,570)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(12,890)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280" w:type="dxa"/>
            <w:vAlign w:val="bottom"/>
            <w:vMerge w:val="restart"/>
          </w:tcPr>
          <w:p>
            <w:pPr>
              <w:jc w:val="right"/>
              <w:ind w:right="2550"/>
              <w:spacing w:after="0"/>
              <w:rPr>
                <w:sz w:val="20"/>
                <w:szCs w:val="20"/>
                <w:color w:val="auto"/>
              </w:rPr>
            </w:pPr>
            <w:r>
              <w:rPr>
                <w:rFonts w:ascii="Arial" w:cs="Arial" w:eastAsia="Arial" w:hAnsi="Arial"/>
                <w:sz w:val="18"/>
                <w:szCs w:val="18"/>
                <w:color w:val="auto"/>
              </w:rPr>
              <w:t>88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Research and development expenses increased by $11.7 million from $12.6 million for the year ended December 31, 2018 to $24.3 million for the year ended December 31, 2019. The increase was mainly due to commencing clinical trials for PRT543 and PRT811 in late 2018 and during 2019, respectively, and the associated ramp up of chemistry, manufacturing and other costs for those trials.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9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PRT543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PRT811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PRT1419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Discovery programs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Internal costs, including personnel related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7,139</w:t>
            </w:r>
          </w:p>
        </w:tc>
        <w:tc>
          <w:tcPr>
            <w:tcW w:w="0" w:type="dxa"/>
            <w:vAlign w:val="bottom"/>
          </w:tcPr>
          <w:p>
            <w:pPr>
              <w:spacing w:after="0"/>
              <w:rPr>
                <w:sz w:val="1"/>
                <w:szCs w:val="1"/>
                <w:color w:val="auto"/>
              </w:rPr>
            </w:pPr>
          </w:p>
        </w:tc>
      </w:tr>
      <w:tr>
        <w:trPr>
          <w:trHeight w:val="223"/>
        </w:trPr>
        <w:tc>
          <w:tcPr>
            <w:tcW w:w="9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12,621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General and administrative expenses increased by $1.5 million from $2.4 million for the year ended December 31, 2018 to $3.8 million for the year ended December 31, 2019. The increase was primarily due to an increase in personnel related expense due to increases in employee headcount and an increase in our professional fees as we expanded our operations to support our research and development efforts.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Other income, net increased by $0.2 million from $0.3 million for the year ended December 31, 2018 to $0.5 million for the year ended December 31, 2019, primarily due to additional interest earned on the investment of our cash proceeds balances.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through August 2020, we have funded our operations through the sale of convertible preferred stock, receiving aggregate net proceeds of $144.4 million. Upon the completion of our IPO in September 2020, we received net proceeds of $166.6 million. As of September 30, 2020, we had $234.8 million in cash and cash equivalents and had an accumulated deficit of $88.2 million. We expect our existing cash and cash equivalents, together</w:t>
      </w:r>
    </w:p>
    <w:p>
      <w:pPr>
        <w:spacing w:after="0" w:line="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with the anticipated net proceeds from this offering, to enable us to fund our operating expenses and capital expenditure requirements into . We have based these estimates on assumptions that may prove to be imprecise, and we could utilize our available capital resources sooner than we expect.</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89" w:lineRule="exact"/>
        <w:rPr>
          <w:sz w:val="20"/>
          <w:szCs w:val="20"/>
          <w:color w:val="auto"/>
        </w:rPr>
      </w:pPr>
    </w:p>
    <w:p>
      <w:pPr>
        <w:ind w:left="1080" w:right="74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timing, progress and results of discovery, preclinical development, laboratory testing and clinical trials for our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costs of manufacturing our product candidates for clinical trials and in preparation for marketing approval and commercialization;</w:t>
      </w:r>
    </w:p>
    <w:p>
      <w:pPr>
        <w:spacing w:after="0" w:line="142" w:lineRule="exact"/>
        <w:rPr>
          <w:rFonts w:ascii="Arial" w:cs="Arial" w:eastAsia="Arial" w:hAnsi="Arial"/>
          <w:sz w:val="17"/>
          <w:szCs w:val="17"/>
          <w:color w:val="auto"/>
        </w:rPr>
      </w:pPr>
    </w:p>
    <w:p>
      <w:pPr>
        <w:ind w:left="1080" w:right="10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we enter into collaborations or other arrangements with additional third parties in order to further develop our product candidates;</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additional product candidates or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expenses needed to attract and retain skilled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associated with being a public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required to scale up our clinical, regulatory and manufacturing capabilities;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75"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19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780" w:type="dxa"/>
            <w:vAlign w:val="bottom"/>
          </w:tcPr>
          <w:p>
            <w:pPr>
              <w:jc w:val="right"/>
              <w:ind w:right="161"/>
              <w:spacing w:after="0" w:line="142" w:lineRule="exact"/>
              <w:rPr>
                <w:sz w:val="20"/>
                <w:szCs w:val="20"/>
                <w:color w:val="auto"/>
              </w:rPr>
            </w:pPr>
            <w:r>
              <w:rPr>
                <w:rFonts w:ascii="Arial" w:cs="Arial" w:eastAsia="Arial" w:hAnsi="Arial"/>
                <w:sz w:val="14"/>
                <w:szCs w:val="14"/>
                <w:b w:val="1"/>
                <w:bCs w:val="1"/>
                <w:color w:val="auto"/>
              </w:rPr>
              <w:t>2019</w:t>
            </w:r>
          </w:p>
        </w:tc>
        <w:tc>
          <w:tcPr>
            <w:tcW w:w="114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(12,954)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(25,665)</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$(17,196)</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(31,330)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8"/>
              </w:rPr>
              <w:t>17,937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29,729</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29,822</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247,535</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4,454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3,284</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94"/>
              </w:rPr>
              <w:t>$ 12,045</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$215,913</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During the year ended December 31, 2018, we used $13.0 million of cash in operating activities. Cash used in operating activities reflected our net loss of $14.7 million, offset by a $1.4 million net decrease in our operating assets and liabilities and noncash charges of $0.3 million, which consisted of $0.1 million in depreciation and amortization and $0.2 million in stock-based compensation. The primary use of cash was to fund our operations related to the development of our product candidates.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the year ended December 31, 2019, we used $25.7 million of cash in operating activities. Cash used in operating activities reflected our net loss of $27.6 million, offset by a $0.7 million net decrease in our operating assets and liabilities and noncash charges of $1.2 million, which consisted of $0.4 million in depreciation and $0.8 million in stock-based compensation. The primary use of cash was to fund our operations related to the development of our product candidates.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the nine months ended September 30, 2019, we used $17.2 million of cash in operating activities. Cash used in operating activities reflected our net loss of $17.5 million and a net increase of $0.4 million in our operating assets and liabilities, offset by $0.8 million of noncash charges, which consisted of $0.3 million in depreciation and amortization and $0.5 million in stock-based compensation. The primary use of cash was to fund our operations related to the development of our product candidates.</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During the nine months ended September 30, 2020, we used $31.3 million of cash in operating activities. Cash used in operating activities reflected our net loss of $37.7 million, offset by a $3.5 million net decrease in our operating assets and liabilities and noncash charges of $2.9 million, which consisted of $0.4 million in depreciation and $2.5 million in stock-based compensation. The primary use of cash was to fund our operations related to the development of our product candidates.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During the years ended December 31, 2018 and 2019, we used $0.5 million and $0.8 million of cash, respectively, for the purchase of property and equipment.</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During the nine months ended September 30, 2019 and 2020, we used $0.6 million and $0.3 million of cash, respectively, for the purchase of property and equipment.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During the year ended December 31, 2018, financing activities provided $17.9 million from the sale of our Series A convertible preferred stock. During the year ended December 31, 2019, financing activities provided $29.7 million of cash. Net cash provided by financing activities for the year ended December 31, 2019 consisted of $29.8 million from the sale of our Series B convertible preferred stock, offset by payments of $0.1 million for our capital lease obligation.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During the nine months ended September 30, 2019 net cash provided by financing activities consisted of $29.8 million from the sale of our Series B convertible preferred stock and $5,000 of proceeds received from the exercise of stock options, offset by payments of $31,000 for our capital lease obligation. During the nine months ended September 30, 2020, financing activities provided $247.5 million. During the nine months ended September 30, 2020, we completed our IPO and received net cash of $167.9 million. We also received $49.8 million from the sale of our Series C convertible preferred stock, $29.9 million from the sale of our Series B convertible preferred stock and $96,000 from the exercise of stock options. During the nine months ended September 30, 2020, we made $0.3 million in payments for our capital lease obligation.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and commitments at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1 to</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3 to</w:t>
            </w:r>
          </w:p>
        </w:tc>
        <w:tc>
          <w:tcPr>
            <w:tcW w:w="24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More than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1 year</w:t>
            </w:r>
          </w:p>
        </w:tc>
        <w:tc>
          <w:tcPr>
            <w:tcW w:w="220" w:type="dxa"/>
            <w:vAlign w:val="bottom"/>
          </w:tcPr>
          <w:p>
            <w:pPr>
              <w:spacing w:after="0"/>
              <w:rPr>
                <w:sz w:val="14"/>
                <w:szCs w:val="1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3 years</w:t>
            </w:r>
          </w:p>
        </w:tc>
        <w:tc>
          <w:tcPr>
            <w:tcW w:w="22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2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Capital lease, including interest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1,275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November 2020, we extended the lease that was set to expire in December 2021 until December 2022.</w:t>
      </w:r>
    </w:p>
    <w:p>
      <w:pPr>
        <w:spacing w:after="0" w:line="22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Payments due upon cancellation consisting only of payments for services provided or expenses incurred, including noncancelable obligations of our service providers, up to the date of cancellation are not included in the preceding table as the amount and timing of such payments are not known.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During the periods presented, we did not have, nor do we currently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This 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expenses and stock-</w:t>
      </w:r>
    </w:p>
    <w:p>
      <w:pPr>
        <w:spacing w:after="0" w:line="1" w:lineRule="exact"/>
        <w:rPr>
          <w:sz w:val="20"/>
          <w:szCs w:val="20"/>
          <w:color w:val="auto"/>
        </w:rPr>
      </w:pPr>
    </w:p>
    <w:p>
      <w:pPr>
        <w:ind w:left="120" w:right="160"/>
        <w:spacing w:after="0" w:line="302" w:lineRule="auto"/>
        <w:rPr>
          <w:sz w:val="20"/>
          <w:szCs w:val="20"/>
          <w:color w:val="auto"/>
        </w:rPr>
      </w:pPr>
      <w:r>
        <w:rPr>
          <w:rFonts w:ascii="Arial" w:cs="Arial" w:eastAsia="Arial" w:hAnsi="Arial"/>
          <w:sz w:val="16"/>
          <w:szCs w:val="16"/>
          <w:color w:val="auto"/>
        </w:rPr>
        <w:t>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5"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3 to our audited financial statements included elsewhere in this prospectus, we believe the following accounting policy is the most critical to the judgments and estimates used in the preparation of our financial statements.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development of our product candidates. We expense research and development costs as incurred.</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accrue an expense for preclinical studies and clinical trial activities performed by our vendors based upon estimates of the proportion of work completed. We determine the estimates by reviewing contracts, vendor 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measure compensation expense for all stock-based awards based on the estimated fair value of the stock-based awards on the grant date. We use the Black-Scholes option pricing model to value our stock option awards. We recognize compensation expense on a straight-line basis over the requisite service period, which is generally the vesting period of the award. We have not issued awards for which vesting is subject to a market or performance conditions.</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Black-Scholes option-pricing model requires the use of subjective assumptions that include the expected stock price volatility and the fair value of the underlying common stock on the date of grant. See Note 9 to our audited financial statements and Note 7 to our unaudited interim financial statements included elsewhere in this prospectus for information concerning certain of the specific assumptions we used in applying the Black-Scholes option pricing model to determine the estimated fair value of our stock options granted.</w:t>
      </w:r>
    </w:p>
    <w:p>
      <w:pPr>
        <w:spacing w:after="0" w:line="17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Because our common stock was not previously publicly traded, the fair value of the common stock underlying our stock options was determined on each grant date by our board of directors, with input from management, considering our most recently available third-party valuation of common shares.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third-party valuations of our common stock were performed using methodologies, approaches and assumptions consistent with the American Institute of Certified Public Accountants, </w:t>
      </w:r>
      <w:r>
        <w:rPr>
          <w:rFonts w:ascii="Arial" w:cs="Arial" w:eastAsia="Arial" w:hAnsi="Arial"/>
          <w:sz w:val="18"/>
          <w:szCs w:val="18"/>
          <w:i w:val="1"/>
          <w:iCs w:val="1"/>
          <w:color w:val="auto"/>
        </w:rPr>
        <w:t>Audit and Accounting Practice Aid Series: Valuation of Privately Held 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In addition, our board of directors considered various objective and subjective factors to estimate the estimated fair value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including:</w:t>
      </w:r>
    </w:p>
    <w:p>
      <w:pPr>
        <w:spacing w:after="0" w:line="92" w:lineRule="exact"/>
        <w:rPr>
          <w:sz w:val="20"/>
          <w:szCs w:val="20"/>
          <w:color w:val="auto"/>
        </w:rPr>
      </w:pPr>
    </w:p>
    <w:p>
      <w:pPr>
        <w:ind w:left="1080" w:right="380" w:hanging="532"/>
        <w:spacing w:after="0" w:line="308"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prices of our preferred stock sold to outside investors in arm’s length transactions, and the rights, preferences and privileges of our preferred stock as compared to those of our common stock, including the liquidation preferences of our preferred stock;</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estimated value of each security both outstanding and anticipated;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anticipated capital structure, which will directly impact the value of the currently outstanding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results of operations and financial position;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status of our research and development efforts;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composition of, and changes to, our management team and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lack of liquidity of our common stock as a private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U.S. and global economic conditions;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market value and volatility of comparable companies.</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determining the estimated fair value of common stock, our board of directors considered the subjective factors discussed above in conjunction with the most recent valuations of our common stock that were prepared by an independent third party.</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Following the closing of our IPO, the fair value of our common stock is the closing price of our common stock on the Nasdaq Global Select Market as reported on the date of the grant.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84"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will remain an emerging growth company until the earliest of (1) the last day of our first fiscal year (a) in which we have total annual gross revenues of at least $1.07 billion, or (b) in which we are deemed to be a large accelerated filer, which means the market value of our common stock that is held by non-affiliates exceeds $700.0 million as of the prior June 30</w:t>
      </w:r>
      <w:r>
        <w:rPr>
          <w:rFonts w:ascii="Arial" w:cs="Arial" w:eastAsia="Arial" w:hAnsi="Arial"/>
          <w:sz w:val="15"/>
          <w:szCs w:val="15"/>
          <w:color w:val="auto"/>
        </w:rPr>
        <w:t>th</w:t>
      </w:r>
      <w:r>
        <w:rPr>
          <w:rFonts w:ascii="Arial" w:cs="Arial" w:eastAsia="Arial" w:hAnsi="Arial"/>
          <w:sz w:val="18"/>
          <w:szCs w:val="18"/>
          <w:color w:val="auto"/>
        </w:rPr>
        <w:t>, (2) the date on which we have issued more than $1.0 billion in non-convertible debt securities during the prior three-year period and (3) December 31, 2025.</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See Note 3 to our audited financial statements included elsewhere in this prospectus for a description of recent accounting pronouncements applicable to our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exposed to market risk related to changes in interest rates. As of September 30, 2020, we had cash and cash equivalents of $234.8 million consisting of bank deposits and a commercial money market account. Due to the short-term duration of our cash equivalents, an immediate 10% change in interest rates would not have a material effect on the fair market value.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the extended transition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9"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6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$1.07 billion or</w:t>
      </w:r>
    </w:p>
    <w:p>
      <w:pPr>
        <w:spacing w:after="0" w:line="1" w:lineRule="exact"/>
        <w:rPr>
          <w:sz w:val="20"/>
          <w:szCs w:val="20"/>
          <w:color w:val="auto"/>
        </w:rPr>
      </w:pPr>
    </w:p>
    <w:p>
      <w:pPr>
        <w:jc w:val="both"/>
        <w:ind w:left="120" w:hanging="4"/>
        <w:spacing w:after="0" w:line="255" w:lineRule="auto"/>
        <w:tabs>
          <w:tab w:leader="none" w:pos="4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9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three investigational new drug applications, or INDs, and successfully advanced these three programs into clinical development. In addition, we have three unique programs in various stages of preclinical development that we plan to advance into clinical development beginning in 2021.</w:t>
      </w:r>
    </w:p>
    <w:p>
      <w:pPr>
        <w:spacing w:after="0" w:line="165"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7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We are currently advancing our first clinical candidate, PRT543, in a Phase 1 clinical trial in select solid tumors and myeloid malignancies in patients who are refractory to or intolerant of established therapies. Interim Phase 1 results indicate dose-dependent increases in exposure and target engagement, and we have observed early signs of clinical activity, including an ongoing confirmed complete response, or CR, in a patient with HRD+ high grade serous ovarian cancer through nine months of therapy. A complete response is defined as the disappearance of all target lesions. While we will need to enroll and demonstrate objective responses in additional patients to support further development and potential approval by the FDA or other regulatory authorities, and while such approval is not guaranteed, we are encouraged by the clinical activity as of the date of this prospectus. We began patient enrollment into the solid tumor expansion portion of our ongoing Phase 1 trial during the fourth quarter of 2020 and we expect to begin patient enrollment into additional solid tumor and myeloid malignancies expansion cohorts early in 2021. We anticipate presenting initial clinical data from the trial at medical meetings in the second half of 2021.</w:t>
      </w:r>
    </w:p>
    <w:p>
      <w:pPr>
        <w:spacing w:after="0" w:line="17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also advancing PRT811, a second PRMT5 inhibitor that we have optimized for high brain exposure, in a Phase 1 clinical trial in solid tumors, including GBM. As of the date of this prospectus, the trial has demonstrated early signs of clinical activity and tolerability. The previously disclosed refractory GBM patient whose tumor had demonstrated a 66% reduction on monotherapy PRT811 subsequently underwent a follow-up MRI at week 18 and the regression has improved to 77% from baseline, confirming a partial response, or PR, per RANO (response assessment in neuro-oncology) criteria. We expect to begin enrolling patients in the expansion portion of the Phase 1 clinical trial in the first half of 2021 and anticipate obtaining initial clinical data from these expansion cohorts by the end of 2021.</w:t>
      </w:r>
    </w:p>
    <w:p>
      <w:pPr>
        <w:spacing w:after="0" w:line="19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PRT1419, our third clinical candidate, is designed to be a potent and selective inhibitor of the anti-apoptotic protein, MCL1. The potency and selectivity of PRT1419 is supported by preclinical data demonstrating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nanomolar inhibition of MCL1 and no inhibition of related enzymes at 200 times higher concentration of our product candidate. We have begun enrolling patients with hematologic malignancies, including patients with myelodysplastic syndrome, or MDS, acute myeloid leukemia, or AML, non-Hodgkin’s lymphoma, or NHL, and multiple myeloma, or MM, into the Phase 1 clinical trial for PRT1419. We expect to begin enrolling patients in the expansion portion of the Phase 1 clinical trial in the second half of 2021.</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pipeline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168910</wp:posOffset>
            </wp:positionV>
            <wp:extent cx="4954905" cy="23399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5490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Prelude Discovery and Development Approach</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carefully evaluate and select our targets based on three key pillars, which provide a framework for optimizing our drug discovery and development efforts.</w:t>
      </w:r>
    </w:p>
    <w:p>
      <w:pPr>
        <w:spacing w:after="0" w:line="76"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Identify target mechanisms with compelling biological rationale</w:t>
      </w:r>
    </w:p>
    <w:p>
      <w:pPr>
        <w:spacing w:after="0" w:line="130"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Current target mechanisms of focus include: transcriptional regulation, deoxyribonucleic acid, or DNA, repair pathway, cell cycle regulation, exploitation of synthetic lethality and brain penetrant molecules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Leverage our advanced medicinal chemistry capabilities to create better product candidates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We view all target classes equally and strive to invent clinical candidates that meet our desired target product profiles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Pursue targets that drive cancers with high unmet need</w:t>
      </w:r>
    </w:p>
    <w:p>
      <w:pPr>
        <w:spacing w:after="0" w:line="130" w:lineRule="exact"/>
        <w:rPr>
          <w:rFonts w:ascii="Arial" w:cs="Arial" w:eastAsia="Arial" w:hAnsi="Arial"/>
          <w:sz w:val="18"/>
          <w:szCs w:val="18"/>
          <w:color w:val="auto"/>
        </w:rPr>
      </w:pPr>
    </w:p>
    <w:p>
      <w:pPr>
        <w:ind w:left="1540" w:right="800" w:hanging="439"/>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Focus on targets that allow us to select patients and cancers with high unmet need with no approved therapies, or patient populations that are underserved by approved treatments</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Once we have identified optimal targets using the three pillars above, we engage our unique discovery engine to rapidly and efficiently invent and develop molecules. We believe our expertise, capabilities and experience to select high value biological targets and invent molecules with an optimized balance of biological and chemical properties differentiates us from others in the precision oncology space. We believe our unique discovery engine will enable us to continue delivering a new IND every 12 to 18 months.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design our clinical trials to leverage the broad utility of our compounds with a focus on efficient regulatory pathways to enable our potentially transformative medicines to quickly reach patients with high unmet medical need. By focusing on validated cancer signaling pathways and early clinical proof-of-concept, we seek to advance our programs through expedited approval processes.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first two candidates, PRT543 and PRT811, are designed to be potent, selective and oral inhibitors of PRMT5. We believe targeting PRMT5 has broad applicability and a strong scientific rationale for the treatment of cancer as it regulates transcription, translation and messenger ribonucleic acid, or mRNA, as well as the splicing of cancer related genes. Inhibition of PRMT5 has been observed to suppress tumor growth and produce synthetic lethality preclinically.</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PRT543, our first clinical candidate, is currently in a Phase 1 clinical trial in advanced solid tumors and select myeloid malignancies. We have been encouraged by both the clinical activity and tolerability data that have been seen in 61 patients (42 with advanced solid tumors, one with NHL, 11 with MF and seven with MDS) that have enrolled into the study as of December 16, 2020. We have observed early signs of clinical activity, including a durable confirmed CR per RECIST v1.1, in a patient with HRD+ high grade serous ovarian cancer, in the 35 mg 5x/week (once a day, for five days, with two days off) cohort. This patient has received 9 months of study therapy as of December 16, 2020 and remains in CR. We will need to enroll and demonstrate objective responses in additional patients to support further development and potential approval by FDA or other regulatory authorities, and such approval is not guaranteed. In addition, extended duration of therapy and improvements in symptoms have been observed in several patients with MF, with one patient demonstrating a response of clinical improvement and another patient showing an approximately 66% reduction in Total Symptom Score, or TSS, a validated clinical endpoint in MF. Clinical improvement means an achievement in anemia, spleen, or symptom response without progressive disease or increase in the severity of anemia, thrombocytopenia or neutropenia. We have begun enrolling patients into the expansion portion of the Phase 1 clinical trial in select tumor types that are potentially driven by PRMT5 dysregulation. These tumor types include ACC, MF, genomically selected MDS and HRD+ tumors. We began patient enrollment into the solid tumor expansion portion of our ongoing Phase 1 trial during the fourth quarter of 2020 and we expect to begin patient enrollment into additional solid tumor and myeloid malignancies expansion cohorts early in 2021. We anticipate presenting initial clinical data from the trial at medical meetings in the second half of 2021.</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PRT811, our second clinical candidate, is currently advancing in the dose escalation portion of a Phase 1 clinical trial in solid tumors, including GBM and primary central nervous system lymphomas, or PCNSL. PRT811 has been optimized for high brain exposure and hence we believe is uniquely positioned to treat PRMT5 sensitive CNS cancers. We have been encouraged by both the clinical activity and tolerability data that have been seen in 24 patients (eight with GBM, 16 with various advanced solid tumors) that have enrolled into the dose escalation portion of the study as of December 16, 2020. We have observed early signs of clinical activity in a refractory GBM patient whose tumor initially demonstrated a 66% reduction on monotherapy PRT811 at week 6, and subsequently underwent a follow-up MRI at week 18, and the regression has improved to 77% from baseline, confirming a PR per RANO (response assessment in neuro-oncology) criteria. This patient has received 5 months of study therapy as of December 16, 2020 and remains in PR and is clinically stable. We will need to enroll and demonstrate objective responses in additional patients to support further development and potential approval by FDA or other regulatory authorities, and such approval is not guaranteed. We plan to initially enroll patients in the expansion portion of the clinical trial with GBM, PCNSL and solid tumors with metastatic disease to the CNS once we have established an expansion dose. We expect these expansions to begin in the first half of 2021 and anticipate initial clinical results from these expansion cohorts by the end of 2021.</w:t>
      </w:r>
    </w:p>
    <w:p>
      <w:pPr>
        <w:spacing w:after="0" w:line="17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PRT1419, our third clinical candidate, is designed to be a potent and selective inhibitor of the anti-apoptotic protein, MCL1. We believe hematological malignancies are particularly sensitive to MCL1 inhibitors. MCL1 upregulation has been noted as a mechanism of acquired resistance to venetoclax and tyrosine kinase inhibitors,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or TKIs. In addition, certain solid tumors are responsive to MCL1 inhibition, informing a potential patient selection strategy. We have enrolled four patients into the Phase 1 clinical trial investigating oral PRT1419 in high risk MDS, AML, NHL and MM. Additionally, during the fourth quarter of 2020 we filed an IND with the FDA for an intravenous, or IV, formulation of PRT1419, which we plan to evaluate in various advanced solid tumors. We believe that the physicochemical and pharmacological properties of PRT1419 allow the optionality of administering PRT1419 by either oral or IV routes.</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to our three clinical stage candidates, our two most advanced preclinical programs target cyclin-dependent kinase 9, or CDK9, and Brahma homologue, or BRM, otherwise known as SMARCA2, respectively. PRT2527 designed to be a potent and selective CDK9 inhibitor, has entered IND-enabling studies with an IND submission expected in 2021. We have also identified SMARCA2 protein degraders that appear to be potent based on preclinical data demonstrating degradation of SMARCA2 at sub-nanomolar concentration. Optimization of the lead compound, PRT-SCA2, is progressing, and we expect to initiate IND-enabling studies in 2021. Our sixth program is exploring a kinase target for solid tumors. We are optimizing our lead compound, PRT-K4, and expect to begin IND-enabling studies in 2021.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were founded in 2016 by Kris Vaddi, Ph.D., a founding scientist at Incyte, and have assembled an experienced management team and board of directors with deep expertise in oncology and drug development. We have built from the “ground up” our internal discovery team, led by scientific and medical teams with deep expertise and proven capabilities in inventing and rapidly advancing small molecule medicines that address important gaps in the current precision oncology ecosystem. Members of our management team have successfully developed and commercialized numerous drugs such as Jakafi, Olumiant, Velcade, VITRAKVI, Retevmo, Tabrecta and Pemazyre.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We aim to create better targeted and more effective cancer therapies. Our goal is to transform the lives of patients with cancer by leveraging the core competencies of our experienced team in medicinal chemistry, cancer biology and clinical development to bring novel drugs to market. We intend to become a fully integrated patient-focused precision oncology company by pursuing the following objectives:</w:t>
      </w:r>
    </w:p>
    <w:p>
      <w:pPr>
        <w:spacing w:after="0" w:line="67" w:lineRule="exact"/>
        <w:rPr>
          <w:sz w:val="20"/>
          <w:szCs w:val="20"/>
          <w:color w:val="auto"/>
        </w:rPr>
      </w:pPr>
    </w:p>
    <w:p>
      <w:pPr>
        <w:ind w:left="1080" w:right="40" w:hanging="532"/>
        <w:spacing w:after="0" w:line="268"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Rapidly progress our lead product candidates, PRT543 and PRT811, through clinical development in patients with select solid tumors and hematological malignancies. </w:t>
      </w:r>
      <w:r>
        <w:rPr>
          <w:rFonts w:ascii="Arial" w:cs="Arial" w:eastAsia="Arial" w:hAnsi="Arial"/>
          <w:sz w:val="17"/>
          <w:szCs w:val="17"/>
          <w:color w:val="auto"/>
        </w:rPr>
        <w:t>Our oral PRMT5 inhibitor candidates target multiple indications, with an initial focus on ACC,</w:t>
      </w:r>
      <w:r>
        <w:rPr>
          <w:rFonts w:ascii="Arial" w:cs="Arial" w:eastAsia="Arial" w:hAnsi="Arial"/>
          <w:sz w:val="17"/>
          <w:szCs w:val="17"/>
          <w:b w:val="1"/>
          <w:bCs w:val="1"/>
          <w:color w:val="auto"/>
        </w:rPr>
        <w:t xml:space="preserve"> </w:t>
      </w:r>
      <w:r>
        <w:rPr>
          <w:rFonts w:ascii="Arial" w:cs="Arial" w:eastAsia="Arial" w:hAnsi="Arial"/>
          <w:sz w:val="17"/>
          <w:szCs w:val="17"/>
          <w:color w:val="auto"/>
        </w:rPr>
        <w:t>HRD+ tumors, myeloid and CNS malignancies, and have the potential for accelerated approval. We are currently advancing our first clinical candidate, PRT543, in a Phase 1 clinical trial in select solid tumors and myeloid malignancies. Interim Phase 1 results indicate dose-dependent increases in exposure and target engagement, and we have observed early signs of clinical activity, including an ongoing durable confirmed CR in a highly-refractory HRD+ ovarian cancer patient and prolonged stable disease, or SD, defined as failure to meet the definitions of either objective clinical response or progressive disease, in multiple patients with myeloid malignancies. We are also advancing PRT811, a second PRMT5 inhibitor that we have optimized for high brain exposure, in a Phase 1 clinical trial in solid tumors, including GBM. The previously disclosed refractory GBM patient whose tumor had demonstrated a 66% reduction on monotherapy PRT811 has subsequently undergone a follow-up MRI at week 18 and the regression has improved to 77% from baseline, confirming a PR per RANO (response assessment in neuro-oncology) criteria. We began patient enrollment into the solid tumor expansion portion of the PRT543 Phase 1 trial during the fourth quarter of 2020 and we expect to begin patient enrollment into additional solid tumor and myeloid malignancies expansion cohorts early in 2021. Patient enrollment into the expansion cohort for PRT811 is expected to begin in the first half of 2021 as well. We anticipate presenting initial clinical results for PRT543 in the second half of 2021 and obtaining initial clinical results for PRT811 by the end of 2021.</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080" w:right="180" w:hanging="532"/>
        <w:spacing w:after="0" w:line="277"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 xml:space="preserve">Expeditiously advance PRT1419, our MCL1 inhibitor, through clinical development in patients with select hematological malignancies. </w:t>
      </w:r>
      <w:r>
        <w:rPr>
          <w:rFonts w:ascii="Arial" w:cs="Arial" w:eastAsia="Arial" w:hAnsi="Arial"/>
          <w:sz w:val="17"/>
          <w:szCs w:val="17"/>
          <w:color w:val="auto"/>
        </w:rPr>
        <w:t>MCL1 is an oncogenic driver and a major resistance mechanism to B-cell lymphoma 2, or BCL2, inhibitors. We have</w:t>
      </w:r>
      <w:r>
        <w:rPr>
          <w:rFonts w:ascii="Arial" w:cs="Arial" w:eastAsia="Arial" w:hAnsi="Arial"/>
          <w:sz w:val="17"/>
          <w:szCs w:val="17"/>
          <w:b w:val="1"/>
          <w:bCs w:val="1"/>
          <w:color w:val="auto"/>
        </w:rPr>
        <w:t xml:space="preserve"> </w:t>
      </w:r>
      <w:r>
        <w:rPr>
          <w:rFonts w:ascii="Arial" w:cs="Arial" w:eastAsia="Arial" w:hAnsi="Arial"/>
          <w:sz w:val="17"/>
          <w:szCs w:val="17"/>
          <w:color w:val="auto"/>
        </w:rPr>
        <w:t>enrolled four patients into a Phase 1 clinical trial investigating oral PRT1419 in high risk MDS, AML, NHL and MM patients. Additionally, during the fourth quarter of 2020, we filed an IND for an IV formulation of PRT1419, which we plan to evaluate in various advanced solid tumors, giving us the optionality of both oral and IV routes of administration.</w:t>
      </w:r>
    </w:p>
    <w:p>
      <w:pPr>
        <w:spacing w:after="0" w:line="73" w:lineRule="exact"/>
        <w:rPr>
          <w:rFonts w:ascii="Arial" w:cs="Arial" w:eastAsia="Arial" w:hAnsi="Arial"/>
          <w:sz w:val="17"/>
          <w:szCs w:val="17"/>
          <w:color w:val="auto"/>
        </w:rPr>
      </w:pPr>
    </w:p>
    <w:p>
      <w:pPr>
        <w:ind w:left="1080" w:hanging="532"/>
        <w:spacing w:after="0" w:line="289"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Continue to advance our earlier stage programs, including a CDK9 inhibitor and a SMARCA2 degrader. </w:t>
      </w:r>
      <w:r>
        <w:rPr>
          <w:rFonts w:ascii="Arial" w:cs="Arial" w:eastAsia="Arial" w:hAnsi="Arial"/>
          <w:sz w:val="16"/>
          <w:szCs w:val="16"/>
          <w:color w:val="auto"/>
        </w:rPr>
        <w:t>PRT2527, designed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potent and selective CDK9 inhibitor, has entered IND-enabling studies with an IND submission expected in 2021. We have also identified potent SMARCA2 protein degraders based on data demonstrating degradation of SMARCA2 at sub-nanomolar concentration.</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Optimization of the lead compound, PRT-SCA2, is progressing and we expect to initiate IND-enabling studies in 2021.</w:t>
      </w:r>
    </w:p>
    <w:p>
      <w:pPr>
        <w:spacing w:after="0" w:line="112" w:lineRule="exact"/>
        <w:rPr>
          <w:rFonts w:ascii="Arial" w:cs="Arial" w:eastAsia="Arial" w:hAnsi="Arial"/>
          <w:sz w:val="16"/>
          <w:szCs w:val="16"/>
          <w:color w:val="auto"/>
        </w:rPr>
      </w:pPr>
    </w:p>
    <w:p>
      <w:pPr>
        <w:ind w:left="1080" w:right="40" w:hanging="532"/>
        <w:spacing w:after="0" w:line="273"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cancer biology and medicinal chemistry expertise to consistently deliver one new IND every 12 – 18 months. </w:t>
      </w:r>
      <w:r>
        <w:rPr>
          <w:rFonts w:ascii="Arial" w:cs="Arial" w:eastAsia="Arial" w:hAnsi="Arial"/>
          <w:sz w:val="17"/>
          <w:szCs w:val="17"/>
          <w:color w:val="auto"/>
        </w:rPr>
        <w:t>We are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to developing drugs that take a unique approach to precision oncology by focusing on broad mechanisms that have multiple links to oncogenic driver pathways in select patients. Utilizing our unique fully-integrated targeted oncology discovery engine, we will continue to pursue small-molecule therapies optimized to effectively target the key driver mechanisms in cancers with high unmet need, regardless of target class or technology platform. Since our inception in 2016, we have received FDA clearance for three INDs and successfully advanced these three programs into clinical development. We aim to continue to deliver on our goal of creating better targeted and more effective cancer therapies for patients with high unmet need.</w:t>
      </w:r>
    </w:p>
    <w:p>
      <w:pPr>
        <w:spacing w:after="0" w:line="77" w:lineRule="exact"/>
        <w:rPr>
          <w:rFonts w:ascii="Arial" w:cs="Arial" w:eastAsia="Arial" w:hAnsi="Arial"/>
          <w:sz w:val="17"/>
          <w:szCs w:val="17"/>
          <w:color w:val="auto"/>
        </w:rPr>
      </w:pPr>
    </w:p>
    <w:p>
      <w:pPr>
        <w:ind w:left="1080" w:right="160" w:hanging="532"/>
        <w:spacing w:after="0" w:line="277"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 xml:space="preserve">Opportunistically evaluate strategies to accelerate development timelines and maximize the value of our product candidate pipeline. </w:t>
      </w:r>
      <w:r>
        <w:rPr>
          <w:rFonts w:ascii="Arial" w:cs="Arial" w:eastAsia="Arial" w:hAnsi="Arial"/>
          <w:sz w:val="17"/>
          <w:szCs w:val="17"/>
          <w:color w:val="auto"/>
        </w:rPr>
        <w:t>We have developed each of our product candidates based on our internal capabilities, and we currently have worldwide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commercial rights to each of our candidates. Given our ability to efficiently invent target class agnostic, small molecule agents that have broad applicability, including potential indications beyond oncology, we may choose to opportunistically enter into strategic collaborations that enable us to broaden our clinical or commercial impact.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Consistent with our target class agnostic approach, our current pipeline includes six distinct programs spanning methyltransferases, kinases, protein-protein interactions and targeted protein degraders. Since our inception in 2016, we have received clearance for three INDs and advanced these three programs into clinical development for multiple solid tumors and hematological malignancies. In addition, we have three unique programs in various stages of preclinical development that we plan to advance into clinical development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beginning in 2021. We have structured and resourced our research and development, or R&amp;D, organization with the goal and expectation of continuing to deliver a new IND every 12 to 18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134620</wp:posOffset>
            </wp:positionV>
            <wp:extent cx="4954905" cy="2340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54905"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Cancer Background and Treatment</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Cancer is the second-leading cause of death in the United States. The American Cancer Society estimates that approximately 1.8 million new cancer cases will be diagnosed and more than 600,000 people are expected to die of the disease in the United States in 2020. Cancer is a disease of the genome caused by changes in DNA that alter cell behavior, growth and division. These changes can cause cells to produce abnormal amounts of certain proteins and/or to make aberrant proteins that do not function properly. It is widely understood that cancer cells can eventually evade therapies through mutations or other resistance mechanisms, limiting the long-term success of drug therapies.</w:t>
      </w:r>
    </w:p>
    <w:p>
      <w:pPr>
        <w:spacing w:after="0" w:line="17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Historically, cancer has been treated with surgery, radiation and drug therapy with patients often receiving a combination of these treatment modalities. While surgery and radiation can be effective in patients with localized disease, drug therapies are often required when the cancer has spread beyond the primary site or is not amenable to resection.</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Drug therapy is intended to kill or damage malignant cells by interfering with the biological processes that control development, growth and survival of cancer cells. This treatment modality has evolved over time from the use of non-specific cytotoxic therapies to precision oncology medicines targeting molecular pathways or oncogenic drivers. These precision medicines are broadly known as targeted therapies</w:t>
      </w:r>
      <w:r>
        <w:rPr>
          <w:rFonts w:ascii="Arial" w:cs="Arial" w:eastAsia="Arial" w:hAnsi="Arial"/>
          <w:sz w:val="17"/>
          <w:szCs w:val="17"/>
          <w:b w:val="1"/>
          <w:bCs w:val="1"/>
          <w:color w:val="auto"/>
        </w:rPr>
        <w:t>.</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Era of Precision Oncology</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first-generation of approved targeted therapies were largely directed at receptor tyrosine kinases (e.g., BCR-ABL, VEGF, EGFR), a superfamily of cell-surface receptors that activate growth factors. Many of these agents that were initially approved in refractory and resistant populations have now become front-line treatments in cancers for which they are indicated. While these targeted therapies have improved the treatment of certain cancers, many fail to address the underlying genomic alterations that drive oncogenesis, leading to limited responses or inadequate therapeutic durability. Since normal cells can rely on these same signaling pathways, there are often toxicities associated with pathway inhibition. In addition, many of these first-generation targeted therapies are multi-kinase inhibitors that interfere with off-target adjacent pathways, resulting in significant toxicities.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second-generation of targeted cancer therapies has evolved from the nexus of rapid advances in the understanding of tumor biology and increasingly sophisticated diagnostic platforms that enable identification of subsets of tumors based on genomic alterations. These therapies often require genomic testing of tumor tissue or blood to identify potentially targetable alterations in a patient’s individual cancer. Increasingly, these precision medicines are agnostic to tumor site of origin and instead target specific oncogenic drivers that can occur broadly across tumor types. In 2018, VITRAKVI (larotrectinib) was approved by the FDA for neurotrophic receptor tyrosine kinase-driven cancers, making it the first new drug to be developed and approved to treat a specific genomic alteration in a tissue-agnostic fashion. This emerging trend for tumor-agnostic indications represents a significant advancement in drug development, clinical trial designs, drug approval patterns and speed to market. Targeted therapies generated approximately $20.1 billion of worldwide sales in 2019 and have remained a mainstay of oncology drug development and treatment.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Next Generation Precision Oncology</w:t>
      </w:r>
    </w:p>
    <w:p>
      <w:pPr>
        <w:spacing w:after="0" w:line="117"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First and second-generation precision oncology medicines dramatically changed the landscape of available treatment options for patients with cancer and created a paradigm shift in oncology drug development. However, there are still significant gaps that require further advances to optimize treatment options. For example, oncology drug development has been primarily focused on readily druggable genomic alterations that confer new or enhanced protein activity, known as gain-of-function targets, which represent only a subset of targets in oncology. Additionally, malignant cells may possess or acquire intrinsic resistance by using alternative signaling pathways, enabling them to survive and proliferate and contributing to a lack of response and/or short durability of response to these types of precision medicines. The nearly universal nature of this primary or secondary resistance highlights the urgent need to address resistance using a cellular level understanding of the mechanisms that drive treatment failure.</w:t>
      </w:r>
    </w:p>
    <w:p>
      <w:pPr>
        <w:spacing w:after="0" w:line="16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By specifically targeting additional pathways of resistance, next generation precision oncology medicines can address the needs of patients whose tumors do not harbor targetable genomic alterations as well as patients who progress on current therapies. These medicines leverage scientific and technological breakthroughs to target new intervention points in oncogenic signaling pathways, including transcriptional regulation of oncogenes and tumor suppressor genes, DNA damage repair pathways and protein structure. These approaches address primary and secondary resistance mechanisms not targetable by earlier generations of precision oncology medicines. Examples of these mechanisms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128905</wp:posOffset>
            </wp:positionV>
            <wp:extent cx="4491990" cy="21431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49199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believe highly selective and potent molecules that target specific oncogenic mechanisms, regardless of target class, can be an effective strategy to address cancers not amenable to earlier and current treatment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modalities. These next-generation precision therapies should possess pharmacological, pharmacokinetic, or PK, and pharmaceutical properties that provide optimized inhibition of the target mechanism, with a safety profile and therapeutic window that allows use in all stages of cancer either as a monotherapy or in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Prelude Discovery and Development Approach</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We are guided by our core expertise in cancer biology and medicinal chemistry to create next generation precision oncology medicines. We endeavor to discover, develop and commercialize small molecule drugs that selectively target signaling pathways driving primary or adaptive resistance.</w:t>
      </w:r>
    </w:p>
    <w:p>
      <w:pPr>
        <w:spacing w:after="0" w:line="12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Our approach is target class- and technology platform-agnostic meaning, we do not limit our selection of programs to a defined target class (e.g., kinases) or a technology platform (e.g., protein degradation). We have built from the “ground up” our internal discovery team, led by scientific and medical teams with deep expertise and proven capabilities in inventing and rapidly advancing small molecule product candidates that have the potential to address important gaps in the current precision oncology ecosystem. We design our discovery programs around targets with compelling preclinical and clinical data that have the potential to address cancers of high unmet medical need. We evaluate existing clinical or preclinical biological rationale and chemical space that provide important “proof-of-concept” validation but present significant opportunities for improvement on current therapies. This process has enabled us to rapidly create a wholly-owned, internally developed pipeline of differentiated product candidates for patient populations with cancers that show limited therapeutic durability or do not respond to current treatments.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shown in the diagram below, our approach is divided into two related processes—target selection and our unique discovery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176530</wp:posOffset>
            </wp:positionV>
            <wp:extent cx="5186045" cy="21513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8604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Target Selection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identify vulnerable intervention points in cancers with high unmet need, and then we seek to design solutions that can be precisely tailored to address these in a target class agnostic fashion. Applying our deep expertise in cancer biology and medicinal chemistry, as well as our in-depth understanding of the current landscape of oncology treatments, we interrogate targetable intervention points in the signaling pathways amenable to small molecule-based treatments. We then design, synthesize and optimize molecules that we believe best meet the needs of the patients we strive to serve. Consistent with our patient-centric focus, we take into account a number of patient attributes, including the type of cancer, current standard of care, causes of treatment failure, comorbidities, potential for drug-drug interactions and propensity for CNS disease to be able to develop more effective therapies.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carefully evaluate and select our targets based on the three key pillars described below which provide a framework for optimizing our drug discovery and development efforts. Our discovery programs are built upon these three pillars: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Identify target mechanisms with compelling biological rationale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focus on target classes that have either yielded successful drugs or are emerging as validated, druggable approaches with compelling driver pathway-based data, as opposed to approaches driven by disease association or novelty of target class. We believe our internal capabilities are best suited to rationally design and develop molecules that can address these mechanisms in a target class agnostic manner. We may expand our focus on other target mechanisms as new biology emerges and is validated.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target mechanisms of focus include:</w:t>
      </w:r>
    </w:p>
    <w:p>
      <w:pPr>
        <w:spacing w:after="0" w:line="131"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Transcriptional regulation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DNA repair pathway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Cell cycle regulation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Exploitation of synthetic lethality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Brain penetrant molecules to address primary or metastatic CNS tumors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PRMT5 is a prime example of a target with strong scientific rationale that we are well-suited to address. We believe the target can be exploited to address underserved cancers such as ACC with an undruggable oncogenic driver (such as myeloblastosis, or </w:t>
      </w:r>
      <w:r>
        <w:rPr>
          <w:rFonts w:ascii="Arial" w:cs="Arial" w:eastAsia="Arial" w:hAnsi="Arial"/>
          <w:sz w:val="18"/>
          <w:szCs w:val="18"/>
          <w:i w:val="1"/>
          <w:iCs w:val="1"/>
          <w:color w:val="auto"/>
        </w:rPr>
        <w:t>MYB</w:t>
      </w:r>
      <w:r>
        <w:rPr>
          <w:rFonts w:ascii="Arial" w:cs="Arial" w:eastAsia="Arial" w:hAnsi="Arial"/>
          <w:sz w:val="18"/>
          <w:szCs w:val="18"/>
          <w:color w:val="auto"/>
        </w:rPr>
        <w:t xml:space="preserve">), as well as to address resistance to several existing, approved targeted agents, including ruxolitinib, venetoclax and CDK4/6 inhibitors. Also, </w:t>
      </w:r>
      <w:r>
        <w:rPr>
          <w:rFonts w:ascii="Arial" w:cs="Arial" w:eastAsia="Arial" w:hAnsi="Arial"/>
          <w:sz w:val="18"/>
          <w:szCs w:val="18"/>
          <w:i w:val="1"/>
          <w:iCs w:val="1"/>
          <w:color w:val="auto"/>
        </w:rPr>
        <w:t>PRMT5</w:t>
      </w:r>
      <w:r>
        <w:rPr>
          <w:rFonts w:ascii="Arial" w:cs="Arial" w:eastAsia="Arial" w:hAnsi="Arial"/>
          <w:sz w:val="18"/>
          <w:szCs w:val="18"/>
          <w:color w:val="auto"/>
        </w:rPr>
        <w:t xml:space="preserve"> is a potential driver mechanism in GBM, for which a differentiated product with high brain exposure is required.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 Leverage our advanced medicinal chemistry capabilities to create better product candidates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deploy our integrated medicinal and process chemistry expertise to rationally design and synthesize complex chemical entities and rapidly advance through various stages of development. We view all target classes, including enzyme inhibitors (PRMT5, CDK9), protein-protein interactions (MCL1), targeted protein degradation (SMARCA2) and those that require high levels of brain exposure, with equal interest and strive to invent clinical candidates that meet our desired target product profiles.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ability to design and develop molecules with potential high brain exposures allows us to target validated mechanisms in cancers with CNS metastasis, as many current treatments do not have adequate brain exposure. Our discovery programs are not only driven by potency, selectivity and PK, but also incorporate optimized physicochemical properties to provide well-balanced clinical candidates.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Pursue targets that drive cancers with high unmet need</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believe taking a patient-centric approach to target selection provides opportunities to generate proof-of-concept early in clinical development, can form the basis for the design of pivotal studies with potential for accelerated approval in the most relevant patient population and rapidly advance into earlier lines of treatment.</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We focus on targets that allow us to select patients and cancers with high medical unmet need with no approved therapies, or patient populations underserved by approved treatments. We plan to utilize multiple approaches to patient selection, which include biomarker-based enrichment. For example, one cancer of interest with no approved or effective treatments is ACC, which is predominantly driven by a specific oncogenic mechanism such as </w:t>
      </w:r>
      <w:r>
        <w:rPr>
          <w:rFonts w:ascii="Arial" w:cs="Arial" w:eastAsia="Arial" w:hAnsi="Arial"/>
          <w:sz w:val="18"/>
          <w:szCs w:val="18"/>
          <w:i w:val="1"/>
          <w:iCs w:val="1"/>
          <w:color w:val="auto"/>
        </w:rPr>
        <w:t>MYB</w:t>
      </w:r>
      <w:r>
        <w:rPr>
          <w:rFonts w:ascii="Arial" w:cs="Arial" w:eastAsia="Arial" w:hAnsi="Arial"/>
          <w:sz w:val="18"/>
          <w:szCs w:val="18"/>
          <w:color w:val="auto"/>
        </w:rPr>
        <w:t xml:space="preserve">, where a biomarker selection strategy may not be needed. Alternatively, </w:t>
      </w:r>
      <w:r>
        <w:rPr>
          <w:rFonts w:ascii="Arial" w:cs="Arial" w:eastAsia="Arial" w:hAnsi="Arial"/>
          <w:sz w:val="18"/>
          <w:szCs w:val="18"/>
          <w:i w:val="1"/>
          <w:iCs w:val="1"/>
          <w:color w:val="auto"/>
        </w:rPr>
        <w:t>SMARCA4</w:t>
      </w:r>
      <w:r>
        <w:rPr>
          <w:rFonts w:ascii="Arial" w:cs="Arial" w:eastAsia="Arial" w:hAnsi="Arial"/>
          <w:sz w:val="18"/>
          <w:szCs w:val="18"/>
          <w:color w:val="auto"/>
        </w:rPr>
        <w:t xml:space="preserve"> mutated cancers are more amenable to a biomarker-based selection strategy.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 xml:space="preserve">Lastly, we interrogate targets in pathways that drive resistance to approved treatments in clearly defined patient populations. Specific examples include: AML patients who progress on venetoclax in which </w:t>
      </w:r>
      <w:r>
        <w:rPr>
          <w:rFonts w:ascii="Arial" w:cs="Arial" w:eastAsia="Arial" w:hAnsi="Arial"/>
          <w:sz w:val="17"/>
          <w:szCs w:val="17"/>
          <w:i w:val="1"/>
          <w:iCs w:val="1"/>
          <w:color w:val="auto"/>
        </w:rPr>
        <w:t>MCL1</w:t>
      </w:r>
      <w:r>
        <w:rPr>
          <w:rFonts w:ascii="Arial" w:cs="Arial" w:eastAsia="Arial" w:hAnsi="Arial"/>
          <w:sz w:val="17"/>
          <w:szCs w:val="17"/>
          <w:color w:val="auto"/>
        </w:rPr>
        <w:t xml:space="preserve"> is a known resistance driver; and patients progressing on ruxolitinib in whom inhibiting PRMT5 can potentially block alternative pathways of resistance such as the transcription factor E2F1.</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Discovery Engine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Once we have identified optimal targets using the three pillars above, we engage our unique discovery engine to rapidly and efficiently invent and develop molecules with optimized properties. Central to our internal discovery capability is the interplay between our highly experienced biologists and chemists who collaborate in an iterative fashion to rapidly design, synthesize and test novel chemical entities. By coupling our synthetic organic chemistry expertise and analytical technologies, our medicinal chemistry team has rapidly and efficiently synthesized thousands of rationally-designed novel compounds since inception.</w:t>
      </w:r>
    </w:p>
    <w:p>
      <w:pPr>
        <w:spacing w:after="0" w:line="18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deep understanding of cancer biology enables a rigorous drug selection process that has allowed us to optimize our lead molecules to interrogate validated cancer pathways with high translational success. We focus on stereochemically-rich molecules with a high degree of 3-dimensional character, which has been shown to correlate with success as compounds transition from discovery, through clinical testing, to drug. Our unique ability to leverage medicinal chemistry to look beyond classic drug-like spaces, such as those involved in protein-protein interaction and targeted protein degradation and to incorporate critical elements of drug-like properties into our candidate compounds is a key aspect of our unique discovery engine. Our internal and external teams utilize a suite of capabilities in crystallography; absorption, distribution, metabolism and excretion, or ADME; PK and pharmacodynamic, or PD, analysis; preclinical efficacy models using cell line xenograft and patient-derived xenograft, or PDX, models; and process scale synthesis and toxicology to evaluate and optimize the lead molecules we invent until they meet rigorous and pre-specified criteria.</w:t>
      </w:r>
    </w:p>
    <w:p>
      <w:pPr>
        <w:spacing w:after="0" w:line="165" w:lineRule="exact"/>
        <w:rPr>
          <w:sz w:val="20"/>
          <w:szCs w:val="20"/>
          <w:color w:val="auto"/>
        </w:rPr>
      </w:pPr>
    </w:p>
    <w:p>
      <w:pPr>
        <w:ind w:left="120" w:right="480" w:firstLine="440"/>
        <w:spacing w:after="0" w:line="286" w:lineRule="auto"/>
        <w:rPr>
          <w:sz w:val="20"/>
          <w:szCs w:val="20"/>
          <w:color w:val="auto"/>
        </w:rPr>
      </w:pPr>
      <w:r>
        <w:rPr>
          <w:rFonts w:ascii="Arial" w:cs="Arial" w:eastAsia="Arial" w:hAnsi="Arial"/>
          <w:sz w:val="17"/>
          <w:szCs w:val="17"/>
          <w:color w:val="auto"/>
        </w:rPr>
        <w:t>Finally, we design our clinical trials to leverage the broad utility of our compounds with a focus on efficient regulatory pathways that enable potentially transformative medicines to quickly reach cancer patients with high unmet medical need. By focusing on validated cancer signaling pathways and early clinical proof-of-concept, we seek to advance our programs through expedited approval processes.</w:t>
      </w:r>
    </w:p>
    <w:p>
      <w:pPr>
        <w:spacing w:after="0" w:line="16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believe our rapid progress in creating a wholly-owned, internally developed pipeline with three differentiated clinical-development-stage compounds and multiple additional molecules in various stages of preclinical development across a range of target classes validates our discovery excellence. We have structured and resourced our R&amp;D organization with the goal and expectation of continuing to deliver a new IND every 12 to 18 months. We believe our expertise, capabilities and experience to select high value biological targets and invent molecules with an optimized balance of biological and chemical properties differentiates us from others in the precision oncology space.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PRMT5 Inhibitors: PRT543 &amp; PRT811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Rationale for targeting the PRMT5 pathway in cancer</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Cancer is a disease of the genome and all cancers have genomic lesions that must be addressed to develop effective treatments. These genomic changes are important at all stages of cancer progression, including initial formation, growth, and metastasis, and result in the upregulation of genes that promote cell growth and survival together with the downregulation of genes that suppress tumor growth.</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PRMT5 controls a number of the biological processes that drive cancer including transcription, translation, DNA repair and cell signaling. Overexpression and increased enzymatic activity of PRMT5 are associated with poor outcome and decreased survival in multiple human cancer settings, as outlined in the table below.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Table 1. PRMT5 Overexpression is Associated with Poor Outcome Across Multiple Cancer Types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Sample</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Median</w:t>
            </w: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Median</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Survival</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Survival</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Log rank</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1"/>
              </w:rPr>
              <w:t>Tumor type</w:t>
            </w:r>
          </w:p>
        </w:tc>
        <w:tc>
          <w:tcPr>
            <w:tcW w:w="6700" w:type="dxa"/>
            <w:vAlign w:val="bottom"/>
            <w:vMerge w:val="restart"/>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Size of</w:t>
            </w:r>
          </w:p>
        </w:tc>
        <w:tc>
          <w:tcPr>
            <w:tcW w:w="10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(High</w:t>
            </w:r>
          </w:p>
        </w:tc>
        <w:tc>
          <w:tcPr>
            <w:tcW w:w="10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(Low</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7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Patients</w:t>
            </w:r>
          </w:p>
        </w:tc>
        <w:tc>
          <w:tcPr>
            <w:tcW w:w="10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PRMT5)</w:t>
            </w:r>
          </w:p>
        </w:tc>
        <w:tc>
          <w:tcPr>
            <w:tcW w:w="10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PRMT5)</w:t>
            </w:r>
          </w:p>
        </w:tc>
        <w:tc>
          <w:tcPr>
            <w:tcW w:w="7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p-value</w:t>
            </w:r>
          </w:p>
        </w:tc>
        <w:tc>
          <w:tcPr>
            <w:tcW w:w="0" w:type="dxa"/>
            <w:vAlign w:val="bottom"/>
          </w:tcPr>
          <w:p>
            <w:pPr>
              <w:spacing w:after="0"/>
              <w:rPr>
                <w:sz w:val="1"/>
                <w:szCs w:val="1"/>
                <w:color w:val="auto"/>
              </w:rPr>
            </w:pPr>
          </w:p>
        </w:tc>
      </w:tr>
      <w:tr>
        <w:trPr>
          <w:trHeight w:val="203"/>
        </w:trPr>
        <w:tc>
          <w:tcPr>
            <w:tcW w:w="7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Ovarian</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8"/>
              </w:rPr>
              <w:t>~40 mos*</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8"/>
              </w:rPr>
              <w:t>&gt;80 mos*</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Lung</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~45 mos*</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~75 mos*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&lt;0.0001</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Lymphoma</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~1.6y*</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~5.8y*</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&lt;0.0001</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GBM</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108 days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726 days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 and Neck</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~4y*</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~10y*</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Pancreatic</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~15 mos*</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~30 mos*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0.015</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Colon</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~34 mos*</w:t>
            </w: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~83 mos*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information is based on published data in peer-reviewed journals and reflects standard therapeutic intervention.</w:t>
      </w:r>
    </w:p>
    <w:p>
      <w:pPr>
        <w:spacing w:after="0" w:line="23" w:lineRule="exact"/>
        <w:rPr>
          <w:sz w:val="20"/>
          <w:szCs w:val="20"/>
          <w:color w:val="auto"/>
        </w:rPr>
      </w:pPr>
    </w:p>
    <w:p>
      <w:pPr>
        <w:ind w:left="560" w:right="1320" w:hanging="444"/>
        <w:spacing w:after="0" w:line="492" w:lineRule="auto"/>
        <w:tabs>
          <w:tab w:leader="none" w:pos="5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Where median survival was not explicitly provided in the text, we estimated values from the graphs provided in the publications. </w:t>
      </w:r>
      <w:r>
        <w:rPr>
          <w:rFonts w:ascii="Arial" w:cs="Arial" w:eastAsia="Arial" w:hAnsi="Arial"/>
          <w:sz w:val="18"/>
          <w:szCs w:val="18"/>
          <w:i w:val="1"/>
          <w:iCs w:val="1"/>
          <w:color w:val="auto"/>
        </w:rPr>
        <w:t>PRMT5 Regulates Transcription and Translation of Cancer-related Genes</w:t>
      </w:r>
    </w:p>
    <w:p>
      <w:pPr>
        <w:spacing w:after="0" w:line="1"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oncogenic process controlled by PRMT5 is mediated through the symmetric dimethylation of arginines on its substrate proteins (Figure 1). PRMT5, an intracellular enzyme, transfers two methyl groups from a co-factor S-adenosyl methionine, or SAM, and deposits them on its substrate proteins resulting in the formation of a symmetric dimethylarginine, or sDMA, mark. This post-translational modification alters the protein structure, impacts interactions with DNA, and also generates docking sites for effector molecules that can promote tumor cell growth and survival. PRMT5 substrate proteins include:</w:t>
      </w:r>
    </w:p>
    <w:p>
      <w:pPr>
        <w:spacing w:after="0" w:line="8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Histones</w:t>
      </w:r>
      <w:r>
        <w:rPr>
          <w:rFonts w:ascii="Arial" w:cs="Arial" w:eastAsia="Arial" w:hAnsi="Arial"/>
          <w:sz w:val="18"/>
          <w:szCs w:val="18"/>
          <w:color w:val="auto"/>
        </w:rPr>
        <w:t>—basic proteins that associate with DNA in the nucleus and help condense it into chromatin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Transcription factors</w:t>
      </w:r>
      <w:r>
        <w:rPr>
          <w:rFonts w:ascii="Arial" w:cs="Arial" w:eastAsia="Arial" w:hAnsi="Arial"/>
          <w:sz w:val="18"/>
          <w:szCs w:val="18"/>
          <w:color w:val="auto"/>
        </w:rPr>
        <w:t>—proteins involved in the process of transcribing DNA into ribonucleic acid, or RNA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Spliceosomal proteins</w:t>
      </w:r>
      <w:r>
        <w:rPr>
          <w:rFonts w:ascii="Arial" w:cs="Arial" w:eastAsia="Arial" w:hAnsi="Arial"/>
          <w:sz w:val="18"/>
          <w:szCs w:val="18"/>
          <w:color w:val="auto"/>
        </w:rPr>
        <w:t>—large protein complex that removes introns from pre-mRNA to yield mature RNA</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Figure 1. PRMT5 Regulates Oncogenesis and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103620" cy="18776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0362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right="540"/>
        <w:spacing w:after="0" w:line="253" w:lineRule="auto"/>
        <w:rPr>
          <w:sz w:val="20"/>
          <w:szCs w:val="20"/>
          <w:color w:val="auto"/>
        </w:rPr>
      </w:pPr>
      <w:r>
        <w:rPr>
          <w:rFonts w:ascii="Arial" w:cs="Arial" w:eastAsia="Arial" w:hAnsi="Arial"/>
          <w:sz w:val="14"/>
          <w:szCs w:val="14"/>
          <w:color w:val="auto"/>
        </w:rPr>
        <w:t>Through arginine methylation of histones, transcription factors and the spliceosome complex, PRMT5 regulates the expression of genes involved in promoting cancer cell growth and survival. These include cell cycle genes, tumor suppressors, oncogenes, and genes involved in proliferation and signaling.</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PRMT5-regulated transcription factors, including cyclin D1 and MYC, have a well-established role in a number of cancers. Conversely, PRMT5-mediated methylation of histones such as H3 and H4 represses a number of tumor suppressor genes including retinoblastoma, or </w:t>
      </w:r>
      <w:r>
        <w:rPr>
          <w:rFonts w:ascii="Arial" w:cs="Arial" w:eastAsia="Arial" w:hAnsi="Arial"/>
          <w:sz w:val="17"/>
          <w:szCs w:val="17"/>
          <w:i w:val="1"/>
          <w:iCs w:val="1"/>
          <w:color w:val="auto"/>
        </w:rPr>
        <w:t>RB</w:t>
      </w:r>
      <w:r>
        <w:rPr>
          <w:rFonts w:ascii="Arial" w:cs="Arial" w:eastAsia="Arial" w:hAnsi="Arial"/>
          <w:sz w:val="17"/>
          <w:szCs w:val="17"/>
          <w:color w:val="auto"/>
        </w:rPr>
        <w:t>, family members, contributing to unchecked proliferation of malignant cells. In addition, PRMT5 symmetrically dimethylates ribosomal binding proteins and modulates mRNA translation of internal ribosome entry site-containing mRNAs, further promoting the generation of oncogenic proteins. Consistent with its role in promoting cancer, PRMT5 inhibition has been shown to decrease tumor growth in preclinical models. Therefore, PRMT5 is believed to serve as an important mediator of cancer progression and can be targeted to treat a range of solid tumors and hematological malignancies. These attributes make PRMT5 an ideal therapeutic target for cancer.</w:t>
      </w:r>
    </w:p>
    <w:p>
      <w:pPr>
        <w:spacing w:after="0" w:line="17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 xml:space="preserve">The role of PRMT5 in regulating gene transcription and translation may be particularly relevant in cancers such as ACC where up to 86% of patients harbor the gene fusion of the </w:t>
      </w:r>
      <w:r>
        <w:rPr>
          <w:rFonts w:ascii="Arial" w:cs="Arial" w:eastAsia="Arial" w:hAnsi="Arial"/>
          <w:sz w:val="17"/>
          <w:szCs w:val="17"/>
          <w:i w:val="1"/>
          <w:iCs w:val="1"/>
          <w:color w:val="auto"/>
        </w:rPr>
        <w:t>MYB</w:t>
      </w:r>
      <w:r>
        <w:rPr>
          <w:rFonts w:ascii="Arial" w:cs="Arial" w:eastAsia="Arial" w:hAnsi="Arial"/>
          <w:sz w:val="17"/>
          <w:szCs w:val="17"/>
          <w:color w:val="auto"/>
        </w:rPr>
        <w:t xml:space="preserve"> family members </w:t>
      </w:r>
      <w:r>
        <w:rPr>
          <w:rFonts w:ascii="Arial" w:cs="Arial" w:eastAsia="Arial" w:hAnsi="Arial"/>
          <w:sz w:val="17"/>
          <w:szCs w:val="17"/>
          <w:i w:val="1"/>
          <w:iCs w:val="1"/>
          <w:color w:val="auto"/>
        </w:rPr>
        <w:t>MYB</w:t>
      </w:r>
      <w:r>
        <w:rPr>
          <w:rFonts w:ascii="Arial" w:cs="Arial" w:eastAsia="Arial" w:hAnsi="Arial"/>
          <w:sz w:val="17"/>
          <w:szCs w:val="17"/>
          <w:color w:val="auto"/>
        </w:rPr>
        <w:t xml:space="preserve"> or </w:t>
      </w:r>
      <w:r>
        <w:rPr>
          <w:rFonts w:ascii="Arial" w:cs="Arial" w:eastAsia="Arial" w:hAnsi="Arial"/>
          <w:sz w:val="17"/>
          <w:szCs w:val="17"/>
          <w:i w:val="1"/>
          <w:iCs w:val="1"/>
          <w:color w:val="auto"/>
        </w:rPr>
        <w:t>MYBL</w:t>
      </w:r>
      <w:r>
        <w:rPr>
          <w:rFonts w:ascii="Arial" w:cs="Arial" w:eastAsia="Arial" w:hAnsi="Arial"/>
          <w:sz w:val="17"/>
          <w:szCs w:val="17"/>
          <w:color w:val="auto"/>
        </w:rPr>
        <w:t xml:space="preserve">1 with the Nuclear Factor 1B, or </w:t>
      </w:r>
      <w:r>
        <w:rPr>
          <w:rFonts w:ascii="Arial" w:cs="Arial" w:eastAsia="Arial" w:hAnsi="Arial"/>
          <w:sz w:val="17"/>
          <w:szCs w:val="17"/>
          <w:i w:val="1"/>
          <w:iCs w:val="1"/>
          <w:color w:val="auto"/>
        </w:rPr>
        <w:t>NFIB</w:t>
      </w:r>
      <w:r>
        <w:rPr>
          <w:rFonts w:ascii="Arial" w:cs="Arial" w:eastAsia="Arial" w:hAnsi="Arial"/>
          <w:sz w:val="17"/>
          <w:szCs w:val="17"/>
          <w:color w:val="auto"/>
        </w:rPr>
        <w:t xml:space="preserve">, gene. </w:t>
      </w:r>
      <w:r>
        <w:rPr>
          <w:rFonts w:ascii="Arial" w:cs="Arial" w:eastAsia="Arial" w:hAnsi="Arial"/>
          <w:sz w:val="17"/>
          <w:szCs w:val="17"/>
          <w:i w:val="1"/>
          <w:iCs w:val="1"/>
          <w:color w:val="auto"/>
        </w:rPr>
        <w:t>MYB or MYBL1</w:t>
      </w:r>
      <w:r>
        <w:rPr>
          <w:rFonts w:ascii="Arial" w:cs="Arial" w:eastAsia="Arial" w:hAnsi="Arial"/>
          <w:sz w:val="17"/>
          <w:szCs w:val="17"/>
          <w:color w:val="auto"/>
        </w:rPr>
        <w:t xml:space="preserve"> gene fusions lead to overexpression of the MYB/MYBL1 protein. Published data demonstrate that </w:t>
      </w:r>
      <w:r>
        <w:rPr>
          <w:rFonts w:ascii="Arial" w:cs="Arial" w:eastAsia="Arial" w:hAnsi="Arial"/>
          <w:sz w:val="17"/>
          <w:szCs w:val="17"/>
          <w:i w:val="1"/>
          <w:iCs w:val="1"/>
          <w:color w:val="auto"/>
        </w:rPr>
        <w:t>MYB</w:t>
      </w:r>
      <w:r>
        <w:rPr>
          <w:rFonts w:ascii="Arial" w:cs="Arial" w:eastAsia="Arial" w:hAnsi="Arial"/>
          <w:sz w:val="17"/>
          <w:szCs w:val="17"/>
          <w:color w:val="auto"/>
        </w:rPr>
        <w:t xml:space="preserve"> overexpression is important for driving cell proliferation and tumor growth in preclinical ACC models. In addition, our internal data illustrate that PRMT5 inhibition decreased </w:t>
      </w:r>
      <w:r>
        <w:rPr>
          <w:rFonts w:ascii="Arial" w:cs="Arial" w:eastAsia="Arial" w:hAnsi="Arial"/>
          <w:sz w:val="17"/>
          <w:szCs w:val="17"/>
          <w:i w:val="1"/>
          <w:iCs w:val="1"/>
          <w:color w:val="auto"/>
        </w:rPr>
        <w:t>MYB</w:t>
      </w:r>
      <w:r>
        <w:rPr>
          <w:rFonts w:ascii="Arial" w:cs="Arial" w:eastAsia="Arial" w:hAnsi="Arial"/>
          <w:sz w:val="17"/>
          <w:szCs w:val="17"/>
          <w:color w:val="auto"/>
        </w:rPr>
        <w:t xml:space="preserve"> expression levels in </w:t>
      </w:r>
      <w:r>
        <w:rPr>
          <w:rFonts w:ascii="Arial" w:cs="Arial" w:eastAsia="Arial" w:hAnsi="Arial"/>
          <w:sz w:val="17"/>
          <w:szCs w:val="17"/>
          <w:i w:val="1"/>
          <w:iCs w:val="1"/>
          <w:color w:val="auto"/>
        </w:rPr>
        <w:t>MYB</w:t>
      </w:r>
      <w:r>
        <w:rPr>
          <w:rFonts w:ascii="Arial" w:cs="Arial" w:eastAsia="Arial" w:hAnsi="Arial"/>
          <w:sz w:val="17"/>
          <w:szCs w:val="17"/>
          <w:color w:val="auto"/>
        </w:rPr>
        <w:t>-dependent preclinical models and inhibited tumor growth in PDX models of ACC. Recent evidence of clinical activity with a third party PRMT5 inhibitor in patients with ACC further validates PRMT5 as a potential target mechanism in this highly underserved cancer.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PRMT5 Regulates mRNA Splicing in Cancer Cells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In addition to regulating transcription, PRMT5 also modulates gene expression by controlling mRNA splicing. Splicing is a fundamental cellular process that involves the removal of noncoding sequences from the precursor mRNA to produce the mature form that encodes for protein. In the absence of correct mRNA splicing, mutated or unstable proteins are produced, ultimately leading to cell cycle defects, senescence and apoptosis. The splicing reaction is carried out by a multi-protein/RNA complex called the spliceosome. PRMT5 plays an important role in the splicing of mRNA through methylation of spliceosome protein, which is critical for the assembly of the spliceosome complex and its function. In preclinical models, tumors with high degrees of proliferation, such as </w:t>
      </w:r>
      <w:r>
        <w:rPr>
          <w:rFonts w:ascii="Arial" w:cs="Arial" w:eastAsia="Arial" w:hAnsi="Arial"/>
          <w:sz w:val="17"/>
          <w:szCs w:val="17"/>
          <w:i w:val="1"/>
          <w:iCs w:val="1"/>
          <w:color w:val="auto"/>
        </w:rPr>
        <w:t>MYC</w:t>
      </w:r>
      <w:r>
        <w:rPr>
          <w:rFonts w:ascii="Arial" w:cs="Arial" w:eastAsia="Arial" w:hAnsi="Arial"/>
          <w:sz w:val="17"/>
          <w:szCs w:val="17"/>
          <w:color w:val="auto"/>
        </w:rPr>
        <w:t>-driven tumors, were associated with increased activity of PRMT5 to maintain the fidelity of the spliceosome, demonstrating the importance of PRMT5 in this process.</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role of PRMT5 in regulating mRNA splicing may be most relevant in cancers with spliceosomal mutations or those that are dependent on high splicing fidelity, such as GBM. Spliceosomal mutations also occur in more than 50% of MDS patients and at lower frequencies in other tumor types including MF, chronic myelomonocytic leukemia, AML, NHL, MM, chronic lymphocytic leukemia, or CLL, and uveal melanoma. These spliceosomal alterations are often correlated with higher mutational burden and/or poor prognosis. In models of AML, preclinical data demonstrated that PRMT5 inhibition resulted in higher levels of suppression of the growth of cancer cells containing mutated spliceosome proteins compared to those containing unmutated spliceosome proteins.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Synthetic lethality from PRMT5 inhibition in certain settings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Synthetic lethality applies to specific pairs of genes. A synthetic lethal interaction occurs when a deficiency in either gene alone is viable whereas a deficiency in both genes simultaneously results in cell death. In cancer, synthetic lethality can be exploited to selectively kill cancer cells in which one gene in the pair is mutated or deleted in the tumor cell and the remaining second gene is therapeutically inhibited. This leads to death of the cancer cells whereas normal cells, which lack the specific genetic alteration, are spared the effect of the drug. In the case of PRMT5, it has been demonstrated that certain genomic alterations confer a selective dependence on PRMT5 so that PRMT5 inhibition can be utilized to produce a synthetic lethal effect. For example, PRMT5 inhibition shows a modest preferential impairment of cell viability in methylthioadenosine phosphorylase, or </w:t>
      </w:r>
      <w:r>
        <w:rPr>
          <w:rFonts w:ascii="Arial" w:cs="Arial" w:eastAsia="Arial" w:hAnsi="Arial"/>
          <w:sz w:val="18"/>
          <w:szCs w:val="18"/>
          <w:i w:val="1"/>
          <w:iCs w:val="1"/>
          <w:color w:val="auto"/>
        </w:rPr>
        <w:t>MTAP</w:t>
      </w:r>
      <w:r>
        <w:rPr>
          <w:rFonts w:ascii="Arial" w:cs="Arial" w:eastAsia="Arial" w:hAnsi="Arial"/>
          <w:sz w:val="18"/>
          <w:szCs w:val="18"/>
          <w:color w:val="auto"/>
        </w:rPr>
        <w:t xml:space="preserve">, -null cancer cells compared to normal cells, suggesting that PRMT5 inhibitors could produce a synthetic lethal effect in GBM, in which nearly half of the patients carry the </w:t>
      </w:r>
      <w:r>
        <w:rPr>
          <w:rFonts w:ascii="Arial" w:cs="Arial" w:eastAsia="Arial" w:hAnsi="Arial"/>
          <w:sz w:val="18"/>
          <w:szCs w:val="18"/>
          <w:i w:val="1"/>
          <w:iCs w:val="1"/>
          <w:color w:val="auto"/>
        </w:rPr>
        <w:t>MTAP</w:t>
      </w:r>
      <w:r>
        <w:rPr>
          <w:rFonts w:ascii="Arial" w:cs="Arial" w:eastAsia="Arial" w:hAnsi="Arial"/>
          <w:sz w:val="18"/>
          <w:szCs w:val="18"/>
          <w:color w:val="auto"/>
        </w:rPr>
        <w:t xml:space="preserve"> deletion.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The synthetic lethal effect of pharmacological inhibitors of DNA repair mechanisms such as poly ADP-ribose polymerases, or PARPs, have been successfully utilized in the treatment of HRD+ cancers. HRD+ can occur as a result of genetic or epigenetic mechanisms that result in loss of genes such as breast cancer genes, or </w:t>
      </w:r>
      <w:r>
        <w:rPr>
          <w:rFonts w:ascii="Arial" w:cs="Arial" w:eastAsia="Arial" w:hAnsi="Arial"/>
          <w:sz w:val="17"/>
          <w:szCs w:val="17"/>
          <w:i w:val="1"/>
          <w:iCs w:val="1"/>
          <w:color w:val="auto"/>
        </w:rPr>
        <w:t>BRCA1</w:t>
      </w:r>
      <w:r>
        <w:rPr>
          <w:rFonts w:ascii="Arial" w:cs="Arial" w:eastAsia="Arial" w:hAnsi="Arial"/>
          <w:sz w:val="17"/>
          <w:szCs w:val="17"/>
          <w:color w:val="auto"/>
        </w:rPr>
        <w:t xml:space="preserve"> and </w:t>
      </w:r>
      <w:r>
        <w:rPr>
          <w:rFonts w:ascii="Arial" w:cs="Arial" w:eastAsia="Arial" w:hAnsi="Arial"/>
          <w:sz w:val="17"/>
          <w:szCs w:val="17"/>
          <w:i w:val="1"/>
          <w:iCs w:val="1"/>
          <w:color w:val="auto"/>
        </w:rPr>
        <w:t>BRCA2</w:t>
      </w:r>
      <w:r>
        <w:rPr>
          <w:rFonts w:ascii="Arial" w:cs="Arial" w:eastAsia="Arial" w:hAnsi="Arial"/>
          <w:sz w:val="17"/>
          <w:szCs w:val="17"/>
          <w:color w:val="auto"/>
        </w:rPr>
        <w:t>, that are required for efficient DNA repair. More recent data support the potential synthetic lethality of PRMT5 inhibition in tumors that are HRD+ due to the role of PRMT5 in DNA repair (Figure 2). PRMT5 upregulates the transcription of genes involved in HR repair to regulate the DNA damage repair response. PRMT5 inhibition has been shown preclinically to decrease expression of these genes to induce cell death, supporting the potential of PRMT5 inhibitors in HRD+ tumors.</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Figure 2. PRMT5 Inhibition in HRD+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332095" cy="26492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3209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right="120"/>
        <w:spacing w:after="0" w:line="253" w:lineRule="auto"/>
        <w:rPr>
          <w:sz w:val="20"/>
          <w:szCs w:val="20"/>
          <w:color w:val="auto"/>
        </w:rPr>
      </w:pPr>
      <w:r>
        <w:rPr>
          <w:rFonts w:ascii="Arial" w:cs="Arial" w:eastAsia="Arial" w:hAnsi="Arial"/>
          <w:sz w:val="14"/>
          <w:szCs w:val="14"/>
          <w:color w:val="auto"/>
        </w:rPr>
        <w:t xml:space="preserve">PRMT5 upregulates the expression of DNA repair genes including </w:t>
      </w:r>
      <w:r>
        <w:rPr>
          <w:rFonts w:ascii="Arial" w:cs="Arial" w:eastAsia="Arial" w:hAnsi="Arial"/>
          <w:sz w:val="14"/>
          <w:szCs w:val="14"/>
          <w:i w:val="1"/>
          <w:iCs w:val="1"/>
          <w:color w:val="auto"/>
        </w:rPr>
        <w:t>BRCA1</w:t>
      </w:r>
      <w:r>
        <w:rPr>
          <w:rFonts w:ascii="Arial" w:cs="Arial" w:eastAsia="Arial" w:hAnsi="Arial"/>
          <w:sz w:val="14"/>
          <w:szCs w:val="14"/>
          <w:color w:val="auto"/>
        </w:rPr>
        <w:t xml:space="preserve">, </w:t>
      </w:r>
      <w:r>
        <w:rPr>
          <w:rFonts w:ascii="Arial" w:cs="Arial" w:eastAsia="Arial" w:hAnsi="Arial"/>
          <w:sz w:val="14"/>
          <w:szCs w:val="14"/>
          <w:i w:val="1"/>
          <w:iCs w:val="1"/>
          <w:color w:val="auto"/>
        </w:rPr>
        <w:t>BRCA2</w:t>
      </w:r>
      <w:r>
        <w:rPr>
          <w:rFonts w:ascii="Arial" w:cs="Arial" w:eastAsia="Arial" w:hAnsi="Arial"/>
          <w:sz w:val="14"/>
          <w:szCs w:val="14"/>
          <w:color w:val="auto"/>
        </w:rPr>
        <w:t xml:space="preserve">, </w:t>
      </w:r>
      <w:r>
        <w:rPr>
          <w:rFonts w:ascii="Arial" w:cs="Arial" w:eastAsia="Arial" w:hAnsi="Arial"/>
          <w:sz w:val="14"/>
          <w:szCs w:val="14"/>
          <w:i w:val="1"/>
          <w:iCs w:val="1"/>
          <w:color w:val="auto"/>
        </w:rPr>
        <w:t>RAD51</w:t>
      </w:r>
      <w:r>
        <w:rPr>
          <w:rFonts w:ascii="Arial" w:cs="Arial" w:eastAsia="Arial" w:hAnsi="Arial"/>
          <w:sz w:val="14"/>
          <w:szCs w:val="14"/>
          <w:color w:val="auto"/>
        </w:rPr>
        <w:t xml:space="preserve">, </w:t>
      </w:r>
      <w:r>
        <w:rPr>
          <w:rFonts w:ascii="Arial" w:cs="Arial" w:eastAsia="Arial" w:hAnsi="Arial"/>
          <w:sz w:val="14"/>
          <w:szCs w:val="14"/>
          <w:i w:val="1"/>
          <w:iCs w:val="1"/>
          <w:color w:val="auto"/>
        </w:rPr>
        <w:t>RAD51D</w:t>
      </w:r>
      <w:r>
        <w:rPr>
          <w:rFonts w:ascii="Arial" w:cs="Arial" w:eastAsia="Arial" w:hAnsi="Arial"/>
          <w:sz w:val="14"/>
          <w:szCs w:val="14"/>
          <w:color w:val="auto"/>
        </w:rPr>
        <w:t xml:space="preserve"> and </w:t>
      </w:r>
      <w:r>
        <w:rPr>
          <w:rFonts w:ascii="Arial" w:cs="Arial" w:eastAsia="Arial" w:hAnsi="Arial"/>
          <w:sz w:val="14"/>
          <w:szCs w:val="14"/>
          <w:i w:val="1"/>
          <w:iCs w:val="1"/>
          <w:color w:val="auto"/>
        </w:rPr>
        <w:t>Ku80</w:t>
      </w:r>
      <w:r>
        <w:rPr>
          <w:rFonts w:ascii="Arial" w:cs="Arial" w:eastAsia="Arial" w:hAnsi="Arial"/>
          <w:sz w:val="14"/>
          <w:szCs w:val="14"/>
          <w:color w:val="auto"/>
        </w:rPr>
        <w:t>. Inhibition of PRMT5 reduces expression of these genes and prevents DNA repair, inducing a state of “</w:t>
      </w:r>
      <w:r>
        <w:rPr>
          <w:rFonts w:ascii="Arial" w:cs="Arial" w:eastAsia="Arial" w:hAnsi="Arial"/>
          <w:sz w:val="14"/>
          <w:szCs w:val="14"/>
          <w:i w:val="1"/>
          <w:iCs w:val="1"/>
          <w:color w:val="auto"/>
        </w:rPr>
        <w:t>BRCA</w:t>
      </w:r>
      <w:r>
        <w:rPr>
          <w:rFonts w:ascii="Arial" w:cs="Arial" w:eastAsia="Arial" w:hAnsi="Arial"/>
          <w:sz w:val="14"/>
          <w:szCs w:val="14"/>
          <w:color w:val="auto"/>
        </w:rPr>
        <w:t>ness” and leading to tumor cell death as well as synergy in combination with PARP inhibitors.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Together, these data support the development of PRMT5 inhibitors in select solid tumors and hematologic malignancies.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Approach to Designing Optimized PRMT5 Inhibitors</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PRMT5 has strong scientific rationale for its targeting in the treatment of cancer, as its inhibition has been shown to suppress tumor growth and produce synthetic lethality preclinically. PRMT5 contains two binding sites, a substrate and a cofactor (SAM), providing two distinct modes-of-inhibition of PRMT5 (Figure 3). We utilized X-ray crystal structures of PRMT5 to rapidly design and synthesize SAM cofactor mimetic inhibitors that are highly selective for PRMT5, distinct from a substrate competitive inhibitor approach. Given that SAM contributes the methyl group to all of the PRMT5 substrates, we believe this approach gives us an opportunity to more broadly modulate the activity of PRMT5 compared to a substrate competitive inhibitor.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Figure 3. Binding Mode of Prelude PRMT5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168910</wp:posOffset>
            </wp:positionV>
            <wp:extent cx="3566160" cy="17399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6616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We rationally designed and synthesized more than 600 compounds during the optimization of our lead product candidates to not only improve potency, but also to simultaneously build in ADME and pharmaceutical properties. These efforts led to selection of our first compound, PRT543, a novel SAM mimetic, that is designed to be a highly potent and selective PRMT5 inhibitor. In addition, to create a PRMT5 inhibitor with the potential for high brain exposure, we optimized the molecular and physicochemical properties of our SAM competitive leads using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to screen for compounds with low efflux potential followed by confirmatory brain exposure studies </w:t>
      </w:r>
      <w:r>
        <w:rPr>
          <w:rFonts w:ascii="Arial" w:cs="Arial" w:eastAsia="Arial" w:hAnsi="Arial"/>
          <w:sz w:val="17"/>
          <w:szCs w:val="17"/>
          <w:i w:val="1"/>
          <w:iCs w:val="1"/>
          <w:color w:val="auto"/>
        </w:rPr>
        <w:t>in vivo</w:t>
      </w:r>
      <w:r>
        <w:rPr>
          <w:rFonts w:ascii="Arial" w:cs="Arial" w:eastAsia="Arial" w:hAnsi="Arial"/>
          <w:sz w:val="17"/>
          <w:szCs w:val="17"/>
          <w:color w:val="auto"/>
        </w:rPr>
        <w:t>. Our second compound, PRT811, is a novel brain penetrant PRMT5 inhibitor. These molecules are differentiated by their mode of inhibition and their potency, which compare favorably to the most advanced PRMT5 inhibitor in development, GSK3326595. PRT543 and PRT811 were selected to advance into clinical development because they have well balanced properties, which we believe will lead to an increase in the probability of clinical activity.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PRT543</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are currently advancing our first clinical candidate PRT543, an oral inhibitor of PRMT5 in a Phase 1 clinical trial in advanced solid tumors and select myeloid malignancies. Upon establishing a recommended expansion dose, we plan to begin enrolling patients in the expansion portion of the Phase 1 program in select tumor types that are potentially driven by PRMT5 dysregulation. These tumor types include ACC, MF, genomically selected MDS, and genomically selected HRD+ tumors. We began patient enrollment into the solid tumor expansion portion of our ongoing Phase 1 trial during the fourth quarter of 2020 and we expect to begin patient enrollment into additional solid tumor and myeloid malignancies expansion cohorts early in 2021. We anticipate collecting clinical results for PRT543 beginning in the first half of 2021. We then plan to initiate interactions with the regulatory authorities regarding the design of pivotal trial(s) to enable potential registration of PRT543. We anticipate presenting initial clinical data from the trial at medical meetings in the second half of 2021.</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Results—Summary</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i w:val="1"/>
          <w:iCs w:val="1"/>
          <w:color w:val="auto"/>
        </w:rPr>
        <w:t>In vitro</w:t>
      </w:r>
      <w:r>
        <w:rPr>
          <w:rFonts w:ascii="Arial" w:cs="Arial" w:eastAsia="Arial" w:hAnsi="Arial"/>
          <w:sz w:val="17"/>
          <w:szCs w:val="17"/>
          <w:color w:val="auto"/>
        </w:rPr>
        <w:t>, we observed that PRT543 is potent and highly selective in biochemical assays. In cellular assays PRT543 treatment resulted in a dose-dependent reduction in symmetric dimethylation of arginine, or sDMA, levels, a direct readout of PRMT5 activity, in tumor cell lines. PRT543 inhibited the proliferation of a panel of cell lines representative of both hematologic and solid tumor types both as monotherapy and in combination with other targeted therapies. PRT543 was active in cell lines that are resistant to other targeted agents.</w:t>
      </w:r>
    </w:p>
    <w:p>
      <w:pPr>
        <w:spacing w:after="0" w:line="17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In vivo</w:t>
      </w:r>
      <w:r>
        <w:rPr>
          <w:rFonts w:ascii="Arial" w:cs="Arial" w:eastAsia="Arial" w:hAnsi="Arial"/>
          <w:sz w:val="18"/>
          <w:szCs w:val="18"/>
          <w:color w:val="auto"/>
        </w:rPr>
        <w:t>, PRT543 demonstrated high oral bioavailability (F%&gt;100% in rats; 65%, in dogs) and a long half-life (~5-10h in rats and ~20h dogs).</w:t>
      </w:r>
      <w:r>
        <w:rPr>
          <w:rFonts w:ascii="Arial" w:cs="Arial" w:eastAsia="Arial" w:hAnsi="Arial"/>
          <w:sz w:val="18"/>
          <w:szCs w:val="18"/>
          <w:i w:val="1"/>
          <w:iCs w:val="1"/>
          <w:color w:val="auto"/>
        </w:rPr>
        <w:t xml:space="preserve"> </w:t>
      </w:r>
      <w:r>
        <w:rPr>
          <w:rFonts w:ascii="Arial" w:cs="Arial" w:eastAsia="Arial" w:hAnsi="Arial"/>
          <w:sz w:val="18"/>
          <w:szCs w:val="18"/>
          <w:color w:val="auto"/>
        </w:rPr>
        <w:t>PRT543 exhibited activity in a range of xenograft and PDX models of solid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tumors and hematologic malignancies, including ACC, AML and MF. In these tumor models, PRT543 demonstrated a clear dose-response relationship between suppression of sDMA levels and tumor growth inhibition, or TGI, establishing a link between target engagement and preclinical activity. These data define the target plasma drug concentration and sDMA inhibition goals in the dose escalation portion of human clinical trials.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Vitro Potency and Selectivity</w:t>
      </w:r>
    </w:p>
    <w:p>
      <w:pPr>
        <w:spacing w:after="0" w:line="11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 xml:space="preserve">We investigated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potency of PRT543 to inhibit the methyltransferase activity of human recombinant PRMT5 by measuring its IC50. IC50 is a quantitative measure of how much of a compound is needed to inhibit a biological process by 50%. In this assay, we observed the IC50 of PRT543 to be 10.8 nM. We also investigated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selectivity of PRT543 for PRMT5 as compared to a panel of 36 other human methyltransferases. When tested at a concentration 1,000 times above its IC50 for PRMT5, we observed that PRT543 exhibited minimal inhibition of CARM1 (36.5% at 10 µM) and no inhibition of any other human methyltransferase tested.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PRT543 potently reduced sDMA levels, a direct readout of PRMT5 activity, in cells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We determined the potency of PRT543 to inhibit PRMT5 in cells by measuring levels of sDMA, a direct measure of PRMT5 activity. Tumor cell lines were treated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various concentrations of PRT543 for three days and the PRT543 IC50 value to inhibit sDMA determined. We observed that PRT543 potently and dose-dependently reduced sDMA levels in tumor cell lines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nanomolar IC50 values (Figure 4). These data demonstrate on-target effects of PRT543 in cells.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 xml:space="preserve">Figure 4. PRT543 Dose-Dependently Reduced sDMA Levels in Tumor Cell Lines </w:t>
      </w:r>
      <w:r>
        <w:rPr>
          <w:rFonts w:ascii="Arial" w:cs="Arial" w:eastAsia="Arial" w:hAnsi="Arial"/>
          <w:sz w:val="18"/>
          <w:szCs w:val="18"/>
          <w:i w:val="1"/>
          <w:iCs w:val="1"/>
          <w:u w:val="single" w:color="auto"/>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109210" cy="1603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0921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right="300"/>
        <w:spacing w:after="0" w:line="253" w:lineRule="auto"/>
        <w:rPr>
          <w:sz w:val="20"/>
          <w:szCs w:val="20"/>
          <w:color w:val="auto"/>
        </w:rPr>
      </w:pPr>
      <w:r>
        <w:rPr>
          <w:rFonts w:ascii="Arial" w:cs="Arial" w:eastAsia="Arial" w:hAnsi="Arial"/>
          <w:sz w:val="14"/>
          <w:szCs w:val="14"/>
          <w:color w:val="auto"/>
        </w:rPr>
        <w:t>Western blot demonstrating concentration-dependent reduction of symmetrically dimethylated SMD3, a known PRMT5 substrate, following 3 days of PRT543 treatment in indicated cell lines. Granta-519 is a MCL cell line and SET-2 is a JAK2 V617F mutant AML cell line.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PRT543 inhibits the proliferation of a broad panel of cell lines in vitro</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We investigated the potency of PRT543 to inhibit the proliferation of a panel of cell lines representative of both hematologic malignancies and solid tumors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Tumor cell lines were treated with various concentrations of PRT543 and the number of viable cells was measured after ten days in culture. We observed that PRT543 inhibited the growth of cell lines representative of both solid tumors and hematologic malignancies with nanomolar potencies, demonstrating its broad anti-tumor effects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(Figure 5).</w:t>
      </w:r>
    </w:p>
    <w:p>
      <w:pPr>
        <w:spacing w:after="0" w:line="18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 xml:space="preserve">We also explored whether PRT543 was active in primary cells or cell lines known to be resistant to specific targeted therapies. </w:t>
      </w:r>
      <w:r>
        <w:rPr>
          <w:rFonts w:ascii="Arial" w:cs="Arial" w:eastAsia="Arial" w:hAnsi="Arial"/>
          <w:sz w:val="16"/>
          <w:szCs w:val="16"/>
          <w:i w:val="1"/>
          <w:iCs w:val="1"/>
          <w:color w:val="auto"/>
        </w:rPr>
        <w:t>In vitro</w:t>
      </w:r>
      <w:r>
        <w:rPr>
          <w:rFonts w:ascii="Arial" w:cs="Arial" w:eastAsia="Arial" w:hAnsi="Arial"/>
          <w:sz w:val="16"/>
          <w:szCs w:val="16"/>
          <w:color w:val="auto"/>
        </w:rPr>
        <w:t>, we observed that PRT543 inhibited the growth of primary AML patient samples, including those shown to be resistant to the BCL2 inhibitor, venetoclax, or the FLT3 inhibitor, gilteritinib, two currently approved therapies for AML patients. Additionally, PRT543 demonstrated activity in a cell line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680" w:right="1900" w:hanging="2564"/>
        <w:spacing w:after="0" w:line="623" w:lineRule="auto"/>
        <w:rPr>
          <w:sz w:val="20"/>
          <w:szCs w:val="20"/>
          <w:color w:val="auto"/>
        </w:rPr>
      </w:pPr>
      <w:r>
        <w:rPr>
          <w:rFonts w:ascii="Arial" w:cs="Arial" w:eastAsia="Arial" w:hAnsi="Arial"/>
          <w:sz w:val="16"/>
          <w:szCs w:val="16"/>
          <w:color w:val="auto"/>
        </w:rPr>
        <w:t xml:space="preserve">rendered insensitive to JAK inhibitors, suggesting that PRMT5 inhibition may overcome resistance to other targeted therapies. </w:t>
      </w:r>
      <w:r>
        <w:rPr>
          <w:rFonts w:ascii="Arial" w:cs="Arial" w:eastAsia="Arial" w:hAnsi="Arial"/>
          <w:sz w:val="16"/>
          <w:szCs w:val="16"/>
          <w:u w:val="single" w:color="auto"/>
          <w:color w:val="auto"/>
        </w:rPr>
        <w:t>Figure 5: Broad Antiproliferative Activity of PRT543 in a Cancer Cell Line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-31115</wp:posOffset>
            </wp:positionV>
            <wp:extent cx="6094730" cy="15176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9473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right="120"/>
        <w:spacing w:after="0" w:line="253" w:lineRule="auto"/>
        <w:rPr>
          <w:sz w:val="20"/>
          <w:szCs w:val="20"/>
          <w:color w:val="auto"/>
        </w:rPr>
      </w:pPr>
      <w:r>
        <w:rPr>
          <w:rFonts w:ascii="Arial" w:cs="Arial" w:eastAsia="Arial" w:hAnsi="Arial"/>
          <w:sz w:val="14"/>
          <w:szCs w:val="14"/>
          <w:color w:val="auto"/>
        </w:rPr>
        <w:t>Profile of the anti-proliferative response to PRT543 in a panel of 85 cell lines following 10 days of treatment. Baseline corresponds to IC50 = 250 nM. Bars below the baseline represent cell lines where PRT543 demonstrates more potent IC50 values and bars above the baseline are less potent.</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Given the role of PRMT5 in DNA repair, we investigated the effects of PRT543 to inhibit the growth of HRD+ tumor cell lines. Two HRD+ breast cancer cell lines, MDA-MB-436 and MDA-MB-468, were treated with various concentrations of PRT543 and the number of viable cells was measured after 10 days in culture. We observed that PRT543 demonstrated potent activity in blocking the growth of these cell lines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IC50 values of 50-150 nM (Figure 6). Consistent with this, PRT543 decreased levels of expression of a number of genes involved in DNA repair, including </w:t>
      </w:r>
      <w:r>
        <w:rPr>
          <w:rFonts w:ascii="Arial" w:cs="Arial" w:eastAsia="Arial" w:hAnsi="Arial"/>
          <w:sz w:val="18"/>
          <w:szCs w:val="18"/>
          <w:i w:val="1"/>
          <w:iCs w:val="1"/>
          <w:color w:val="auto"/>
        </w:rPr>
        <w:t>BRCA1</w:t>
      </w:r>
      <w:r>
        <w:rPr>
          <w:rFonts w:ascii="Arial" w:cs="Arial" w:eastAsia="Arial" w:hAnsi="Arial"/>
          <w:sz w:val="18"/>
          <w:szCs w:val="18"/>
          <w:color w:val="auto"/>
        </w:rPr>
        <w:t xml:space="preserve">, </w:t>
      </w:r>
      <w:r>
        <w:rPr>
          <w:rFonts w:ascii="Arial" w:cs="Arial" w:eastAsia="Arial" w:hAnsi="Arial"/>
          <w:sz w:val="18"/>
          <w:szCs w:val="18"/>
          <w:i w:val="1"/>
          <w:iCs w:val="1"/>
          <w:color w:val="auto"/>
        </w:rPr>
        <w:t>BRCA2</w:t>
      </w:r>
      <w:r>
        <w:rPr>
          <w:rFonts w:ascii="Arial" w:cs="Arial" w:eastAsia="Arial" w:hAnsi="Arial"/>
          <w:sz w:val="18"/>
          <w:szCs w:val="18"/>
          <w:color w:val="auto"/>
        </w:rPr>
        <w:t>,</w:t>
      </w:r>
      <w:r>
        <w:rPr>
          <w:rFonts w:ascii="Arial" w:cs="Arial" w:eastAsia="Arial" w:hAnsi="Arial"/>
          <w:sz w:val="18"/>
          <w:szCs w:val="18"/>
          <w:i w:val="1"/>
          <w:iCs w:val="1"/>
          <w:color w:val="auto"/>
        </w:rPr>
        <w:t xml:space="preserve"> ATM </w:t>
      </w:r>
      <w:r>
        <w:rPr>
          <w:rFonts w:ascii="Arial" w:cs="Arial" w:eastAsia="Arial" w:hAnsi="Arial"/>
          <w:sz w:val="18"/>
          <w:szCs w:val="18"/>
          <w:color w:val="auto"/>
        </w:rPr>
        <w:t>and</w:t>
      </w:r>
      <w:r>
        <w:rPr>
          <w:rFonts w:ascii="Arial" w:cs="Arial" w:eastAsia="Arial" w:hAnsi="Arial"/>
          <w:sz w:val="18"/>
          <w:szCs w:val="18"/>
          <w:i w:val="1"/>
          <w:iCs w:val="1"/>
          <w:color w:val="auto"/>
        </w:rPr>
        <w:t xml:space="preserve"> ATR</w:t>
      </w:r>
      <w:r>
        <w:rPr>
          <w:rFonts w:ascii="Arial" w:cs="Arial" w:eastAsia="Arial" w:hAnsi="Arial"/>
          <w:sz w:val="18"/>
          <w:szCs w:val="18"/>
          <w:color w:val="auto"/>
        </w:rPr>
        <w:t>, and was synergistic in combination with PARP inhibitors.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Figure 6. PRT543 Inhibits the Growth of HRD+ Breast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1600835</wp:posOffset>
            </wp:positionV>
            <wp:extent cx="7715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168910</wp:posOffset>
            </wp:positionV>
            <wp:extent cx="2614295" cy="13462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1429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right="60"/>
        <w:spacing w:after="0" w:line="253" w:lineRule="auto"/>
        <w:rPr>
          <w:sz w:val="20"/>
          <w:szCs w:val="20"/>
          <w:color w:val="auto"/>
        </w:rPr>
      </w:pPr>
      <w:r>
        <w:rPr>
          <w:rFonts w:ascii="Arial" w:cs="Arial" w:eastAsia="Arial" w:hAnsi="Arial"/>
          <w:sz w:val="14"/>
          <w:szCs w:val="14"/>
          <w:color w:val="auto"/>
        </w:rPr>
        <w:t>Two HRD+ breast cancer cell lines, MDA-MB-436 and MDA-MB-468, were treated for 10 days with PRT543 and effects on cell proliferation determined. Data are plotted relative to DMSO control.</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vivo, PRT543 demonstrated a correlation between sDMA inhibition and efficacy</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In vivo</w:t>
      </w:r>
      <w:r>
        <w:rPr>
          <w:rFonts w:ascii="Arial" w:cs="Arial" w:eastAsia="Arial" w:hAnsi="Arial"/>
          <w:sz w:val="18"/>
          <w:szCs w:val="18"/>
          <w:color w:val="auto"/>
        </w:rPr>
        <w:t>, we investigated the ability of PRT543 to reduce sDMA levels in tumor tissues and in plasma in several models, including the SET2 model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AML. PRT543 doses of 5 mg/kg, 15 mg/kg or 30 mg/kg were administered orally to tumor-bearing mice, once daily, for 28 days. As shown in Figure 7, we observed that PRT543 dose-dependently reduced sDMA levels in the tumor, indicating it inhibited cellular PRMT5 activity </w:t>
      </w:r>
      <w:r>
        <w:rPr>
          <w:rFonts w:ascii="Arial" w:cs="Arial" w:eastAsia="Arial" w:hAnsi="Arial"/>
          <w:sz w:val="18"/>
          <w:szCs w:val="18"/>
          <w:i w:val="1"/>
          <w:iCs w:val="1"/>
          <w:color w:val="auto"/>
        </w:rPr>
        <w:t>in vivo</w:t>
      </w:r>
      <w:r>
        <w:rPr>
          <w:rFonts w:ascii="Arial" w:cs="Arial" w:eastAsia="Arial" w:hAnsi="Arial"/>
          <w:sz w:val="18"/>
          <w:szCs w:val="18"/>
          <w:color w:val="auto"/>
        </w:rPr>
        <w:t>. PRT543 demonstrated approximately 90% inhibition of sDMA levels in the tumor at the 30 mg/kg and 15 mg/kg once-a-day, or q.d., doses. It should be noted that at doses that result in a 90% reduction in tumor sDMA, approximately 50% reduction in plasma sDMA levels was observed, suggesting that tumor sDMA may be a more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sensitive readout. PRT543 at both dose levels demonstrated significant anti-tumor activity (Figure 7). Collectively, results from these preclinical models support targeting 50% inhibition of plasma or serum sDMA in Phase 1 dose escalation to establish a pharmacologically active dose.</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Figure 7. PRT543 PD/Efficacy Relationship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15862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line="290" w:lineRule="auto"/>
        <w:rPr>
          <w:sz w:val="20"/>
          <w:szCs w:val="20"/>
          <w:color w:val="auto"/>
        </w:rPr>
      </w:pPr>
      <w:r>
        <w:rPr>
          <w:rFonts w:ascii="Arial" w:cs="Arial" w:eastAsia="Arial" w:hAnsi="Arial"/>
          <w:sz w:val="13"/>
          <w:szCs w:val="13"/>
          <w:color w:val="auto"/>
        </w:rPr>
        <w:t xml:space="preserve">Oral administration of PRT543 leads to dose-dependent decreases in tumor sDMA and TGI in the SET-2 AML model, Western blot showing sDMA reduction in SET-2 tumor tissue collected 4 hours after the last dose, at the end of a 28-day study. Efficacy data represent mean ± SEM with 8 mice/group. * </w:t>
      </w:r>
      <w:r>
        <w:rPr>
          <w:rFonts w:ascii="Arial" w:cs="Arial" w:eastAsia="Arial" w:hAnsi="Arial"/>
          <w:sz w:val="13"/>
          <w:szCs w:val="13"/>
          <w:i w:val="1"/>
          <w:iCs w:val="1"/>
          <w:color w:val="auto"/>
        </w:rPr>
        <w:t>P</w:t>
      </w:r>
      <w:r>
        <w:rPr>
          <w:rFonts w:ascii="Arial" w:cs="Arial" w:eastAsia="Arial" w:hAnsi="Arial"/>
          <w:sz w:val="13"/>
          <w:szCs w:val="13"/>
          <w:color w:val="auto"/>
        </w:rPr>
        <w:t xml:space="preserve"> &lt; 0.05, ** </w:t>
      </w:r>
      <w:r>
        <w:rPr>
          <w:rFonts w:ascii="Arial" w:cs="Arial" w:eastAsia="Arial" w:hAnsi="Arial"/>
          <w:sz w:val="13"/>
          <w:szCs w:val="13"/>
          <w:i w:val="1"/>
          <w:iCs w:val="1"/>
          <w:color w:val="auto"/>
        </w:rPr>
        <w:t>P</w:t>
      </w:r>
      <w:r>
        <w:rPr>
          <w:rFonts w:ascii="Arial" w:cs="Arial" w:eastAsia="Arial" w:hAnsi="Arial"/>
          <w:sz w:val="13"/>
          <w:szCs w:val="13"/>
          <w:color w:val="auto"/>
        </w:rPr>
        <w:t xml:space="preserve"> &lt; 0.01 vs. vehicle by Mann-Whitney U test.</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PRT543 is active in models of ACC and MF in vivo</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i w:val="1"/>
          <w:iCs w:val="1"/>
          <w:color w:val="auto"/>
        </w:rPr>
        <w:t>In vitro</w:t>
      </w:r>
      <w:r>
        <w:rPr>
          <w:rFonts w:ascii="Arial" w:cs="Arial" w:eastAsia="Arial" w:hAnsi="Arial"/>
          <w:sz w:val="18"/>
          <w:szCs w:val="18"/>
          <w:color w:val="auto"/>
        </w:rPr>
        <w:t>, we observed that PRT543 decreased the expression of the</w:t>
      </w:r>
      <w:r>
        <w:rPr>
          <w:rFonts w:ascii="Arial" w:cs="Arial" w:eastAsia="Arial" w:hAnsi="Arial"/>
          <w:sz w:val="18"/>
          <w:szCs w:val="18"/>
          <w:i w:val="1"/>
          <w:iCs w:val="1"/>
          <w:color w:val="auto"/>
        </w:rPr>
        <w:t xml:space="preserve"> MYB </w:t>
      </w:r>
      <w:r>
        <w:rPr>
          <w:rFonts w:ascii="Arial" w:cs="Arial" w:eastAsia="Arial" w:hAnsi="Arial"/>
          <w:sz w:val="18"/>
          <w:szCs w:val="18"/>
          <w:color w:val="auto"/>
        </w:rPr>
        <w:t>oncogene as well as</w:t>
      </w:r>
      <w:r>
        <w:rPr>
          <w:rFonts w:ascii="Arial" w:cs="Arial" w:eastAsia="Arial" w:hAnsi="Arial"/>
          <w:sz w:val="18"/>
          <w:szCs w:val="18"/>
          <w:i w:val="1"/>
          <w:iCs w:val="1"/>
          <w:color w:val="auto"/>
        </w:rPr>
        <w:t xml:space="preserve"> MYB</w:t>
      </w:r>
      <w:r>
        <w:rPr>
          <w:rFonts w:ascii="Arial" w:cs="Arial" w:eastAsia="Arial" w:hAnsi="Arial"/>
          <w:sz w:val="18"/>
          <w:szCs w:val="18"/>
          <w:color w:val="auto"/>
        </w:rPr>
        <w:t>-regulated genes in head and neck cancer cell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lines. Because the activity of the MYB oncogene may be important in ACC, where approximately 90% of patients have </w:t>
      </w:r>
      <w:r>
        <w:rPr>
          <w:rFonts w:ascii="Arial" w:cs="Arial" w:eastAsia="Arial" w:hAnsi="Arial"/>
          <w:sz w:val="18"/>
          <w:szCs w:val="18"/>
          <w:i w:val="1"/>
          <w:iCs w:val="1"/>
          <w:color w:val="auto"/>
        </w:rPr>
        <w:t>MYB</w:t>
      </w:r>
      <w:r>
        <w:rPr>
          <w:rFonts w:ascii="Arial" w:cs="Arial" w:eastAsia="Arial" w:hAnsi="Arial"/>
          <w:sz w:val="18"/>
          <w:szCs w:val="18"/>
          <w:color w:val="auto"/>
        </w:rPr>
        <w:t xml:space="preserve"> alterations, we investigated whether PRT543 was active in a PDX model of ACC, ACCx9. PRT543 doses of 25 mg/kg and 35 mg/kg were administered orally to tumor-bearing mice, twice daily, for 28 days. We observed that both doses of PRT543 inhibited tumor growth in this PDX model of ACC (Figure 8). These data support the clinical development of PRT543 in ACC.</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 xml:space="preserve">Figure 8. PRT543 Demonstrated Activity in PDX Models of ACC </w:t>
      </w:r>
      <w:r>
        <w:rPr>
          <w:rFonts w:ascii="Arial" w:cs="Arial" w:eastAsia="Arial" w:hAnsi="Arial"/>
          <w:sz w:val="18"/>
          <w:szCs w:val="18"/>
          <w:i w:val="1"/>
          <w:iCs w:val="1"/>
          <w:u w:val="single" w:color="auto"/>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1840865</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168910</wp:posOffset>
            </wp:positionV>
            <wp:extent cx="2168525" cy="1585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6852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PRT543 oral administration decreased tumor growth in the ACCX9 PDX model of ACC. Data represent mean ± SEM with 8 mice/group.</w:t>
      </w:r>
    </w:p>
    <w:p>
      <w:pPr>
        <w:spacing w:after="0" w:line="20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In addition to studies in ACC models, we observed that PRT543 was active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solid tumor models representative of bladder cancer and small cell lung cancer at well-tolerated doses. PRT543 was also active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models of hematological malignancies, including AML and mantle cell lymphoma. In the Granta-519 model of mantle cell lymphoma, PRT543 demonstrated single agent activity and was synergistic in combination with the approved BCL2 inhibitor, venetoclax (Figure 9).</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60"/>
          </w:cols>
          <w:pgMar w:left="320" w:top="459"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 xml:space="preserve">Figure 9. PRT543 is Active as Monotherapy and in Combination </w:t>
      </w:r>
      <w:r>
        <w:rPr>
          <w:rFonts w:ascii="Arial" w:cs="Arial" w:eastAsia="Arial" w:hAnsi="Arial"/>
          <w:sz w:val="18"/>
          <w:szCs w:val="18"/>
          <w:i w:val="1"/>
          <w:iCs w:val="1"/>
          <w:u w:val="single" w:color="auto"/>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2049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4"/>
          <w:szCs w:val="14"/>
          <w:color w:val="auto"/>
        </w:rPr>
        <w:t xml:space="preserve">Oral administration of PRT543 led to dose-dependent TGI in the Granta-519 MCL xenograft model. Combination of PRT543 and venetoclax resulted in significant TGI at doses that did not show activity as monotherapy for both agents in the Granta-519 xenograft model. The doses tested in the combination arm of the study were 20 mg/kg QD of PRT543 and 30 mg/kg QD of venetoclax. Data represent mean ± SEM. ** </w:t>
      </w:r>
      <w:r>
        <w:rPr>
          <w:rFonts w:ascii="Arial" w:cs="Arial" w:eastAsia="Arial" w:hAnsi="Arial"/>
          <w:sz w:val="14"/>
          <w:szCs w:val="14"/>
          <w:i w:val="1"/>
          <w:iCs w:val="1"/>
          <w:color w:val="auto"/>
        </w:rPr>
        <w:t>P</w:t>
      </w:r>
      <w:r>
        <w:rPr>
          <w:rFonts w:ascii="Arial" w:cs="Arial" w:eastAsia="Arial" w:hAnsi="Arial"/>
          <w:sz w:val="14"/>
          <w:szCs w:val="14"/>
          <w:color w:val="auto"/>
        </w:rPr>
        <w:t xml:space="preserve"> &lt; 0.01 vs. Vehicle by Mann-Whitney U test.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Finally, we investigated the activity of PRT543 in a model of </w:t>
      </w:r>
      <w:r>
        <w:rPr>
          <w:rFonts w:ascii="Arial" w:cs="Arial" w:eastAsia="Arial" w:hAnsi="Arial"/>
          <w:sz w:val="18"/>
          <w:szCs w:val="18"/>
          <w:i w:val="1"/>
          <w:iCs w:val="1"/>
          <w:color w:val="auto"/>
        </w:rPr>
        <w:t>JAK2V617F</w:t>
      </w:r>
      <w:r>
        <w:rPr>
          <w:rFonts w:ascii="Arial" w:cs="Arial" w:eastAsia="Arial" w:hAnsi="Arial"/>
          <w:sz w:val="18"/>
          <w:szCs w:val="18"/>
          <w:color w:val="auto"/>
        </w:rPr>
        <w:t xml:space="preserve"> mutant myeloproliferative neoplasms, or MPN. In this model, we observed that PRT543 led to a reduction in spleen size and normalization of white blood cells and reticulocytes counts, key phenotypic effects of </w:t>
      </w:r>
      <w:r>
        <w:rPr>
          <w:rFonts w:ascii="Arial" w:cs="Arial" w:eastAsia="Arial" w:hAnsi="Arial"/>
          <w:sz w:val="18"/>
          <w:szCs w:val="18"/>
          <w:i w:val="1"/>
          <w:iCs w:val="1"/>
          <w:color w:val="auto"/>
        </w:rPr>
        <w:t>JAK2</w:t>
      </w:r>
      <w:r>
        <w:rPr>
          <w:rFonts w:ascii="Arial" w:cs="Arial" w:eastAsia="Arial" w:hAnsi="Arial"/>
          <w:sz w:val="18"/>
          <w:szCs w:val="18"/>
          <w:color w:val="auto"/>
        </w:rPr>
        <w:t xml:space="preserve"> dyrsegulation through the </w:t>
      </w:r>
      <w:r>
        <w:rPr>
          <w:rFonts w:ascii="Arial" w:cs="Arial" w:eastAsia="Arial" w:hAnsi="Arial"/>
          <w:sz w:val="18"/>
          <w:szCs w:val="18"/>
          <w:i w:val="1"/>
          <w:iCs w:val="1"/>
          <w:color w:val="auto"/>
        </w:rPr>
        <w:t>JAK2V617F</w:t>
      </w:r>
      <w:r>
        <w:rPr>
          <w:rFonts w:ascii="Arial" w:cs="Arial" w:eastAsia="Arial" w:hAnsi="Arial"/>
          <w:sz w:val="18"/>
          <w:szCs w:val="18"/>
          <w:color w:val="auto"/>
        </w:rPr>
        <w:t xml:space="preserve"> mutation, both as monotherapy and in combination with the approved JAK inhibitor, ruxolitinib. Importantly, the observed level of suppression of disease specific effects following treatment with PRT543 were similar to those achieved with the approved therapy, ruxolitinib (Figure 10).</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 xml:space="preserve">Figure 10. PRT543 Was Active in a Model of </w:t>
      </w:r>
      <w:r>
        <w:rPr>
          <w:rFonts w:ascii="Arial" w:cs="Arial" w:eastAsia="Arial" w:hAnsi="Arial"/>
          <w:sz w:val="18"/>
          <w:szCs w:val="18"/>
          <w:i w:val="1"/>
          <w:iCs w:val="1"/>
          <w:u w:val="single" w:color="auto"/>
          <w:color w:val="auto"/>
        </w:rPr>
        <w:t>JAK2V617F</w:t>
      </w:r>
      <w:r>
        <w:rPr>
          <w:rFonts w:ascii="Arial" w:cs="Arial" w:eastAsia="Arial" w:hAnsi="Arial"/>
          <w:sz w:val="18"/>
          <w:szCs w:val="18"/>
          <w:u w:val="single" w:color="auto"/>
          <w:color w:val="auto"/>
        </w:rPr>
        <w:t xml:space="preserve"> Mutant MPN.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1780540</wp:posOffset>
            </wp:positionV>
            <wp:extent cx="7715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168910</wp:posOffset>
            </wp:positionV>
            <wp:extent cx="2185670" cy="1525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8567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right="380"/>
        <w:spacing w:after="0" w:line="290" w:lineRule="auto"/>
        <w:rPr>
          <w:sz w:val="20"/>
          <w:szCs w:val="20"/>
          <w:color w:val="auto"/>
        </w:rPr>
      </w:pPr>
      <w:r>
        <w:rPr>
          <w:rFonts w:ascii="Arial" w:cs="Arial" w:eastAsia="Arial" w:hAnsi="Arial"/>
          <w:sz w:val="13"/>
          <w:szCs w:val="13"/>
          <w:color w:val="auto"/>
        </w:rPr>
        <w:t xml:space="preserve">Oral administration of PRT543 as monotherapy and in combination with ruxolitinib led to significant decrease in spleen size in the </w:t>
      </w:r>
      <w:r>
        <w:rPr>
          <w:rFonts w:ascii="Arial" w:cs="Arial" w:eastAsia="Arial" w:hAnsi="Arial"/>
          <w:sz w:val="13"/>
          <w:szCs w:val="13"/>
          <w:i w:val="1"/>
          <w:iCs w:val="1"/>
          <w:color w:val="auto"/>
        </w:rPr>
        <w:t>JAK2VF</w:t>
      </w:r>
      <w:r>
        <w:rPr>
          <w:rFonts w:ascii="Arial" w:cs="Arial" w:eastAsia="Arial" w:hAnsi="Arial"/>
          <w:sz w:val="13"/>
          <w:szCs w:val="13"/>
          <w:color w:val="auto"/>
        </w:rPr>
        <w:t xml:space="preserve"> bone marrow transplant model of MF. Data represent mean ± SEM. Dotted line indicates mean spleen weight of WT transplanted mice. * </w:t>
      </w:r>
      <w:r>
        <w:rPr>
          <w:rFonts w:ascii="Arial" w:cs="Arial" w:eastAsia="Arial" w:hAnsi="Arial"/>
          <w:sz w:val="13"/>
          <w:szCs w:val="13"/>
          <w:i w:val="1"/>
          <w:iCs w:val="1"/>
          <w:color w:val="auto"/>
        </w:rPr>
        <w:t>P</w:t>
      </w:r>
      <w:r>
        <w:rPr>
          <w:rFonts w:ascii="Arial" w:cs="Arial" w:eastAsia="Arial" w:hAnsi="Arial"/>
          <w:sz w:val="13"/>
          <w:szCs w:val="13"/>
          <w:color w:val="auto"/>
        </w:rPr>
        <w:t xml:space="preserve"> &lt; 0.05, ** </w:t>
      </w:r>
      <w:r>
        <w:rPr>
          <w:rFonts w:ascii="Arial" w:cs="Arial" w:eastAsia="Arial" w:hAnsi="Arial"/>
          <w:sz w:val="13"/>
          <w:szCs w:val="13"/>
          <w:i w:val="1"/>
          <w:iCs w:val="1"/>
          <w:color w:val="auto"/>
        </w:rPr>
        <w:t>P</w:t>
      </w:r>
      <w:r>
        <w:rPr>
          <w:rFonts w:ascii="Arial" w:cs="Arial" w:eastAsia="Arial" w:hAnsi="Arial"/>
          <w:sz w:val="13"/>
          <w:szCs w:val="13"/>
          <w:color w:val="auto"/>
        </w:rPr>
        <w:t xml:space="preserve"> &lt; 0.01, *** </w:t>
      </w:r>
      <w:r>
        <w:rPr>
          <w:rFonts w:ascii="Arial" w:cs="Arial" w:eastAsia="Arial" w:hAnsi="Arial"/>
          <w:sz w:val="13"/>
          <w:szCs w:val="13"/>
          <w:i w:val="1"/>
          <w:iCs w:val="1"/>
          <w:color w:val="auto"/>
        </w:rPr>
        <w:t>P</w:t>
      </w:r>
      <w:r>
        <w:rPr>
          <w:rFonts w:ascii="Arial" w:cs="Arial" w:eastAsia="Arial" w:hAnsi="Arial"/>
          <w:sz w:val="13"/>
          <w:szCs w:val="13"/>
          <w:color w:val="auto"/>
        </w:rPr>
        <w:t xml:space="preserve"> &lt; 0.001 vs. vehicle by Mann-Whitney U test.</w:t>
      </w:r>
    </w:p>
    <w:p>
      <w:pPr>
        <w:spacing w:after="0" w:line="156"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 xml:space="preserve">Together, these data provide strong rationale for advancing PRT543 into patients with solid tumors such as ACC and HRD+ tumors as well as myeloid malignancies including MF and MDS, and provide opportunities for patient selection (ruxolitinib failures in MF, patients with spliceosomal mutations, HRD+ tumors, </w:t>
      </w:r>
      <w:r>
        <w:rPr>
          <w:rFonts w:ascii="Arial" w:cs="Arial" w:eastAsia="Arial" w:hAnsi="Arial"/>
          <w:sz w:val="18"/>
          <w:szCs w:val="18"/>
          <w:i w:val="1"/>
          <w:iCs w:val="1"/>
          <w:color w:val="auto"/>
        </w:rPr>
        <w:t>MYB+</w:t>
      </w:r>
      <w:r>
        <w:rPr>
          <w:rFonts w:ascii="Arial" w:cs="Arial" w:eastAsia="Arial" w:hAnsi="Arial"/>
          <w:sz w:val="18"/>
          <w:szCs w:val="18"/>
          <w:color w:val="auto"/>
        </w:rPr>
        <w:t xml:space="preserve"> ACC) and combination strategies (with ruxolitinib in MF, venetoclax in MDS/AML, PARP inhibitors in HRD+ tumors).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Experience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data are reflective of a data cutoff of September 1, 2020 unless otherwise stated.</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currently enrolling a Phase 1, open-label, multicenter, dose expansion clinical trial of monotherapy PRT543 in patients with advanced solid tumors, MF or MDS. We have been encouraged by both the clinical activity and tolerability data that has been observed in 41 patients (29 with advanced solid tumors, one with NHL, nine with MF and two with MDS) that have enrolled into the dose escalation portion of the study as of our data cutoff date of September 1, 2020. We have observed early signs of clinical activity, including a confirmed CR per RECIST v1.1, in a patient with HRD+ high grade serous ovarian cancer, at the 35 mg 5x/week dose level. In addition, one MF patient at the 20 mg twice a week, or b.i.w., dose level has demonstrated a best response of clinical improvement per International Working Group, or IWG, criteria as of September 1, 2020. This patient has exceeded one year on study. A second MF patient at the 40 mg three times a week, or t.i.w., dose level demonstrated an approximately 66% reduction in TSS. Improvement in isolated symptoms and extended duration of therapy have been seen in other MF patients. The safety profile has consisted predominantly of Grade 1-2 adverse events and was similar across both solid tumor and myeloid malignancies patients. As of September 1, 2020, the dose-limiting toxicity experienced at the highest dose level evaluated in both groups has been thrombocytopenia, which in all cases has been reversible without sequalae after a one to two week drug holiday. There have been no deaths or study discontinuation attributed to PRT543. PK/PD analysis reveals dose-dependent increases in drug exposure across doses and schedules with associated decreases in serum sDMA levels. The dose escalation portion of the Phase 1 clinical trial is ongoing, with the dose expansion phase expected to initiate enrollment in the second half of 2020. While early in development and there is no guarantee of approval by the FDA or other regulatory authorities, we are encouraged by the clinical activity of PRT543.</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Trial Design and Schema</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PRT543 Phase 1 clinical trial design seeks to leverage PRT543’s broad potential therapeutic utility to rapidly generate proof-of-concept across multiple solid tumors and myeloid malignancies. Trial enrollment of patients with relapsed/refractory, or R/R, advanced solid tumors, NHL (Group A) or R/R MF or MDS (Group B) commenced in February 2019 and is being conducted at approximately 25 sites throughout the United States. This clinical trial consists of two parts, a dose escalation portion followed by dose expansion into separate tumor-specific cohorts. Enrollment into the dose expansion phase is expected to begin in the second half of 2020. Total expected enrollment is anticipated to be approximately 160 patients. The schema is shown below in Figure 11.</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Figure 11. PRT543 Clinical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168910</wp:posOffset>
            </wp:positionV>
            <wp:extent cx="4560570" cy="2888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6057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Interim and Preliminary Clinical Results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Interim and Preliminary Safety Data: Group A &amp; Group B</w:t>
      </w:r>
    </w:p>
    <w:p>
      <w:pPr>
        <w:spacing w:after="0" w:line="117"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 safety profiles of the 41 patients enrolled have been similar between Group A (solid tumor; 30 patients) and Group B (MF and MDS; 11 patients) treated at doses and schedules ranging from 5 mg b.i.w to 50 mg once a day, or q.d,. Nine patient deaths were reported, none of which were related to PRT543. There were no patients that discontinued study therapy due to an adverse event. A total of 18 SAEs have been reported amongst six patients and of those, only one event (grade 4 thrombocytopenia) in one patient was deemed related to PRT543.</w:t>
      </w:r>
    </w:p>
    <w:p>
      <w:pPr>
        <w:spacing w:after="0" w:line="171"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Adverse events were similar between patient groups with the majority of these adverse events (84.6%) being Grades 1-2. The most common adverse events were diarrhea, nausea and fatigue, ranging from 30% to 50% in both groups and were manageable with standard treatment routine amongst patients with cancer.</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Dose limiting toxicity of grade 4 thrombocytopenia has been observed in two out of three Group A patients at the 50 mg q.d. dose level and one out of six Group B patients at the 40 mg t.i.w. dose level, one of which was deemed to be a serious adverse event, or SAE. However, in all of these patients, platelets recovered to baseline levels after a one to two week drug holiday and they remained on the study and restarted at a lower dose. At the 35 mg q.d. dose level, three of the four patients have experienced grade 3 thrombocytopenia. Patients had their doses reduced and remained on study. Among the eight patients who either started or were dose reduced to the 35 mg 5x/week dose level, only one experienced any thrombocytopenia (grade 3).</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Group A (Solid Tumors)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Pharmacokinetic Data; Group A (Solid Tumors)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Preliminary PK data were available for 30 solid tumor patients administered various regimens of oral doses of PRT543 (mean values are shown in Table 2). We observed that PRT543 demonstrated rapid absorption with the Tmax generally occurring between one to three hours with dose-proportional increases in exposure. Half-life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 xml:space="preserve">values for different doses ranged from approximately 7-18 hours, consistent with the long half-life predicted by preclinical data. Exposures were generally similar between Day 1 (first dose of cycle) and Day 25 at doses up to 35 mg. However, the 50 mg q.d. dose demonstrated significant accumulation of PRT543, which was likely associated with dose-limiting exposure. The calculated weekly exposure of the 50 mg q.d. dose was &gt;2-fold higher than the 35 mg dose administered 5x/week, with a weekly AUC of 243 µM·h versus 96 µM·h. Our preliminary PK data showed plasma levels at doses of 22.5 mg and above achieved the concentrations required to inhibit PRMT5 in our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and hence support continued clinical development. We believe our optimal dose will be between 22.5 mg and 50 mg.</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Table 2. Preliminary Day 1 Pharmacokinetics in Solid Tumor Cohort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Doses and Schedules</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5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5 mg</w:t>
            </w:r>
          </w:p>
        </w:tc>
        <w:tc>
          <w:tcPr>
            <w:tcW w:w="5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10 mg</w:t>
            </w:r>
          </w:p>
        </w:tc>
        <w:tc>
          <w:tcPr>
            <w:tcW w:w="5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15 mg</w:t>
            </w:r>
          </w:p>
        </w:tc>
        <w:tc>
          <w:tcPr>
            <w:tcW w:w="6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22.5 mg</w:t>
            </w:r>
          </w:p>
        </w:tc>
        <w:tc>
          <w:tcPr>
            <w:tcW w:w="6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45 mg</w:t>
            </w:r>
          </w:p>
        </w:tc>
        <w:tc>
          <w:tcPr>
            <w:tcW w:w="6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35 mg</w:t>
            </w: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50 mg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3"/>
              </w:rPr>
              <w:t>Parameter</w:t>
            </w:r>
          </w:p>
        </w:tc>
        <w:tc>
          <w:tcPr>
            <w:tcW w:w="6060" w:type="dxa"/>
            <w:vAlign w:val="bottom"/>
            <w:vMerge w:val="restart"/>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(n=1)</w:t>
            </w: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(n=3)</w:t>
            </w: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(n=4)</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(n=4)</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(n=5)</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(n=9)*</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(n=4)</w:t>
            </w:r>
          </w:p>
        </w:tc>
        <w:tc>
          <w:tcPr>
            <w:tcW w:w="0" w:type="dxa"/>
            <w:vAlign w:val="bottom"/>
          </w:tcPr>
          <w:p>
            <w:pPr>
              <w:spacing w:after="0"/>
              <w:rPr>
                <w:sz w:val="1"/>
                <w:szCs w:val="1"/>
                <w:color w:val="auto"/>
              </w:rPr>
            </w:pPr>
          </w:p>
        </w:tc>
      </w:tr>
      <w:tr>
        <w:trPr>
          <w:trHeight w:val="148"/>
        </w:trPr>
        <w:tc>
          <w:tcPr>
            <w:tcW w:w="660" w:type="dxa"/>
            <w:vAlign w:val="bottom"/>
            <w:tcBorders>
              <w:bottom w:val="single" w:sz="8" w:color="auto"/>
            </w:tcBorders>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38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b.i.w</w:t>
            </w:r>
          </w:p>
        </w:tc>
        <w:tc>
          <w:tcPr>
            <w:tcW w:w="160" w:type="dxa"/>
            <w:vAlign w:val="bottom"/>
          </w:tcPr>
          <w:p>
            <w:pPr>
              <w:spacing w:after="0"/>
              <w:rPr>
                <w:sz w:val="12"/>
                <w:szCs w:val="12"/>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b.i.w</w:t>
            </w:r>
          </w:p>
        </w:tc>
        <w:tc>
          <w:tcPr>
            <w:tcW w:w="160" w:type="dxa"/>
            <w:vAlign w:val="bottom"/>
          </w:tcPr>
          <w:p>
            <w:pPr>
              <w:spacing w:after="0"/>
              <w:rPr>
                <w:sz w:val="12"/>
                <w:szCs w:val="12"/>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b.i.w</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b.i.w</w:t>
            </w:r>
          </w:p>
        </w:tc>
        <w:tc>
          <w:tcPr>
            <w:tcW w:w="160" w:type="dxa"/>
            <w:vAlign w:val="bottom"/>
          </w:tcPr>
          <w:p>
            <w:pPr>
              <w:spacing w:after="0"/>
              <w:rPr>
                <w:sz w:val="12"/>
                <w:szCs w:val="12"/>
                <w:color w:val="auto"/>
              </w:rPr>
            </w:pPr>
          </w:p>
        </w:tc>
        <w:tc>
          <w:tcPr>
            <w:tcW w:w="50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b.i.w.</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5x /q.d.</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q.d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Cmax (nM)</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52.3</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525</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974</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2574</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1909</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Tmax (h)</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AUC0-t (nM·h)</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4540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8060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15860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35410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15120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23200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Day 1 exposure from 35 mg, q.d. and 35mg, 5x dose levels combined. 5x means once a day, for five days, with two days off.</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Cmax means the observed maximum plasma concentration after dosing. Tmax means the time to reach the Cmax. AUC0-t means the area under the plasma concentration time curve from time 0 to the last measurable time point.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Pharmacodynamic Data: Group A (Solid Tumors)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Serum sDMA levels, a PD measurement of PRMT5 target engagement, were assessed at baseline and on Day 15 of the treatment cycle. Dose-dependent inhibition of PRMT5 as demonstrated by serum sDMA reduction was observed across groups in the solid tumor cohort. The mean reduction in sDMA level was approximately 75% at both the 35 mg q.d. and 50 mg q.d. doses, which are the highest dose groups evaluated as of September 1, 2020, demonstrating maximum inhibition of PRMT5 activity. In the other cohorts where the dosing was intermittent (b.i.w. and 5x/week doses), serum for sDMA analyses was collected at least 72 hours after the last dose of PRT543 was administered. Therefore, the extent of PRMT5 inhibition was likely underestimated due to rebound in sDMA when the compound is no longer present. In preclinical models, 50% inhibition of sDMA was associated with anti-tumor activity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Figure 12. PRT543 PD in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888990" cy="1645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8899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Serum was obtained from patients at various times following administration of PRT543 and analyzed for sDMA levels by LC/MS. The data are shown as % relative to pre-dose levels.</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Interim and Preliminary Efficacy Data: Group A (Solid Tumors/NHL)</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Thirty patients have been enrolled into Group A (solid tumors/NHL). Thirteen patients have received doses ³ 35 mg 5x/week and are response evaluable per RECIST 1.1. Of these patients, one patient demonstrated confirmed CR (HRD+ high grade serous ovarian cancer), four patients demonstrated stable disease (including an additional patient with HRD+ ovarian cancer) and four patients showed progressive disease. Seven patients remain on study, of whom four are awaiting their first response assessment. No objective responses were observed in patients that received doses below 35 mg 5x/week. Given that we are still in the dose escalation portion of a Phase 1 clinical trial in a refractory patient population, with the primary objective of evaluating safety and pharmacokinetic properties, and that a majority of patients are likely to be at subtherapeutic doses, we are encouraged by the confirmed CR in the first enrolled biomarker positive patient. The patient, diagnosed in 2014, and subsequently treated with seven prior lines of therapy for metastatic disease, including standards of care such as a PARP inhibitor, as well as experimental therapies, enrolled in the dose escalation portion of the trial at a dose/schedule of 35 mg, 5x/week. Genomic analysis demonstrated mutations in the DNA repair enzymes, </w:t>
      </w:r>
      <w:r>
        <w:rPr>
          <w:rFonts w:ascii="Arial" w:cs="Arial" w:eastAsia="Arial" w:hAnsi="Arial"/>
          <w:sz w:val="16"/>
          <w:szCs w:val="16"/>
          <w:i w:val="1"/>
          <w:iCs w:val="1"/>
          <w:color w:val="auto"/>
        </w:rPr>
        <w:t>RAD51D</w:t>
      </w:r>
      <w:r>
        <w:rPr>
          <w:rFonts w:ascii="Arial" w:cs="Arial" w:eastAsia="Arial" w:hAnsi="Arial"/>
          <w:sz w:val="16"/>
          <w:szCs w:val="16"/>
          <w:color w:val="auto"/>
        </w:rPr>
        <w:t xml:space="preserve">, </w:t>
      </w:r>
      <w:r>
        <w:rPr>
          <w:rFonts w:ascii="Arial" w:cs="Arial" w:eastAsia="Arial" w:hAnsi="Arial"/>
          <w:sz w:val="16"/>
          <w:szCs w:val="16"/>
          <w:i w:val="1"/>
          <w:iCs w:val="1"/>
          <w:color w:val="auto"/>
        </w:rPr>
        <w:t>ATR</w:t>
      </w:r>
      <w:r>
        <w:rPr>
          <w:rFonts w:ascii="Arial" w:cs="Arial" w:eastAsia="Arial" w:hAnsi="Arial"/>
          <w:sz w:val="16"/>
          <w:szCs w:val="16"/>
          <w:color w:val="auto"/>
        </w:rPr>
        <w:t xml:space="preserve">, and </w:t>
      </w:r>
      <w:r>
        <w:rPr>
          <w:rFonts w:ascii="Arial" w:cs="Arial" w:eastAsia="Arial" w:hAnsi="Arial"/>
          <w:sz w:val="16"/>
          <w:szCs w:val="16"/>
          <w:i w:val="1"/>
          <w:iCs w:val="1"/>
          <w:color w:val="auto"/>
        </w:rPr>
        <w:t>BRCA1</w:t>
      </w:r>
      <w:r>
        <w:rPr>
          <w:rFonts w:ascii="Arial" w:cs="Arial" w:eastAsia="Arial" w:hAnsi="Arial"/>
          <w:sz w:val="16"/>
          <w:szCs w:val="16"/>
          <w:color w:val="auto"/>
        </w:rPr>
        <w:t>. At baseline, the patient was noted to have one target lesion lymph node, per RECIST, measuring 19mm across the shortest axis. Baseline CA-125 tumor marker levels measured 37.8 U/mL. At the first follow up response assessment, occurring eight weeks after enrollment, the patient’s target lesion demonstrated regression to 8mm with an associated drop in CA-125 levels to 2.6 U/mL. At the second follow up scan performed 16 weeks after enrollment, the target lesion regressed in size to 5 mm, confirming the CR. CA-125 levels measured 4.6 U/mL. At the third response assessment, performed 24 weeks after enrollment, the patient’s target lesion remained at 5 mm, further supporting the durability of the CR, and CA-125 levels measured 3.3 U/mL. The patient remains on study. Images from the patient’s computer tomography scans from baseline and 8 weeks, with highlighted target lesions, are shown below in Figure 13.</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Figure 13. Baseline and 8 Week Tumor Assessment CT Scans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7227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Group B (MF and MDS)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Pharmacokinetic and Pharmacodynamic Data: Group B (MF and MDS)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As of the data cutoff, preliminary PK data were available for 11 participants in this cohort (mean values shown in Table 3). As of September 1, 2020, the PRT543 PK profiles have been similar between solid tumor and MF and MDS patients demonstrating rapid absorption and dose-proportional increases in exposure. Exposures were generally similar between Day 1 (first dose of cycle) and Day 25 (last dose of cycle). Our preliminary PK data showed plasma levels at doses of 20 mg and above that achieved the concentrations required to inhibit PRMT5 in our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and hence support continued clinical development.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Table 3. Preliminary Day 1 Pharmacokinetics in Myeloid Malignancies Cohort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Doses and Schedules</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6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5 mg</w:t>
            </w: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10 mg</w:t>
            </w:r>
          </w:p>
        </w:tc>
        <w:tc>
          <w:tcPr>
            <w:tcW w:w="8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20 mg</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40 mg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3"/>
              </w:rPr>
              <w:t>Parameter</w:t>
            </w:r>
          </w:p>
        </w:tc>
        <w:tc>
          <w:tcPr>
            <w:tcW w:w="7540" w:type="dxa"/>
            <w:vAlign w:val="bottom"/>
            <w:vMerge w:val="restart"/>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(n=1)</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(n=1)</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(n=2)</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(n=7)*</w:t>
            </w:r>
          </w:p>
        </w:tc>
        <w:tc>
          <w:tcPr>
            <w:tcW w:w="0" w:type="dxa"/>
            <w:vAlign w:val="bottom"/>
          </w:tcPr>
          <w:p>
            <w:pPr>
              <w:spacing w:after="0"/>
              <w:rPr>
                <w:sz w:val="1"/>
                <w:szCs w:val="1"/>
                <w:color w:val="auto"/>
              </w:rPr>
            </w:pPr>
          </w:p>
        </w:tc>
      </w:tr>
      <w:tr>
        <w:trPr>
          <w:trHeight w:val="148"/>
        </w:trPr>
        <w:tc>
          <w:tcPr>
            <w:tcW w:w="660" w:type="dxa"/>
            <w:vAlign w:val="bottom"/>
            <w:tcBorders>
              <w:bottom w:val="single" w:sz="8" w:color="auto"/>
            </w:tcBorders>
            <w:vMerge w:val="continue"/>
          </w:tcPr>
          <w:p>
            <w:pPr>
              <w:spacing w:after="0"/>
              <w:rPr>
                <w:sz w:val="12"/>
                <w:szCs w:val="12"/>
                <w:color w:val="auto"/>
              </w:rPr>
            </w:pPr>
          </w:p>
        </w:tc>
        <w:tc>
          <w:tcPr>
            <w:tcW w:w="7540" w:type="dxa"/>
            <w:vAlign w:val="bottom"/>
            <w:vMerge w:val="continue"/>
          </w:tcPr>
          <w:p>
            <w:pPr>
              <w:spacing w:after="0"/>
              <w:rPr>
                <w:sz w:val="12"/>
                <w:szCs w:val="12"/>
                <w:color w:val="auto"/>
              </w:rPr>
            </w:pPr>
          </w:p>
        </w:tc>
        <w:tc>
          <w:tcPr>
            <w:tcW w:w="40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b.i.w</w:t>
            </w:r>
          </w:p>
        </w:tc>
        <w:tc>
          <w:tcPr>
            <w:tcW w:w="280" w:type="dxa"/>
            <w:vAlign w:val="bottom"/>
          </w:tcPr>
          <w:p>
            <w:pPr>
              <w:spacing w:after="0"/>
              <w:rPr>
                <w:sz w:val="12"/>
                <w:szCs w:val="12"/>
                <w:color w:val="auto"/>
              </w:rPr>
            </w:pPr>
          </w:p>
        </w:tc>
        <w:tc>
          <w:tcPr>
            <w:tcW w:w="4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b.i.w</w:t>
            </w:r>
          </w:p>
        </w:tc>
        <w:tc>
          <w:tcPr>
            <w:tcW w:w="260" w:type="dxa"/>
            <w:vAlign w:val="bottom"/>
          </w:tcPr>
          <w:p>
            <w:pPr>
              <w:spacing w:after="0"/>
              <w:rPr>
                <w:sz w:val="12"/>
                <w:szCs w:val="12"/>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b.i.w</w:t>
            </w:r>
          </w:p>
        </w:tc>
        <w:tc>
          <w:tcPr>
            <w:tcW w:w="280" w:type="dxa"/>
            <w:vAlign w:val="bottom"/>
          </w:tcPr>
          <w:p>
            <w:pPr>
              <w:spacing w:after="0"/>
              <w:rPr>
                <w:sz w:val="12"/>
                <w:szCs w:val="12"/>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b.i.w/t.i.w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Cmax (nM)</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172</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486</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809</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1343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Tmax (h)</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AUC0-t (nM·h)</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1120</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6150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15750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Exposures from 40 mg, b.i.w. and t.i.w. dose levels combined.</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Similar to the data in the solid tumor cohort, dose-dependent inhibition in sDMA levels was observed in the heme cohort. A maximum inhibition of approximately 40% was observed at the 40 mg doses, but since only intermittent dosing was tested in this cohort, this reduction may be underestimated due to the sample collection 72 hours after the compound was administered.</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addition to changes in sDMA, changes in cytokine levels and other markers of inflammation were measured in the patients in this cohort. Patients with MF have been shown to demonstrate elevated levels of inflammatory markers such as C-reactive protein, serum amyloid A, interleukin-6, tumor necrosis factor, and interleukin-12. PRT543 treatment was associated with reductions in these markers.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Based on the PK and PD data, we anticipate that an additional two to three dose levels, as originally planned, will be required in order to establish a recommended expansion dose in this cohort.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Interim and Preliminary Efficacy Data: Group B (MF and MDS)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Among the 11 patients enrolled into Group B (nine MF and two MDS), all are evaluable for response assessments as per IWG criteria. One MF patient at the 20 mg b.i.w. dose level has demonstrated an objective response of clinical improvement and continues to receive therapy beyond one year to date. A second MF patient at the 40 mg t.i.w. dose level demonstrated an approximately 66% decrease in TSS. Several other MF patients have demonstrated reductions in individual symptoms, notably pruritis, night sweats and fever. Eight patients achieved a best response of SD. We are encouraged by the extended duration of therapy in two additional patients who remained on study for approximately one year.</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Update as of December 16, 2020</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of December 16, 2020, the Phase 1 clinical trial of PRT543 has currently enrolled 61 patients (42 with advanced solid tumors, one with NHL, 11 with MF and seven with MDS). The overall safety profile is unchanged from the September 1, 2020 data cutoff and consistent between both Groups A and B. The majority of drug related adverse events continue to be grade 1-2 with anemia and thrombocytopenia being the most common grade 3-4 adverse events. Thrombocytopenia is the only dose-limiting toxicity. There have been no patients that have discontinued due to adverse events. Amongst the 61 patients, 24 SAEs have been reported amongst 11 patients, with 3 individual SAEs deemed drug related. No drug-related SAEs occurred more than once throughout the study.</w:t>
      </w:r>
    </w:p>
    <w:p>
      <w:pPr>
        <w:spacing w:after="0" w:line="192"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We have initiated the ACC expansion cohort of the trial at a dose/schedule of 35mg 5x weekly with the opportunity for intra-patient dose adjustment. Additionally, we have explored both 25mg q.d. and 50mg 5x weekly doses/schedules in the escalation phase, which may enable a dose titration algorithm in expansion. Enrollment into additional solid tumor and myeloid malignancies cohorts is planned in early 2021.</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Addressable Oncology Market for PRT543</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clinical development strategy is to focus first on indications where there is a patient selection strategy along with a high unmet medical need, no approved therapies and opportunity to utilize early clinical data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design registrational trials. Based on these criteria, the following are examples of indications where we believe we have significant opportunity. In addition to the indications outlined below, we believe there may be opportunity in additional indications in patients with genomically defined tumors.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Adenoid Cystic Carcinoma (ACC)</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Adenoid cystic carcinoma is a malignant tumor of the secretory glands often presenting in the oral cavity and pharynx (e.g., salivary glands), with approximately 1,200 patients diagnosed in the United States each year and 10-15,000 patients living with this cancer in the United States. ACC is characterized by indolent, locally invasive growth with a high propensity for recurrence and distant metastasis. The disease typically follows a slow course, with five-, ten-, and 15-year survival rates after surgical resection of 77.3%, 59.6%, and 44.9%, respectively. However, once ACC becomes metastatic, the prognosis worsens and most patients ultimately die from the disease. ACC affects a relatively young patient population, with a median age at diagnosis of 50-60 years.</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vast majority of patients are initially treated with surgical resection, if possible, followed by radiation. Approximately 40-50% of patients progress to develop advanced or metastatic disease. Chemotherapy and tyrosine kinase inhibitor therapies are the most common systemic therapies for advanced/metastatic disease, yet have shown low response rates and limited durability of disease control in clinical trials. There are currently no approved therapies for the treatment of ACC.</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Homologous Recombinant Deficient Tumors (HRD+)</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 xml:space="preserve">Homologous recombination deficient positive tumors were described for the first time in cancers with germline mutations of the tumor suppressors </w:t>
      </w:r>
      <w:r>
        <w:rPr>
          <w:rFonts w:ascii="Arial" w:cs="Arial" w:eastAsia="Arial" w:hAnsi="Arial"/>
          <w:sz w:val="18"/>
          <w:szCs w:val="18"/>
          <w:i w:val="1"/>
          <w:iCs w:val="1"/>
          <w:color w:val="auto"/>
        </w:rPr>
        <w:t>BRCA1/2</w:t>
      </w:r>
      <w:r>
        <w:rPr>
          <w:rFonts w:ascii="Arial" w:cs="Arial" w:eastAsia="Arial" w:hAnsi="Arial"/>
          <w:sz w:val="18"/>
          <w:szCs w:val="18"/>
          <w:color w:val="auto"/>
        </w:rPr>
        <w:t>. Other genetic and epigenetic events can also result in inactivation of various homologous recombination repair components, leading to HRD+ in non-</w:t>
      </w:r>
      <w:r>
        <w:rPr>
          <w:rFonts w:ascii="Arial" w:cs="Arial" w:eastAsia="Arial" w:hAnsi="Arial"/>
          <w:sz w:val="18"/>
          <w:szCs w:val="18"/>
          <w:i w:val="1"/>
          <w:iCs w:val="1"/>
          <w:color w:val="auto"/>
        </w:rPr>
        <w:t>BRCA1/2</w:t>
      </w:r>
      <w:r>
        <w:rPr>
          <w:rFonts w:ascii="Arial" w:cs="Arial" w:eastAsia="Arial" w:hAnsi="Arial"/>
          <w:sz w:val="18"/>
          <w:szCs w:val="18"/>
          <w:color w:val="auto"/>
        </w:rPr>
        <w:t xml:space="preserve"> mutated cancers.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 xml:space="preserve">Germline </w:t>
      </w:r>
      <w:r>
        <w:rPr>
          <w:rFonts w:ascii="Arial" w:cs="Arial" w:eastAsia="Arial" w:hAnsi="Arial"/>
          <w:sz w:val="17"/>
          <w:szCs w:val="17"/>
          <w:i w:val="1"/>
          <w:iCs w:val="1"/>
          <w:color w:val="auto"/>
        </w:rPr>
        <w:t>BRCA1/2</w:t>
      </w:r>
      <w:r>
        <w:rPr>
          <w:rFonts w:ascii="Arial" w:cs="Arial" w:eastAsia="Arial" w:hAnsi="Arial"/>
          <w:sz w:val="17"/>
          <w:szCs w:val="17"/>
          <w:color w:val="auto"/>
        </w:rPr>
        <w:t xml:space="preserve"> mutations resulting in HRD+ occur in 13% and 15% of ovarian and triple negative breast cancers. Furthermore, 50% and 40% of ovarian and TNBC, respectively, are characterized by harboring HRD+ in the absence of germline </w:t>
      </w:r>
      <w:r>
        <w:rPr>
          <w:rFonts w:ascii="Arial" w:cs="Arial" w:eastAsia="Arial" w:hAnsi="Arial"/>
          <w:sz w:val="17"/>
          <w:szCs w:val="17"/>
          <w:i w:val="1"/>
          <w:iCs w:val="1"/>
          <w:color w:val="auto"/>
        </w:rPr>
        <w:t>BRCA1/2</w:t>
      </w:r>
      <w:r>
        <w:rPr>
          <w:rFonts w:ascii="Arial" w:cs="Arial" w:eastAsia="Arial" w:hAnsi="Arial"/>
          <w:sz w:val="17"/>
          <w:szCs w:val="17"/>
          <w:color w:val="auto"/>
        </w:rPr>
        <w:t xml:space="preserve"> mutations. Additionally, 10–12% of advanced prostate cancer harbor germline or somatic </w:t>
      </w:r>
      <w:r>
        <w:rPr>
          <w:rFonts w:ascii="Arial" w:cs="Arial" w:eastAsia="Arial" w:hAnsi="Arial"/>
          <w:sz w:val="17"/>
          <w:szCs w:val="17"/>
          <w:i w:val="1"/>
          <w:iCs w:val="1"/>
          <w:color w:val="auto"/>
        </w:rPr>
        <w:t>BRCA2</w:t>
      </w:r>
      <w:r>
        <w:rPr>
          <w:rFonts w:ascii="Arial" w:cs="Arial" w:eastAsia="Arial" w:hAnsi="Arial"/>
          <w:sz w:val="17"/>
          <w:szCs w:val="17"/>
          <w:color w:val="auto"/>
        </w:rPr>
        <w:t xml:space="preserve"> inactivation and up to 25% contain a DNA repair defect.</w:t>
      </w:r>
    </w:p>
    <w:p>
      <w:pPr>
        <w:spacing w:after="0" w:line="16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i w:val="1"/>
          <w:iCs w:val="1"/>
          <w:color w:val="auto"/>
        </w:rPr>
        <w:t>BRCA1/2</w:t>
      </w:r>
      <w:r>
        <w:rPr>
          <w:rFonts w:ascii="Arial" w:cs="Arial" w:eastAsia="Arial" w:hAnsi="Arial"/>
          <w:sz w:val="18"/>
          <w:szCs w:val="18"/>
          <w:color w:val="auto"/>
        </w:rPr>
        <w:t>-mutant cancers are sensitive to PARP inhibitors, a class of drugs that block single-strand break DNA repair, favoring accumulation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double-strand breaks that tumors harboring HRD+ cannot repair. Several PARP inhibitors have been approved for the treatment of HRD+ ovarian, breast, prostate, and pancreatic cancers and generated over $1.6 billion of revenue in 2019. There are currently no approved therapies for patients who progress on PARP inhibitors.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Myelofibrosis (MF)</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Myelofibrosis is part of a group of progressive blood cancers known as MPN. Approximately two-thirds of the 16,000-18,500 MF patients in the United States are classified as intermediate / high risk and are therefore eligible for systemic treatment. MF is associated with significantly reduced quality of life and shortened survival. As the disease progresses and the bone marrow produces fewer red blood cells, patients experience thrombocytopenia (low platelet counts) and anemia (low red blood cell counts) requiring increasing blood transfusions. Patients with MF suffer from multiple physical symptoms including splenic enlargement, excessive sweating, shortness of breath, bone pain, and fatigue. Demonstrated improvement in the Myelofibrosis Symptom Assessment Form TSS, which is comprised of six specific symptoms associated with MF (abdominal discomfort, pain under the left ribs, an early feeling of fullness, night sweats, bone and muscle pain and itching), has served as a key clinical endpoint in MF trials.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current standard of care therapy for intermediate- and high-risk MF patients is ruxolitinib, a JAK1/JAK2 inhibitor that inhibits dysregulated JAK. Ruxolitinib revenues in MF were $1.6 billion in 2019. However, patients with anemia and/or thrombocytopenia are ineligible to receive ruxolitinib. Additionally, most patients will experience disease progression on ruxolitinib within three to five years.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Myelodysplastic Syndromes (MDS)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Myelodysplastic syndromes are a group of blood disorders in which bone marrow becomes dysplastic or defective. The affected bone marrow produces aberrant blood cells, resulting in cytopenias (low healthy blood cell counts) that require transfusions. Bone marrow failure is progressive, and in advanced stages of the disease, blasts (immature blood cells) leave the bone marrow and enter the blood stream, leading to AML in approximately one-third of patients.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American Cancer Society estimates the annual incidence of MDS to be more than 10,000 cases, and studies suggest the prevalence of MDS to be more than 60,000 cases in the United States. Various risk criteria are used to stratify MDS patients, including the French-American-British classifications and the Revised International Prognostic Scoring System, with higher risk MDS patients having a median survival of less than two years. Approximately one-third of MDS patients in the United States are classified as higher risk.</w:t>
      </w:r>
    </w:p>
    <w:p>
      <w:pPr>
        <w:spacing w:after="0" w:line="18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standard of care treatment for higher risk MDS includes hypomethylating drugs azacitidine and/or decitabine. A significant number of higher risk MDS patients fail or cannot tolerate treatment with azacitidine or decitabine, and almost all patients who initially respond to therapy eventually relapse. Median survival time of MDS patients who have progressed on hypomethylating drugs is less than six months.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Uveal Melanoma (UM)</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Uveal melanoma, or UM, is the most common primary intraocular malignancy in adults and comprises 5% of all melanomas. UM is an orphan disease with an estimated annual incidence in the United States and Europe of 6 per million population per year.</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Localized treatment for UM, including radiotherapy, phototherapy, and local tumor resection, aims to preserve the eye and vision while preventing metastases. However, surgical removal of the eye can be indicated depending on the tumor size, position, and risk of metastasis. Almost 50% of patients with uveal melanoma will develop distant metastasis. The liver is the most common site of metastasis and is involved in 90% of patients who develop metastatic disease. The median survival of uveal melanoma patients with liver metastases is reported to be five to six months, with a one-year survival of 10% to 15%.</w:t>
      </w:r>
    </w:p>
    <w:p>
      <w:pPr>
        <w:spacing w:after="0" w:line="188"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While there have been numerous recent therapeutic advancements and approvals for patients with metastatic cutaneous melanoma, the situation for patients with metastatic uveal melanoma is quite different. Several targeted therapies and immunotherapies have been studied in patients with uveal melanoma; however, response rates have been low (&lt;10%) with median overall survival ranging from 4 to 15 months.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PRT811</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second PRMT5 inhibitor, PRT811 is currently advancing in the dose escalation portion of a Phase 1 clinical trial in solid tumors, including GBM and PCNSL. PRT811 is designed to be a highly potent, selective and orally bioavailable molecule optimized for high brain exposure and hence we believe is uniquely positioned to treat PRMT5-sensitive CNS cancers. Upon characterizing PK, PD and safety profile and selecting a recommended dose, we plan to begin enrolling patients, including patients with GBM and other CNS cancers determined to be sensitive to PRMT5 inhibition, in the expansion portion of the clinical trial. We expect these expansions to begin in the first half of 2021 and anticipate initial clinical results from these expansion phases by the end of 2021.</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vitro potency and selectivity</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We investigated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potency of PRT811 to inhibit the methyltransferase activity of human recombinant PRMT5 by measuring its IC50. In this assay, we observed the IC50 of PRT811 to be 3.9 nM. We also investigated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selectivity of PRT811 for PRMT5 as compared to a panel of 36 other human methyltransferases. When tested at a concentration &gt;1,000 times above its IC50 for PRMT5, we observed that PRT811 exhibited minimal inhibition of PRMT7 (53.9% at 10 µM) and no inhibition of any other human methyltransferase tested.</w:t>
      </w:r>
    </w:p>
    <w:p>
      <w:pPr>
        <w:spacing w:after="0" w:line="17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We determined the potency of PRT811 to inhibit PRMT5 in cells by measuring levels sDMA, a direct measure of PRMT5 activity. Tumor cell lines were treated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various concentrations of PRT811 for three days and the PRT811 IC50 value to inhibit sDMA determined. We observed that PRT811 potently and dose-dependently reduced sDMA levels in the U87 glioblastoma cell line with an IC50 value of 17 nM (Figure 14). The potency of PRT811 in blocking sDMA levels was confirmed in 11 additional cell lines, with IC50 values in the range of 7-40 nM. These data demonstrate on-target effects of PRT811 in cells.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Figure 14. PRT811 is Highly Selective and Demonstrated Potent Inhibition of sDMA in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1943735</wp:posOffset>
            </wp:positionV>
            <wp:extent cx="771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168910</wp:posOffset>
            </wp:positionV>
            <wp:extent cx="2288540" cy="1688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8854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Concentration-dependent inhibition of cellular sDMA by PRT811 in U-87 MG cells following three days of treatment in culture. sDMA IC50=17 ± 1 nM (n=12).</w:t>
      </w:r>
    </w:p>
    <w:p>
      <w:pPr>
        <w:spacing w:after="0" w:line="20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We investigated the potency of PRT811 to inhibit the proliferation of a panel of cell lines representative of brain cancers as well as cancers known to have a high rate of brain metastasis (breast, lung, melanoma and hematological malignancies including lymphoma). Tumor cell lines were treated with various concentrations of PRT811 and the number of viable cells was measured after ten days in culture. Consistent with its effects in blocking sDMA levels, PRT811 inhibited the growth of the majority of cell lines in the panel with nanomolar potencies, demonstrating its broad anti-tumor effects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(Figure 15).</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9"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Figure 15. Broad Antiproliferative Activity of PRT811 in a Cancer Cell Line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094730" cy="22891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94730"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right="40"/>
        <w:spacing w:after="0" w:line="253" w:lineRule="auto"/>
        <w:rPr>
          <w:sz w:val="20"/>
          <w:szCs w:val="20"/>
          <w:color w:val="auto"/>
        </w:rPr>
      </w:pPr>
      <w:r>
        <w:rPr>
          <w:rFonts w:ascii="Arial" w:cs="Arial" w:eastAsia="Arial" w:hAnsi="Arial"/>
          <w:sz w:val="14"/>
          <w:szCs w:val="14"/>
          <w:color w:val="auto"/>
        </w:rPr>
        <w:t>Waterfall plot showing anti-proliferative activity of PRT811 against a panel of 87 cell lines. Cell panel consists of brain cancer cell lines, as well as breast, lung, and melanoma cells lines, the predominant cancer types that metastasize to the brain.</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pharmacokinetic profile</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The PK profile of PRT811 was characterized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multiple preclinical species including rat, dog and monkey. PRT811 was observed to have good oral bioavailability and high permeability and was not a substrate for P-glycoprotein, or P-gp, and other efflux mechanisms that typically result in low brain exposure. These data suggest PRT811 is not likely to have high efflux out of the brain due to transporters such as P-gp, an important feature of brain penetrant compounds. Accordingly, we observed that the brain exposure of PRT811 in rats after an IV infusion was high with an approximate brain/plasma ratio of two (Table 4). Although both compounds have equivalent potency to inhibit GBM cell line U87 proliferation, the brain:plasma ratio was approximately 100x higher for PRT811 compared to the GSK PRMT5 inhibitor currently in development, providing a clear differentiation for PRT811.</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Table 4. Comparison of Cellular Potency and Brain to Plasma Ratio of PRT811 vs. GSK3326595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454775" cy="17405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54775"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120"/>
        <w:spacing w:after="0" w:line="290" w:lineRule="auto"/>
        <w:rPr>
          <w:sz w:val="20"/>
          <w:szCs w:val="20"/>
          <w:color w:val="auto"/>
        </w:rPr>
      </w:pPr>
      <w:r>
        <w:rPr>
          <w:rFonts w:ascii="Arial" w:cs="Arial" w:eastAsia="Arial" w:hAnsi="Arial"/>
          <w:sz w:val="13"/>
          <w:szCs w:val="13"/>
          <w:color w:val="auto"/>
        </w:rPr>
        <w:t xml:space="preserve">Concentration-dependent inhibition of U87 glioblastoma tumor cell proliferation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following 10 days of treatment with PRT811 or GSK3326595. Concentration (total) of PRT811 and GSK3326595 in rat plasma and brain following a 4-h IV infusion at 5 mL/h/kg. Data are expressed as mean concentration (±SD) in naïve male animals (n = 3 per time point).</w:t>
      </w:r>
    </w:p>
    <w:p>
      <w:pPr>
        <w:spacing w:after="0" w:line="15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ability of a compound to effectively achieve high brain exposures has been highlighted most recently by the significantly improved activity of brain penetrant kinase inhibitors compared to their non-brain penetrant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 xml:space="preserve">counterparts in patients with CNS cancers or with CNS metastasis. In addition, a clear role for PRMT5 inhibition in CNS cancers such as glioblastoma has been demonstrated in preclinical models. Glioblastoma has been shown to be highly dependent on correct mRNA splicing for growth and to have alterations in </w:t>
      </w:r>
      <w:r>
        <w:rPr>
          <w:rFonts w:ascii="Arial" w:cs="Arial" w:eastAsia="Arial" w:hAnsi="Arial"/>
          <w:sz w:val="18"/>
          <w:szCs w:val="18"/>
          <w:i w:val="1"/>
          <w:iCs w:val="1"/>
          <w:color w:val="auto"/>
        </w:rPr>
        <w:t>MTAP</w:t>
      </w:r>
      <w:r>
        <w:rPr>
          <w:rFonts w:ascii="Arial" w:cs="Arial" w:eastAsia="Arial" w:hAnsi="Arial"/>
          <w:sz w:val="18"/>
          <w:szCs w:val="18"/>
          <w:color w:val="auto"/>
        </w:rPr>
        <w:t xml:space="preserve"> and </w:t>
      </w:r>
      <w:r>
        <w:rPr>
          <w:rFonts w:ascii="Arial" w:cs="Arial" w:eastAsia="Arial" w:hAnsi="Arial"/>
          <w:sz w:val="18"/>
          <w:szCs w:val="18"/>
          <w:i w:val="1"/>
          <w:iCs w:val="1"/>
          <w:color w:val="auto"/>
        </w:rPr>
        <w:t>cyclin D1</w:t>
      </w:r>
      <w:r>
        <w:rPr>
          <w:rFonts w:ascii="Arial" w:cs="Arial" w:eastAsia="Arial" w:hAnsi="Arial"/>
          <w:sz w:val="18"/>
          <w:szCs w:val="18"/>
          <w:color w:val="auto"/>
        </w:rPr>
        <w:t>, all markers of enhanced sensitivity to PRMT5 inhibition. High PRMT5 expression has been shown to reduce GBM median survival from over 700 days to approximately 100 days. Together, these data provide a clear rationale for selecting PRT811 for development in CNS cancers.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PRT811 activity in models for GBM</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In vivo</w:t>
      </w:r>
      <w:r>
        <w:rPr>
          <w:rFonts w:ascii="Arial" w:cs="Arial" w:eastAsia="Arial" w:hAnsi="Arial"/>
          <w:sz w:val="17"/>
          <w:szCs w:val="17"/>
          <w:color w:val="auto"/>
        </w:rPr>
        <w:t xml:space="preserve">, we investigated the ability of PRT811 to reduce sDMA levels in tumor tissues in the U-87MG GBM xenograft tumor model. Tumor-bearing mice were dosed orally once daily for 25 days with either 20 or 30 mg/kg of PRT811. PRT811 at both dose levels demonstrated significant anti-tumor activity in the U-87MG model with 91% inhibition at the 20 mg/kg dose and 100% inhibition at the 30 mg/kg dose (Figure 16). At the 20 mg/kg dose, the plasma concentrations of PRT811 were above the protein binding adjusted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IC50 value observed in the sDMA cellular assay for approximately six hours, suggesting that continual enzyme inhibition is not required for activity in the model.</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Figure 16. PRT811 Inhibited Tumor Growth in the U-87MG Subcutaneous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2149475</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168910</wp:posOffset>
            </wp:positionV>
            <wp:extent cx="2400300" cy="18942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0030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right="440"/>
        <w:spacing w:after="0" w:line="290" w:lineRule="auto"/>
        <w:rPr>
          <w:sz w:val="20"/>
          <w:szCs w:val="20"/>
          <w:color w:val="auto"/>
        </w:rPr>
      </w:pPr>
      <w:r>
        <w:rPr>
          <w:rFonts w:ascii="Arial" w:cs="Arial" w:eastAsia="Arial" w:hAnsi="Arial"/>
          <w:sz w:val="13"/>
          <w:szCs w:val="13"/>
          <w:color w:val="auto"/>
        </w:rPr>
        <w:t xml:space="preserve">Nude rats bearing subcutaneously implanted U-87 MG tumors were dosed orally with 20 or 30 mg/kg PRT811 q.d. Significant antitumor activities were observed at both doses (tumor regression for 30 mg/kg). *: </w:t>
      </w:r>
      <w:r>
        <w:rPr>
          <w:rFonts w:ascii="Arial" w:cs="Arial" w:eastAsia="Arial" w:hAnsi="Arial"/>
          <w:sz w:val="13"/>
          <w:szCs w:val="13"/>
          <w:i w:val="1"/>
          <w:iCs w:val="1"/>
          <w:color w:val="auto"/>
        </w:rPr>
        <w:t>P</w:t>
      </w:r>
      <w:r>
        <w:rPr>
          <w:rFonts w:ascii="Arial" w:cs="Arial" w:eastAsia="Arial" w:hAnsi="Arial"/>
          <w:sz w:val="13"/>
          <w:szCs w:val="13"/>
          <w:color w:val="auto"/>
        </w:rPr>
        <w:t xml:space="preserve">&lt; 0.05; **: </w:t>
      </w:r>
      <w:r>
        <w:rPr>
          <w:rFonts w:ascii="Arial" w:cs="Arial" w:eastAsia="Arial" w:hAnsi="Arial"/>
          <w:sz w:val="13"/>
          <w:szCs w:val="13"/>
          <w:i w:val="1"/>
          <w:iCs w:val="1"/>
          <w:color w:val="auto"/>
        </w:rPr>
        <w:t>P</w:t>
      </w:r>
      <w:r>
        <w:rPr>
          <w:rFonts w:ascii="Arial" w:cs="Arial" w:eastAsia="Arial" w:hAnsi="Arial"/>
          <w:sz w:val="13"/>
          <w:szCs w:val="13"/>
          <w:color w:val="auto"/>
        </w:rPr>
        <w:t>&lt; 0.01. Student’s t test, 2 tailed. N=8/arm mg/kg, milligrams/kilogram; PO, oral; q.d., once daily; SEM, standard error of the mean.</w:t>
      </w:r>
    </w:p>
    <w:p>
      <w:pPr>
        <w:spacing w:after="0" w:line="15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Since PRT811 was shown to have brain penetration, the effects of PRT811 treatment on sDMA levels in an orthotopic U-87MG model were also assessed. In this model, the U87 glioblastoma cells were implanted directly in the brain. This model requires compound penetration into the brain in order for the compound to inhibit tumor growth. PRT811 was dosed orally once daily for seven days at 80 mg/kg and sDMA levels measured by immunohistochemistry in the brain tumor tissues. We observed that PRT811 reduced sDMA levels in brain tumor tissues by approximately 50% (Figure 17), indicating that it effectively penetrated the brain tumor tissue and inhibited cellular PRMT5 activity in the brain tumor.</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Figure 17. PRT811 Decreased sDMA Levels in the U87 Orthotopic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177790" cy="16033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7779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Mice bearing orthotopic U-87 MG tumors were treated with vehicle or PRT811 (80 mg/kg, BID) for one week. Whole brain sections (FFPE) were stained with H&amp;E or sDMA antibody.</w:t>
      </w:r>
    </w:p>
    <w:p>
      <w:pPr>
        <w:spacing w:after="0" w:line="21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In summary, PRT811 was shown to have high brain exposure, to inhibit PRMT5 activity in a brain tumor model and to demonstrate significant anti-tumor activity </w:t>
      </w:r>
      <w:r>
        <w:rPr>
          <w:rFonts w:ascii="Arial" w:cs="Arial" w:eastAsia="Arial" w:hAnsi="Arial"/>
          <w:sz w:val="18"/>
          <w:szCs w:val="18"/>
          <w:i w:val="1"/>
          <w:iCs w:val="1"/>
          <w:color w:val="auto"/>
        </w:rPr>
        <w:t>in vivo</w:t>
      </w:r>
      <w:r>
        <w:rPr>
          <w:rFonts w:ascii="Arial" w:cs="Arial" w:eastAsia="Arial" w:hAnsi="Arial"/>
          <w:sz w:val="18"/>
          <w:szCs w:val="18"/>
          <w:color w:val="auto"/>
        </w:rPr>
        <w:t>. No evidence of CNS toxicity was observed in preclinical toxicology studies. Together, these data support the exploration of PRT811 in cancers, including in GBM, PCNSL and other CNS cancers.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Experience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data are reflective of a data cutoff of September 1, 2020 unless otherwise stated.</w:t>
      </w:r>
    </w:p>
    <w:p>
      <w:pPr>
        <w:spacing w:after="0" w:line="22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Data is available from 17 patients (ten with solid tumors, six with glioma, one with diagnosis pending) from the dose escalation portion of the ongoing Phase 1 clinical trial of monotherapy PRT811. The safety profile consists predominantly of Grades 1-2 adverse events and was similar across both solid tumor and glioma patients. As of September 1, 2020, no dose limiting toxicities have been seen. PK/PD analysis reveals dose-dependent increases in drug exposure across doses and schedules with associated decreases in sDMA levels. The dose escalation portion is ongoing. The dose expansion portion of the study is expected to begin in the second half of the year.</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Trial Design and Schema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is a multicenter, open-label, dose-escalation, dose-expansion Phase 1 clinical trial of PRT811. Enrollment into the dose escalation portion of the clinical trial includes patients with R/R solid tumors, PCNSL, and /or high-grade gliomas. Enrollment initiated in November 2019 and is being conducted across seven sites in the United States. We anticipate initiating enrollment of the dose expansion portion of the clinical trial in two patient cohorts consisting of patients with GBM and R/R PCNSL, respectively, in the first half of 2021. The total expected enrollment is approximately 60 patients.</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320" w:top="459" w:right="5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Figure 18. PRT811 Clinical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168910</wp:posOffset>
            </wp:positionV>
            <wp:extent cx="4834890" cy="1602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3489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Interim and Preliminary Clinical Data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Interim and Preliminary Results: Dose Escalation</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As of September 1, 2020, the safety profile among 17 patients demonstrated that PRT811 has been well tolerated at the doses and schedule ranging from 15 mg to 200 mg (q.d. two weeks on/one week off). There were no deaths or study discontinuations related to PRT811. A total of five SAEs have been reported amongst five patients and of those, none were deemed related to PRT811.</w:t>
      </w:r>
    </w:p>
    <w:p>
      <w:pPr>
        <w:spacing w:after="0" w:line="16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most commonly reported adverse events, regardless of causality, include constipation (29.4%), nausea (23.5%), vomiting (11.8%) and hyponatremia (11.8%). When examining drug-related adverse events, nausea (17.6%) was most reported. It should be noted that the vast majority, 91.8%, of these adverse events were Grades 1-2 and adverse effects of this type and grade are routine amongst cancer patients and can be medically managed with relative ease.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dose limiting toxicities have been observed as of September 1, 2020.</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Of the 17 patients including six GBM patients evaluated as of September 1, 2020, one patient has demonstrated evidence of tumor size reduction by MRI evaluation. This patient with recurrent GBM, who was originally diagnosed and treated with surgery and chemoradiation with Temodar in July 2019, presented with progressive disease in June 2020. The patient initiated study therapy with PRT811 in July 2020 and was placed into the 200 mg (q.d. two weeks on/one week off) dose cohort. The patient’s tumor is positive for IDH1(R132H) mutation and negative for methylation of O6-methylguanine-DNA methyltransferase (MGMT) promoter. Baseline MRI scans revealed a single target lesion, per response assessment in neuro-oncology (RANO) criteria, measuring 23 mm by 10 mm. In September 2020, we were notified that at the patient’s first follow-up scan performed on week seven, the lesion measured 13 mm by 6 mm, representing a 66% decrease from baseline. T2/FLAIR (fluid-attenuated inversion recovery) sequence, measured as a standard part of GBM MRI evaluation, was stable. The patient has not been treated with steroids or Avastin and their clinical status is stable. The patient remains on study with follow-up MRI evaluations to be conducted approximately every eight weeks. Figure 18.1 below shows baseline and the first follow up MRI images of the patient’s lesion.</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320" w:top="459" w:right="5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Figure 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168910</wp:posOffset>
            </wp:positionV>
            <wp:extent cx="4046220" cy="27171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4622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Pharmacokinetic and Pharmacodynamic Data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the data cutoff, preliminary PK data were available for 17 patients administered PRT811 at one schedule (q.d. two weeks on/one week off).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Mean data are shown in Table 5.</w:t>
      </w:r>
    </w:p>
    <w:p>
      <w:pPr>
        <w:spacing w:after="0" w:line="211" w:lineRule="exact"/>
        <w:rPr>
          <w:sz w:val="20"/>
          <w:szCs w:val="20"/>
          <w:color w:val="auto"/>
        </w:rPr>
      </w:pPr>
    </w:p>
    <w:p>
      <w:pPr>
        <w:ind w:left="120" w:right="300" w:firstLine="440"/>
        <w:spacing w:after="0" w:line="254" w:lineRule="auto"/>
        <w:rPr>
          <w:sz w:val="20"/>
          <w:szCs w:val="20"/>
          <w:color w:val="auto"/>
        </w:rPr>
      </w:pPr>
      <w:r>
        <w:rPr>
          <w:rFonts w:ascii="Arial" w:cs="Arial" w:eastAsia="Arial" w:hAnsi="Arial"/>
          <w:sz w:val="18"/>
          <w:szCs w:val="18"/>
          <w:color w:val="auto"/>
        </w:rPr>
        <w:t xml:space="preserve">We observed that PRT811 demonstrated rapid absorption with dose-proportional increases in exposure. Half-life values for different doses are similar, ranging from two to four hours, as predicted by preclinical data. The maximum plasma concentration, or Cmax, at the 120 and 200 mg doses reached the estimated IC50 for PRMT5 inhibition. Consistent with the PK, the maximum sDMA inhibition observed, as an indicator of target engagement, was approximately 50% at the 120 and 200 mg dose levels. Based on the current PK and PD, two to three additional cohorts are anticipated, as originally planned, to reach the recommended expansion dose. Our preliminary PK data showed plasma levels at doses of 120 mg and above achieved the concentrations required to inhibit PRMT5 in our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and hence support continued clinical development.</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Table 5. Preliminary Day 1 PRT811 Pharmacokinetics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9"/>
              </w:rPr>
              <w:t>Doses</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3"/>
              </w:rPr>
              <w:t>Parameter</w:t>
            </w:r>
          </w:p>
        </w:tc>
        <w:tc>
          <w:tcPr>
            <w:tcW w:w="7200" w:type="dxa"/>
            <w:vAlign w:val="bottom"/>
            <w:vMerge w:val="restart"/>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15 mg</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30 mg</w:t>
            </w:r>
          </w:p>
        </w:tc>
        <w:tc>
          <w:tcPr>
            <w:tcW w:w="6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5"/>
              </w:rPr>
              <w:t>60 mg</w:t>
            </w:r>
          </w:p>
        </w:tc>
        <w:tc>
          <w:tcPr>
            <w:tcW w:w="7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3"/>
              </w:rPr>
              <w:t>120 mg</w:t>
            </w:r>
          </w:p>
        </w:tc>
        <w:tc>
          <w:tcPr>
            <w:tcW w:w="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200 mg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60" w:type="dxa"/>
            <w:vAlign w:val="bottom"/>
            <w:tcBorders>
              <w:bottom w:val="single" w:sz="8" w:color="auto"/>
            </w:tcBorders>
            <w:vMerge w:val="continue"/>
          </w:tcPr>
          <w:p>
            <w:pPr>
              <w:spacing w:after="0"/>
              <w:rPr>
                <w:sz w:val="15"/>
                <w:szCs w:val="15"/>
                <w:color w:val="auto"/>
              </w:rPr>
            </w:pPr>
          </w:p>
        </w:tc>
        <w:tc>
          <w:tcPr>
            <w:tcW w:w="7200" w:type="dxa"/>
            <w:vAlign w:val="bottom"/>
            <w:vMerge w:val="continue"/>
          </w:tcPr>
          <w:p>
            <w:pPr>
              <w:spacing w:after="0"/>
              <w:rPr>
                <w:sz w:val="15"/>
                <w:szCs w:val="15"/>
                <w:color w:val="auto"/>
              </w:rPr>
            </w:pPr>
          </w:p>
        </w:tc>
        <w:tc>
          <w:tcPr>
            <w:tcW w:w="6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(n=3)</w:t>
            </w:r>
          </w:p>
        </w:tc>
        <w:tc>
          <w:tcPr>
            <w:tcW w:w="6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(n=3)</w:t>
            </w:r>
          </w:p>
        </w:tc>
        <w:tc>
          <w:tcPr>
            <w:tcW w:w="66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(n=3)</w:t>
            </w:r>
          </w:p>
        </w:tc>
        <w:tc>
          <w:tcPr>
            <w:tcW w:w="72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(n=4)</w:t>
            </w:r>
          </w:p>
        </w:tc>
        <w:tc>
          <w:tcPr>
            <w:tcW w:w="5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(n=4)</w:t>
            </w:r>
          </w:p>
        </w:tc>
        <w:tc>
          <w:tcPr>
            <w:tcW w:w="0" w:type="dxa"/>
            <w:vAlign w:val="bottom"/>
          </w:tcPr>
          <w:p>
            <w:pPr>
              <w:spacing w:after="0"/>
              <w:rPr>
                <w:sz w:val="1"/>
                <w:szCs w:val="1"/>
                <w:color w:val="auto"/>
              </w:rPr>
            </w:pPr>
          </w:p>
        </w:tc>
      </w:tr>
      <w:tr>
        <w:trPr>
          <w:trHeight w:val="203"/>
        </w:trPr>
        <w:tc>
          <w:tcPr>
            <w:tcW w:w="7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Cmax (nM)</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246</w:t>
            </w: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530</w:t>
            </w: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Tmax (h)</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AUC0-t (nM·h)</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Update as of December 16, 2020</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December 16, 2020, the Phase 1 clinical trial of PRT811 has enrolled 24 patients (eight with GBM, and 16 with advanced solid tumors). The overall safety profile is unchanged from the September 1, 2020 data cutoff. Four patients have each experienced one SAE, none of which were attributed to study therapy. No dose limiting toxicities have been observed as of December 16, 2020. There has been one patient that has discontinued study therapy due to transient Grade 2 nausea occurring immediately after ingestion of study therapy.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300mg q.d. dose cohort is currently ongoing. We remain on track to complete the dose escalation phase in the first half of 2021 and initiate the expansion phase in cancers including GBM, PCNSL, and CNS metastatic solid tumors in the second half of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Addressable Oncology Market for PRT811</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clinical development strategy for PRT811 is to initially focus on CNS indications where there is a patient selection strategy along with a high unmet need, no approved therapies and opportunity to utilize early clinical data to design registrational trials. Based on these criteria, the following are examples of indications where we believe we have significant opportunity. Additionally, we may explore the activity of PRT811 in CNS metastatic disease, which impacts approximately 200,000 patients annually in the United States.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Glioblastoma multiforme (GBM)</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Glioblastoma multiforme is the most common malignant primary brain tumor making up 54% of all gliomas and 16% of all primary brain tumors. It is the most aggressive diffuse glioma tumor of astrocytic lineage and under WHO classification is considered a grade IV glioma. Each year, there are approximately 10,000 patients diagnosed with GBM in the United States. GBM remains an incurable tumor with a median survival of only 15 months.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Fewer than five percent of GBM patients live beyond five years.</w:t>
      </w:r>
    </w:p>
    <w:p>
      <w:pPr>
        <w:spacing w:after="0" w:line="21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GBMs can be classified into primary and secondary GBMs. Primary GBM occurs de novo without evidence of a less malignant precursor, whereas secondary GBM develops from initially low-grade diffuse astrocytoma (WHO grade II diffuse astrocytoma) or anaplastic astrocytoma (Grade III). The majority of GBMs (90%) are primary and patients with primary GBM tend to be older (mean age = 55 years) than those with secondary GBM (mean age = 40 years).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Treatment is mainly palliative, initially consisting of surgical resection followed by radiation therapy and concurrent chemotherapy. Current therapies include GLIADEL Wafers (carmustine implant), TEMODAR (temozolomide) and AVASTIN (bevacizumab), which show virtually no overall survival benefit for recurrent tumors.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Primary CNS Lymphoma (PCNSL)</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Primary central nervous system lymphoma is a type of NHL in which malignant lymphatic cells form in the brain and/or spinal cord. PCNSL can also start in the eye (ocular lymphoma) and/or can involve the cerebrospinal fluid (leptomeningeal lymphoma).</w:t>
      </w:r>
    </w:p>
    <w:p>
      <w:pPr>
        <w:spacing w:after="0" w:line="170"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PCNSL is a rare malignancy with an annual incidence rate of seven cases per 1,000,000 people in the United States. PCNSL is relatively more common in immunosuppressed populations, particularly among people with human immunodeficiency virus, or HIV, infection or in solid organ transplant recipients. The median age of diagnosis is 55; the median age of HIV-infected patients with PCNSL is 35.</w:t>
      </w:r>
    </w:p>
    <w:p>
      <w:pPr>
        <w:spacing w:after="0" w:line="16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From 1998 through 2011, survival was poor for PCNSL cases, with just 15.8% of HIV-infected cases and 28.9% of HIV-uninfected cases alive five years after diagnosis. There is no standard treatment for PCNSL, however patients often receive a combination of Rituxan (rituximab), temozolomide, and high-dose methotrexate.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MCL1 Inhibitor: PRT1419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PRT1419 is designed to be a potent and selective inhibitor of the anti-apoptotic protein, MCL1. PRT1419 has been optimized to have the PK properties to allow for either oral or IV administration, providing maximal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coverage of the target while maintaining an adequate tolerability window. We have received FDA clearance of our IND to initiate a Phase 1 clinical trial with oral formulation of PRT1419. We have begun enrolling patients into the Phase 1 clinical trial investigating oral PRT1419 in high risk MDS, AML, NHL and MM. Additionally, during the fourth quarter of 2020 we filed an IND for an IV formulation of PRT1419, which we plan to evaluate in various advanced solid tumors. We believe that the physicochemical and pharmacological properties of PRT1419 allow the optionality of administering PRT1419 by either oral or IV route. Based on our preclinical data, as well as published third-party data, we believe that hematological malignancies are particularly sensitive to MCL1 inhibitors. </w:t>
      </w:r>
      <w:r>
        <w:rPr>
          <w:rFonts w:ascii="Arial" w:cs="Arial" w:eastAsia="Arial" w:hAnsi="Arial"/>
          <w:sz w:val="16"/>
          <w:szCs w:val="16"/>
          <w:i w:val="1"/>
          <w:iCs w:val="1"/>
          <w:color w:val="auto"/>
        </w:rPr>
        <w:t>MCL1</w:t>
      </w:r>
      <w:r>
        <w:rPr>
          <w:rFonts w:ascii="Arial" w:cs="Arial" w:eastAsia="Arial" w:hAnsi="Arial"/>
          <w:sz w:val="16"/>
          <w:szCs w:val="16"/>
          <w:color w:val="auto"/>
        </w:rPr>
        <w:t xml:space="preserve"> upregulation has been noted as a mechanism of acquired resistance to venetoclax and TKIs. In addition, certain solid tumors are responsive to MCL1 inhibition, informing a potential patient selection strategy. Based on data demonstrating that </w:t>
      </w:r>
      <w:r>
        <w:rPr>
          <w:rFonts w:ascii="Arial" w:cs="Arial" w:eastAsia="Arial" w:hAnsi="Arial"/>
          <w:sz w:val="16"/>
          <w:szCs w:val="16"/>
          <w:i w:val="1"/>
          <w:iCs w:val="1"/>
          <w:color w:val="auto"/>
        </w:rPr>
        <w:t>MCL1</w:t>
      </w:r>
      <w:r>
        <w:rPr>
          <w:rFonts w:ascii="Arial" w:cs="Arial" w:eastAsia="Arial" w:hAnsi="Arial"/>
          <w:sz w:val="16"/>
          <w:szCs w:val="16"/>
          <w:color w:val="auto"/>
        </w:rPr>
        <w:t xml:space="preserve"> is a primary resistance mechanism to BCL2 inhibitors like venetoclax, a combination study with azacitidine or venetoclax in MDS/AML is planned. The combination arm is expected to initiate in 2021 after an active dose of PRT1419 as monotherapy has been identified.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The ability to evade cell death is a hallmark of cancer because it is one of the unique acquired abilities that allows malignant transformation of a normal cell. MCL1 and BCL2 are both members of a family of proteins that regulate cell survival versus cell death. Under normal circumstances, MCL1 and BCL2 exert their pro-survival function by binding to and sequestering the pro-death proteins, BAK and BAX, and prevent the activation of a downstream cascade leading to apoptosis (Figure 19). In normal cells, cellular stressors such as DNA damage disrupt this interaction and result in cell death. Cancer cells, however, frequently upregulate pro-survival proteins to prevent activation of the apoptotic pathway, thus evading death. </w:t>
      </w:r>
      <w:r>
        <w:rPr>
          <w:rFonts w:ascii="Arial" w:cs="Arial" w:eastAsia="Arial" w:hAnsi="Arial"/>
          <w:sz w:val="18"/>
          <w:szCs w:val="18"/>
          <w:i w:val="1"/>
          <w:iCs w:val="1"/>
          <w:color w:val="auto"/>
        </w:rPr>
        <w:t>MCL1</w:t>
      </w:r>
      <w:r>
        <w:rPr>
          <w:rFonts w:ascii="Arial" w:cs="Arial" w:eastAsia="Arial" w:hAnsi="Arial"/>
          <w:sz w:val="18"/>
          <w:szCs w:val="18"/>
          <w:color w:val="auto"/>
        </w:rPr>
        <w:t xml:space="preserve"> has been shown to have a critical role in promoting cancer cell survival and is frequently found to be amplified or overexpressed in both solid tumors and hematologic cancers.</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Figure 19. MCL1 Promotes Tumor Cell Survival by Inhibiting Apoptosis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391785" cy="255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9178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right="40"/>
        <w:spacing w:after="0" w:line="253" w:lineRule="auto"/>
        <w:rPr>
          <w:sz w:val="20"/>
          <w:szCs w:val="20"/>
          <w:color w:val="auto"/>
        </w:rPr>
      </w:pPr>
      <w:r>
        <w:rPr>
          <w:rFonts w:ascii="Arial" w:cs="Arial" w:eastAsia="Arial" w:hAnsi="Arial"/>
          <w:sz w:val="14"/>
          <w:szCs w:val="14"/>
          <w:color w:val="auto"/>
        </w:rPr>
        <w:t>Members of the BCL2 protein family control cell survival and cell death. MCL1, a member of the family, acts to suppress cell death and has emerged as a target for anti-cancer therapy and as a resistance mechanism to the BCL2 inhibitor, venetoclax.</w:t>
      </w:r>
    </w:p>
    <w:p>
      <w:pPr>
        <w:spacing w:after="0" w:line="17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 xml:space="preserve">Inhibition of MCL1 expression and/or function is therefore of considerable therapeutic interest in cancer. The importance of blocking the protein-protein interaction between pro-survival and pro-death proteins as a therapy to promote tumor cell death has been clinically validated with the BCL2 inhibitor, venetoclax. Venetoclax was approved in 2016 for R/R patients with CLL and in 2018 for patients with AML. </w:t>
      </w:r>
      <w:r>
        <w:rPr>
          <w:rFonts w:ascii="Arial" w:cs="Arial" w:eastAsia="Arial" w:hAnsi="Arial"/>
          <w:sz w:val="17"/>
          <w:szCs w:val="17"/>
          <w:i w:val="1"/>
          <w:iCs w:val="1"/>
          <w:color w:val="auto"/>
        </w:rPr>
        <w:t>MCL1</w:t>
      </w:r>
      <w:r>
        <w:rPr>
          <w:rFonts w:ascii="Arial" w:cs="Arial" w:eastAsia="Arial" w:hAnsi="Arial"/>
          <w:sz w:val="17"/>
          <w:szCs w:val="17"/>
          <w:color w:val="auto"/>
        </w:rPr>
        <w:t xml:space="preserve"> 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upregulated in response to BCL2 inhibition and has been implicated in mediating resistance to venetoclax, as well as to chemotherapeutic agents and other targeted therapies including TKIs. These studies have demonstrated the potentially broad clinical benefits of targeting cell survival through MCL1 inhibition in cancer.</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 xml:space="preserve">Small molecule MCL1 inhibitors have been shown to be remarkably efficacious as monotherapy in preclinical models of MM, AML and lymphoma. Treatment with these inhibitors leads to robust activation of apoptosis markers including cleaved caspase-3 and cleaved PARP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vitro</w:t>
      </w:r>
      <w:r>
        <w:rPr>
          <w:rFonts w:ascii="Arial" w:cs="Arial" w:eastAsia="Arial" w:hAnsi="Arial"/>
          <w:sz w:val="16"/>
          <w:szCs w:val="16"/>
          <w:color w:val="auto"/>
        </w:rPr>
        <w:t>. Objective clinical responses were demonstrated in a Phase 1 multiple myeloma clinical trial with AMG176, a third-party MCL1 inhibitor,</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clinical validation of the pathway. MCL1 inhibitors have also demonstrated potent synergistic activity in combination with approved standard of care therapies, including venetoclax, in preclinical models of AML. Although these inhibitors show limited efficacy as monotherapy in solid tumor models, combination with TKIs has resulted in potent anti-tumor effects in triple negative breast cancer, melanoma and non-small cell lung cancer.</w:t>
      </w:r>
    </w:p>
    <w:p>
      <w:pPr>
        <w:spacing w:after="0" w:line="16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 xml:space="preserve">Although the data on the importance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in driving tumor growth and survival are compelling, complete ablation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has been shown to result in cardiomyocyte apoptosis in mice. Mice with heterozygous deletion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resulting in a 50% reduction in MCL1 protein did not demonstrate cardiac abnormalities. These results suggest that an optimized profile for a pharmacological inhibitor of MCL1 should allow for maximal but limited duration of target engagement rather than prolonged coverage to maximize the therapeutic window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inhibition in clinical development.</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Approach to Designing Optimized MCL1 Inhibitors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used structure-based design to identify PRT1419 as an inhibitor of human MCL1 that is designed to induce tumor cell death by apoptosis. It has been optimized to have high permeability and adequate solubility to provide suitable PK that allows for oral and IV dosing. We believe these features have the potential to maximize the therapeutic window and overcome some of the limitations of current MCL1 inhibitors, as well as provide the convenience and flexibility associated with oral dosing both as monotherapy and potentially in combination with other oral therapies.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PRT1419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Vitro Potency and Selectivity</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We investigated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 of PRT1419 to inhibit the protein-protein interaction of human recombinant MCL1 with the pro-death protein, BIM, by measuring its IC50. In this assay, we observed the IC50 of PRT1419 to be 6.6 nM. We also investigated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selectivity of PRT1419 for MCL1 as compared to related family members, BCL-2 and BCLXL. We observed that PRT1419 showed &gt;200 times weaker inhibition of BCL-2 and BCLXL compared to MCL1.</w:t>
      </w:r>
    </w:p>
    <w:p>
      <w:pPr>
        <w:spacing w:after="0" w:line="18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Tumor cells undergo apoptosis in response to MCL1 inhibition. Therefore, we investigated the potency of PRT1419 to inhibit the proliferation of cell lines representing both solid tumors and hematologic malignancies. Tumor cell lines were treated with various concentrations of PRT1419 and the number of viable cells was measured after two days in culture. We observed that cell lines representing multiple myeloma, lymphomas and leukemias were particularly sensitive to PRT1419 with IC50 values in the nanomolar range.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Since most MCL1 inhibitors have been shown to be highly bound to proteins in the blood, which reduces their effective concentration, PRT1419 was tested in an assay in the presence of human whole blood and shown to retain its potency to activate markers of apoptosis. In this human whole blood assay, we observed that PRT1419 was significantly more potent (9 times) than other MCL1 inhibitors such as AMG176. Consistent with its improved potency, PRT1419 demonstrated anti-tumor activity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at lower doses than those required for activity with AMG176. These data are summarized in Table 6.</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 xml:space="preserve">Table 6. </w:t>
      </w:r>
      <w:r>
        <w:rPr>
          <w:rFonts w:ascii="Arial" w:cs="Arial" w:eastAsia="Arial" w:hAnsi="Arial"/>
          <w:sz w:val="18"/>
          <w:szCs w:val="18"/>
          <w:i w:val="1"/>
          <w:iCs w:val="1"/>
          <w:u w:val="single" w:color="auto"/>
          <w:color w:val="auto"/>
        </w:rPr>
        <w:t>In Vitro</w:t>
      </w:r>
      <w:r>
        <w:rPr>
          <w:rFonts w:ascii="Arial" w:cs="Arial" w:eastAsia="Arial" w:hAnsi="Arial"/>
          <w:sz w:val="18"/>
          <w:szCs w:val="18"/>
          <w:u w:val="single" w:color="auto"/>
          <w:color w:val="auto"/>
        </w:rPr>
        <w:t xml:space="preserve"> Properties of PRT1419 Compared to Other MCL1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786120" cy="28721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8612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4"/>
          <w:szCs w:val="14"/>
          <w:color w:val="auto"/>
        </w:rPr>
        <w:t>Inhibition of cell proliferation was determined in the OPM2 cell line. Whole blood IC50 represents the half maximal concentration required to induce markers of apoptosis in OPM2 cells cultured in human blood. Permeability was assessed in Caco-2 cells. Intrinsic clearance was determined in human hepatocytes. All competitor compounds were obtained from commercial sources.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Pharmacokinetics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preclinical assays, PRT1419 demonstrated favorable ADME and PK properties. PRT1419 had high oral bioavailability in mice and dogs, adequate solubility, high permeability, and high intrinsic clearance in human hepatocytes which taken together should favor an optimized PK profile for an oral MCL1 inhibitor in patients.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Anti-tumor Activity in Preclinical Models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In vivo</w:t>
      </w:r>
      <w:r>
        <w:rPr>
          <w:rFonts w:ascii="Arial" w:cs="Arial" w:eastAsia="Arial" w:hAnsi="Arial"/>
          <w:sz w:val="16"/>
          <w:szCs w:val="16"/>
          <w:color w:val="auto"/>
        </w:rPr>
        <w:t>, the pharmacological activity of PRT1419 to induce apoptosis in tumor tissue from the subcutaneous multiple myeloma xenograft tumor</w:t>
      </w:r>
      <w:r>
        <w:rPr>
          <w:rFonts w:ascii="Arial" w:cs="Arial" w:eastAsia="Arial" w:hAnsi="Arial"/>
          <w:sz w:val="16"/>
          <w:szCs w:val="16"/>
          <w:i w:val="1"/>
          <w:iCs w:val="1"/>
          <w:color w:val="auto"/>
        </w:rPr>
        <w:t xml:space="preserve"> </w:t>
      </w:r>
      <w:r>
        <w:rPr>
          <w:rFonts w:ascii="Arial" w:cs="Arial" w:eastAsia="Arial" w:hAnsi="Arial"/>
          <w:sz w:val="16"/>
          <w:szCs w:val="16"/>
          <w:color w:val="auto"/>
        </w:rPr>
        <w:t>model (OPM2) was evaluated. Oral administration of a single dose of PRT1419 led to a dose-dependent activation of apoptosis markers including cleaved caspase-3 and cleaved-PARP in tumor tissue. Consistent with these effects, once weekly administration of PRT1419 demonstrated potent and dose-dependent anti-tumor activity in this model (Figure 20), resulting in tumor regressions. Similar activity was also observed with once weekly dosing of PRT1419 in subcutaneous cell line derived xenograft mouse models of AML (MV4-11) and DLBCL (OCI-Ly7).</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Figure 20. Anti-Tumor Activity in Preclinical Models of Hematologic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094730" cy="1405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9473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line="253" w:lineRule="auto"/>
        <w:rPr>
          <w:sz w:val="20"/>
          <w:szCs w:val="20"/>
          <w:color w:val="auto"/>
        </w:rPr>
      </w:pPr>
      <w:r>
        <w:rPr>
          <w:rFonts w:ascii="Arial" w:cs="Arial" w:eastAsia="Arial" w:hAnsi="Arial"/>
          <w:sz w:val="14"/>
          <w:szCs w:val="14"/>
          <w:color w:val="auto"/>
        </w:rPr>
        <w:t>PRT1419 was administered orally to tumor-bearing mice (n=8 animals/group). Data represents mean ± SEM (standard error of the means), QW – once weekly, p.o – oral administration, *** P value&lt;0.001 vs. Vehicle by Mann-Whitney U test</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8"/>
          <w:szCs w:val="18"/>
          <w:i w:val="1"/>
          <w:iCs w:val="1"/>
          <w:color w:val="auto"/>
        </w:rPr>
        <w:t>MCL1</w:t>
      </w:r>
      <w:r>
        <w:rPr>
          <w:rFonts w:ascii="Arial" w:cs="Arial" w:eastAsia="Arial" w:hAnsi="Arial"/>
          <w:sz w:val="18"/>
          <w:szCs w:val="18"/>
          <w:color w:val="auto"/>
        </w:rPr>
        <w:t xml:space="preserve"> is known to be a resistance mechanism in patients treated with the BCL2 inhibitor venetoclax, PRT1419 was studied in combination with venetoclax in the MV411 model of AML. As shown in Figure 22, PRT1419 demonstrated enhanced inhibition in combination with venetoclax, resulting in tumor regression in mice.</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Figure 21. PRT1419 Demonstrates Enhanced Activity in Combination with Venetoclax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4989195" cy="24777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8919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right="460"/>
        <w:spacing w:after="0" w:line="253" w:lineRule="auto"/>
        <w:rPr>
          <w:sz w:val="20"/>
          <w:szCs w:val="20"/>
          <w:color w:val="auto"/>
        </w:rPr>
      </w:pPr>
      <w:r>
        <w:rPr>
          <w:rFonts w:ascii="Arial" w:cs="Arial" w:eastAsia="Arial" w:hAnsi="Arial"/>
          <w:sz w:val="14"/>
          <w:szCs w:val="14"/>
          <w:color w:val="auto"/>
        </w:rPr>
        <w:t>PRT1419 and venetoclax were administered orally as single agents and in combination to tumor-bearing mice (n=8/group). Data represents mean ± SEM (standard error of the means), Venetoclax was dosed at 50 mg/kg; PRT1419 was dosed at 15 mg/kg; *** P value&lt;0.001 vs. Vehicle by Mann-Whitney U test</w:t>
      </w:r>
    </w:p>
    <w:p>
      <w:pPr>
        <w:spacing w:after="0" w:line="17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 xml:space="preserve">In summary, PRT1419 demonstrated potent and selective inhibition of MCL1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that resulted in tumor regressions in preclinical models following once weekly oral dosing. PRT1419 was well-tolerated in 28-day toxicology studies in rats and dogs and showed no evidence of cardiac toxicity. Taken together, these studies support the advancement of PRT1419 into clinical trials in patients with hematologic malignancies.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Trial Design and Study Schema</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are in the process of initiating a multicenter, open-label, dose-escalation, dose-expansion Phase 1 clinical trial of PRT1419. Enrollment into the dose escalation portion of the clinical trial will be conducted across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60"/>
        <w:spacing w:after="0" w:line="279" w:lineRule="auto"/>
        <w:rPr>
          <w:sz w:val="20"/>
          <w:szCs w:val="20"/>
          <w:color w:val="auto"/>
        </w:rPr>
      </w:pPr>
      <w:r>
        <w:rPr>
          <w:rFonts w:ascii="Arial" w:cs="Arial" w:eastAsia="Arial" w:hAnsi="Arial"/>
          <w:sz w:val="17"/>
          <w:szCs w:val="17"/>
          <w:color w:val="auto"/>
        </w:rPr>
        <w:t>two groups; Group A will include patients with either R/R high risk MDS or AML. Enrollment in Group B will include patients with either R/R B Cell or T cell lymphoma or MM. The trial is being conducted across seven sites across the Unites States. Enrollment is expected to initiate in the second half of 2020. A dose expansion portion of the trial will commence after completion of the dose escalation portion of the trial and will evaluate several select patient dosed with either monotherapy PRT1419 or PRT1419 given in combination with existing standards of care.</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Figure 22. PRT1419 Clinical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168910</wp:posOffset>
            </wp:positionV>
            <wp:extent cx="4337685" cy="26149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3768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Update as of December 16, 2020</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December 16, 2020, the Phase 1 clinical trial of PRT1419 has enrolled four patients with various hematological malignancies. No adverse events above Grades 1 or 2 and no serious adverse events have been observed.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currently enrolling AML and high-risk MDS patients into the second dose escalation cohort (200mg 1x weekly).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Addressable Oncology Market for PRT1419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Acute Myeloid Leukemia (AML)</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AML is a blood cancer wherein myeloid stem cells proliferate and fail to properly differentiate into mature myeloid cells. AML is the second most common leukemia in adults, with the American Cancer Society estimating an annual incidence of nearly 20,000 patients in the United States.</w:t>
      </w:r>
    </w:p>
    <w:p>
      <w:pPr>
        <w:spacing w:after="0" w:line="14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AML is particularly difficult to treat in adults older than 60 years, who account for more than 60% of patients; thus, fewer than 29% of AML patients live beyond five years. There are significant differences in the treatment of AML based on age and fitness. For younger, fit patients current first-line AML treatment typically involves aggressive chemotherapy followed by stem cell transplantation if possible. For older, unfit patients first-line AML treatment typically involves low dose cytarabine or azacytidine, potentially in combination with VENCLEXTA (venetoclax) or other agents.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Other approved therapies for AML include MYLOTARG (gemtuzumab ozogamicin), an antibody-drug conjugate, as well as a number of targeted therapies for subsets of patients whose tumors harbor specific alterations. These include RYDAPT (midostaurin) and XOSPATA (gilteritinib) for FLT3-mutated AML, IDHIFA (enasidenib) for IDH2-mutated AML, and TIBSOVO (ivosidenib) for IDH-1 mutated AML.</w:t>
      </w:r>
    </w:p>
    <w:p>
      <w:pPr>
        <w:spacing w:after="0" w:line="16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Despite these recent advances, we believe there remains a need for a well-tolerated and effective therapy that can broadly address AML patients, especially those progressing on front-line therapies and/or venetoclax. In the registrational study for venetoclax in combination with azacitidine or decitabine, a composite complete remission, or CRc, of 67% was observed, with a response duration of 11.3 months and a median overall survival, or OS, of 17.5 months.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Non-Hodgkin Lymphoma (NHL)</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NHL is a group of blood cancers originating in either B-cells (approximately 85% of all NHL) or T-cells (approximately 15% of all NHL). The American Cancer Society estimates the incidence of NHL to be over 77,000 patients annually in the United States.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NHL is characterized into subtypes according to the natural course of disease progression. Aggressive lymphomas, which account for 60% of all NHL cases, progress rapidly. Diffuse large B-cell lymphoma, or DLBCL, is the most common of these aggressive subtypes. Indolent lymphomas, which account for 40% of all NHL cases, progress more slowly with fewer symptoms upon diagnosis. Follicular lymphoma, or FL, is the most common of these indolent subtypes.</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treatment of NHL varies by subtype and can include one of more of the following modalities: chemotherapy, immunotherapy, radiation therapy, stem cell transplantation, targeted therapy, and cell therapy, or CAR-T. Despite recent therapeutic advances and approvals, there remains a high unmet need for new NHL treatments, particularly for more aggressive subtypes and for patients who have progressed on standard therapies. For example, approximately 50% of patients with DLBCL will be refractory to or relapse on standard therapy. The prognosis for patients with DLBCL who relapse is poor, with median survival of less than one year.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Multiple Myeloma (MM)</w:t>
      </w:r>
    </w:p>
    <w:p>
      <w:pPr>
        <w:spacing w:after="0" w:line="117" w:lineRule="exact"/>
        <w:rPr>
          <w:sz w:val="20"/>
          <w:szCs w:val="20"/>
          <w:color w:val="auto"/>
        </w:rPr>
      </w:pPr>
    </w:p>
    <w:p>
      <w:pPr>
        <w:jc w:val="both"/>
        <w:ind w:left="120" w:right="240" w:firstLine="436"/>
        <w:spacing w:after="0" w:line="263" w:lineRule="auto"/>
        <w:tabs>
          <w:tab w:leader="none" w:pos="925" w:val="left"/>
        </w:tabs>
        <w:numPr>
          <w:ilvl w:val="1"/>
          <w:numId w:val="66"/>
        </w:numPr>
        <w:rPr>
          <w:rFonts w:ascii="Arial" w:cs="Arial" w:eastAsia="Arial" w:hAnsi="Arial"/>
          <w:sz w:val="18"/>
          <w:szCs w:val="18"/>
          <w:color w:val="auto"/>
        </w:rPr>
      </w:pPr>
      <w:r>
        <w:rPr>
          <w:rFonts w:ascii="Arial" w:cs="Arial" w:eastAsia="Arial" w:hAnsi="Arial"/>
          <w:sz w:val="18"/>
          <w:szCs w:val="18"/>
          <w:color w:val="auto"/>
        </w:rPr>
        <w:t>is a blood cancer originating in the bone marrow that is characterized by excess proliferation of aberrant antibody-producing plasma cells. MM is the third most common blood cancer, and the American Cancer Society estimates an incidence of over 32,000 patients annually in the United States. MM is primarily a disease of the elderly and has a five-year survival rate of 54%.</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treatment of MM depends on the aggressiveness of disease and patient fitness. For patients in good health and with active disease, first-line treatment typically involves high-dose chemotherapy followed by stem cell transplantation if possible. For patients who do not achieve a CR or who are not candidates for stem cell transplantation, systemic chemotherapy is indicated. The past two decades have seen significant advances in systemic treatment for MM, including the introduction of immunomodulatory agents, such as REVLIMID (lenalidomide); monoclonal antibodies, such as DARZALEX (daratumumab); and proteasome inhibitors, including VELCADE (bortezomib) and KYPROLIS (carfilzomib). MM therapies generated approximately $19.4 billion in world-wide sales in 2019.</w:t>
      </w:r>
    </w:p>
    <w:p>
      <w:pPr>
        <w:spacing w:after="0" w:line="192"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Despite these therapeutic advances, MM remains incurable. Patients typically receive multiple lines of therapy but ultimately progress. The median OS for patients who are refractory to both an immunomodulatory drug and proteasome inhibitor is only 13 months.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CDK9 Program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 xml:space="preserve">CDK9 has emerged as an essential regulator of cancer-promoting transcriptional programs, including those driven by </w:t>
      </w:r>
      <w:r>
        <w:rPr>
          <w:rFonts w:ascii="Arial" w:cs="Arial" w:eastAsia="Arial" w:hAnsi="Arial"/>
          <w:sz w:val="16"/>
          <w:szCs w:val="16"/>
          <w:i w:val="1"/>
          <w:iCs w:val="1"/>
          <w:color w:val="auto"/>
        </w:rPr>
        <w:t>MCL1, MYC</w:t>
      </w:r>
      <w:r>
        <w:rPr>
          <w:rFonts w:ascii="Arial" w:cs="Arial" w:eastAsia="Arial" w:hAnsi="Arial"/>
          <w:sz w:val="16"/>
          <w:szCs w:val="16"/>
          <w:color w:val="auto"/>
        </w:rPr>
        <w:t xml:space="preserve"> and </w:t>
      </w:r>
      <w:r>
        <w:rPr>
          <w:rFonts w:ascii="Arial" w:cs="Arial" w:eastAsia="Arial" w:hAnsi="Arial"/>
          <w:sz w:val="16"/>
          <w:szCs w:val="16"/>
          <w:i w:val="1"/>
          <w:iCs w:val="1"/>
          <w:color w:val="auto"/>
        </w:rPr>
        <w:t>MYB</w:t>
      </w:r>
      <w:r>
        <w:rPr>
          <w:rFonts w:ascii="Arial" w:cs="Arial" w:eastAsia="Arial" w:hAnsi="Arial"/>
          <w:sz w:val="16"/>
          <w:szCs w:val="16"/>
          <w:color w:val="auto"/>
        </w:rPr>
        <w:t>. Inhibition of CDK9 is thus an attractive therapeutic approach to produce synthetic lethality in genomically selected cancers. We have applied our internal expertise to design PRT2527 as a potent inhibitor of CDK9 that exhibits high kinome selectivity, PK properties and solubility that we believe may broaden the therapeutic window of CDK9 inhibition. PRT2527 has entered IND-enabling studies, with IND submission expected in 2021.</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Cyclin dependent kinases, or CDKs, are a family of closely related serine/threonine kinases that have demonstrated activity in multiple cancers. The first inhibitors of two of the family members, CDK4 and CDK6, gained FDA approval for HR+ metastatic breast cancer in 2015 and are now broadly used. In contrast to CDK4 and CDK6, which regulate cell cycle progression and proliferation, it is now appreciated that other members of the CDK family play important roles in regulating transcription. CDK9 specifically phosphorylates RNA polymerase II to generate mature mRNA. Given its fundamental role in transcription, CDK9 has emerged as a central node in the transcriptional addiction of cancer.</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Importantly, inhibition of CDK9 in cancer has been shown to preferentially deplete short-lived transcripts including key anti-apoptotic genes such as </w:t>
      </w:r>
      <w:r>
        <w:rPr>
          <w:rFonts w:ascii="Arial" w:cs="Arial" w:eastAsia="Arial" w:hAnsi="Arial"/>
          <w:sz w:val="18"/>
          <w:szCs w:val="18"/>
          <w:i w:val="1"/>
          <w:iCs w:val="1"/>
          <w:color w:val="auto"/>
        </w:rPr>
        <w:t>MCL1</w:t>
      </w:r>
      <w:r>
        <w:rPr>
          <w:rFonts w:ascii="Arial" w:cs="Arial" w:eastAsia="Arial" w:hAnsi="Arial"/>
          <w:sz w:val="18"/>
          <w:szCs w:val="18"/>
          <w:color w:val="auto"/>
        </w:rPr>
        <w:t xml:space="preserve"> and oncogenic transcription factors such as </w:t>
      </w:r>
      <w:r>
        <w:rPr>
          <w:rFonts w:ascii="Arial" w:cs="Arial" w:eastAsia="Arial" w:hAnsi="Arial"/>
          <w:sz w:val="18"/>
          <w:szCs w:val="18"/>
          <w:i w:val="1"/>
          <w:iCs w:val="1"/>
          <w:color w:val="auto"/>
        </w:rPr>
        <w:t>MYC</w:t>
      </w:r>
      <w:r>
        <w:rPr>
          <w:rFonts w:ascii="Arial" w:cs="Arial" w:eastAsia="Arial" w:hAnsi="Arial"/>
          <w:sz w:val="18"/>
          <w:szCs w:val="18"/>
          <w:color w:val="auto"/>
        </w:rPr>
        <w:t xml:space="preserve"> and </w:t>
      </w:r>
      <w:r>
        <w:rPr>
          <w:rFonts w:ascii="Arial" w:cs="Arial" w:eastAsia="Arial" w:hAnsi="Arial"/>
          <w:sz w:val="18"/>
          <w:szCs w:val="18"/>
          <w:i w:val="1"/>
          <w:iCs w:val="1"/>
          <w:color w:val="auto"/>
        </w:rPr>
        <w:t>MYB</w:t>
      </w:r>
      <w:r>
        <w:rPr>
          <w:rFonts w:ascii="Arial" w:cs="Arial" w:eastAsia="Arial" w:hAnsi="Arial"/>
          <w:sz w:val="18"/>
          <w:szCs w:val="18"/>
          <w:color w:val="auto"/>
        </w:rPr>
        <w:t xml:space="preserve">. Preclinical evidence demonstrates that CDK9 inhibition represses </w:t>
      </w:r>
      <w:r>
        <w:rPr>
          <w:rFonts w:ascii="Arial" w:cs="Arial" w:eastAsia="Arial" w:hAnsi="Arial"/>
          <w:sz w:val="18"/>
          <w:szCs w:val="18"/>
          <w:i w:val="1"/>
          <w:iCs w:val="1"/>
          <w:color w:val="auto"/>
        </w:rPr>
        <w:t>MCL1</w:t>
      </w:r>
      <w:r>
        <w:rPr>
          <w:rFonts w:ascii="Arial" w:cs="Arial" w:eastAsia="Arial" w:hAnsi="Arial"/>
          <w:sz w:val="18"/>
          <w:szCs w:val="18"/>
          <w:color w:val="auto"/>
        </w:rPr>
        <w:t xml:space="preserve"> and thereby overcomes resistance to the BCL2 inhibitor venetoclax. Additionally, preclinical studies suggest that CDK9 inhibition perturbs </w:t>
      </w:r>
      <w:r>
        <w:rPr>
          <w:rFonts w:ascii="Arial" w:cs="Arial" w:eastAsia="Arial" w:hAnsi="Arial"/>
          <w:sz w:val="18"/>
          <w:szCs w:val="18"/>
          <w:i w:val="1"/>
          <w:iCs w:val="1"/>
          <w:color w:val="auto"/>
        </w:rPr>
        <w:t>MYC</w:t>
      </w:r>
      <w:r>
        <w:rPr>
          <w:rFonts w:ascii="Arial" w:cs="Arial" w:eastAsia="Arial" w:hAnsi="Arial"/>
          <w:sz w:val="18"/>
          <w:szCs w:val="18"/>
          <w:color w:val="auto"/>
        </w:rPr>
        <w:t xml:space="preserve">-mediated signaling and produces synthetic lethality in nuclear protein of the testis midline carcinoma, hepatocellular carcinoma and additional solid tumors. Our patient selection strategy in clinical trials would strive to exploit these synthetic lethality relationships by identifying cancers with molecular evidence of </w:t>
      </w:r>
      <w:r>
        <w:rPr>
          <w:rFonts w:ascii="Arial" w:cs="Arial" w:eastAsia="Arial" w:hAnsi="Arial"/>
          <w:sz w:val="18"/>
          <w:szCs w:val="18"/>
          <w:i w:val="1"/>
          <w:iCs w:val="1"/>
          <w:color w:val="auto"/>
        </w:rPr>
        <w:t xml:space="preserve">MCL1 </w:t>
      </w:r>
      <w:r>
        <w:rPr>
          <w:rFonts w:ascii="Arial" w:cs="Arial" w:eastAsia="Arial" w:hAnsi="Arial"/>
          <w:sz w:val="18"/>
          <w:szCs w:val="18"/>
          <w:color w:val="auto"/>
        </w:rPr>
        <w:t>and/or</w:t>
      </w:r>
      <w:r>
        <w:rPr>
          <w:rFonts w:ascii="Arial" w:cs="Arial" w:eastAsia="Arial" w:hAnsi="Arial"/>
          <w:sz w:val="18"/>
          <w:szCs w:val="18"/>
          <w:i w:val="1"/>
          <w:iCs w:val="1"/>
          <w:color w:val="auto"/>
        </w:rPr>
        <w:t xml:space="preserve"> MYC </w:t>
      </w:r>
      <w:r>
        <w:rPr>
          <w:rFonts w:ascii="Arial" w:cs="Arial" w:eastAsia="Arial" w:hAnsi="Arial"/>
          <w:sz w:val="18"/>
          <w:szCs w:val="18"/>
          <w:color w:val="auto"/>
        </w:rPr>
        <w:t>dysregulation.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CDK9 Inhibitor: PRT2527</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Although various non-selective CDK9 inhibitors have progressed through clinical development, they have been significantly limited by narrow therapeutic windows due to adverse effects, including bone marrow suppression, nausea and GI effects. We have utilized structure-based design to identify a novel, structurally differentiated series of CDK9 inhibitors. Iterative synthesis and testing of over 600 compounds allowed the identification of PRT2527, which has improved potency and kinase selectivity compared to AZ4573, the most advanced CDK9-selective inhibitor currently in development. The PK and physical properties of PRT2527 are suitable for IV or SC dosing.</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In preclinical models, PRT2527 reduced MCL1 and MYC protein levels and was highly active in the </w:t>
      </w:r>
      <w:r>
        <w:rPr>
          <w:rFonts w:ascii="Arial" w:cs="Arial" w:eastAsia="Arial" w:hAnsi="Arial"/>
          <w:sz w:val="18"/>
          <w:szCs w:val="18"/>
          <w:i w:val="1"/>
          <w:iCs w:val="1"/>
          <w:color w:val="auto"/>
        </w:rPr>
        <w:t>MYC</w:t>
      </w:r>
      <w:r>
        <w:rPr>
          <w:rFonts w:ascii="Arial" w:cs="Arial" w:eastAsia="Arial" w:hAnsi="Arial"/>
          <w:sz w:val="18"/>
          <w:szCs w:val="18"/>
          <w:color w:val="auto"/>
        </w:rPr>
        <w:t>-amplified MV4-11 xenograft model at well-tolerated doses. Our preclinical studies suggest that PRT2527 demonstrates high selectivity and high potency, providing opportunity for a wider therapeutic index compared to less selective CDK9 inhibitors.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SMARCA2 targeted degrader program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 xml:space="preserve">SMARCA2 (also known as BRM) and its related family member, SMARCA4 (also known as BRG1), are the enzymatic subunits of the SWI/SNF complex that regulates gene expression by allowing the DNA to be accessible for transcription to mature RNA, a process known as chromatin remodeling. </w:t>
      </w:r>
      <w:r>
        <w:rPr>
          <w:rFonts w:ascii="Arial" w:cs="Arial" w:eastAsia="Arial" w:hAnsi="Arial"/>
          <w:sz w:val="16"/>
          <w:szCs w:val="16"/>
          <w:i w:val="1"/>
          <w:iCs w:val="1"/>
          <w:color w:val="auto"/>
        </w:rPr>
        <w:t>SMARCA4</w:t>
      </w:r>
      <w:r>
        <w:rPr>
          <w:rFonts w:ascii="Arial" w:cs="Arial" w:eastAsia="Arial" w:hAnsi="Arial"/>
          <w:sz w:val="16"/>
          <w:szCs w:val="16"/>
          <w:color w:val="auto"/>
        </w:rPr>
        <w:t xml:space="preserve"> is mutated in multiple cancers, including 10-12% of NSCLC, resulting in loss of SMARCA4 protein. Because the activity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 xml:space="preserve">either SMARCA2 or SMARCA4 is required for chromatin remodeling to occur, the </w:t>
      </w:r>
      <w:r>
        <w:rPr>
          <w:rFonts w:ascii="Arial" w:cs="Arial" w:eastAsia="Arial" w:hAnsi="Arial"/>
          <w:sz w:val="18"/>
          <w:szCs w:val="18"/>
          <w:i w:val="1"/>
          <w:iCs w:val="1"/>
          <w:color w:val="auto"/>
        </w:rPr>
        <w:t>SMARCA4</w:t>
      </w:r>
      <w:r>
        <w:rPr>
          <w:rFonts w:ascii="Arial" w:cs="Arial" w:eastAsia="Arial" w:hAnsi="Arial"/>
          <w:sz w:val="18"/>
          <w:szCs w:val="18"/>
          <w:color w:val="auto"/>
        </w:rPr>
        <w:t xml:space="preserve">-deficient cancer cells become highly dependent on SMARCA2 for their survival. Therefore, we believe targeting SMARCA2 in </w:t>
      </w:r>
      <w:r>
        <w:rPr>
          <w:rFonts w:ascii="Arial" w:cs="Arial" w:eastAsia="Arial" w:hAnsi="Arial"/>
          <w:sz w:val="18"/>
          <w:szCs w:val="18"/>
          <w:i w:val="1"/>
          <w:iCs w:val="1"/>
          <w:color w:val="auto"/>
        </w:rPr>
        <w:t>SMARCA4</w:t>
      </w:r>
      <w:r>
        <w:rPr>
          <w:rFonts w:ascii="Arial" w:cs="Arial" w:eastAsia="Arial" w:hAnsi="Arial"/>
          <w:sz w:val="18"/>
          <w:szCs w:val="18"/>
          <w:color w:val="auto"/>
        </w:rPr>
        <w:t xml:space="preserve">-deficient cancers will produce a strong synthetic lethality, resulting in </w:t>
      </w:r>
      <w:r>
        <w:rPr>
          <w:rFonts w:ascii="Arial" w:cs="Arial" w:eastAsia="Arial" w:hAnsi="Arial"/>
          <w:sz w:val="18"/>
          <w:szCs w:val="18"/>
          <w:i w:val="1"/>
          <w:iCs w:val="1"/>
          <w:color w:val="auto"/>
        </w:rPr>
        <w:t>SMARCA4</w:t>
      </w:r>
      <w:r>
        <w:rPr>
          <w:rFonts w:ascii="Arial" w:cs="Arial" w:eastAsia="Arial" w:hAnsi="Arial"/>
          <w:sz w:val="18"/>
          <w:szCs w:val="18"/>
          <w:color w:val="auto"/>
        </w:rPr>
        <w:t xml:space="preserve"> mutant tumor cell death while sparing normal cells that express SMARCA4 protein.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SMARCA2 Degrader Program</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Due to the high homology between SMARCA2 and SMARCA4, there are few structural differences in the binding sites between the two proteins and thus selective SMARCA2 degradation has been a challenge for medicinal chemistry. Targeted protein degradation is a relatively new approach to degrade oncogenic proteins and has been shown to provide selective degradation of highly homologous proteins. A molecule capable of targeting a protein for degradation (degrader) typically contains a binding element to a targeted protein of interest (SMARCA2), a chemical linker and an E3 ligase binding element which allows for the formation of a ternary complex between the target, the degrader and the E3 ligase that induces ubiquitination and subsequent degradation of the targeted protein. Selectivity can be achieved, not only by the selective binding to the target (SMARCA2), but also through the optimization of the unique ternary complexes formed by the target (SMARCA2) versus its homologous protein (SMARCA4).</w:t>
      </w:r>
    </w:p>
    <w:p>
      <w:pPr>
        <w:spacing w:after="0" w:line="16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We used structure-based drug design to identify a novel series of potent SMARCA2 degraders that are outside the typical drug-like chemical space, being significantly larger and structurally more complex. Extensive structure activity relationships generated by the iterative synthesis and testing of &gt;250 compounds as of the date of this prospectus has allowed the identification of specific structural motifs that provide &gt;20-fold selectivity for SMARCA2 degradation over SMARCA4 while maintaining potent SMARCA2 degradation, DC50 &lt; 10 nM. DC50 is a quantitative measure of how much of a compound is needed to inhibit the degradation of a protein by 50%. We have designed our SMARCA2 degraders to be potent and selective to specifically inhibit </w:t>
      </w:r>
      <w:r>
        <w:rPr>
          <w:rFonts w:ascii="Arial" w:cs="Arial" w:eastAsia="Arial" w:hAnsi="Arial"/>
          <w:sz w:val="16"/>
          <w:szCs w:val="16"/>
          <w:i w:val="1"/>
          <w:iCs w:val="1"/>
          <w:color w:val="auto"/>
        </w:rPr>
        <w:t>SMARCA4-</w:t>
      </w:r>
      <w:r>
        <w:rPr>
          <w:rFonts w:ascii="Arial" w:cs="Arial" w:eastAsia="Arial" w:hAnsi="Arial"/>
          <w:sz w:val="16"/>
          <w:szCs w:val="16"/>
          <w:color w:val="auto"/>
        </w:rPr>
        <w:t>deficient human NSCLC cell lines and primary patient derived samples. Optimization of the PK and physical properties suitable for oral, IV or SC dosing is on-going with the goal of initiating IND-enabling studies in 2021.</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Kinase Program in Solid Tumors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evaluating a kinase that has been shown in preclinical studies to be an oncogenic driver in cancer. Genomic alterations in this kinase have been identified in multiple tumor types and these tumors are sensitive inhibitors of this kinase in preclinical models. Current inhibitors of this kinase in development lack optimal PK and biodistribution properties. Our goal is to identify novel, potent, selective, oral inhibitors of this kinase that have an optimized PK profile for clinical development in patients with solid tumors. Optimization of our lead kinase inhibitor, PRT-K4, is ongoing with the goal of initiating IND-enabling studies in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strive to protect the proprietary technologies that we believe are important to our business, including seeking and maintaining patent protection intended to cover the compositions of matter of our product candidates, their methods of use, related technology, and other inventions that are important to our business.</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valid and enforceable patents and other proprietary rights of third parties. We also rely on know-how and continuing technological innovation to develop, strengthen, and maintain our proprietary position in the field of precision oncology.</w:t>
      </w:r>
    </w:p>
    <w:p>
      <w:pPr>
        <w:spacing w:after="0" w:line="17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more fully described below, our patent portfolio includes patent families with claims directed to compositions of matter for, and methods of using, compounds PRT543, PRT811 PRT1419, PRT2527,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compounds that degrade SMARCA2. A U.S. patent directed to PRT543 has issued and is expected to expire no earlier than August 9, 2038. In addition, a U.S. patent directed to PRT811 has issued and is expected to expire no earlier than March 14, 2039.</w:t>
      </w:r>
    </w:p>
    <w:p>
      <w:pPr>
        <w:spacing w:after="0" w:line="170"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addition to our filings in the United States, we own patent applications that are pending in Australia, Brazil, Canada, China, Eurasia, Europe, Israel, Hong Kong, India, Japan, Korea, Mexico, New Zealand, Ukraine, and South Africa. Included in these applications are claims directed to the PRT543 composition and methods of using the same therapeutically. The patents from these applications, if issued, are expected to expire in August 2038, subject to any disclaimers or extensions.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portfolios for our most advanced programs are summarized below.</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PRT543</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PRT543 patent portfolio is wholly owned by us. The portfolio includes one issued U.S. patent, which claims, among other things, PRT543, pharmaceutical compositions comprising PRT543, methods of inhibiting PRMT5 using PRT543, and methods of treating certain cancers, including breast and ovarian cancers, using PRT543. This U.S. patent is expected to expire no earlier than August 9, 2038, subject to any disclaimers or extensions available under the Hatch-Waxman Act. Corresponding patent applications are pending in several other countries and regions, including Australia, Brazil, Canada, China, Eurasia, Europe, Hong Kong, Israel, India, Japan, Korea, Mexico, New Zealand, Ukraine, and South Africa. Any patents resulting from these patent applications, if issued, are also expected to expire no earlier than August 9, 2038, subject to any disclaimers or extensions.</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PRT543 patent portfolio also includes three pending U.S. and two pending PCT patent applications, which claim, among other things, a genus of compounds that encompass PRT543, PRT543 salts and crystalline forms, methods of preparing PRT543, and additional methods of treatment using PRT543. Any U.S. patents issuing from these applications would be expected to expire no earlier than August 9, 2038, February 13, 2040, April 3, 2040, and December 10, 2041 respectively, subject to any disclaimers or extensions.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PRT811</w:t>
      </w:r>
    </w:p>
    <w:p>
      <w:pPr>
        <w:spacing w:after="0" w:line="11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Our PRT811 patent portfolio is wholly owned by us. The portfolio includes one issued U.S. patent, which claims, among other things, PRT811, pharmaceutical compositions comprising PRT811, methods of inhibiting PRMT5 using PRT811, and methods of treating certain cancers, including glioblastoma, using PRT811. The patent is expected to expire no earlier than March 14, 2039, subject to any disclaimers or extensions available under the Hatch-Waxman Act. A related PCT application was filed, and corresponding national phase applications were filed in Australia, Brazil, Canada, China, Eurasia, Europe, India, Israel, Japan, Korea, Mexico, New Zealand, Ukraine and South Africa. Any patents resulting from these national patent applications, if issued, are expected to expire no earlier than March 14, 2039, subject to any disclaimers or extensions.</w:t>
      </w:r>
    </w:p>
    <w:p>
      <w:pPr>
        <w:spacing w:after="0" w:line="164"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PRT811 patent portfolio also includes two pending U.S. non-provisional applications, a first PCT application that claims compositions of matter, and a second PCT application that claims methods of treatment. Any patents issuing from the two pending U.S. non-provisional applications would be expected to expire in 2039, and any patents issuing from the two PCT applications would be expected to expire in 2040, subject to any disclaimers or extensions.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PRT1419</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PRT1419 patent portfolio, which is wholly owned by us, includes pending U.S. patent applications claiming, among other things, PRT1419 and other compounds, pharmaceutical compositions comprising PRT1419, and methods of using PRT1419. Any patents issued from this application would be expected to expire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no earlier than November 8, 2039, subject to any disclaimers or extensions. A related PCT application was filed and national patent applications based on that application are planned for filing in non-U.S. countries in May and June 2021. Any patents resulting from these national patent applications, if issued, would expire no earlier than November 8, 2039, subject to any disclaimers or extensions.</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PRT1419 patent portfolio also includes a pending U.S. provisional application that claims additional compositions of matter. Any patents granted that claim priority to this provisional application could expire as late as 2041.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PRT2527</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PRT2527 patent portfolio, which is wholly owned by us, includes one U.S. non-provisional patent application and one PCT application claiming, among other things, PRT2527 and other compounds, pharmaceutical compositions comprising PRT2527, and methods of using PRT2527. Any patents that issue based upon these U.S. non-provisional and PCT applications would be expected to expire no earlier than 2040, subject to any disclaimers or extensions.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SMARCA2 Degraders</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SMARCA2 degrader patent portfolio includes one pending non-provisional U.S. application, one PCT application, and two U.S. provisional applications which claim, among other things, genera of compounds that encompass SMARCA2 and/or related inhibitors, pharmaceutical compositions comprising those inhibitors, and methods of treating cancer with those inhibitors.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addition, we have patent portfolios that are directed to a number of different compounds other than PRT543, PRT811, PRT1419, PRT2527, and SMARCA2 degraders. We have patent applications directed to compounds that target resistance mechanisms in cancer. We expect to maintain some of these applications in the United States and to also file in foreign countries. In addition to the applications described above, we wholly-own 11 applications including U.S. provisional patent applications, U.S. non-provisional patent applications, foreign applications, and PCT applications, covering compositions and methods of making and using those compounds to treat cancer and other diseases.</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the countries in which we file, the patent term is 20 years from the earliest non-provisional filing date, subject to any disclaimers or extensions. The term of a patent in the United States can be adjusted due to any failure of the United States Patent and Trademark Office following certain statutory and regulation deadlines for issuing a patent.</w:t>
      </w:r>
    </w:p>
    <w:p>
      <w:pPr>
        <w:spacing w:after="0" w:line="18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the United States, the patent term of a patent that covers an FDA-approved drug may also be eligible for patent term extension, which permits patent term restoration as compensation for a portion of the patent term lost during the FDA regulatory review process. The Hatch-Waxman Act permits a patent term extension of up to five years beyond the original expiration of the patent. The protection provided by a patent varies from country to country, and is dependent on the type of patent granted, the scope of the patent claims, and the legal remedies available in a given country.</w:t>
      </w:r>
    </w:p>
    <w:p>
      <w:pPr>
        <w:spacing w:after="0" w:line="15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Obtaining patent protection is not the only method that we employ to protect our proprietary rights. We also utilize other forms of intellectual property protection, including trademark, copyright, and trade secrets, when those other forms are better suited to protect a particular aspect of our intellectual property. Our belief is that our proprietary rights are strengthened by our comprehensive approach to intellectual property protection. It is our policy to require our employees, consultants, outside scientific collaborators, sponsored researchers and other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do not own or operate, and currently have no plans to establish, any manufacturing facilities. We currently rely, and expect to continue to rely for the foreseeable future, on third parties for the manufacture of our product candidates for preclinical and clinical testing, including pharmaceutical ingredients and clinical drug supply, as well as for commercial manufacture of any drugs that we may commercialize. We obtain our supplies from these manufacturers on a purchase order basis and do not have long-term supply arrangements in place. We do not own in-house warehouse facilities. We rely on third parties for storage and distribution of drug substance and drug product. We do not currently have arrangements in place for redundant supply for active pharmaceutical ingredients and drug product.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If we are successful in obtaining necessary regulatory approval, we may pursue commercialization on our own or seek to collaborate with a third party for commercialization, particularly outside the United States.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face competition from segments of the pharmaceutical, biotechnology and other related markets that pursue the development of precision oncology therapies optimized to target the key driver mechanisms in cancers with high unmet need. Several biopharmaceutical companies, including Black Diamond Therapeutics, Inc., Constellation Pharmaceuticals, Inc., Kronos Bio, Inc., Repare Therapeutics Inc., Revolution Medicines, Inc., Relay Therapeutics, Inc., and Zentalis Pharmaceuticals, Inc., are developing precision oncology medicines. In addition, we may face competition from companies developing product candidates that are based on targeting pathways of adaptive resistance, including Amgen, AbbVie, AstraZeneca, GlaxoSmithKline, Johnson &amp; Johnson, Pfizer, Bayer and Novartis.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With respect to our PRMT5 programs, PRT543 and PRT811, several companies are developing PRMT5 inhibitors with clinical trials ongoing, including GlaxoSmithKline (GSK3326595), Johnson &amp; Johnson (JNJ-64619178) and Pfizer (PF-06939999). For our product candidate PRT1419, other companies are developing MCL1 inhibitors with monotherapy and/or combination trials ongoing, including Amgen (AMG176), AstraZeneca (AZD5991) and Novartis (MIK665). For our preclinical CDK9 program, both AstraZeneca and Bayer have CDK9 programs in Phase 1 clinical trials.</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could see a reduction or elimination in our commercial opportunity if our competitors develop and commercialize drugs that are safer, more effective, have fewer or less severe side effects, are more convenient to administer, are less expensive or with more favorable labeling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the United States, pharmaceutical products are subject to extensive regulation by the Food and Drug Administration, or FDA, The Federal Food, Drug, and Cosmetic Act, or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NDAs, warning or untitled letters, product recalls, product seizures, total or partial suspension of production or distribution, injunctions, fines, civil penalties and criminal prosecution.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U.S. typically involves preclinical laboratory and animal tests, the submission to FDA of an investigational new drug application, or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 A 30-day waiting period after the submission of each IND is required prior to the commencement of clinical testing in humans. If FDA has neither commented on nor questioned the IND within this 30-day period, the clinical trial proposed in the IND may begin. 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FDA as part of the IND.</w:t>
      </w:r>
    </w:p>
    <w:p>
      <w:pPr>
        <w:spacing w:after="0" w:line="17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Imposition of a clinical hold may be full or partial. The study protocol and informed consent information for patients in clinical trials must also be submitted to an institutional review board, or IRB, and ethics committee for approval. The IRB will also monitor the clinical trial until completed. An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9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FDA to evaluate the overall benefit-risk relationship of the drug and to provide adequate information for the labeling of the drug. In most cases FDA requires two adequate and well-controlled Phase 3 clinical trials to demonstrate the efficacy of the drug. A single Phase 3 trial with other confirmatory evidence may be sufficient in rare instances, such as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pivotal trial may be sufficient in rare instances to provide substantial evidence of effectiveness (generally subject to the requirement of additional post-approval studies).</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After completion of the required clinical testing, an NDA is prepared and submitted to FDA. FDA approval of the NDA is required before marketing of the product may begin in the U.S. The NDA must include the results of all preclinical, clinical and other testing and a compilation of data relating to the product’s pharmacology, chemistry, manufacture and controls.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cost of preparing and submitting an NDA is substantial. The submission of most NDAs is additionally subject to a substantial application user fee.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are also subject to annual program fees. The FDA adjusts the user fees on an annual basis, and the fees typically increase annually.</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FDA reviews each submitted NDA before it determines whether to file it and may request additional information. The FDA must make a decision on whether to file an NDA within 60 days of receipt, and such decision could include a refusal to file by the FDA. Once the submission is filed, FDA begins an in-depth review of the NDA. FDA has agreed to certain performance goals in the review of NDAs. Most applications for standard review drug products are reviewed within ten to twelve months; most applications for priority review drugs are reviewed in six to eight months. Priority review can be applied to drugs that FDA determines offer major advances in treatment or provide a treatment where no adequate therapy exists. The review process for both standard and priority review may be extended by FDA for three additional months to consider certain late-submitted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FDA is not bound by the recommendation of an advisory committee, but it generally follows such recommendations.</w:t>
      </w:r>
    </w:p>
    <w:p>
      <w:pPr>
        <w:spacing w:after="0" w:line="18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Before approving an NDA, FDA will conduct a pre-approval inspection of the manufacturing facilities for the new product to determine whether they comply with cGMP requirements. FDA will not approve the product unless it determines that the manufacturing processes and facilities are in compliance with cGMP requirements and adequate to assure consistent production of the product within required specifications. The FDA also typically inspects ore or more clinical trial sites to ensure compliance with GCP requirements and the integrity of the data supporting safety and efficacy.</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After FDA evaluates the NDA and the manufacturing facilities, it issues either an approval letter or a complete response letter. A complete response letter, or CRL, generally outlines the deficiencies in the submission and may require substantial additional testing, or information, in order for FDA to reconsider the application, such as additional clinical data, additional pivotal clinical trial(s), and/or other significant and time-consuming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FDA has committed to reviewing resubmissions in two or six months depending on the type of information included. Even if such data and information are submitted, the FDA may decide that the NDA does not satisfy the criteria for approval.</w:t>
      </w:r>
    </w:p>
    <w:p>
      <w:pPr>
        <w:spacing w:after="0" w:line="17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If, or when, the deficiencies identified in the CRL have been addressed to FDA’s satisfaction in a resubmission of the NDA, FDA will issue an approval letter. An approval letter authorizes commercial marketing of the drug with specific prescribing information for specific indications. As a condition of NDA approval,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8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FDA uses the same procedures and actions in reviewing NDA supplements as it does in reviewing NDAs.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Sponsors of clinical trials of FDA regulated products, including drugs, are required to register and disclose certain clinical trial information.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Fast Track Designation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Fast track designation may be granted for a product that is intended to treat a serious or life-threatening disease or condition for which there is no effective treatment and preclinical or clinical data demonstrate the potential to address unmet medical needs for the condition. The sponsor of an investigational drug product may request that FDA designate the product candidate for a specific indication as a fast track drug concurrent with, or after, the submission of the IND for the product candidate. FDA must determine if the product candidate qualifies for fast 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sponsor must also provide, and the FDA must approve, a schedule for the submission of the remaining information and the sponsor must pay applicable user fees. At the time of NDA filing, the FDA will determine whether to grant priority review designation. FDA will grant such designation if the proposed drug would be a significant improvement in the safety or effectiveness of the treatment, prevention, or diagnosis of a serious condition. Additionally, fast track designation may be withdrawn if FDA believes that the designation is no longer supported by data emerging in the clinical trial process.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Accelerated Approval</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Breakthrough Therapy Designation</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FDA designate the product candidate for a specific indication as a breakthrough therapy concurrent with, or after, the filing of the IND for the product candidate. FDA must determine if the product candidate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Orphan Drug Act,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Orphan drug designation must be requested before submitting an NDA. After FDA grants orphan drug designation, the identity of the drug and its potential orphan use are disclosed publicly by FDA. Orphan drug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designation does not convey any advantage in, or shorten the duration of, the regulatory review and approval process.</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first NDA applicant to receive FDA approval for a particular active moiety to treat a rare disease for which it has such designation is entitled to a seven-year exclusive marketing period in the U.S. for that product, for that indication. During the seven-year exclusivity period,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Unless otherwise required by regulation, PREA does not apply to any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6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Best Pharmaceuticals for Children Act, or BPCA, provides NDA holders a six-month extension of any exclusivity—patent or nonpatent—for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187"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Adverse event reporting and submission of periodic reports are required following FDA approval of an NDA. FDA also may require post-marketing testing, known as Phase 4 testing, risk evaluation and mitigation strategies, or REMS, and surveillance to monitor the effects of an approved product, or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FDA and certain state agencies. Registration with FDA subjects entities to periodic unannounced inspections by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Orange Book Listing</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15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Drugs listed in the Orange Book can, in turn, be cited by potential generic competitors in support of approval of an abbreviated new drug application, or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71"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Exclusivity</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certification, and, thus, no ANDA for a generic version of the drug may be filed before the expiration of the exclusivity period.</w:t>
      </w:r>
    </w:p>
    <w:p>
      <w:pPr>
        <w:spacing w:after="0" w:line="225"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Certain changes to an approved drug, such as the approval of a new indication, the approval of a new strength, and the approval of a new condition of use, are associated with a three-year period of exclusivity from the date of approval during which FDA cannot approve an ANDA for a generic drug that includes the change. In some instances, an ANDA applicant may receive approval prior to expiration of the three-year exclusivity if the applicant seeks, and FDA permits, the omission of such exclusivity-protected information from the ANDA package insert.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Patent Term Extension</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IND application and NDA submission) and all of the review phase (the time between NDA submission and approval) up to a maximum of five years. The time can be reduced for any time FDA determines that the applicant did not pursue approval with due diligence.</w:t>
      </w:r>
    </w:p>
    <w:p>
      <w:pPr>
        <w:spacing w:after="0" w:line="16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United States Patent and Trademark Office, or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8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use of an in vitro diagnostic is essential to safe and effective use of a drug product, then the FDA generally will require approval or clearance of the diagnostic, known as a companion diagnostic, at the same time that the FDA approves the drug product. FDA has generally required in vitro companion diagnostics intended to select the patients who will respond to cancer treatment to obtain a pre-market approval, or PMA, for that diagnostic simultaneously with approval of the drug. The review of these in vitro companion diagnostics in conjunction with the review of a cancer therapeutic involves coordination of review by the FDA’s Center for Drug Evaluation and Research and by the FDA’s Center for Devices and Radiological Health. Approval and clearance of a companion diagnostic also requires a high level of coordination between the drug manufacturer and device manufacturer, if different companies.</w:t>
      </w:r>
    </w:p>
    <w:p>
      <w:pPr>
        <w:spacing w:after="0" w:line="19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 substantial application fee, which is typically increased annually.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including payment of an annual establishment registration fee, and list their device(s)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false claims, transparency and health information privacy laws and other healthcare laws and regulations.</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the ACA amended the federal Anti-Kickback Statute such that a violation of that statute can serve as a basis for liability under the federal civil False Claims Act.</w:t>
      </w:r>
    </w:p>
    <w:p>
      <w:pPr>
        <w:spacing w:after="0" w:line="16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Federal civil and criminal false claims laws, including the federal civil False Claims Act, prohibit any person or entity from knowingly presenting, or causing to be presented, a false claim for payment to the federal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7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offerer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9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addition, HIPAA, as amended by the Health Information Technology for Economic and Clinical Health Act of 2009, or HITECH, and their respective implementing regulations, including the Final Omnibus Rule published on January 25, 2013, impose obligations on certain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w:t>
      </w:r>
    </w:p>
    <w:p>
      <w:pPr>
        <w:spacing w:after="0" w:line="16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Further, pursuant to the ACA, the Centers for Medicare &amp; Medicaid Services, or CMS, has issued a final rule that requires certain manufacturers of prescription drugs to collect and annually report information on certain payments or transfers of value to physicians, as defined by such law, and teaching hospitals, as well as ownership and investment interests held by physicians and their immediate family members. The reported data is made available in searchable form on a public website on an annual basis. Failure to submit required information may result in civil monetary penalties. Effective January 1, 2022, reporting on transfers of value provided and ownership and investment interests held during the previous year to physician assistants, nurse practitioners or clinical nurse specialists, certified registered nurse anesthetists, anesthesiologist assistants and certified nurse-midwives will also be required.</w:t>
      </w:r>
    </w:p>
    <w:p>
      <w:pPr>
        <w:spacing w:after="0" w:line="19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may also be subject to analogous state and foreign anti-kickback and false claims laws that may apply to sales or marketing arrangements and claims involving healthcare items or services reimbursed by non-governmental third party payors, including private insurers, or that apply regardless of payor. 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Still other states require the posting of information relating to clinical studies and their outcomes. 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19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and Medicaid Innovation at CMS to test innovative payment and service delivery models to lower Medicare and Medicaid spending, potentially including prescription drug spending.</w:t>
      </w: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Trump administration and Congress have, and we expect they will continue to, seek to modify, repeal, or otherwise invalidate all, or certain provisions of, the ACA. Since January 2017, the current U.S. presidential administration has issued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been signed into law. The Tax Cuts and Jobs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or the BBA,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is currently reviewing this case, although it is uncertain when a decision will be made. It is unclear how such litigation and other efforts to repeal and replace the ACA will impact the ACA. There is still uncertainty with respect to the impact the current U.S. presidential administration and the Congress may have, if any, and any changes will likely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w:t>
      </w:r>
    </w:p>
    <w:p>
      <w:pPr>
        <w:spacing w:after="0" w:line="18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unless additional Congressional action is taken.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which has resulted in several Congressional inquiries and proposed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on May 11, 2018, the Trump administration laid out the administration’s “Blueprint” to reduce the cost of prescription medications while preserving innovation and cures. More recently, President Trump issued five executive orders that are intended to lower the cost of prescription drug products. It is not clear what effect a change in administration would have on these proposals to reduce drug prices or what proposals a new administration would have to reduce drug prices.</w:t>
      </w:r>
    </w:p>
    <w:p>
      <w:pPr>
        <w:spacing w:after="0" w:line="16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July 24, 2020 and September 13, 2020, President Trump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HHS also published an interim final rule that establishes an MFN Model for Medicare Part B drug payment. This regulation would substantially change the drug reimbursement landscape as it bases Medicare Part B payment for 50 selected drugs on prices in foreign countries instead of ASP and establishes a fixed add-on payment in place of the current 6 percent (4.3 percent after sequestration) of ASP. The MFN drug payment amount is expected to be lower than the current ASP-based limit because U.S. drug prices are generally the highest in the world. Although the MFN payment methodology is scheduled to begin on January 1, 2021, it faces uncertain prospects for implementation. Among other things, a change in administration or litigation challenging the regulation could delay or halt its implementation.</w:t>
      </w:r>
    </w:p>
    <w:p>
      <w:pPr>
        <w:spacing w:after="0" w:line="17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It is possible that additional governmental action is taken to address the COVID-19 pandemic.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Patients in the United States and elsewhere generally rely on third-party payors to reimburse part or all of the costs associated with their prescription drugs. Accordingly, market acceptance of our drug products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when more established or lower-cost therapeutic alternatives are already available. Patients are unlikely to use our products unless reimbursement is adequate to cover all or a significant portion of the cost of our drug products.</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third-party payors may refuse to include a particular reference listed drug in their formularies or otherwise restrict patient access to a reference listed drug when a less costly generic equivalent or other alternative is available.</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drugs products from coverage and limit payments for pharmaceuticals.</w:t>
      </w:r>
    </w:p>
    <w:p>
      <w:pPr>
        <w:spacing w:after="0" w:line="18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addition, we expect that the increased emphasis on managed care and cost containment measures in the United States by third-party payors and government authorities to continue and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275" w:lineRule="exact"/>
        <w:rPr>
          <w:sz w:val="20"/>
          <w:szCs w:val="20"/>
          <w:color w:val="auto"/>
        </w:rPr>
      </w:pPr>
    </w:p>
    <w:p>
      <w:pPr>
        <w:jc w:val="right"/>
        <w:ind w:right="9800"/>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right"/>
        <w:ind w:right="976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December 16, 2020, we had 68 full-time employees. Women represent approximately 40% of our employees with approximately 31% holding senior management level/leadership roles. Of these employees, 36 have an M.D. or a Ph.D.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Diversity &amp; Inclusion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committed to creating and maintaining a workplace free from discrimination or harassment on the basis of color, race, sex, national origin, ethnicity, religion, age, disability, sexual orientation, gender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identification or expression or any other status protected by applicable law. Our management team and employees are expected to exhibit and promote honest, ethical and respectful conduct in the workplace. All of our employees must adhere to a code of conduct that sets standards for appropriate behavior and are required to attend annual training to help prevent, identify, report and stop any type of discrimination and harassment. Our recruitment, hiring, development, training, compensation and advancement at our company is based on qualifications, performance, skills and experience without regard to gender, race and ethnicity.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Competitive Pay &amp; Benefits</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strive to provide pay, comprehensive benefits and services that help meet the varying needs of our employees. Our total rewards package includes competitive pay; comprehensive healthcare benefits package for employees, with family member healthcare benefits covered at 80%; a health savings account with company contribution; 20 days of paid time off and paid holidays; family medical leave and flexible work schedules. In addition, we offer every full-time employee, both exempt and non-exempt, the benefit of equity ownership in the company through stock option grants and our employee stock purchase plan. We sponsor a 401(k) plan and we are in the process of implementing a discretionary matching contribution.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Employee Development &amp; Training</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focus on attracting, retaining, and cultivating talented individuals. We emphasize employee development and training by providing access to a wide range of online and instructor led development and continual learning programs. Employees are encouraged to attend scientific, clinical and technological meetings and conferences and have access to broad resources they need to be successful.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Safety</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safety, health and wellness of our employees is a top priority. In response to COVID-19, we have implemented a safety protocols including shift work scheduling to reduce number of people in the facility, requirements for the wearing of masks and for social distancing, increased cleaning procedures and readily available hand sanitizer. These protocols are designed to comply with health and safety standards as required by federal, state and local government agencies, taking into consideration guidelines of the Centers for Disease Control and Prevention and other public health authorities. In addition, we have provided work-at-home arrangements for employees who are able to do so.</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Our principal executive office is located in Wilmington, Delaware where we license a total of approximately 19,800 square feet of office and laboratory space that we use for our administrative, research and development and other activities. The license expires on December 31, 2022 and we have an option to renew the license for an additional 12 months thereafter. We also have a right of first offer in connection with certain licensable additional space in this building that becomes vacant prior to October 31, 2021.</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Additionally, we have a development and operations office located in Wilmington, Delaware where we lease a total of approximately 5,000 square feet of office space. The lease under this building expires on March 31, 2021. We believe that our facilities are sufficient to meet our current needs and that suitable additional space will be available as and when needed.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including ages as of November 30, 2020, regarding our executive officers and directors: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ind w:left="1080"/>
              <w:spacing w:after="0"/>
              <w:rPr>
                <w:sz w:val="20"/>
                <w:szCs w:val="20"/>
                <w:color w:val="auto"/>
              </w:rPr>
            </w:pPr>
            <w:r>
              <w:rPr>
                <w:rFonts w:ascii="Arial" w:cs="Arial" w:eastAsia="Arial" w:hAnsi="Arial"/>
                <w:sz w:val="14"/>
                <w:szCs w:val="14"/>
                <w:b w:val="1"/>
                <w:bCs w:val="1"/>
                <w:color w:val="auto"/>
                <w:w w:val="90"/>
              </w:rPr>
              <w:t>Age</w:t>
            </w:r>
          </w:p>
        </w:tc>
        <w:tc>
          <w:tcPr>
            <w:tcW w:w="660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61"/>
        </w:trPr>
        <w:tc>
          <w:tcPr>
            <w:tcW w:w="360" w:type="dxa"/>
            <w:vAlign w:val="bottom"/>
            <w:tcBorders>
              <w:top w:val="single" w:sz="8" w:color="auto"/>
            </w:tcBorders>
          </w:tcPr>
          <w:p>
            <w:pPr>
              <w:spacing w:after="0"/>
              <w:rPr>
                <w:sz w:val="5"/>
                <w:szCs w:val="5"/>
                <w:color w:val="auto"/>
              </w:rPr>
            </w:pPr>
          </w:p>
        </w:tc>
        <w:tc>
          <w:tcPr>
            <w:tcW w:w="2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Officers: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Kris Vaddi, Ph.D.</w:t>
            </w: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55</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68"/>
        </w:trPr>
        <w:tc>
          <w:tcPr>
            <w:tcW w:w="3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Piper, M.B.A.</w:t>
            </w: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49</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David Mauro, M.D., Ph.D.</w:t>
            </w: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55</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Medical Officer</w:t>
            </w:r>
          </w:p>
        </w:tc>
      </w:tr>
      <w:tr>
        <w:trPr>
          <w:trHeight w:val="68"/>
        </w:trPr>
        <w:tc>
          <w:tcPr>
            <w:tcW w:w="3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Peggy A. Scherle, Ph.D.</w:t>
            </w: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59</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Scientific Officer</w:t>
            </w:r>
          </w:p>
        </w:tc>
      </w:tr>
      <w:tr>
        <w:trPr>
          <w:trHeight w:val="284"/>
        </w:trPr>
        <w:tc>
          <w:tcPr>
            <w:tcW w:w="3080" w:type="dxa"/>
            <w:vAlign w:val="bottom"/>
            <w:gridSpan w:val="2"/>
          </w:tcPr>
          <w:p>
            <w:pPr>
              <w:spacing w:after="0"/>
              <w:rPr>
                <w:sz w:val="20"/>
                <w:szCs w:val="20"/>
                <w:color w:val="auto"/>
              </w:rPr>
            </w:pPr>
            <w:r>
              <w:rPr>
                <w:rFonts w:ascii="Arial" w:cs="Arial" w:eastAsia="Arial" w:hAnsi="Arial"/>
                <w:sz w:val="18"/>
                <w:szCs w:val="18"/>
                <w:color w:val="auto"/>
              </w:rPr>
              <w:t>Andrew P. Combs, Ph.D.</w:t>
            </w: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54</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and Head of Chemistry</w:t>
            </w:r>
          </w:p>
        </w:tc>
      </w:tr>
      <w:tr>
        <w:trPr>
          <w:trHeight w:val="67"/>
        </w:trPr>
        <w:tc>
          <w:tcPr>
            <w:tcW w:w="3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Morosini, M.D.</w:t>
            </w: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62</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of Clinical Affairs</w:t>
            </w: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Christopher Pierce, M.B.A.</w:t>
            </w: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40</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and Chief of Business Operations</w:t>
            </w:r>
          </w:p>
        </w:tc>
      </w:tr>
      <w:tr>
        <w:trPr>
          <w:trHeight w:val="68"/>
        </w:trPr>
        <w:tc>
          <w:tcPr>
            <w:tcW w:w="3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Non-Employee Directors: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Paul A. Friedman, M.D.</w:t>
            </w: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77</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Chairman of the Board, Director</w:t>
            </w:r>
          </w:p>
        </w:tc>
      </w:tr>
      <w:tr>
        <w:trPr>
          <w:trHeight w:val="68"/>
        </w:trPr>
        <w:tc>
          <w:tcPr>
            <w:tcW w:w="3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 M.D.</w:t>
            </w: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45</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3080" w:type="dxa"/>
            <w:vAlign w:val="bottom"/>
            <w:gridSpan w:val="2"/>
          </w:tcPr>
          <w:p>
            <w:pPr>
              <w:spacing w:after="0"/>
              <w:rPr>
                <w:sz w:val="20"/>
                <w:szCs w:val="20"/>
                <w:color w:val="auto"/>
              </w:rPr>
            </w:pPr>
            <w:r>
              <w:rPr>
                <w:rFonts w:ascii="Arial" w:cs="Arial" w:eastAsia="Arial" w:hAnsi="Arial"/>
                <w:sz w:val="18"/>
                <w:szCs w:val="18"/>
                <w:color w:val="auto"/>
              </w:rPr>
              <w:t>Mardi C. Dier</w:t>
            </w: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56</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Kelvin Neu, M.D.</w:t>
            </w: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46</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3080" w:type="dxa"/>
            <w:vAlign w:val="bottom"/>
            <w:gridSpan w:val="2"/>
          </w:tcPr>
          <w:p>
            <w:pPr>
              <w:spacing w:after="0"/>
              <w:rPr>
                <w:sz w:val="20"/>
                <w:szCs w:val="20"/>
                <w:color w:val="auto"/>
              </w:rPr>
            </w:pPr>
            <w:r>
              <w:rPr>
                <w:rFonts w:ascii="Arial" w:cs="Arial" w:eastAsia="Arial" w:hAnsi="Arial"/>
                <w:sz w:val="18"/>
                <w:szCs w:val="18"/>
                <w:color w:val="auto"/>
              </w:rPr>
              <w:t>Victor Sandor, M.D.C.M.</w:t>
            </w: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54</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b w:val="1"/>
          <w:bCs w:val="1"/>
          <w:i w:val="1"/>
          <w:iCs w:val="1"/>
          <w:color w:val="auto"/>
        </w:rPr>
        <w:t xml:space="preserve">Krishna (“Kris”) Vaddi, Ph.D. </w:t>
      </w:r>
      <w:r>
        <w:rPr>
          <w:rFonts w:ascii="Arial" w:cs="Arial" w:eastAsia="Arial" w:hAnsi="Arial"/>
          <w:sz w:val="17"/>
          <w:szCs w:val="17"/>
          <w:color w:val="auto"/>
        </w:rPr>
        <w:t>has served as our Chief Executive Officer and a member of our board of directors since February 2016. From June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to June 2016, Dr. Vaddi also served as Chief Executive Officer of Orsenix, LLC, a clinical stage biotechnology company. Dr. Vaddi previously held several roles at Incyte Corporation, most recently as Senior Advisor from June 2015 to June 2016 and Group Vice President from March 2010 to June 2015. Dr. Vaddi received a BVSc in Veterinary Medicine from Acharya N.G. Ranga Agricultural University in India and a Ph.D. in Pharmacology and Toxicology from the University of Florida. We believe that Dr. Vaddi’s experience as our founder and Chief Executive Officer and history in the biopharmaceutical field qualifies him to serve on our board of directors.</w:t>
      </w:r>
    </w:p>
    <w:p>
      <w:pPr>
        <w:spacing w:after="0" w:line="178" w:lineRule="exact"/>
        <w:rPr>
          <w:sz w:val="20"/>
          <w:szCs w:val="20"/>
          <w:color w:val="auto"/>
        </w:rPr>
      </w:pPr>
    </w:p>
    <w:p>
      <w:pPr>
        <w:ind w:left="120" w:right="3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Brian Piper, M.B.A. </w:t>
      </w:r>
      <w:r>
        <w:rPr>
          <w:rFonts w:ascii="Arial" w:cs="Arial" w:eastAsia="Arial" w:hAnsi="Arial"/>
          <w:sz w:val="16"/>
          <w:szCs w:val="16"/>
          <w:color w:val="auto"/>
        </w:rPr>
        <w:t>has served as our Chief Financial Officer since July 2019. Mr. Piper previously served as Chief Financial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Secretary at Aevi Genomic Medicine, Inc., a biopharmaceutical company (later acquired by Cerecor, Inc.), from February 2016 until May 2019. Prior to his time at Aevi, Mr. Piper served as Vice President Finance &amp; Investor Relations at Medgenics, Inc., a biotechnology company from April 2014 until January 2016. Prior to that, Mr. Piper served in several roles at Shire Pharmaceuticals plc (later acquired by Takeda Pharmaceutical Company Limited), most recently in Business Development from January 2010 until March 2014. Mr. Piper received a B.B.A. in Finance from the University of Notre Dame and an M.B.A. from the Robert H. Smith School of Business at the University of Maryland.</w:t>
      </w:r>
    </w:p>
    <w:p>
      <w:pPr>
        <w:spacing w:after="0" w:line="16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David Mauro, M.D., Ph.D. </w:t>
      </w:r>
      <w:r>
        <w:rPr>
          <w:rFonts w:ascii="Arial" w:cs="Arial" w:eastAsia="Arial" w:hAnsi="Arial"/>
          <w:sz w:val="18"/>
          <w:szCs w:val="18"/>
          <w:color w:val="auto"/>
        </w:rPr>
        <w:t>has served as our Chief Medical Officer since May 2019. Dr. Mauro previously served as Chief Medical Officer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Checkmate Pharmaceuticals Inc., a biopharmaceutical company, from February 2016 until April 2019. Prior to that, Dr. Mauro served as Chief Medical Officer at Advaxis, Inc. from October 2014 until February 2016. Dr. Mauro served as Executive Director at Merck from 2007-2014 and prior to that he was Director at Bristol Myers Squibb. Dr. Mauro received a B.S. in Biochemistry from Cornell University and an M.D. and Ph.D. from Temple University School of Medicine.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Peggy A. Scherle, Ph.D. </w:t>
      </w:r>
      <w:r>
        <w:rPr>
          <w:rFonts w:ascii="Arial" w:cs="Arial" w:eastAsia="Arial" w:hAnsi="Arial"/>
          <w:sz w:val="17"/>
          <w:szCs w:val="17"/>
          <w:color w:val="auto"/>
        </w:rPr>
        <w:t>has served as our Chief Scientific Officer since April 2018. Dr. Scherle previously held several roles at Incyte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a pharmaceutical company, most recently as Group Vice President, Discovery Biology and Preclinical Pharmacology from March 2017 until March 2018. Her prior roles at Incyte included Vice President, Preclinical Pharmacology from 2014 until 2017 and as Executive Director, In Vitro Biology from 2011 until 2014. Earlier in her career, Dr. Scherle held scientific research positions with DuPont Pharmaceuticals and Bristol-Myers Squibb. Dr. Scherle received a B.S. degree in Biochemistry from Michigan State University and a Ph.D. in Immunology from the University of Pennsylvania. She completed her postdoctoral training at the National Institutes of Health.</w:t>
      </w:r>
    </w:p>
    <w:p>
      <w:pPr>
        <w:spacing w:after="0" w:line="17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i w:val="1"/>
          <w:iCs w:val="1"/>
          <w:color w:val="auto"/>
        </w:rPr>
        <w:t xml:space="preserve">Andrew P. Combs, Ph.D. </w:t>
      </w:r>
      <w:r>
        <w:rPr>
          <w:rFonts w:ascii="Arial" w:cs="Arial" w:eastAsia="Arial" w:hAnsi="Arial"/>
          <w:sz w:val="17"/>
          <w:szCs w:val="17"/>
          <w:color w:val="auto"/>
        </w:rPr>
        <w:t>has served as our Executive Vice President and Head of Chemistry since April 2019. Dr. Combs previously held several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roles at Incyte Corporation, a pharmaceutical company, most recently as Vice President of Discovery Chemistry where he led teams in medicinal chemistry, analytical chemistry, enabling technologies, computational design and informatics from January 2003 until February 2019. His prior roles at Incyte included as Senior Director from 2003 until 2006 and as Executive Director from 2006 until 2015 and Vice President from 2015 until 2019. Earlier in his career, Dr. Combs held positions of increasing responsibility, starting as a Senior Research Scientist and advancing to a Director of medicinal chemistry at DuPont-Merck, DuPont Pharmaceuticals and Bristol-Myers Squibb. Dr. Combs received B.S. degrees in Chemistry and Molecular Biology from the University of Wisconsin-Madison, a Ph.D. in Organic Chemistry from the University of California, Los Angeles, and completed his training as a Howard Hughes Medical Institute post-doctoral fellow at Harvard University.</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Deborah Morosini, M.D. </w:t>
      </w:r>
      <w:r>
        <w:rPr>
          <w:rFonts w:ascii="Arial" w:cs="Arial" w:eastAsia="Arial" w:hAnsi="Arial"/>
          <w:sz w:val="18"/>
          <w:szCs w:val="18"/>
          <w:color w:val="auto"/>
        </w:rPr>
        <w:t>has served as our Executive Vice President and Chief of Clinical Affairs since July 2020 and was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to us and various other oncology companies from July 2019 to July 2020. Dr. Morosini previously served as Vice President of Clinical Affairs and Patient Engagement at Loxo Oncology, Inc., a biopharmaceutical company, from April 2016 to April 2019. Dr. Morosini served as Vice President of Clinical Affairs and Patient Engagement from August 2013 to April 2016 at Foundation Medicine, Inc., a molecular information company. Dr. Morosini received a B.A. degree in English from Mount Holyoke College, an M.S.W. degree from New York University’s Graduate School of Social Work and an M.D. from Boston University School of Medicine.</w:t>
      </w:r>
    </w:p>
    <w:p>
      <w:pPr>
        <w:spacing w:after="0" w:line="19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Christopher Pierce, M.B.A. </w:t>
      </w:r>
      <w:r>
        <w:rPr>
          <w:rFonts w:ascii="Arial" w:cs="Arial" w:eastAsia="Arial" w:hAnsi="Arial"/>
          <w:sz w:val="18"/>
          <w:szCs w:val="18"/>
          <w:color w:val="auto"/>
        </w:rPr>
        <w:t>has served as our Executive Vice President and Chief of Business Operations since July 2020. Mr. Pierce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Principal and Founder of Scout Advisers, LLC, a life sciences consultancy, from August 2019 to July 2020. Prior to that, Mr. Pierce served as Vice President, Head of Commercial from January 2018 to May 2019, and as Executive Director, Commercial from April 2017 to December 2017, at Loxo Oncology, Inc., a biopharmaceutical company. Mr. Pierce held several roles at Pfizer Inc., a biopharmaceutical company, including as Senior Director/Global Commercial Lead, Hematologic Malignancies Portfolio from July 2016 to March 2017, and as Portfolio Lead, US Marketing from March 2015 to July 2016. Mr. Pierce received an A.B. degree in Biochemical Sciences from Harvard College, and an M.B.A. from the Harvard Business School.</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b w:val="1"/>
          <w:bCs w:val="1"/>
          <w:i w:val="1"/>
          <w:iCs w:val="1"/>
          <w:color w:val="auto"/>
        </w:rPr>
        <w:t xml:space="preserve">Paul A. Friedman, M.D. </w:t>
      </w:r>
      <w:r>
        <w:rPr>
          <w:rFonts w:ascii="Arial" w:cs="Arial" w:eastAsia="Arial" w:hAnsi="Arial"/>
          <w:sz w:val="18"/>
          <w:szCs w:val="18"/>
          <w:color w:val="auto"/>
        </w:rPr>
        <w:t>has served as a member of our board of directors since July 2016. Dr. Friedman has served as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Chairman of the board of directors of Madrigal Pharmaceuticals, Inc., a biopharmaceutical company, since July 2016. Dr. Friedman previously served as the Chief Executive Officer of Incyte Corporation from November 2001 to January 2014. Dr. Friedman currently serves on the boards of directors of Incyte Corporation, Alexion Pharmaceuticals, Inc. and Madrigal Pharmaceuticals, Inc. He has previously served on the boards of directors of Cerulean Pharma Inc. and Verastem, Inc. Dr. Friedman received an A.B. in Biology from Princeton University and an M.D. from Harvard Medical School. We believe that Dr. Friedman’s extensive experience in our business and on public company boards qualifies him to serve on our board of directors.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David Bonita, M.D. </w:t>
      </w:r>
      <w:r>
        <w:rPr>
          <w:rFonts w:ascii="Arial" w:cs="Arial" w:eastAsia="Arial" w:hAnsi="Arial"/>
          <w:sz w:val="17"/>
          <w:szCs w:val="17"/>
          <w:color w:val="auto"/>
        </w:rPr>
        <w:t>has served as a member of our board of directors since July 2016. Dr. Bonita is a member of OrbiMed Advisors LLC,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firm. Dr. Bonita currently serves on the boards of directors of Acutus Medical, Inc., IMARA Inc., Repare Therapeutics Inc. and Tricida, Inc., as well as several private companies. Dr. Bonita also previously served on the boards of directors of Clementia Pharmaceuticals Inc., Loxo Oncology, Inc., SI-BONE, Inc., and ViewRay Inc. Prior to OrbiMed, Dr. Bonita worked as a corporate finance analyst in the healthcare investment banking groups of Morgan Stanley and UBS. He has published scientific articles in peer-reviewed journals based on signal transduction research performed at Harvard Medical School. He received a B.A. in biology from Harvard University and a joint M.D./M.B.A. from Columbia University. We believe that Dr. Bonita is qualified to serve on our board of directors based on his roles on several public and private boards of directors as well as his extensive experience in investing in healthcare companies.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Mardi C. Dier </w:t>
      </w:r>
      <w:r>
        <w:rPr>
          <w:rFonts w:ascii="Arial" w:cs="Arial" w:eastAsia="Arial" w:hAnsi="Arial"/>
          <w:sz w:val="17"/>
          <w:szCs w:val="17"/>
          <w:color w:val="auto"/>
        </w:rPr>
        <w:t>has served as a member of our board of directors since August 2020. Ms. Dier has served as Chief Financial Officer of Ultragenyx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Pharmaceutical Inc. since October 2020. Ms. Dier previously served as Executive Vice President and Chief Financial Officer, and also as Chief Business Officer, of Portola Pharmaceuticals, Inc., a biopharmaceutical company, from November 2013 and October 2018, respectively, until its acquisition by Alexion Pharmaceuticals in July 2020, and as a Senior Vice President and Chief Financial Officer from August 2006 to November 2013. From 2003 to 2006, Ms. Dier served as Vice President of Investor Relations at Chiron Corporation, a biopharmaceutical company. From 1994 to 2001, Ms. Dier served as a Director, Investment Banking at Prudential Securities, Inc., a securities firm. Ms. Dier previously served as a supervising senior accountant at the audit department of KPMG Peat Marwick, an accounting firm, from 1986 to 1990. Ms. Dier currently serves as a director, and member of the audit committee, of Adamas Pharmaceuticals, Inc., a biopharmaceutical company, and as a director of ORIC Pharmaceuticals, Inc. Ms. Dier received a B.S. in Biology from Stanford University and an M.B.A. from the Anderson Graduate School of Management at the University of California, Los Angeles. We believe Ms. Dier is qualified to serve on our board of directors because of her experience in the biotechnology industry and her extensive experience in finance and accounting.</w:t>
      </w:r>
    </w:p>
    <w:p>
      <w:pPr>
        <w:spacing w:after="0" w:line="18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Kelvin Neu, M.D. </w:t>
      </w:r>
      <w:r>
        <w:rPr>
          <w:rFonts w:ascii="Arial" w:cs="Arial" w:eastAsia="Arial" w:hAnsi="Arial"/>
          <w:sz w:val="17"/>
          <w:szCs w:val="17"/>
          <w:color w:val="auto"/>
        </w:rPr>
        <w:t>is a Partner at Baker Bros. Advisors LP, a registered investment adviser. Since July 2019, Dr. Neu has served on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IGM Biosciences, Inc., a biopharmaceutical company and is also on its research and clinical development committee. Since March 2020, Dr. Neu has served on the board of directors of Zymeworks, Inc., and is also on its research and development committee. Dr. Neu previously served on the board of directors of Idera Pharmaceuticals, Aquinox Pharmaceuticals and XOMA Corporation. Dr. Neu holds an M.D. from the Harvard Medical School-MIT Health Sciences and Technology program and spent three years in the Immunology Ph.D. program at Stanford University as a Howard Hughes Medical Institute Fellow. Dr. Neu holds an A.B. (summa cum laude) from Princeton University, where he was awarded the Khoury Prize for graduating first in his department of Molecular Biology. Prior to attending Princeton, Dr. Neu served for two and a half years in the military of his native Singapore. We believe Dr. Neu is qualified to serve on our board of directors because of his extensive investment and leadership experience, knowledge of our industry, and educational background in biology and biotechnology.</w:t>
      </w:r>
    </w:p>
    <w:p>
      <w:pPr>
        <w:spacing w:after="0" w:line="18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Victor Sandor, M.D.C.M. </w:t>
      </w:r>
      <w:r>
        <w:rPr>
          <w:rFonts w:ascii="Arial" w:cs="Arial" w:eastAsia="Arial" w:hAnsi="Arial"/>
          <w:sz w:val="16"/>
          <w:szCs w:val="16"/>
          <w:color w:val="auto"/>
        </w:rPr>
        <w:t>has served as a member of our board of directors since May 2020. From September 2014 to December 2019, Dr. Sandor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the Chief Medical Officer at Array BioPharma Inc., a pharmaceutical company. From September 2014 to June 2019, he served as the Senior Vice President for Global Clinical Development at Incyte Corporation, a pharmaceutical company. From February 2010 to September 2014, Dr. Sandor served as the Vice President and Chief Medical Officer for oncology at Biogen Idec and, from October 2009 to February 2010, held positions of increasing responsibility in oncology product development at AstraZeneca. Dr. Sandor has served on the board of directors of ADC Therapeutics SA since April 2020 and Merus N.V. since June 2019. Dr. Sandor received a M.D.C.M. from McGill University in Montreal, Canada, and completed his Fellowship in Medical Oncology at the National Institutes of Health in Bethesda, Maryland. We believe that Dr. Sandor is qualified to serve on our board of directors due to his experience in the field of medicine, clinical drug development and scientific experience.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board of directors currently consists of six members. Five of our directors are independent within the meaning of the independent director guidelines of the Nasdaq Global Select Market, or Nasdaq. Each of our current directors will continue to serve until the election and qualification of his or her successor, or until his or her earlier death, resignation or removal.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accordance with the terms of our restated certificate of incorporation and restated bylaws, our board of directors is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is divided among the three classes as follows:</w:t>
      </w:r>
    </w:p>
    <w:p>
      <w:pPr>
        <w:spacing w:after="0" w:line="92" w:lineRule="exact"/>
        <w:rPr>
          <w:sz w:val="20"/>
          <w:szCs w:val="20"/>
          <w:color w:val="auto"/>
        </w:rPr>
      </w:pPr>
    </w:p>
    <w:p>
      <w:pPr>
        <w:ind w:left="1080" w:right="8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 directors are Paul A. Friedman and David Bonita and their terms will expire at the annual meeting of stockholders to be held in 2021;</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II directors are Kelvin Neu and Victor Sandor and their terms will expire at the annual meeting of stockholders to be held in 2022; and</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III directors are Kris Vaddi and Mardi C. Dier and their terms will expire at the annual meeting of stockholders to be held in 2023.</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Each director’s term continues until the election and qualification of his or her successor, or his or her earlier death, resignation or removal. Our restated certificate of incorporation and restated bylaws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entitled “Description of Capital Stock—Anti-Takeover Provisions—Restated Certificate of Incorporation and Restated Bylaw Provisions.”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common stock is listed on Nasdaq. Under the rules of Nasdaq, independent directors must comprise a majority of a listed company’s board of directors.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satisfy the audit committee independence requirements of Rule 10A-3. Additionally, compensation committee members must not have a relationship with us that is material to the director’s ability to be independent from management in connection with the duties of a compensation committee member.</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Kris Vaddi,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“Certain Relationships and Related Party Transactions.”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Our board of directors has an audit committee, a compensation committee and a nominating and governance committee, each of which, pursuant to its respective charter, has the composition and responsibilities described below. Copies of each charter are posted on the investor relations section of our website. Members serve on these committees until their resignation or until otherwise determined by our board of directors.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Our audit committee is comprised of Mardi C. Dier, Paul A. Friedman and David Bonita, with Mardi C. Dier as the chairperson of our audit committee. Our board of directors has determined that the composition of our audit committee meets the requirements for independence under the current Nasdaq and SEC rules and regulations, and that each member of our audit committee is financially literate. In addition, our board of directors has determined that Mardi C. Dier is an “audit committee financial expert” as defined in Item 407(d)(5)(ii) of Regulation S-K promulgated under the Securities Act. This designation does not impose on her any duties, obligations or liabilities that are greater than are generally imposed on members of our audit committee and our board of directors. Our audit committee is directly responsible for, among other things:</w:t>
      </w:r>
    </w:p>
    <w:p>
      <w:pPr>
        <w:spacing w:after="0" w:line="70"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selecting and hiring our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proxy statement;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accounting and financial reporting processes, including our financial statement audits and the integrity of our financial statements;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compensation committee is comprised of David Bonita, Kelvin Neu and Mardi C. Dier, with David Bonita as the chairman of our compensation committee. Our board of directors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77"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evaluating, recommending, approving and reviewing executive officer compensation arrangements, plans, policies and programs;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evaluating and recommending non-employee director compensation arrangements for determination by our board of directors;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overseeing our compliance with regulatory requirements associated with the compensation of directors, officers and employees.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nominating and governance committee is comprised of Kelvin Neu, Victor Sandor and Paul Friedman, with Kelvin Neu as the chairman of our nominating and governance committee. Our board of directors has determined that each member of our nominating and governance committee meets the requirements for independence under the current Nasdaq listing standards. Our nominating and governance committee is responsible for, among other things:</w:t>
      </w:r>
    </w:p>
    <w:p>
      <w:pPr>
        <w:spacing w:after="0" w:line="92"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advising our board of directors on other corporate governance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None of the current members of our compensation committee has at any time been one of our officers or employees. None of our executive officers has served as a member of the board of directors, or as a member of the compensation or similar committee, of any entity that has one or more executive officers who served on our board of directors or compensation committee during the year ended December 31, 2019.</w:t>
      </w:r>
    </w:p>
    <w:p>
      <w:pPr>
        <w:spacing w:after="0" w:line="149"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Prior to establishing the compensation committee in connection with our IPO, our full board of directors made decisions relating to the compensation of our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board of directors adopted a code of business conduct and ethics that applies to all of our employees, officers and directors, including our President and Chief Executive Officer and other executive and senior officers. The full text of our code of business conduct and ethics is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business conduct and ethics, or waivers of these provisions, on our website or in public filings to the extent required by the applicable rules.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During the year ended December 31, 2019, none of our non-employee directors received any fees or reimbursement of any expenses (other than customary expenses in connection with the attendance of meetings of our board of directors) or any equity or non-equity awards. Our Chief Executive Officer, Dr. Vaddi, received no compensation for his service as a director. Dr. Vaddi’s compensation as a named executive officer is set forth below under “Executive Compensation—Summary Compensation Table.”</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Prior to the completion of our IPO, we did not have a formal policy to provide any cash or equity compensation to our non-employee directors for their service on our board of directors or committees of our board of directors.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Non-Employee Director Cash Compensation</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non-employee directors receive an annual cash compensation of $35,000 for service on the board, and additional cash compensation for the chairperson and committee members as set forth below. All cash payments are made quarterly in arrears, and pro-rated for any partial quarters of service.</w:t>
      </w:r>
    </w:p>
    <w:p>
      <w:pPr>
        <w:spacing w:after="0" w:line="8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Chair of the Board: $30,000</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60"/>
          </w:cols>
          <w:pgMar w:left="320" w:top="459"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Audit Committee Chair (in lieu of membership fee): $15,000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Audit Committee Member (Non-Chair): $7,500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Compensation Committee Chair (in lieu of membership fee): $10,000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Compensation Committee Member (Non-Chair): $5,000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Nominating and Corporate Governance Committee Chair (in lieu of membership fee): $8,000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(Non-Chair): $4,000</w:t>
      </w:r>
    </w:p>
    <w:p>
      <w:pPr>
        <w:spacing w:after="0" w:line="22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Each non-employee director who is elected or appointed to our board of directors will be granted an option to purchase 46,688 shares of our common stock upon the director’s initial appointment to our board of directors, referred to as an Initial Grant. The Initial Grant will vest in 36 annual installments on each monthly anniversary of the date of grant, such that the Initial Grant will become fully vested and exercisable on the third anniversary of the date of grant, subject to the directors continued service on each applicable vesting date or an earlier change of control of Prelude. If the non-employee director’s service ends on the date of vesting, then the vesting will be deemed to have occurred.</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addition, each non-employee director who continues to serve on our board of directors following our annual meeting of stockholders will be granted an option to purchase 23,344 shares of our common stock on the date of such annual meeting of stockholders, referred to as an Annual Grant. Each Annual Grant will vest on the earlier of (a) the next annual meeting of the Company’s stockholders and (b) the one-year anniversary of the grant date of the Annual Grant, subject to the director’s continued service on the applicable vesting date or an earlier change in control of Prelude. If the non-employee director’s service ends on the date of vesting, then the vesting will be deemed to have occurred.</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September 2020, our board of directors approved an option to purchase 46,688 shares of our common stock to each of Messrs. Friedman, Bonita and Neu and an option to purchase 43,230 shares of our common stock to Ms. Dier, in each case pursuant to the 2016 Plan and subject to the terms and conditions set forth in the applicable stock option agreements under such plan. In addition, each of Ms. Dier and Dr. Sandor each received an option to purchase 3,458 shares upon the effectiveness of our IPO registration statement pursuant to the 2020 Plan and subject to the terms and conditions set forth in the applicable stock option agreements under such plan, with an exercise per share of $19.00.</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20"/>
          </w:cols>
          <w:pgMar w:left="320" w:top="459" w:right="5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 following tables and accompanying narrative disclosure set forth information about the compensation earned by our named executive officers during the year ended December 31, 2019. Our named executive officers, who are our principal executive officer and the two most highly compensated executive officers (other than our principal executive officer) serving as executive officers as of December 31, 2019, were:</w:t>
      </w:r>
    </w:p>
    <w:p>
      <w:pPr>
        <w:spacing w:after="0" w:line="71"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Kris Vaddi, Ph.D.,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David Mauro, M.D., Ph.D., Chief Medical Officer;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Andrew P. Combs, Ph.D., Executive Vice President and Head of Chemistry.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4280" w:type="dxa"/>
            <w:vAlign w:val="bottom"/>
            <w:vMerge w:val="restart"/>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280" w:type="dxa"/>
            <w:vAlign w:val="bottom"/>
            <w:vMerge w:val="continue"/>
          </w:tcPr>
          <w:p>
            <w:pPr>
              <w:spacing w:after="0"/>
              <w:rPr>
                <w:sz w:val="15"/>
                <w:szCs w:val="15"/>
                <w:color w:val="auto"/>
              </w:rPr>
            </w:pPr>
          </w:p>
        </w:tc>
        <w:tc>
          <w:tcPr>
            <w:tcW w:w="680" w:type="dxa"/>
            <w:vAlign w:val="bottom"/>
          </w:tcPr>
          <w:p>
            <w:pPr>
              <w:jc w:val="right"/>
              <w:ind w:right="177"/>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28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280" w:type="dxa"/>
            <w:vAlign w:val="bottom"/>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80" w:type="dxa"/>
            <w:vAlign w:val="bottom"/>
          </w:tcPr>
          <w:p>
            <w:pPr>
              <w:spacing w:after="0"/>
              <w:rPr>
                <w:sz w:val="15"/>
                <w:szCs w:val="15"/>
                <w:color w:val="auto"/>
              </w:rPr>
            </w:pPr>
          </w:p>
        </w:tc>
        <w:tc>
          <w:tcPr>
            <w:tcW w:w="840" w:type="dxa"/>
            <w:vAlign w:val="bottom"/>
          </w:tcPr>
          <w:p>
            <w:pPr>
              <w:jc w:val="right"/>
              <w:ind w:right="257"/>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Kris Vaddi, Ph.D.</w:t>
            </w:r>
            <w:r>
              <w:rPr>
                <w:rFonts w:ascii="Arial" w:cs="Arial" w:eastAsia="Arial" w:hAnsi="Arial"/>
                <w:sz w:val="15"/>
                <w:szCs w:val="15"/>
                <w:color w:val="auto"/>
              </w:rPr>
              <w:t>(3)</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315,000</w:t>
            </w: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815,000</w:t>
            </w: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828,125</w:t>
            </w:r>
          </w:p>
        </w:tc>
        <w:tc>
          <w:tcPr>
            <w:tcW w:w="2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121,275</w:t>
            </w:r>
          </w:p>
        </w:tc>
        <w:tc>
          <w:tcPr>
            <w:tcW w:w="2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2,079,400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040" w:type="dxa"/>
            <w:vAlign w:val="bottom"/>
            <w:gridSpan w:val="2"/>
          </w:tcPr>
          <w:p>
            <w:pPr>
              <w:spacing w:after="0" w:line="201" w:lineRule="exact"/>
              <w:rPr>
                <w:sz w:val="20"/>
                <w:szCs w:val="20"/>
                <w:color w:val="auto"/>
              </w:rPr>
            </w:pPr>
            <w:r>
              <w:rPr>
                <w:rFonts w:ascii="Arial" w:cs="Arial" w:eastAsia="Arial" w:hAnsi="Arial"/>
                <w:sz w:val="18"/>
                <w:szCs w:val="18"/>
                <w:color w:val="auto"/>
              </w:rPr>
              <w:t>David Mauro, M.D., Ph.D.</w:t>
            </w:r>
          </w:p>
        </w:tc>
        <w:tc>
          <w:tcPr>
            <w:tcW w:w="9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250,000</w:t>
            </w:r>
          </w:p>
        </w:tc>
        <w:tc>
          <w:tcPr>
            <w:tcW w:w="9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8"/>
              </w:rPr>
              <w:t>437,500</w:t>
            </w:r>
          </w:p>
        </w:tc>
        <w:tc>
          <w:tcPr>
            <w:tcW w:w="12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96,731</w:t>
            </w:r>
          </w:p>
        </w:tc>
        <w:tc>
          <w:tcPr>
            <w:tcW w:w="9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784,231</w:t>
            </w:r>
          </w:p>
        </w:tc>
        <w:tc>
          <w:tcPr>
            <w:tcW w:w="0" w:type="dxa"/>
            <w:vAlign w:val="bottom"/>
          </w:tcPr>
          <w:p>
            <w:pPr>
              <w:spacing w:after="0"/>
              <w:rPr>
                <w:sz w:val="1"/>
                <w:szCs w:val="1"/>
                <w:color w:val="auto"/>
              </w:rPr>
            </w:pPr>
          </w:p>
        </w:tc>
      </w:tr>
      <w:tr>
        <w:trPr>
          <w:trHeight w:val="237"/>
        </w:trPr>
        <w:tc>
          <w:tcPr>
            <w:tcW w:w="60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 Combs, Ph.D.</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187,000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96,250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772,750</w:t>
            </w:r>
          </w:p>
        </w:tc>
        <w:tc>
          <w:tcPr>
            <w:tcW w:w="0" w:type="dxa"/>
            <w:vAlign w:val="bottom"/>
          </w:tcPr>
          <w:p>
            <w:pPr>
              <w:spacing w:after="0"/>
              <w:rPr>
                <w:sz w:val="1"/>
                <w:szCs w:val="1"/>
                <w:color w:val="auto"/>
              </w:rPr>
            </w:pPr>
          </w:p>
        </w:tc>
      </w:tr>
      <w:tr>
        <w:trPr>
          <w:trHeight w:val="244"/>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Vice President and Head of Chemistry</w:t>
            </w: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53"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reported in the Stock Awards and Option Awards columns represent the aggregate grant date fair value of the awards granted under our 2016 Plan to the named executive officers during the year ended December 31, 2019 as computed in accordance with FASB ASC Topic 718, or ASC 718. The assumptions used in calculating the grant date fair value of the awards reported in the Stock Awards and Option Awards columns are set forth in Note 9 to our audited financial statements included elsewhere in this prospectus. Note that the amounts reported in this column reflect the aggregate accounting cost for these awards, and do not necessarily correspond to the actual economic value that may be received by the named executive officer from the awards.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additional information regarding the non-equity incentive plan compensation, see “—Non-Equity Incentive Plan Awards.”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Dr. Vaddi is also a member of our board of directors but does not receive any additional compensation in his capacity as a director.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2019 Fiscal Year-End Table</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provides information regarding each unexercised stock option and share of restricted common stock held by our named executive officers as of December 31,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Option Awards</w:t>
            </w: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Shares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Grant</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3"/>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Stock That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86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Date</w:t>
            </w:r>
            <w:r>
              <w:rPr>
                <w:rFonts w:ascii="Arial" w:cs="Arial" w:eastAsia="Arial" w:hAnsi="Arial"/>
                <w:sz w:val="12"/>
                <w:szCs w:val="12"/>
                <w:b w:val="1"/>
                <w:bCs w:val="1"/>
                <w:color w:val="auto"/>
                <w:w w:val="97"/>
              </w:rPr>
              <w:t>(1)</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740" w:type="dxa"/>
            <w:vAlign w:val="bottom"/>
            <w:gridSpan w:val="2"/>
          </w:tcPr>
          <w:p>
            <w:pPr>
              <w:jc w:val="center"/>
              <w:ind w:left="139"/>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10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Date</w:t>
            </w: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Vested (#)</w:t>
            </w: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Kris Vaddi, Ph.D.</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2/28/2017</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12,969</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58"/>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0.31</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2/27/2027</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59"/>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6/17/2019</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572,799</w:t>
            </w:r>
            <w:r>
              <w:rPr>
                <w:rFonts w:ascii="Arial" w:cs="Arial" w:eastAsia="Arial" w:hAnsi="Arial"/>
                <w:sz w:val="15"/>
                <w:szCs w:val="15"/>
                <w:color w:val="auto"/>
                <w:w w:val="95"/>
              </w:rPr>
              <w:t>(4)</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1.89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6/16/2029</w:t>
            </w:r>
          </w:p>
        </w:tc>
        <w:tc>
          <w:tcPr>
            <w:tcW w:w="2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10/5/2017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200,194</w:t>
            </w:r>
            <w:r>
              <w:rPr>
                <w:rFonts w:ascii="Arial" w:cs="Arial" w:eastAsia="Arial" w:hAnsi="Arial"/>
                <w:sz w:val="15"/>
                <w:szCs w:val="15"/>
                <w:color w:val="auto"/>
                <w:w w:val="95"/>
              </w:rPr>
              <w:t>(5)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377,418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8/3/2018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227,323</w:t>
            </w:r>
            <w:r>
              <w:rPr>
                <w:rFonts w:ascii="Arial" w:cs="Arial" w:eastAsia="Arial" w:hAnsi="Arial"/>
                <w:sz w:val="15"/>
                <w:szCs w:val="15"/>
                <w:color w:val="auto"/>
                <w:w w:val="95"/>
              </w:rPr>
              <w:t>(5)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428,562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6/17/2019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432,301</w:t>
            </w:r>
            <w:r>
              <w:rPr>
                <w:rFonts w:ascii="Arial" w:cs="Arial" w:eastAsia="Arial" w:hAnsi="Arial"/>
                <w:sz w:val="15"/>
                <w:szCs w:val="15"/>
                <w:color w:val="auto"/>
                <w:w w:val="95"/>
              </w:rPr>
              <w:t>(5)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815,000</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David Mauro, M.D., Ph.D.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6/17/2019</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302,611</w:t>
            </w:r>
            <w:r>
              <w:rPr>
                <w:rFonts w:ascii="Arial" w:cs="Arial" w:eastAsia="Arial" w:hAnsi="Arial"/>
                <w:sz w:val="15"/>
                <w:szCs w:val="15"/>
                <w:color w:val="auto"/>
                <w:w w:val="95"/>
              </w:rPr>
              <w:t>(4)</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1.89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6/16/2029</w:t>
            </w:r>
          </w:p>
        </w:tc>
        <w:tc>
          <w:tcPr>
            <w:tcW w:w="2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 Combs, Ph.D.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6/17/2019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259,380</w:t>
            </w:r>
            <w:r>
              <w:rPr>
                <w:rFonts w:ascii="Arial" w:cs="Arial" w:eastAsia="Arial" w:hAnsi="Arial"/>
                <w:sz w:val="15"/>
                <w:szCs w:val="15"/>
                <w:color w:val="auto"/>
                <w:w w:val="95"/>
              </w:rPr>
              <w:t>(5)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outstanding equity awards were granted under the 2016 Plan.</w:t>
      </w:r>
    </w:p>
    <w:p>
      <w:pPr>
        <w:spacing w:after="0" w:line="23" w:lineRule="exact"/>
        <w:rPr>
          <w:rFonts w:ascii="Arial" w:cs="Arial" w:eastAsia="Arial" w:hAnsi="Arial"/>
          <w:sz w:val="18"/>
          <w:szCs w:val="18"/>
          <w:color w:val="auto"/>
        </w:rPr>
      </w:pPr>
    </w:p>
    <w:p>
      <w:pPr>
        <w:ind w:left="540" w:right="420" w:hanging="424"/>
        <w:spacing w:after="0" w:line="250"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There was no public market for our common stock as of December 31, 2019. The fair market value of our common stock as of December 31, 2019, as determined by an independent valuation, was $1.89 per share.</w:t>
      </w:r>
    </w:p>
    <w:p>
      <w:pPr>
        <w:ind w:left="54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option was 100% vested on the grant date.</w:t>
      </w:r>
    </w:p>
    <w:p>
      <w:pPr>
        <w:spacing w:after="0" w:line="9" w:lineRule="exact"/>
        <w:rPr>
          <w:rFonts w:ascii="Arial" w:cs="Arial" w:eastAsia="Arial" w:hAnsi="Arial"/>
          <w:sz w:val="18"/>
          <w:szCs w:val="18"/>
          <w:color w:val="auto"/>
        </w:rPr>
      </w:pPr>
    </w:p>
    <w:p>
      <w:pPr>
        <w:jc w:val="both"/>
        <w:ind w:left="540" w:right="80" w:hanging="424"/>
        <w:spacing w:after="0" w:line="265" w:lineRule="auto"/>
        <w:tabs>
          <w:tab w:leader="none" w:pos="5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1/4th of the option vests on the one-year anniversary of the vesting commencement date and an additional 1/48th vests monthly thereafter, subject to the executive’s continued service to us. The options are also subject to acceleration of vesting upon a qualifying termination of employment, as described in greater detail in the “Employment Arrangements with our Named Executive Officers” section below.</w:t>
      </w:r>
    </w:p>
    <w:p>
      <w:pPr>
        <w:ind w:left="540" w:right="400" w:hanging="424"/>
        <w:spacing w:after="0" w:line="277" w:lineRule="auto"/>
        <w:tabs>
          <w:tab w:leader="none" w:pos="5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1/4th of the restricted stock vests on the one-year anniversary of the vesting commencement date, and an additional 1/48th vests monthly thereafter for 36 months, subject to the executive’s continued service to us. These shares would vest in full upon a qualifying termination of employment, as described in the “Employment Arrangements with our Named Executive Officers” section below.</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Non-Equity Incentive Plan Awards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Annual bonuses for our executive officers are based on the achievement of corporate and, for all of the executive officers other than our Chief Executive Officer, individual performance objectives, as determined by our board of directors. For the 2019 bonuses, the corporate performance objectives included the IND submission of PRT811, advancing our product candidates in pre-clinical and clinical development and the establishment of development infrastructure capable of supporting advancement of the development candidates into the clinic. In March 2020, based on the achievement of these corporate performance objectives and satisfaction of individual performance goals, our board of directors determined to award bonuses equal to 110% of target.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have entered into written employment agreements with each of our named executive officers, setting forth the terms and conditions of employment of each named executive officer, including his initial base salary, target bonus, equity awards and employee benefit plan participation, including the following base salaries and target bonus opportunities for each of our named executive officers: Kris Vaddi: $495,000 base salary and target bonus of 50% of base salary; David Mauro: $404,300 base salary and target bonus of 40% of base salary; Andrew Combs: $375,000 base salary and target bonus of 40% of base salary.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the employment agreements with our named executive officers, in the event the named executive officer is terminated by the Company without “cause”, he will be entitled to receive his base salary and we will directly pay or reimburse the named executive officer for the cost of continued healthcare coverage, in each case for 12 months in the case of Dr. Vaddi and for nine months in the case of Dr. Mauro and Dr. Combs. In addition, Dr. Vaddi will be entitled to acceleration of his currently outstanding restricted shares.</w:t>
      </w:r>
    </w:p>
    <w:p>
      <w:pPr>
        <w:spacing w:after="0" w:line="18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the event that the named executive officer is terminated without “cause” or he resigns for “good reason” within 12 months following a change in control of the company, in lieu of the foregoing, he will be entitled to receive (i) his base salary and we will directly pay or reimburse the named executive officer for the cost of continued healthcare coverage, in each case for 18 months in the case of Dr. Vaddi and for 12 months in the case of Dr. Mauro and Dr. Combs, (ii) a multiple of his annual target bonus opportunity equal to 150% for Dr. Vaddi and 100% for Dr. Mauro and Dr. Combs, and (iii) his equity awards will become fully vested and exercisable, as applicable.</w:t>
      </w:r>
    </w:p>
    <w:p>
      <w:pPr>
        <w:spacing w:after="0" w:line="17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The severance payments and benefits would be subject to the named executive officer’s execution of a general release of claims against us, and his agreement to comply with the non-competition and non-solicitation provisions in his proprietary information and restrictive covenant agreement. To the extent such severance payments and benefits are payable in connection with a change in control and would result in excise taxes imposed by</w:t>
      </w:r>
    </w:p>
    <w:p>
      <w:pPr>
        <w:spacing w:after="0" w:line="2" w:lineRule="exact"/>
        <w:rPr>
          <w:sz w:val="20"/>
          <w:szCs w:val="20"/>
          <w:color w:val="auto"/>
        </w:rPr>
      </w:pPr>
    </w:p>
    <w:p>
      <w:pPr>
        <w:jc w:val="both"/>
        <w:ind w:left="120" w:right="460"/>
        <w:spacing w:after="0" w:line="255" w:lineRule="auto"/>
        <w:rPr>
          <w:sz w:val="20"/>
          <w:szCs w:val="20"/>
          <w:color w:val="auto"/>
        </w:rPr>
      </w:pPr>
      <w:r>
        <w:rPr>
          <w:rFonts w:ascii="Arial" w:cs="Arial" w:eastAsia="Arial" w:hAnsi="Arial"/>
          <w:sz w:val="18"/>
          <w:szCs w:val="18"/>
          <w:color w:val="auto"/>
        </w:rPr>
        <w:t>Section 4999 of the Internal Revenue Code of 1986, as amended, then each of the named executive officers would be entitled to receive (i) the full payment of such payments and benefits or (ii) such lesser amount as would result in no portion of those payments and benefits being subject to the excise tax, whichever results in the greater net after-tax position for the executive.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plans are summarized below. These summaries are qualified in their entirety by reference to the actual text of the plans, which are filed as exhibits to the registration statement of which this prospectus is a part.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2016 Plan was initially adopted by our board of directors and approved by our stockholders in June 2016. The 2016 Plan has been amended from time to time, and was amended and restated in March 2020 to, among other things, expand the types of awards available for grant and make certain changes to the treatment of equity awards in connection with a change in control transaction. The 2016 Plan provides for the grant of options to purchase shares of our common stock, as well as for the award of restricted stock, or RSAs, restricted stock units, or RSUs, and stock appreciation rights, or SARs.</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of September 30, 2020, options to purchase 101,496 shares had been exercised and options to purchase 6,649,882 shares remained outstanding, with a weighted-average exercise price of $7.00 per share. As of September 30, 2020, 2,260,562 shares of restricted stock were granted, of which all shares remained outstanding. No other types of awards have been granted under the 2016 Plan. The 2016 Plan terminated concurrently with the effectiveness of our 2020 Plan, and no additional grants were made pursuant to the 2016 Plan following its termination. However, any outstanding options and shares of restricted stock will remain outstanding until they are exercised, as applicable, or are terminated in accordance with the terms of the 2016 Plan and the applicable award agreements evidencing such awards.</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2016 Plan is administered by our compensation committee, referred to as the administrator. Subject to the terms of the 2016</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administrator has the authority to, among other things,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select the persons to whom awards will be granted, construe and interpret our 2016 Plan as well as to prescribe, amend, expand, modify and rescind rules and regulations relating to the 2016 Plan.</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Pursuant to the 2016 Plan, we may grant incentive stock options, which are intended to qualify for tax treatment as set forth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Internal Revenue Code, as amended, or the Code, only to our employees (including officers and directors who are also employees). We may grant non-statutory stock options and all other types of awards to our employees (including officers and directors who are also employees), non-employee directors and consultants. We refer to employees, directors, or consultants who receive an award under our equity plans as participants.</w:t>
      </w:r>
    </w:p>
    <w:p>
      <w:pPr>
        <w:spacing w:after="0" w:line="15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2016 Plan provides that the exercise price of each stock option must be at least equal to the fair market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of grant. However, the exercise price of any incentive stock option granted to a participant who owns more than ten percent of the total combined voting power of all classes of our capital stock, directly or by attribution, must be at least equal to 110% of the fair market value of our common stock on the date of grant.</w:t>
      </w:r>
    </w:p>
    <w:p>
      <w:pPr>
        <w:spacing w:after="0" w:line="18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maximum permitted term of options granted under our 2016 Plan is ten years from the date of grant, except that the maximum permitted term of incentive stock options granted to a participant who owns more than ten percent of the total combined voting power of all classes of our capital stock, directly or by attribution, is five years from the date of grant.</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The 2016 Plan also provides for the issuance of RSAs pursuant to which the holder may purchase restricted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Among other terms and conditions, we may retain an option to repurchase the unvested restricted stock at any time following the holder’s termination of service.</w:t>
      </w:r>
    </w:p>
    <w:p>
      <w:pPr>
        <w:spacing w:after="0" w:line="18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i w:val="1"/>
          <w:iCs w:val="1"/>
          <w:color w:val="auto"/>
        </w:rPr>
        <w:t>Other Awards</w:t>
      </w:r>
      <w:r>
        <w:rPr>
          <w:rFonts w:ascii="Arial" w:cs="Arial" w:eastAsia="Arial" w:hAnsi="Arial"/>
          <w:sz w:val="16"/>
          <w:szCs w:val="16"/>
          <w:color w:val="auto"/>
        </w:rPr>
        <w:t>. The 2016 Plan was amended and restated in March 2020 to allow for the grant of RSUs and SARs, with terms as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in accordance with the 2016 Plan. As of June 30, 2020, we have not granted any RSUs or SARs under the 2016 Plan.</w:t>
      </w:r>
    </w:p>
    <w:p>
      <w:pPr>
        <w:spacing w:after="0" w:line="12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i w:val="1"/>
          <w:iCs w:val="1"/>
          <w:color w:val="auto"/>
        </w:rPr>
        <w:t>Limited Transferability</w:t>
      </w:r>
      <w:r>
        <w:rPr>
          <w:rFonts w:ascii="Arial" w:cs="Arial" w:eastAsia="Arial" w:hAnsi="Arial"/>
          <w:sz w:val="18"/>
          <w:szCs w:val="18"/>
          <w:color w:val="auto"/>
        </w:rPr>
        <w:t>. Unless otherwise determined by the administrator, awards granted under our 2016 Plan generally may not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or assigned in any manner other than by will or the laws of descent and distribution.</w:t>
      </w:r>
    </w:p>
    <w:p>
      <w:pPr>
        <w:spacing w:after="0" w:line="170"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“corporate transaction” (as defined in the 2016 Plan prior to its amendment and restatement),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amendment and restatement of the 2016 Plan, may be (i) substituted or replaced by a successor entity with an equity award having substantially equivalent terms, or (ii) cancelled, provided that the administrator may provide for vested awards to be cancelled in exchange for payment equal to the value of shares underlying such awards (less any applicable exercise price), subject to certain notice requirements. The administrator may also elect to provide for partial or full accelerated vesting of such awards, or to change the terms of any award to reflect the corporate transaction, subject to certain limitations.</w:t>
      </w:r>
    </w:p>
    <w:p>
      <w:pPr>
        <w:spacing w:after="0" w:line="19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the event of an “acquisition” or certain “other combinations” (each, as defined in the 2016 Plan), awards granted on or after the amendment and restatement of the 2016 Plan in March 2020 may be: (i) continued if we are the successor entity; (ii) assumed by the surviving corporation or its parent;</w:t>
      </w:r>
    </w:p>
    <w:p>
      <w:pPr>
        <w:ind w:left="120" w:right="100" w:hanging="4"/>
        <w:spacing w:after="0" w:line="253" w:lineRule="auto"/>
        <w:tabs>
          <w:tab w:leader="none" w:pos="4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substituted by the surviving corporation or its parent with new equity awards on substantially the same terms; (iv) cancelled for no consideration or in exchange for equivalent value in cash, cash equivalents, or securities of the successor entity, which payments may be deferred until the date or dates the award would have become exercisable or vested; (v) partially or fully accelerated; or (vi) any combination of the foregoing. Awards need not be treated identically.</w:t>
      </w:r>
    </w:p>
    <w:p>
      <w:pPr>
        <w:spacing w:after="0" w:line="193"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change in the number of outstanding shares of our common stock without consideration by reason of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recapitalization, stock split, reverse stock split, subdivision,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combination, reclassification or other similar change in our capital structure, proportional adjustments may be made to the number of shares reserved for issuance under our 2016 Plan; the exercise prices, number and class of shares subject to outstanding options or SARs; the number and class of shares subject to other outstanding awards; and any applicable maximum award limits with respect to incentive stock options, in each case to prevent diminution or enlargement of the benefits or potential benefits intended to be made under the 2016 Plan.</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Exchange, Repricing and Buyout of Awards</w:t>
      </w:r>
      <w:r>
        <w:rPr>
          <w:rFonts w:ascii="Arial" w:cs="Arial" w:eastAsia="Arial" w:hAnsi="Arial"/>
          <w:sz w:val="18"/>
          <w:szCs w:val="18"/>
          <w:color w:val="auto"/>
        </w:rPr>
        <w:t>. Pursuant to the 2016 Plan, as amended and restated, the administrator may, with the consent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participants, issue new awards in exchange for the surrender and cancellation of any or all outstanding awards. Our board of directors may also reduce the exercise price of options or SARs or buy an award previously granted with payment in cash, shares or other consideration, in each case, subject to the terms of the 2016 Plan.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2016 Plan terminated concurrently with the effectiveness of our 2020 Plan.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adopted our 2020 Equity Incentive Plan, or the 2020 Plan, which became effective on September 23, 2020, and it serves as the successor to our 2016 Plan. Our 2020 Plan authorizes the award of stock options, RSAs, SARs, RSUs, cash awards, performance awards and stock bonus awards. We have initially reserved 4,680,000 shares of our common stock, plus any reserved shares not issued or subject to outstanding grants under the 2016 Plan on the effective date of the 2020 Plan, for issuance pursuant to awards granted under our 2020 Plan. The number of shares reserved for issuance under our 2020 Plan will increase automatically on January 1 of each of 2021 through 2030 by the number of shares equal to the lesser of 5% of the aggregate number of outstanding shares of our common stock as of the immediately preceding December 31, or a number as may be determined by our board of directors.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the following shares will again be available for issuance pursuant to awards granted under our 2020 Plan:</w:t>
      </w:r>
    </w:p>
    <w:p>
      <w:pPr>
        <w:spacing w:after="0" w:line="131" w:lineRule="exact"/>
        <w:rPr>
          <w:sz w:val="20"/>
          <w:szCs w:val="20"/>
          <w:color w:val="auto"/>
        </w:rPr>
      </w:pPr>
    </w:p>
    <w:p>
      <w:pPr>
        <w:ind w:left="1080" w:right="44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2020 Plan that cease to be subject to the option or SAR for any reason other than exercise of the option or SAR;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shares subject to awards granted under our 2020 Plan that are subsequently forfeited or repurchased by us at the original issue price;</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subject to awards granted under our 2020 Plan that otherwise terminate without such shares being issued;</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subject to awards granted under our 2020 Plan that are surrendered, cancelled or exchanged for cash or a different award (or combination thereof);</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our 2016 Plan that cease to be subject to such options or other awards, by forfeiture or otherwise, after the termination of the 2016 Plan;</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of common stock subject to awards granted prior to the effectiveness of the 2016 Plan that are forfeited to or otherwise repurchased by us;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subject to awards granted under our 2016 Plan that are forfeited or repurchased by us at the original price after the termination of the 2016 Plan; and</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subject to awards under our 2016 Plan or our 2020 Plan that are used to pay the exercise price of an option or withheld to satisfy the tax withholding obligations related to any award.</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2020 Plan is administered by our compensation committee, or by our board of directors acting in place of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Subject to the terms and conditions of the 2020 Plan,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administrator has the authority, among other things, to select the persons to whom awards may be granted, construe and interpret our 2020 Plan as well as to determine the terms of such awards and prescribe, amend and rescind the rules and regulations relating to the plan or any award granted thereunder. The 2020 Plan provides that the administrator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1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Our 2020 Plan provides for the grant of awards to our employees, directors, consultants, independent contractors and advisors. No non-employee director may receive awards under our 2020 Plan that, when combined with cash compensation received as a non-employee director, exceed $750,000 in a calendar year or $1,000,000 in the calendar year of his or her initial services as a non-employee director with us.</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The 2020 Plan provides for the grant of both incentive stock options intended to qualify under Section 422 of the Code, and non-statutory</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to purchase shares of our common stock at a stated exercise price. Incentive stock options may only be granted to employees, including officers and directors who are also employees. The exercise price of stock options granted under the 2020 Plan must be at least equal to the fair market value of our common stock on the date of grant. Incentive stock options granted to an individual who holds, directly or by attribution, more than ten percent of the total combined voting power of all classes of our capital stock must have an exercise price of at least 110% of the fair market value of our common stock on the date of grant. Subject to stock splits, dividends, recapitalizations or similar events, no more than 14,040,000 shares may be issued pursuant to the exercise of incentive stock options granted under the 2020 Plan.</w:t>
      </w:r>
    </w:p>
    <w:p>
      <w:pPr>
        <w:spacing w:after="0" w:line="17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Options may vest based on service or achievement of performance conditions. The administrator may provide for options to be exercised only as they vest or to be immediately exercisable, with any shares issued on exercise being subject to our right of repurchase that lapses as the shares vest. The maximum term of options granted under our 2020 Plan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88"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An RSA is an offer by us to sell shares of our common stock subject to restrictions, which may lapse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satisfaction of service or achievement of performance conditions. The price, if any, of an RSA will be determined by the compensation committee. Holders of RSAs, unlike holders of options, will have the right to vote and any dividends or stock distributions paid pursuant to RSAs will be accrued and paid when the restrictions on such shares lapse. Unless otherwise determined by the compensation committee at the time of award, vesting will cease on the date the participant no longer provides services to us and unvested shares may be forfeited to or repurchased by us.</w:t>
      </w:r>
    </w:p>
    <w:p>
      <w:pPr>
        <w:spacing w:after="0" w:line="16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SAR provides for a payment, in cash or shares of our common stock (up to a specified maximum of shares, if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compensation committee), to the holder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and may not have a term that is longer than ten years from the date of grant.</w:t>
      </w:r>
    </w:p>
    <w:p>
      <w:pPr>
        <w:spacing w:after="0" w:line="18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RSUs represent the right to receive shares of our common stock at a specified date in the future, and may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based on service or achievement of performance conditions. Payment of earned RSUs will be made as soon as practicable on a date determined at the time of grant, and may be settled in cash, shares of our common stock or a combination of both. No RSU may have a term that is longer than ten years from the date of grant.</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granted to pursuant to the 2020 Plan may be in the form of a cash bonus, or an award of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performance units denominated in shares of our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may be settled in cash, property or by issuance of those shares subject to the satisfaction or achievement of specified performance conditions.</w:t>
      </w:r>
    </w:p>
    <w:p>
      <w:pPr>
        <w:spacing w:after="0" w:line="24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Stock Bonus Awards</w:t>
      </w:r>
      <w:r>
        <w:rPr>
          <w:rFonts w:ascii="Arial" w:cs="Arial" w:eastAsia="Arial" w:hAnsi="Arial"/>
          <w:sz w:val="18"/>
          <w:szCs w:val="18"/>
          <w:color w:val="auto"/>
        </w:rPr>
        <w:t>. A stock bonus award provides for payment in the form of cash, shares of our common stock or a combination thereof,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fair market value of shares subject such award as determined by our compensation committee. The awards may be granted as consideration for services already rendered, or at the discretion of the compensation committee, may be subject to vesting restrictions based on continued service or performance conditions.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A cash award is an award that is denominated in, or payable to an eligible participant solely in, cash.</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Dividend Equivalents Rights</w:t>
      </w:r>
      <w:r>
        <w:rPr>
          <w:rFonts w:ascii="Arial" w:cs="Arial" w:eastAsia="Arial" w:hAnsi="Arial"/>
          <w:sz w:val="16"/>
          <w:szCs w:val="16"/>
          <w:color w:val="auto"/>
        </w:rPr>
        <w:t>. Dividend equivalent rights may be granted at the discretion of the administrator, and represent the right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dividends, if any, paid by us in respect of the number of shares of our common stock underlying an award. Dividend equivalent rights will be subject to the same vesting or performance conditions as the underlying award and will be paid only at such time as the underlying award has become fully vested. Dividend equivalent rights may be settled in cash, shares or other property, or a combination of thereof as determined by the administrator.</w:t>
      </w:r>
    </w:p>
    <w:p>
      <w:pPr>
        <w:spacing w:after="0" w:line="15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Our 2020 Plan provides that, in the event of a “corporate transaction” (as defined in the 2020 Plan), awards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2020 Plan may (i) be continued by the company, if we are the successor entity; or (ii) assumed or substituted by the successor corporation, or a parent or subsidiary of the successor corporation, for substantially equivalent awards (including, but not limited to, an award to acquire the same consideration paid to our stockholders pursuant to the corporate transaction), in each case after taking into account appropriate adjustments for the number and kind of shares and exercise prices. The successor corporation may also issue, as replacement of our outstanding shares held by the participant, substantially similar shares, or other property subject to repurchase restrictions no less favorable to the participant. In the event the successor corporation refuses to assume, substitute, or replace any award, then such award will become fully vested and, as applicable, exercisable and any rights of repurchase or forfeiture restrictions thereon will lapse, immediately prior to the consummation of the corporation transaction. Awards with performance-based vesting criteria that are not assumed will be deemed earned and vested based on the greater of actual performance (if determinable) or 100% of target level, unless otherwise indicated pursuant to the terms and conditions of the applicable award agreement.</w:t>
      </w:r>
    </w:p>
    <w:p>
      <w:pPr>
        <w:spacing w:after="0" w:line="16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Adjustment</w:t>
      </w:r>
      <w:r>
        <w:rPr>
          <w:rFonts w:ascii="Arial" w:cs="Arial" w:eastAsia="Arial" w:hAnsi="Arial"/>
          <w:sz w:val="17"/>
          <w:szCs w:val="17"/>
          <w:color w:val="auto"/>
        </w:rPr>
        <w:t>. In the event of a change in the number of outstanding shares of our common stock without consideration by reason of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extraordinary dividend or distribution, recapitalization, stock split, reverse stock split, subdivision, combination, consolidation reclassification, spin-off or similar change in our capital structure, appropriate proportional adjustments may be made to the number of shares reserved for issuance under our 2020 Plan; the exercise prices, number and class of shares subject to outstanding options or SARs; the number and class of shares subject to other outstanding awards; and any applicable maximum award limits with respect to incentive stock options.</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Exchange, Repricing and Buyout of Awards</w:t>
      </w:r>
      <w:r>
        <w:rPr>
          <w:rFonts w:ascii="Arial" w:cs="Arial" w:eastAsia="Arial" w:hAnsi="Arial"/>
          <w:sz w:val="18"/>
          <w:szCs w:val="18"/>
          <w:color w:val="auto"/>
        </w:rPr>
        <w:t>. The administrator may, with the consent of the respective participants, issue new awards in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surrender and cancelation of any or all outstanding awards.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administrator may also reduce the exercise price of options or SARs or buy an award previously granted with payment in cash, shares or other consideration, in each case, subject to the terms of the 2020 Plan.</w:t>
      </w:r>
    </w:p>
    <w:p>
      <w:pPr>
        <w:spacing w:after="0" w:line="170"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Clawback; Transferability. </w:t>
      </w:r>
      <w:r>
        <w:rPr>
          <w:rFonts w:ascii="Arial" w:cs="Arial" w:eastAsia="Arial" w:hAnsi="Arial"/>
          <w:sz w:val="18"/>
          <w:szCs w:val="18"/>
          <w:color w:val="auto"/>
        </w:rPr>
        <w:t>All awards will be subject to clawback or recoupment pursuant to any compensation clawback or recoupment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by our board of directors or required by law during the term of service of the award holder, to the extent set forth in such policy or applicable agreement. Except in limited circumstances, awards granted under our 2020 Plan may generally not be transferred in any manner prior to vesting other than by will or by the laws of descent and distribution.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our 2020 Plan at any time, subject to stockholder approval as may be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Our 2020 Plan will terminate ten years from the date our board of directors adopts the plan, unless it is terminated earlier by our board of directors. No termination or amendment of the 2020 Plan may adversely affect any then-outstanding award without the consent of the affected participant, except as is necessary to comply with applicable laws.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We have adopted our 2020 Employee Stock Purchase Plan, or ESPP, which became effective on September 24, 2020 in order to enable eligible employees to purchase shares of our common stock with accumulated payroll deductions at a discount beginning on a date to be determined by our board of directors or our compensation committee. Our ESPP is intended to qualify under Section 423 of the Code.</w:t>
      </w:r>
    </w:p>
    <w:p>
      <w:pPr>
        <w:spacing w:after="0" w:line="16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Shares Available</w:t>
      </w:r>
      <w:r>
        <w:rPr>
          <w:rFonts w:ascii="Arial" w:cs="Arial" w:eastAsia="Arial" w:hAnsi="Arial"/>
          <w:sz w:val="16"/>
          <w:szCs w:val="16"/>
          <w:color w:val="auto"/>
        </w:rPr>
        <w:t>. We have initially reserved 520,000 shares of our common stock for sale under our ESPP. The aggregate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reserved for sale under our ESPP will increase automatically on January 1st of each of the first ten calendar years after the first offering date by the number of shares equal to the lesser of 5% of the total outstanding shares of our common stock as of the immediately preceding December 31 (rounded to the nearest whole share) or a number of shares as may be determined by our board of directors in any particular year. The aggregate number of shares issued over the term of our ESPP, subject to stock-splits, recapitalizations or similar events, may not exceed 5,200,000 shares of our common stock.</w:t>
      </w:r>
    </w:p>
    <w:p>
      <w:pPr>
        <w:spacing w:after="0" w:line="16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ESPP is administered by our compensation committee, or by our board of directors acting in place of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Among other things, the administrator has the authority to determine eligibility for participation in the ESPP, designate separate offerings under the plan, and construe, interpret and apply the terms of the plan.</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Employees eligible to participate in any offering pursuant to the ESPP generally include any employee that is employed by us or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of our designated subsidiaries at the beginning of the offering period. However, our compensation committee may determine that employees who are customarily employed for 20 hours or less per week or for five months or less in a calendar year may not be eligible to participate in the ESPP. In addition, any employee who owns (or is deemed to own as a result of attribution) 5% or more of the total combined voting power or value of all classes of our capital stock, or the capital stock of one of our qualifying subsidiaries, or who will own such amount as a result of participation in the ESPP, will not be eligible to participate in the ESPP. The compensation committee may impose additional restrictions on eligibility from time to time.</w:t>
      </w:r>
    </w:p>
    <w:p>
      <w:pPr>
        <w:spacing w:after="0" w:line="164"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i w:val="1"/>
          <w:iCs w:val="1"/>
          <w:color w:val="auto"/>
        </w:rPr>
        <w:t>Offerings</w:t>
      </w:r>
      <w:r>
        <w:rPr>
          <w:rFonts w:ascii="Arial" w:cs="Arial" w:eastAsia="Arial" w:hAnsi="Arial"/>
          <w:sz w:val="16"/>
          <w:szCs w:val="16"/>
          <w:color w:val="auto"/>
        </w:rPr>
        <w:t>. Under our ESPP, eligible employees will be offered the option to purchase shares of our common stock at a discount over a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periods. Each offering period may itself consist of one or more purchase periods. No offering period may be longer than 27 months.</w:t>
      </w:r>
    </w:p>
    <w:p>
      <w:pPr>
        <w:spacing w:after="0" w:line="124"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i w:val="1"/>
          <w:iCs w:val="1"/>
          <w:color w:val="auto"/>
        </w:rPr>
        <w:t>Participation</w:t>
      </w:r>
      <w:r>
        <w:rPr>
          <w:rFonts w:ascii="Arial" w:cs="Arial" w:eastAsia="Arial" w:hAnsi="Arial"/>
          <w:sz w:val="17"/>
          <w:szCs w:val="17"/>
          <w:color w:val="auto"/>
        </w:rPr>
        <w:t>. Participating employees will be able to purchase the offered shares of our common stock by accumulating funds through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deductions. Participants may select a rate of payroll deduction between 1% and 15% of their compensation. However, a participant may not purchase more than 2,500 shares during any one purchase period, and may not subscribe for more than $25,000 in fair market value of shares of our common stock (determined as of the date the offering period commences) in any calendar year in which the offering is in effect. The administrator, in its discretion, may set a lower maximum amount of shares which may be purchased.</w:t>
      </w:r>
    </w:p>
    <w:p>
      <w:pPr>
        <w:spacing w:after="0" w:line="176"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purchase price for shares of our common stock purchased under the ESPP will be 85% of the lesser of the fair market value of our common stock on (i) the first trading day of the applicable offering period or (ii) the last trading day of each purchase period in the applicable offering period.</w:t>
      </w:r>
    </w:p>
    <w:p>
      <w:pPr>
        <w:spacing w:after="0" w:line="12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Once an employee becomes a participant in an offering period, the participant will be automatically enrolled in each subsequent offering period at the same contribution level. A participant may reduce his or her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contribution in accordance with procedures set forth by the compensation committee and may withdraw from participation in the ESPP at any time prior the end of an offering period, or such other time as may be specified by the compensation committee. Upon withdrawal, the accumulated payroll deductions will be returned to the participant without interest.</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Adjustments upon Recapitalization</w:t>
      </w:r>
      <w:r>
        <w:rPr>
          <w:rFonts w:ascii="Arial" w:cs="Arial" w:eastAsia="Arial" w:hAnsi="Arial"/>
          <w:sz w:val="16"/>
          <w:szCs w:val="16"/>
          <w:color w:val="auto"/>
        </w:rPr>
        <w:t>. If the number of outstanding shares of our common stock is changed by stock dividend, recapitalization,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reverse stock split, subdivision, combination, reclassification or similar change in our capital structure without consideration, then our compensation committee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5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If we experience a change of control transaction, any offering period that commenced prior to the closing of the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of control transaction will be shortened and terminated on a new purchase date. The new purchase date will occur on or prior to the closing of the proposed change of control transaction, and our ESPP will then terminate on the closing of the proposed change of control.</w:t>
      </w:r>
    </w:p>
    <w:p>
      <w:pPr>
        <w:spacing w:after="0" w:line="149"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A participant may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146"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administrator may amend, suspend or terminate the ESPP at any time without stockholder consent,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law. Our ESPP will continue until the earlier to occur of (a) termination of the ESPP by our board of directors, (b) issuance of all of the shares reserved for issuance under the ESPP, or (c) the tenth anniversary of the effective date under the ESPP.</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sponsor a retirement savings plan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We expect to make discretionary matching contributions beginning January 1, 2021, which contributions will be subject to vesting conditions.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401(k) plan, and health and welfare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restated certificate of incorporation contains provisions that limit the liability of our directors for monetary damages to the fullest extent permitted by the Delaware General Corporation Law, or DGCL. Consequently, our directors will not be personally liable to us or our stockholders for monetary damages for any breach of fiduciary duties as directors, except liability for:</w:t>
      </w:r>
    </w:p>
    <w:p>
      <w:pPr>
        <w:spacing w:after="0" w:line="8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5480" w:right="2280" w:hanging="4932"/>
        <w:spacing w:after="0" w:line="449" w:lineRule="auto"/>
        <w:tabs>
          <w:tab w:leader="none" w:pos="107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 169</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Our restated certificate of incorporation and our restated bylaws require us to indemnify our directors and officers to the maximum extent not prohibited by the DGCL and allow us to indemnify other employees and agents as set forth in the DGCL.</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95"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In addition to the compensation arrangements, including employment, termination of employment and change in control arrangements, with our directors and executive officers, including those discussed in the sections entitled “Management” and “Executive Compensation,” the following is a description of each transaction since January 1, 2017 and each currently proposed transaction in which:</w:t>
      </w:r>
    </w:p>
    <w:p>
      <w:pPr>
        <w:spacing w:after="0" w:line="71"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amounts involved exceeded or will exceed the lesser of $120,000 and 1% of our total assets; and</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 affiliate or immediate family member of the foregoing persons, had or will have a direct or indirect material interest.</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entitled “Executive Compensation.”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A Convertible Preferred Stock Financing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two closings in October 2017 and August 2018, we sold an aggregate of 9,499,556 shares of our Series A convertible preferred stock at a purchase price of $3.1423 per share for an aggregate purchase price of approximately $30.0 million. In addition, holders of our then-outstanding preferred stock prior to the Series A convertible preferred stock financing, such preferred stock referred to as the 2016 Preferred Stock, converted their shares of 2016 Preferred Stock to an aggregate of 2,236,563 shares of our Series A convertible preferred stock. Each share of our Series A convertible preferred stock converted automatically into one share of our common stock or our non-voting common stock, as applicable, upon our IPO in September 2020.</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purchasers of our Series A convertible preferred stock are entitled to specified registration rights. For additional information, see “Description of Capital Stock—Registration Rights.” The following table summarizes the Series A convertible preferred stock purchased by members of our board of directors or their affiliates and holders of more than 5% of our outstanding capital stock. The terms of these purchases were the same for all purchasers of our Series A convertible preferred stock. Please refer to the section titled “Principal Stockholders” for more details regarding the shares held by these entities.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Converted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Shares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Shares of</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Purchased Shares of</w:t>
            </w:r>
          </w:p>
        </w:tc>
        <w:tc>
          <w:tcPr>
            <w:tcW w:w="1240" w:type="dxa"/>
            <w:vAlign w:val="bottom"/>
            <w:gridSpan w:val="2"/>
            <w:vMerge w:val="continue"/>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Series A</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Series A</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Purchase</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4860" w:type="dxa"/>
            <w:vAlign w:val="bottom"/>
            <w:vMerge w:val="restart"/>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Series A Convertible</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Preferred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15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2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Baker Brothers</w:t>
            </w:r>
          </w:p>
        </w:tc>
        <w:tc>
          <w:tcPr>
            <w:tcW w:w="124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Arial" w:cs="Arial" w:eastAsia="Arial" w:hAnsi="Arial"/>
                <w:sz w:val="18"/>
                <w:szCs w:val="18"/>
                <w:color w:val="auto"/>
              </w:rPr>
              <w:t>4,614,526</w:t>
            </w:r>
            <w:r>
              <w:rPr>
                <w:rFonts w:ascii="Arial" w:cs="Arial" w:eastAsia="Arial" w:hAnsi="Arial"/>
                <w:sz w:val="15"/>
                <w:szCs w:val="15"/>
                <w:color w:val="auto"/>
              </w:rPr>
              <w:t>(1)</w:t>
            </w:r>
          </w:p>
        </w:tc>
        <w:tc>
          <w:tcPr>
            <w:tcW w:w="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14,500,001</w:t>
            </w: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5"/>
              </w:rPr>
              <w:t>876,709</w:t>
            </w:r>
            <w:r>
              <w:rPr>
                <w:rFonts w:ascii="Arial" w:cs="Arial" w:eastAsia="Arial" w:hAnsi="Arial"/>
                <w:sz w:val="15"/>
                <w:szCs w:val="15"/>
                <w:color w:val="auto"/>
                <w:w w:val="95"/>
              </w:rPr>
              <w:t>(2)</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5,491,235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Paul A. Friedman</w:t>
            </w:r>
            <w:r>
              <w:rPr>
                <w:rFonts w:ascii="Arial" w:cs="Arial" w:eastAsia="Arial" w:hAnsi="Arial"/>
                <w:sz w:val="15"/>
                <w:szCs w:val="15"/>
                <w:color w:val="auto"/>
              </w:rPr>
              <w:t>(3)</w:t>
            </w:r>
          </w:p>
        </w:tc>
        <w:tc>
          <w:tcPr>
            <w:tcW w:w="1240" w:type="dxa"/>
            <w:vAlign w:val="bottom"/>
          </w:tcPr>
          <w:p>
            <w:pPr>
              <w:jc w:val="right"/>
              <w:ind w:right="199"/>
              <w:spacing w:after="0"/>
              <w:rPr>
                <w:sz w:val="20"/>
                <w:szCs w:val="20"/>
                <w:color w:val="auto"/>
              </w:rPr>
            </w:pPr>
            <w:r>
              <w:rPr>
                <w:rFonts w:ascii="Arial" w:cs="Arial" w:eastAsia="Arial" w:hAnsi="Arial"/>
                <w:sz w:val="18"/>
                <w:szCs w:val="18"/>
                <w:color w:val="auto"/>
              </w:rPr>
              <w:t>79,560</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249,999</w:t>
            </w:r>
          </w:p>
        </w:tc>
        <w:tc>
          <w:tcPr>
            <w:tcW w:w="34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216,234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295,794</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 LP</w:t>
            </w:r>
            <w:r>
              <w:rPr>
                <w:rFonts w:ascii="Arial" w:cs="Arial" w:eastAsia="Arial" w:hAnsi="Arial"/>
                <w:sz w:val="15"/>
                <w:szCs w:val="15"/>
                <w:color w:val="auto"/>
              </w:rPr>
              <w:t>(4)</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4,614,526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14,500,001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876,711</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5,491,237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100" w:hanging="424"/>
        <w:spacing w:after="0" w:line="285" w:lineRule="auto"/>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4,153,065 shares of Series A Preferred Stock purchased by Baker Brothers Life Sciences L.P., or Life Sciences, and 461,461 shares of Series A Preferred Stock purchased by 667, L.P., or 667, and together with Life Sciences, the Baker Funds. The Baker Funds collectively hold more than 5% of our outstanding capital stock. Baker Bros. Advisors LP, or the Adviser, is the investment adviser to the Baker Funds and has complete and unlimited discretion and authority with respect to their investments and voting power over investments. Kelvin Neu, a member of our board of directors, is an employee of the Adviser, but does not have any right to the securities held by the Baker Funds.</w:t>
      </w:r>
    </w:p>
    <w:p>
      <w:pPr>
        <w:spacing w:after="0" w:line="1" w:lineRule="exact"/>
        <w:rPr>
          <w:rFonts w:ascii="Arial" w:cs="Arial" w:eastAsia="Arial" w:hAnsi="Arial"/>
          <w:sz w:val="16"/>
          <w:szCs w:val="16"/>
          <w:color w:val="auto"/>
        </w:rPr>
      </w:pPr>
    </w:p>
    <w:p>
      <w:pPr>
        <w:ind w:left="540" w:right="480" w:hanging="424"/>
        <w:spacing w:after="0" w:line="260"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789,039 shares of Series A Preferred Stock converted from 2016 Preferred Stock and held by Life Sciences and 87,670 shares of Series A Preferred Stock converted from 2016 Preferred Stock and held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color w:val="auto"/>
        </w:rPr>
        <w:t>by 667. The Baker Funds collectively hold more than 5% of our outstanding capital stock. The Adviser is the investment adviser to the Baker Funds and has complete and unlimited discretion and authority with respect to their investments and voting power over investments. Kelvin Neu, a member of our board of directors, is an employee of the Adviser but does not have any right to the securities held by the Baker Funds.</w:t>
      </w:r>
    </w:p>
    <w:p>
      <w:pPr>
        <w:spacing w:after="0" w:line="2"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Paul A. Friedman is a member of our board of directors.</w:t>
      </w:r>
    </w:p>
    <w:p>
      <w:pPr>
        <w:spacing w:after="0" w:line="9" w:lineRule="exact"/>
        <w:rPr>
          <w:rFonts w:ascii="Arial" w:cs="Arial" w:eastAsia="Arial" w:hAnsi="Arial"/>
          <w:sz w:val="18"/>
          <w:szCs w:val="18"/>
          <w:color w:val="auto"/>
        </w:rPr>
      </w:pPr>
    </w:p>
    <w:p>
      <w:pPr>
        <w:ind w:left="540" w:right="140" w:hanging="424"/>
        <w:spacing w:after="0" w:line="253"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OrbiMed Private Investments VI, LP, or OPI VI, holds more than 5% of our outstanding capital stock. OrbiMed Capital GP VI LLC, or OrbiMed GP VI, is the general partner of OPI VI and OrbiMed Advisors LLC, or OrbiMed Advisors, a registered investment adviser under the Investment Advisors Act of 1940, as amended, is the managing member of OrbiMed GP VI. David A. Bonita, a member of our board of directors, is a member of OrbiMed Advisors.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 Convertible Preferred Stock Financing</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two closings in May 2019 and March 2020, we sold an aggregate of 15,257,692 shares of our Series B convertible preferred stock at a purchase price of $3.9325 per share for an aggregate purchase price of approximately $60.0 million. Each share of our Series B convertible preferred stock converted automatically into one share of our common stock or our non-voting common stock, as applicable, upon our IPO in September 2020.</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purchasers of our Series B convertible preferred stock are entitled to specified registration rights. For additional information, see “Description of Capital Stock—Registration Rights.” The following table summarizes the Series B convertible preferred stock purchased by members of our board of directors or their affiliates and holders of more than 5% of our outstanding capital stock. The terms of these purchases were the same for all purchasers of our Series B convertible preferred stock. Please refer to the section titled “Principal Stockholders” for more details regarding the shares held by these entities.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Shares of</w:t>
            </w: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Series B</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7500" w:type="dxa"/>
            <w:vAlign w:val="bottom"/>
            <w:vMerge w:val="restart"/>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7500" w:type="dxa"/>
            <w:vAlign w:val="bottom"/>
            <w:vMerge w:val="continue"/>
          </w:tcPr>
          <w:p>
            <w:pPr>
              <w:spacing w:after="0"/>
              <w:rPr>
                <w:sz w:val="15"/>
                <w:szCs w:val="15"/>
                <w:color w:val="auto"/>
              </w:rPr>
            </w:pPr>
          </w:p>
        </w:tc>
        <w:tc>
          <w:tcPr>
            <w:tcW w:w="11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Baker Brothers</w:t>
            </w:r>
            <w:r>
              <w:rPr>
                <w:rFonts w:ascii="Arial" w:cs="Arial" w:eastAsia="Arial" w:hAnsi="Arial"/>
                <w:sz w:val="15"/>
                <w:szCs w:val="15"/>
                <w:color w:val="auto"/>
              </w:rPr>
              <w:t>(1)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7,363,644</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28,957,093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Paul A. Friedman</w:t>
            </w:r>
            <w:r>
              <w:rPr>
                <w:rFonts w:ascii="Arial" w:cs="Arial" w:eastAsia="Arial" w:hAnsi="Arial"/>
                <w:sz w:val="15"/>
                <w:szCs w:val="15"/>
                <w:color w:val="auto"/>
              </w:rPr>
              <w:t>(2)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152,576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599,998</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 LP</w:t>
            </w:r>
            <w:r>
              <w:rPr>
                <w:rFonts w:ascii="Arial" w:cs="Arial" w:eastAsia="Arial" w:hAnsi="Arial"/>
                <w:sz w:val="15"/>
                <w:szCs w:val="15"/>
                <w:color w:val="auto"/>
              </w:rPr>
              <w:t>(3)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7,363,644</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28,957,093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86"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6,746,058 shares of Series B Preferred Stock purchased by Life Sciences and 617,586 shares of Series B Preferred Stock purchased by 667. The Baker Funds collectively hold more than 5% of our outstanding capital stock. The Adviser is the investment adviser to the Baker Funds and has complete and unlimited discretion and authority with respect to their investments and voting power over investments. Kelvin Neu, a member of our board of directors, is an employee of the Adviser but does not have any right to the securities held by the Baker Funds.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Paul A. Friedman is a member of our board of directors.</w:t>
      </w:r>
    </w:p>
    <w:p>
      <w:pPr>
        <w:spacing w:after="0" w:line="9" w:lineRule="exact"/>
        <w:rPr>
          <w:rFonts w:ascii="Arial" w:cs="Arial" w:eastAsia="Arial" w:hAnsi="Arial"/>
          <w:sz w:val="18"/>
          <w:szCs w:val="18"/>
          <w:color w:val="auto"/>
        </w:rPr>
      </w:pPr>
    </w:p>
    <w:p>
      <w:pPr>
        <w:ind w:left="540" w:right="540" w:hanging="424"/>
        <w:spacing w:after="0" w:line="290" w:lineRule="auto"/>
        <w:tabs>
          <w:tab w:leader="none" w:pos="5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OPI VI holds more than 5% of our outstanding capital stock. OrbiMed GP VI is the general partner of OPI VI and OrbiMed Advisors is the managing member of OrbiMed GP VI. David A. Bonita, a member of our board of directors, is a member of OrbiMed Advisors.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Convertible Preferred Stock Financing</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 August 2020, we sold an aggregate of 3,443,612 shares of our Series C convertible preferred stock at a purchase price of $14.5197 per share for an aggregate purchase price of approximately $50.0 million. Each share of our Series C convertible preferred stock converted automatically into one share of our common stock or our non-voting common stock, as applicable, upon our IPO in September 2020.</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purchasers of our Series C convertible preferred stock are entitled to specified registration rights. For additional information, see “Description of Capital Stock—Registration Rights.” The following table summarizes the Series C convertible preferred stock purchased by members of our board of directors or their affiliates and holders of more than 5% of our outstanding capital stock. The terms of these purchases were the same for all purchasers of our Series C convertible preferred stock. Please refer to the section titled “Principal Stockholders” for more details regarding the shares held by these entities.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Stockholder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Entities affiliated with Baker Brothers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OrbiMed Private Investments VI, LP</w:t>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7715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Shares of</w:t>
            </w:r>
          </w:p>
        </w:tc>
        <w:tc>
          <w:tcPr>
            <w:tcW w:w="10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Series C</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w w:val="87"/>
              </w:rPr>
              <w:t>1,033,084</w:t>
            </w:r>
          </w:p>
        </w:tc>
        <w:tc>
          <w:tcPr>
            <w:tcW w:w="180" w:type="dxa"/>
            <w:vAlign w:val="bottom"/>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14,999,989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00" w:type="dxa"/>
            <w:vAlign w:val="bottom"/>
            <w:gridSpan w:val="2"/>
          </w:tcPr>
          <w:p>
            <w:pPr>
              <w:ind w:left="200"/>
              <w:spacing w:after="0"/>
              <w:rPr>
                <w:sz w:val="20"/>
                <w:szCs w:val="20"/>
                <w:color w:val="auto"/>
              </w:rPr>
            </w:pPr>
            <w:r>
              <w:rPr>
                <w:rFonts w:ascii="Arial" w:cs="Arial" w:eastAsia="Arial" w:hAnsi="Arial"/>
                <w:sz w:val="18"/>
                <w:szCs w:val="18"/>
                <w:color w:val="auto"/>
              </w:rPr>
              <w:t>1,033,084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14,999,989</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8200" w:space="720"/>
            <w:col w:w="2200"/>
          </w:cols>
          <w:pgMar w:left="320" w:top="459" w:right="459" w:bottom="1440" w:gutter="0" w:footer="0" w:header="0"/>
          <w:type w:val="continuous"/>
        </w:sectPr>
      </w:pPr>
    </w:p>
    <w:p>
      <w:pPr>
        <w:ind w:left="540" w:right="140" w:hanging="424"/>
        <w:spacing w:after="0" w:line="286"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Consists of 957,211 shares of Series C Preferred Stock purchased by Life Sciences and 75,873 shares of Series C Preferred Stock purchased by 667. The Baker Funds collectively hold more than 5% of our outstanding capital stock. The Adviser is the investment adviser to the Baker Funds and has complete and unlimited discretion and authority with respect to their investments and voting power over investments. Kelvin Neu, a member of our board of directors, is an employee of the Adviser but does not have any right to the securities held by the Baker Funds.</w:t>
      </w:r>
    </w:p>
    <w:p>
      <w:pPr>
        <w:spacing w:after="0" w:line="1" w:lineRule="exact"/>
        <w:rPr>
          <w:rFonts w:ascii="Arial" w:cs="Arial" w:eastAsia="Arial" w:hAnsi="Arial"/>
          <w:sz w:val="16"/>
          <w:szCs w:val="16"/>
          <w:color w:val="auto"/>
        </w:rPr>
      </w:pPr>
    </w:p>
    <w:p>
      <w:pPr>
        <w:ind w:left="540" w:right="520" w:hanging="424"/>
        <w:spacing w:after="0" w:line="290"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OPI VI holds more than 5% of our outstanding capital stock. OrbiMed GP VI is the general partner of OPI VI and OrbiMed Advisors is the managing member of OrbiMed GP VI. David A. Bonita, a member of our board of directors, is a member of OrbiMed Advisors.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We have entered into an investors’ rights agreement, or the IRA, dated August 21, 2020 with certain holders of our then outstanding convertible preferred stock, including entities with which certain of our executive officers and directors are affiliated. These stockholders are entitled to rights with respect to the registration of their shares under the Securities Act. For a description of these registration rights, see the section entitled “Description of Capital Stock—Registration Rights.”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in Our Initial Public Offering</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OrbiMed Private Investments VI, LP and its affiliated entities, and the Baker Funds, each a holder of more than 5% of our common stock and an affiliate of a member of our board of directors, and certain of our executive officers, each purchased, through their affiliated entities, 3,094,141 shares of our common stock in our initial public offering at the initial public offering price.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Pursuant to the right each party had under the IRA, we have entered into a registration rights agreement, or the Post-IPO RRA, each dated December 20, 2020 with each of Baker Brothers and its affiliates, OrbiMed and its affiliates and Kris Vaddi, or collectively, the RRA Investors. Pursuant to the Post-IPO RRA, the RRA Investors are entitled to rights with respect to the registration of their shares under the Securities Act that supersede such rights held by the RRA Investors under the IRA. For a description of these registration rights, see the section entitled “Description of Capital Stock— Registration Rights—Registration Rights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Grants to Executive Officers and Directors</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We have granted stock options to our executive officers and certain directors, as more fully described in the sections entitled “Executive Compensation” and “Management—Non-Employee Director Compensation,”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Executive Officer Compensation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Please see the sections entitled “Management—Non-Employee Director Compensation” and “Executive Compensation” for information regarding the compensation of our directors and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have entered into employment agreements with certain of our executive officers. For more information regarding these agreements, see the section entitled “Executive Compensation—Employment Arrangements with our Named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entered into new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the section entitled “Executive Compensation—Limitations on Liability and Indemnification Matters” for information on our indemnification arrangements with our directors and executive officers.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have adopted a written related person transactions policy that provides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Under the policy,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(or the committee composed solely of independent directors, if applicable) for review, consideration and approval. In approving or rejecting any such proposal, our audit committee (or the committee composed solely of independent directors, if applicable) will consider the relevant facts and circumstances available and deemed relevant to the audit committee (or the committee composed solely of independent directors, if applicable),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following table and accompanying footnotes set forth certain information with respect to the beneficial ownership of our common stock and non-voting common stock at November 30, 2020, and as adjusted to reflect the shares of common stock to be issued and sold in this offering, for:</w:t>
      </w:r>
    </w:p>
    <w:p>
      <w:pPr>
        <w:spacing w:after="0" w:line="2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outstanding shares of common stock and non-voting common stock.</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Beneficial ownership prior to this offering is based on 43,703,381 shares of common stock outstanding as of November 30, 2020 (of which</w:t>
      </w:r>
    </w:p>
    <w:p>
      <w:pPr>
        <w:spacing w:after="0" w:line="23"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11,110,371 shares are non-voting common stock). Beneficial ownership after this offering is based on shares of common stock outstanding, assuming the issuance of shares of common stock in this offering, which does not contemplate exercise of the underwriters’ option to purchase additional shares.</w:t>
      </w:r>
    </w:p>
    <w:p>
      <w:pPr>
        <w:spacing w:after="0" w:line="19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November 30, 2020, although these shares are not considered outstanding for purposes of computing the percentage ownerships of any other person. We did not deem these shares outstanding, however, for the purpose of computing the percentage ownership of any other person. Unless otherwise indicated, the address of each beneficial owner listed in the table below is c/o Prelude Therapeutics Incorporated, 200 Powder Mill Road, Wilmington, DE 19803.</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Number of Shares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1"/>
              </w:rPr>
              <w:t>Percentage of Shares Beneficially Owned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Voting</w:t>
            </w:r>
          </w:p>
        </w:tc>
        <w:tc>
          <w:tcPr>
            <w:tcW w:w="360" w:type="dxa"/>
            <w:vAlign w:val="bottom"/>
          </w:tcPr>
          <w:p>
            <w:pPr>
              <w:spacing w:after="0"/>
              <w:rPr>
                <w:sz w:val="12"/>
                <w:szCs w:val="12"/>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Non-Voting</w:t>
            </w:r>
          </w:p>
        </w:tc>
        <w:tc>
          <w:tcPr>
            <w:tcW w:w="1680" w:type="dxa"/>
            <w:vAlign w:val="bottom"/>
            <w:tcBorders>
              <w:bottom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rPr>
              <w:t>Voting Common Stock</w:t>
            </w:r>
          </w:p>
        </w:tc>
        <w:tc>
          <w:tcPr>
            <w:tcW w:w="400" w:type="dxa"/>
            <w:vAlign w:val="bottom"/>
          </w:tcPr>
          <w:p>
            <w:pPr>
              <w:spacing w:after="0"/>
              <w:rPr>
                <w:sz w:val="12"/>
                <w:szCs w:val="12"/>
                <w:color w:val="auto"/>
              </w:rPr>
            </w:pPr>
          </w:p>
        </w:tc>
        <w:tc>
          <w:tcPr>
            <w:tcW w:w="200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Non-Voting Common Stock</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7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Prior to</w:t>
            </w:r>
          </w:p>
        </w:tc>
        <w:tc>
          <w:tcPr>
            <w:tcW w:w="340" w:type="dxa"/>
            <w:vAlign w:val="bottom"/>
          </w:tcPr>
          <w:p>
            <w:pPr>
              <w:spacing w:after="0"/>
              <w:rPr>
                <w:sz w:val="10"/>
                <w:szCs w:val="10"/>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After this</w:t>
            </w:r>
          </w:p>
        </w:tc>
        <w:tc>
          <w:tcPr>
            <w:tcW w:w="13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4"/>
              </w:rPr>
              <w:t>Prior to this</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After this</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840" w:type="dxa"/>
            <w:vAlign w:val="bottom"/>
            <w:vMerge w:val="restart"/>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Common</w:t>
            </w:r>
          </w:p>
        </w:tc>
        <w:tc>
          <w:tcPr>
            <w:tcW w:w="3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this</w:t>
            </w: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8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5"/>
                <w:szCs w:val="15"/>
                <w:color w:val="auto"/>
              </w:rPr>
            </w:pPr>
          </w:p>
        </w:tc>
        <w:tc>
          <w:tcPr>
            <w:tcW w:w="12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Offering</w:t>
            </w:r>
          </w:p>
        </w:tc>
        <w:tc>
          <w:tcPr>
            <w:tcW w:w="340" w:type="dxa"/>
            <w:vAlign w:val="bottom"/>
          </w:tcPr>
          <w:p>
            <w:pPr>
              <w:spacing w:after="0"/>
              <w:rPr>
                <w:sz w:val="15"/>
                <w:szCs w:val="15"/>
                <w:color w:val="auto"/>
              </w:rPr>
            </w:pPr>
          </w:p>
        </w:tc>
        <w:tc>
          <w:tcPr>
            <w:tcW w:w="10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Offering</w:t>
            </w:r>
          </w:p>
        </w:tc>
        <w:tc>
          <w:tcPr>
            <w:tcW w:w="134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Offering</w:t>
            </w:r>
          </w:p>
        </w:tc>
        <w:tc>
          <w:tcPr>
            <w:tcW w:w="7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Kris Vaddi</w:t>
            </w:r>
            <w:r>
              <w:rPr>
                <w:rFonts w:ascii="Arial" w:cs="Arial" w:eastAsia="Arial" w:hAnsi="Arial"/>
                <w:sz w:val="15"/>
                <w:szCs w:val="15"/>
                <w:color w:val="auto"/>
              </w:rPr>
              <w:t>(1)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2,913,906</w:t>
            </w:r>
          </w:p>
        </w:tc>
        <w:tc>
          <w:tcPr>
            <w:tcW w:w="3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Mauro</w:t>
            </w:r>
            <w:r>
              <w:rPr>
                <w:rFonts w:ascii="Arial" w:cs="Arial" w:eastAsia="Arial" w:hAnsi="Arial"/>
                <w:sz w:val="15"/>
                <w:szCs w:val="15"/>
                <w:color w:val="auto"/>
              </w:rPr>
              <w:t>(2)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126,087</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Andrew P. Combs</w:t>
            </w:r>
            <w:r>
              <w:rPr>
                <w:rFonts w:ascii="Arial" w:cs="Arial" w:eastAsia="Arial" w:hAnsi="Arial"/>
                <w:sz w:val="15"/>
                <w:szCs w:val="15"/>
                <w:color w:val="auto"/>
              </w:rPr>
              <w:t>(3)</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260,380</w:t>
            </w:r>
          </w:p>
        </w:tc>
        <w:tc>
          <w:tcPr>
            <w:tcW w:w="3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Friedman</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505,286</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David Bonita</w:t>
            </w:r>
            <w:r>
              <w:rPr>
                <w:rFonts w:ascii="Arial" w:cs="Arial" w:eastAsia="Arial" w:hAnsi="Arial"/>
                <w:sz w:val="15"/>
                <w:szCs w:val="15"/>
                <w:color w:val="auto"/>
              </w:rPr>
              <w:t>(4)</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10,044,879</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5,555,186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50.0%</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Mardi C. Dier</w:t>
            </w:r>
            <w:r>
              <w:rPr>
                <w:rFonts w:ascii="Arial" w:cs="Arial" w:eastAsia="Arial" w:hAnsi="Arial"/>
                <w:sz w:val="15"/>
                <w:szCs w:val="15"/>
                <w:color w:val="auto"/>
              </w:rPr>
              <w:t>(5)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16,388</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Kelvin Neu</w:t>
            </w:r>
            <w:r>
              <w:rPr>
                <w:rFonts w:ascii="Arial" w:cs="Arial" w:eastAsia="Arial" w:hAnsi="Arial"/>
                <w:sz w:val="15"/>
                <w:szCs w:val="15"/>
                <w:color w:val="auto"/>
              </w:rPr>
              <w:t>(6)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5,188</w:t>
            </w:r>
          </w:p>
        </w:tc>
        <w:tc>
          <w:tcPr>
            <w:tcW w:w="3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 Sandor</w:t>
            </w:r>
            <w:r>
              <w:rPr>
                <w:rFonts w:ascii="Arial" w:cs="Arial" w:eastAsia="Arial" w:hAnsi="Arial"/>
                <w:sz w:val="15"/>
                <w:szCs w:val="15"/>
                <w:color w:val="auto"/>
              </w:rPr>
              <w:t>(7)</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and directors as a group (12</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persons)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14,239,827</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5,555,186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5% or Greater Stockholders: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OrbiMed Entities</w:t>
            </w:r>
            <w:r>
              <w:rPr>
                <w:rFonts w:ascii="Arial" w:cs="Arial" w:eastAsia="Arial" w:hAnsi="Arial"/>
                <w:sz w:val="15"/>
                <w:szCs w:val="15"/>
                <w:color w:val="auto"/>
              </w:rPr>
              <w:t>(8)</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10,039,691</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5,555,186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Baker Brothers Entities</w:t>
            </w:r>
            <w:r>
              <w:rPr>
                <w:rFonts w:ascii="Arial" w:cs="Arial" w:eastAsia="Arial" w:hAnsi="Arial"/>
                <w:sz w:val="15"/>
                <w:szCs w:val="15"/>
                <w:color w:val="auto"/>
              </w:rPr>
              <w:t>(9)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10,123,824</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5,555,185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175</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7715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2"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540" w:right="180" w:hanging="424"/>
        <w:spacing w:after="0" w:line="250"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(i) 2,913,906 shares of common stock held by Dr. Vaddi, of which (a) 951,786 shares are unvested and subject to forfeiture to us if Dr. Vaddi ceases to provide service to us prior to the vesting of the shares and (b) 239,705 shares of common stock subject to options that are exercisable within 60 days of November 30, 2020, (ii) 101,477 shares of common stock held by Sidus Ventures, LLC and (iii) 423,655 shares of common stock held by Dolphin City Trust. Dr. Vaddi is the manager of Sidus Ventures, LLC and may be deemed to have beneficial ownership over the securities held by Sidus Ventures, LLC. Dr. Vaddi is the beneficiary of Dolphin City Trust and may be deemed to have beneficial ownership over the securities held by Dolphin City Trust.</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126,087 shares of common stock subject to options that are exercisable within 60 days of November 30, 2020.</w:t>
      </w:r>
    </w:p>
    <w:p>
      <w:pPr>
        <w:spacing w:after="0" w:line="9"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260,380 shares of common stock, of which 156,710 shares are unvested and subject to forfeiture to us if Dr. Combs ceases to provide service to us prior to the vesting of the shares.</w:t>
      </w:r>
    </w:p>
    <w:p>
      <w:pPr>
        <w:ind w:left="540" w:right="260" w:hanging="424"/>
        <w:spacing w:after="0" w:line="281"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(i) shares of common stock referenced in footnote (8) below and (ii) 5,188 shares of common stock subject to options that are exercisable within 60 days of November 30, 2020. For the common stock referenced in footnote (8) below, Dr. Bonita is a member of OrbiMed Advisors, but he disclaims beneficial ownership of the shares held by OPI VI, except to the extent of his pecuniary interest therein if any.</w:t>
      </w:r>
    </w:p>
    <w:p>
      <w:pPr>
        <w:spacing w:after="0" w:line="1" w:lineRule="exact"/>
        <w:rPr>
          <w:rFonts w:ascii="Arial" w:cs="Arial" w:eastAsia="Arial" w:hAnsi="Arial"/>
          <w:sz w:val="16"/>
          <w:szCs w:val="16"/>
          <w:color w:val="auto"/>
        </w:rPr>
      </w:pPr>
    </w:p>
    <w:p>
      <w:pPr>
        <w:ind w:left="540" w:right="180" w:hanging="424"/>
        <w:spacing w:after="0" w:line="250"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16,388 shares of common stock, of which 6,388 shares of common stock are subject to options that are exercisable within 60 days of November 30, 2020.</w:t>
      </w: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5,188 shares of common stock subject to options that are exercisable within 60 days of November 30,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384 shares of common stock subject to options that are exercisable within 60 days of November 30, 2020.</w:t>
      </w:r>
    </w:p>
    <w:p>
      <w:pPr>
        <w:spacing w:after="0" w:line="9" w:lineRule="exact"/>
        <w:rPr>
          <w:rFonts w:ascii="Arial" w:cs="Arial" w:eastAsia="Arial" w:hAnsi="Arial"/>
          <w:sz w:val="18"/>
          <w:szCs w:val="18"/>
          <w:color w:val="auto"/>
        </w:rPr>
      </w:pPr>
    </w:p>
    <w:p>
      <w:pPr>
        <w:ind w:left="540" w:hanging="424"/>
        <w:spacing w:after="0" w:line="284"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13D filed with the SEC on October 5, 2020 by OrbiMed Advisors LLC, or OrbiMed Advisors, and related entities. Represents (i) 9,250,191 shares of our common stock and 5,555,186 shares of our non-voting common stock held by OrbiMed Private Investments VI, LP, or OPI VI, (ii) 263,200 shares of our common stock held by The Biotech Growth Trust PLC and (iii) 526,300 shares of our common stock held by OrbiMed Partners Master Fund Limited. OrbiMed Capital GP VI LLC, or OrbiMed GP VI, is the general partner of OPI VI and OrbiMed Advisors, a registered investment adviser under the Investment Advisors Act of 1940, as amended, is the managing member of OrbiMed GP VI. By virtue of such relationships, OrbiMed GP VI and OrbiMed Advisors may be deemed to have voting and investment power over the securities held by OPI VI and as a result may be deemed to have beneficial ownership over such securities. David Bonita, a member of OrbiMed Advisors, is a member of our board of directors. Each of OrbiMed GP VII, OrbiMed Advisors, and David Bonita disclaims beneficial ownership of the shares held by OPI VI, except to the extent of its or his pecuniary interest therein if any. OrbiMed Capital LLC, or OrbiMed Capital, is the portfolio manager to The Biotech Growth Trust PLC and the investment advisor to OrbiMed Partners Master Fund Limited. By virtue of such relationships, OrbiMed Capital may be deemed to have voting and investment power over the securities held by The Biotech Growth Trust PLC and OrbiMed Partners Master Fund Limited, and as a result may be deemed to have beneficial ownership over such securities. OrbiMed Capital is a relying advisor of OrbiMed Advisors. OrbiMed Capital and OrbiMed Advisors exercise voting and investment power through a management committee comprised of Carl L. Gordon, Sven H. Borho, and Jonathan T. Silverstein. The address of the OrbiMed Entities is 601 Lexington Avenue, 54th Floor, New York, NY 10022.</w:t>
      </w:r>
    </w:p>
    <w:p>
      <w:pPr>
        <w:spacing w:after="0" w:line="191" w:lineRule="exact"/>
        <w:rPr>
          <w:rFonts w:ascii="Arial" w:cs="Arial" w:eastAsia="Arial" w:hAnsi="Arial"/>
          <w:sz w:val="16"/>
          <w:szCs w:val="16"/>
          <w:color w:val="auto"/>
        </w:rPr>
      </w:pPr>
    </w:p>
    <w:p>
      <w:pPr>
        <w:ind w:left="540" w:right="20" w:hanging="424"/>
        <w:spacing w:after="0" w:line="290"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13D filed with the SEC on September 30, 2020 by Baker Bros. Advisors LP, or the Adviser, and related entities. Represents (i) 870,873 shares of our common stock and 497,036 shares of our non-voting common stock held by 667, L.P., or 667, (ii) 9,247,763 shares of our common stock and 5,058,149 shares of our non-voting common stock held by Baker Brothers Life Sciences, L.P., or Life Sciences and together with 667, the Baker Funds, and (iii) 5,188 shares of common stock subject to options that are exercisable within 60 days of November 30, 2020, held by Dr. Neu, a member of our board of directors. The Adviser is the investment adviser to the Baker Funds and has complete and unlimited discretion and authority with respect to their investments and voting power over</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40"/>
        <w:spacing w:after="0" w:line="293" w:lineRule="auto"/>
        <w:rPr>
          <w:sz w:val="20"/>
          <w:szCs w:val="20"/>
          <w:color w:val="auto"/>
        </w:rPr>
      </w:pPr>
      <w:r>
        <w:rPr>
          <w:rFonts w:ascii="Arial" w:cs="Arial" w:eastAsia="Arial" w:hAnsi="Arial"/>
          <w:sz w:val="16"/>
          <w:szCs w:val="16"/>
          <w:color w:val="auto"/>
        </w:rPr>
        <w:t>investments. Baker Bros. Advisors (GP) LLC, or the Adviser GP is the sole general partner of the Adviser. Julian C. Baker and Felix J. Baker are the managing members of the Adviser GP. Dr. Neu, an employee of the Advisor and a member of our board of directors, does not have any right to the securities held by the Baker Funds. The Advisor GP, Felix J. Baker and Julian C. Baker as managing members of the Adviser GP, and the Adviser may be deemed to be beneficial owners of the common shares directly held by the Baker Funds. Julian C. Baker and Felix J. Baker disclaim beneficial ownership of these securities, except to the extent of their pecuniary interest therein. The address for the Adviser, the Adviser GP, Felix J. Baker and Julian C. Baker is c/o Baker Bros. Advisors LP, 860 Washington Street, 3rd Floor, New York, NY 10014.</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The following description summarizes the most important terms of our capital stock, our restated certificate of incorporation and our restated bylaws.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authorized capital stock consists of 487,149,741 shares of common stock, $0.0001 par value per share, 12,850,259 shares of non-voting common stock, $0.0001 par value per share, and 10,000,000 shares of undesignated preferred stock, $0.0001 par value per share. Our board of directors is authorized, without stockholder approval, to issue additional shares of our capital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and Non-Voting Common Stock</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Holders of our common stock have no conversion rights, while holders of our non-voting common stock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unless otherwise as expressly provided for in our restated certificate of incorporation. However, this ownership limitation may be increased (not to exceed 19.99%) or decreased to any other percentage designated by such holder of non-voting common stock upon 61 days’ notice to us.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Subject to preferences that may apply to any shares of preferred stock outstanding at the time, the holders of our common stock and our non-voting common stock are entitled to receive dividends out of funds legally available if our board of directors, in its discretion, determines to issue dividends and then only at the times and in the amounts that our board of directors may determine. See the section entitled “Dividend Policy.”</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Except as otherwise expressly provided in our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We have not provided for cumulative voting for the election of directors in our restated certificate of incorporation, which means that holders of a majority of the shares of our common stock are able to elect all of our directors. Our restated certificate of incorporation established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Neither our common stock nor our non-voting common stock is entitled to preemptive rights, and neither is subject to conversion, redemption or sinking fund provisions.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our non-voting common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had no shares of preferred stock outstanding as of September 30, 2020.</w:t>
      </w:r>
    </w:p>
    <w:p>
      <w:pPr>
        <w:spacing w:after="0" w:line="22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is also able to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September 30, 2020, we had outstanding options to purchase an aggregate 6,649,882 shares of our common stock, with a weighted average exercise price of $7.00.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of September 30, 2020, the holders of 30,437,423 shares of our common stock and non-voting common stock are entitled to rights with respect to the registration of these shares (or, in the case of the non-voting common stock, the shares of common stock into which such shares are convertible) under the Securities Act as described below. We refer to these shares collectively as registrable securities. These rights are provided under the terms of the IRA between us and the holders of these shares, which was entered into in connection with our redeemable convertible preferred stock financings prior to our IPO and under the terms of the Post-IPO RRA between us and the RRA Investors.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Beginning from March 23, 2021, if the holders of not less than 50% of the then-outstanding registrable securities may request the registration under the Securities Act of any registrable securities, if the anticipated aggregate offering price, net of selling expenses, would exceed $10.0 million, we are obligated to provide notice of such request to all holders of registration rights and, as soon as practicable and in any event within 60 days, file a Form S-1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holders of at least 25% of the then-outstanding registrable securities can request that we register all or part of their shares on Form S-3 if we are eligible to file a registration statement on Form S-3 and if the aggregate price to the public of the shares offered, net of selling expenses, is at least $5.0 million. The stockholders may only require us to effect two registration statements on Form S-3 in a 12-month period.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If we register any of our securities for public sale in cash, holders of then-outstanding registrable securities or their permitted transferees will have the right to include their registrable securities in the registration statement. However, this right does not apply to a registration relating to any of our employee benefit plans, a corporate reorganization or transaction under Rule 145 of the Securities Act, a registration that requires information that is not substantially the same as the information required to be included in a registration statement covering the sale of the registrable securities, or a registration in which the only common stock being registered is common stock issuable upon conversion of debt securities that are also being registered or issuable upon the exercise of warrants. In an underwritten offering, if the total number of securities requested by stockholders to be included in the offering exceeds the number of securities to be sold (other than by us) that the underwriters determine in their reasonable discretion is compatible with the success of the offering, then we will be required to include only that number of securities that the underwriters and us, in our sole discretion, determine will not jeopardize the success of the offering. If the underwriters determine that less than all the registrable securities requested to be registered can be included in the offering, the number of registrable shares to be registered will be allocated (i) first, among holders of our preferred stock, in proportion to the amount of common stock issued or issuable upon conversion of the preferred stock owned by each such holder to be included in such offering, and (ii) second, among all other holders of our registrable securities, in proportion to the amount of other registrable securities owned by each such holder. However, (i) the number of shares issued or issuable upon conversion of the preferred stock, to be registered by the holders of our preferred stock, cannot be reduced unless all other securities (other than as offered by us) are first excluded entirely, and (ii) the number of shares to be registered by holders of all other registrable securities cannot be reduced unless all other securities (other than as offered by us and the shares of common stock issued or issuable on conversion of our preferred stock) are first entirely excluded. The number of registrable securities included in the offering may not be reduced below 25% of the total number of securities included in such offering, except for in connection with an initial public offering, in which case the underwriters may exclude these holders entirely.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17" w:lineRule="exact"/>
        <w:rPr>
          <w:sz w:val="20"/>
          <w:szCs w:val="20"/>
          <w:color w:val="auto"/>
        </w:rPr>
      </w:pPr>
    </w:p>
    <w:p>
      <w:pPr>
        <w:jc w:val="both"/>
        <w:ind w:left="120" w:right="860" w:firstLine="440"/>
        <w:spacing w:after="0" w:line="342" w:lineRule="auto"/>
        <w:rPr>
          <w:sz w:val="20"/>
          <w:szCs w:val="20"/>
          <w:color w:val="auto"/>
        </w:rPr>
      </w:pPr>
      <w:r>
        <w:rPr>
          <w:rFonts w:ascii="Arial" w:cs="Arial" w:eastAsia="Arial" w:hAnsi="Arial"/>
          <w:sz w:val="16"/>
          <w:szCs w:val="16"/>
          <w:color w:val="auto"/>
        </w:rPr>
        <w:t>We generally will pay all expenses, other than underwriting discounts and selling commissions incurred in connection with each of the registrations described above, including the reasonable fees and disbursements, not to exceed $15,000, of one counsel for the selling holders.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earliest to occur of (a) at such time that all of the holder’s registrable securities can be sold without limitation in any three-month period without registration in compliance with Rule 144 or a similar exemption under the Securities Act and (b) at such time that our common stock is trading on a national securities exchange and all of the holder’s registrable securities can be sold during a three-month period without registration.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Pursuant to the Post-IPO RRA between us and each of Baker Brothers and its affiliates, OrbiMed and its affiliates and Kris Vaddi, the RRA Investors are entitled to rights with respect to the registration of their shares under the Securities Act that supersede such rights as described above held by the RRA Investors under the IRA. These registration rights include the right to demand that we file with the SEC a Form S-3 registration statement (except if we are not then eligible to register for resale the registrable securities on Form S-3, in which case, such registration shall be on another appropriate form in accordance with the Securities Act) covering the registration of their registrable securities for resale, subject to certain conditions, as well as rights to be permitted an aggregate of five underwritten public offerings between the RRA Investors during the term of the Post-IPO RRA, subject to a limitation of an aggregate of two underwritten public offerings per calendar year, to effect the sale of their common stock for sale. The RRA Investors also have piggy-back rights to participate in registrations demanded by any of the other RRA Investors. The Post-IPO RRA requires us to pay expenses relating to such registrations and indemnify these holders against certain liabilities. Our registration obligations under this registration rights agreement would continue in effect until the earliest of (i) December 20, 2030, (ii) when the applicable registrable securities have been resold by the holders pursuant to an effective registration statement, (iii) when the applicable registrable securities have been resold pursuant to Rule 144 or (iv) when the applicable registrable securities may be resold pursuant to Rule 144 without limitations as to volume or manner of sale.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provisions of Delaware General Corporation Law, or DGCL,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89" w:lineRule="exact"/>
        <w:rPr>
          <w:sz w:val="20"/>
          <w:szCs w:val="20"/>
          <w:color w:val="auto"/>
        </w:rPr>
      </w:pPr>
    </w:p>
    <w:p>
      <w:pPr>
        <w:ind w:left="1080" w:right="28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60" w:hanging="532"/>
        <w:spacing w:after="0" w:line="25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080" w:right="30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Generally, a business combination includes a merger, asset or stock sale, or other transaction or series of transactions together resulting in a financial benefit to the interested stockholder. An interested stockholder is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Anti-Takeover Effects of Certain Provisions of Our Restated Certificate of Incorporation and Restated Bylaw</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could deter hostile takeovers or delay or prevent changes in control of our company, including the following:</w:t>
      </w:r>
    </w:p>
    <w:p>
      <w:pPr>
        <w:spacing w:after="0" w:line="76" w:lineRule="exact"/>
        <w:rPr>
          <w:sz w:val="20"/>
          <w:szCs w:val="20"/>
          <w:color w:val="auto"/>
        </w:rPr>
      </w:pPr>
    </w:p>
    <w:p>
      <w:pPr>
        <w:ind w:left="1080" w:right="100" w:hanging="532"/>
        <w:spacing w:after="0" w:line="296"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Board of Directors Vacancies</w:t>
      </w:r>
      <w:r>
        <w:rPr>
          <w:rFonts w:ascii="Arial" w:cs="Arial" w:eastAsia="Arial" w:hAnsi="Arial"/>
          <w:sz w:val="16"/>
          <w:szCs w:val="16"/>
          <w:color w:val="auto"/>
        </w:rPr>
        <w:t>. Our restated certificate of incorporation and restated bylaws authorizes only our board of directors to fill</w:t>
      </w:r>
      <w:r>
        <w:rPr>
          <w:rFonts w:ascii="Arial" w:cs="Arial" w:eastAsia="Arial" w:hAnsi="Arial"/>
          <w:sz w:val="16"/>
          <w:szCs w:val="16"/>
          <w:i w:val="1"/>
          <w:iCs w:val="1"/>
          <w:color w:val="auto"/>
        </w:rPr>
        <w:t xml:space="preserve"> </w:t>
      </w:r>
      <w:r>
        <w:rPr>
          <w:rFonts w:ascii="Arial" w:cs="Arial" w:eastAsia="Arial" w:hAnsi="Arial"/>
          <w:sz w:val="16"/>
          <w:szCs w:val="16"/>
          <w:color w:val="auto"/>
        </w:rPr>
        <w:t>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66" w:lineRule="exact"/>
        <w:rPr>
          <w:rFonts w:ascii="Arial" w:cs="Arial" w:eastAsia="Arial" w:hAnsi="Arial"/>
          <w:sz w:val="16"/>
          <w:szCs w:val="16"/>
          <w:color w:val="auto"/>
        </w:rPr>
      </w:pPr>
    </w:p>
    <w:p>
      <w:pPr>
        <w:ind w:left="1080" w:right="280" w:hanging="532"/>
        <w:spacing w:after="0" w:line="279"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Classified Board</w:t>
      </w:r>
      <w:r>
        <w:rPr>
          <w:rFonts w:ascii="Arial" w:cs="Arial" w:eastAsia="Arial" w:hAnsi="Arial"/>
          <w:sz w:val="17"/>
          <w:szCs w:val="17"/>
          <w:color w:val="auto"/>
        </w:rPr>
        <w:t>. Our restated certificate of incorporation and restated bylaws provide that our board of directors is classified into three</w:t>
      </w:r>
      <w:r>
        <w:rPr>
          <w:rFonts w:ascii="Arial" w:cs="Arial" w:eastAsia="Arial" w:hAnsi="Arial"/>
          <w:sz w:val="17"/>
          <w:szCs w:val="17"/>
          <w:i w:val="1"/>
          <w:iCs w:val="1"/>
          <w:color w:val="auto"/>
        </w:rPr>
        <w:t xml:space="preserve"> </w:t>
      </w:r>
      <w:r>
        <w:rPr>
          <w:rFonts w:ascii="Arial" w:cs="Arial" w:eastAsia="Arial" w:hAnsi="Arial"/>
          <w:sz w:val="17"/>
          <w:szCs w:val="17"/>
          <w:color w:val="auto"/>
        </w:rPr>
        <w:t>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the section entitled “Management—Board Composition.”</w:t>
      </w:r>
    </w:p>
    <w:p>
      <w:pPr>
        <w:spacing w:after="0" w:line="76" w:lineRule="exact"/>
        <w:rPr>
          <w:rFonts w:ascii="Arial" w:cs="Arial" w:eastAsia="Arial" w:hAnsi="Arial"/>
          <w:sz w:val="17"/>
          <w:szCs w:val="17"/>
          <w:color w:val="auto"/>
        </w:rPr>
      </w:pPr>
    </w:p>
    <w:p>
      <w:pPr>
        <w:ind w:left="1080" w:right="40" w:hanging="532"/>
        <w:spacing w:after="0" w:line="254"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Meetings of Stockholders</w:t>
      </w:r>
      <w:r>
        <w:rPr>
          <w:rFonts w:ascii="Arial" w:cs="Arial" w:eastAsia="Arial" w:hAnsi="Arial"/>
          <w:sz w:val="18"/>
          <w:szCs w:val="18"/>
          <w:color w:val="auto"/>
        </w:rPr>
        <w:t>. Our restated certificate of incorporation provide that our stockholders may not take</w:t>
      </w:r>
      <w:r>
        <w:rPr>
          <w:rFonts w:ascii="Arial" w:cs="Arial" w:eastAsia="Arial" w:hAnsi="Arial"/>
          <w:sz w:val="18"/>
          <w:szCs w:val="18"/>
          <w:i w:val="1"/>
          <w:iCs w:val="1"/>
          <w:color w:val="auto"/>
        </w:rPr>
        <w:t xml:space="preserve"> </w:t>
      </w:r>
      <w:r>
        <w:rPr>
          <w:rFonts w:ascii="Arial" w:cs="Arial" w:eastAsia="Arial" w:hAnsi="Arial"/>
          <w:sz w:val="18"/>
          <w:szCs w:val="18"/>
          <w:color w:val="auto"/>
        </w:rPr>
        <w:t>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7" w:lineRule="exact"/>
        <w:rPr>
          <w:rFonts w:ascii="Arial" w:cs="Arial" w:eastAsia="Arial" w:hAnsi="Arial"/>
          <w:sz w:val="18"/>
          <w:szCs w:val="18"/>
          <w:color w:val="auto"/>
        </w:rPr>
      </w:pPr>
    </w:p>
    <w:p>
      <w:pPr>
        <w:ind w:left="1080" w:hanging="532"/>
        <w:spacing w:after="0" w:line="272"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restated bylaws provide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82" w:lineRule="exact"/>
        <w:rPr>
          <w:rFonts w:ascii="Arial" w:cs="Arial" w:eastAsia="Arial" w:hAnsi="Arial"/>
          <w:sz w:val="17"/>
          <w:szCs w:val="17"/>
          <w:color w:val="auto"/>
        </w:rPr>
      </w:pPr>
    </w:p>
    <w:p>
      <w:pPr>
        <w:ind w:left="1080" w:right="160" w:hanging="532"/>
        <w:spacing w:after="0" w:line="26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restated certificate of incorporation and restated bylaws do not provide for cumulative voting.</w:t>
      </w:r>
    </w:p>
    <w:p>
      <w:pPr>
        <w:spacing w:after="0" w:line="89" w:lineRule="exact"/>
        <w:rPr>
          <w:rFonts w:ascii="Arial" w:cs="Arial" w:eastAsia="Arial" w:hAnsi="Arial"/>
          <w:sz w:val="18"/>
          <w:szCs w:val="18"/>
          <w:color w:val="auto"/>
        </w:rPr>
      </w:pPr>
    </w:p>
    <w:p>
      <w:pPr>
        <w:ind w:left="1080" w:right="380" w:hanging="532"/>
        <w:spacing w:after="0" w:line="308"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Directors Removed Only for Cause</w:t>
      </w:r>
      <w:r>
        <w:rPr>
          <w:rFonts w:ascii="Arial" w:cs="Arial" w:eastAsia="Arial" w:hAnsi="Arial"/>
          <w:sz w:val="17"/>
          <w:szCs w:val="17"/>
          <w:color w:val="auto"/>
        </w:rPr>
        <w:t>. Our restated certificate of incorporation provides that stockholders may remove directors only for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and only by the affirmative vote of the holders of at least two-thirds of our outstanding common stock.</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48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Any amendment of the above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75" w:lineRule="exact"/>
        <w:rPr>
          <w:rFonts w:ascii="Arial" w:cs="Arial" w:eastAsia="Arial" w:hAnsi="Arial"/>
          <w:sz w:val="18"/>
          <w:szCs w:val="18"/>
          <w:color w:val="auto"/>
        </w:rPr>
      </w:pPr>
    </w:p>
    <w:p>
      <w:pPr>
        <w:ind w:left="1080" w:right="120" w:hanging="532"/>
        <w:spacing w:after="0" w:line="301"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has the authority, without further action by the stockholders, to issue up</w:t>
      </w:r>
      <w:r>
        <w:rPr>
          <w:rFonts w:ascii="Arial" w:cs="Arial" w:eastAsia="Arial" w:hAnsi="Arial"/>
          <w:sz w:val="16"/>
          <w:szCs w:val="16"/>
          <w:i w:val="1"/>
          <w:iCs w:val="1"/>
          <w:color w:val="auto"/>
        </w:rPr>
        <w:t xml:space="preserve"> </w:t>
      </w:r>
      <w:r>
        <w:rPr>
          <w:rFonts w:ascii="Arial" w:cs="Arial" w:eastAsia="Arial" w:hAnsi="Arial"/>
          <w:sz w:val="16"/>
          <w:szCs w:val="16"/>
          <w:color w:val="auto"/>
        </w:rPr>
        <w:t>to 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62" w:lineRule="exact"/>
        <w:rPr>
          <w:rFonts w:ascii="Arial" w:cs="Arial" w:eastAsia="Arial" w:hAnsi="Arial"/>
          <w:sz w:val="16"/>
          <w:szCs w:val="16"/>
          <w:color w:val="auto"/>
        </w:rPr>
      </w:pPr>
    </w:p>
    <w:p>
      <w:pPr>
        <w:ind w:left="1080" w:hanging="532"/>
        <w:spacing w:after="0" w:line="284"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Choice of Forum</w:t>
      </w:r>
      <w:r>
        <w:rPr>
          <w:rFonts w:ascii="Arial" w:cs="Arial" w:eastAsia="Arial" w:hAnsi="Arial"/>
          <w:sz w:val="16"/>
          <w:szCs w:val="16"/>
          <w:color w:val="auto"/>
        </w:rPr>
        <w:t>. Our restated certificate of incorporation provides that, to the fullest extent permitted by law, the Court of Chancery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restated bylaws also provide that the federal district courts of the United States of America will, to the fullest extent permitted by law, be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and non-voting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Nasdaq Global Select Market Listing</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“PRLD.” The non-voting common stock will not be listed for trading on any securities exchange.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Sales of substantial amounts of our common stock, including shares issued upon exercise of outstanding options and warrants, in the public market could adversely affect market prices prevailing from time to time and could impair our ability to raise capital through the sale of our equity securities. See “Risk Factors—Risks Related to Ownership of Our Common Stock and This Offering—A sale of a substantial number of shares of our common stock may cause the price of our common stock to decline.”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the number of shares of common stock outstanding as of September 30, 2020, upon the completion of this offering, we will have a total</w:t>
      </w:r>
    </w:p>
    <w:p>
      <w:pPr>
        <w:spacing w:after="0" w:line="4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of shares of our common stock outstanding, assuming the issuance of shares of common stock in this offering. Of these outstanding shares, all of the shares of common stock sold in this offering and all 9,573,750 shares of common stock sold by us in our initial public offering will be freely tradable, except that any shares purchased in this offering by our affiliates, as that term is defined in Rule 144 under the Securities Act can only be sold in compliance with the Rule 144 limitations described below or in compliance with the lock-up agreements.</w:t>
      </w:r>
    </w:p>
    <w:p>
      <w:pPr>
        <w:spacing w:after="0" w:line="176"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The remaining outstanding shares of our common stock and our non-voting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Lock-Up/Market Standoff Agreements</w:t>
      </w:r>
    </w:p>
    <w:p>
      <w:pPr>
        <w:spacing w:after="0" w:line="121"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In connection with our IPO, all of our directors and officers and substantially all of our security holders from prior to our IPO entered into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including, with respect to all of the foregoing, shares of our non-voting common stock, through March 23, 2021 without the prior written consent of Morgan Stanley &amp; Co. LLC, Goldman Sachs &amp; Co. LLC and BofA Securities, Inc., subject to certain exceptions. Morgan Stanley &amp; Co. LLC, Goldman Sachs &amp; Co. LLC and BofA Securities, Inc. may, in their sole discretion and at any time or from time to time before the termination of the 180-day period release all or any portion of the securities subject to lock-up agreements. See the section entitled “Underwriters.”</w:t>
      </w:r>
    </w:p>
    <w:p>
      <w:pPr>
        <w:spacing w:after="0" w:line="196"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In addition, in connection with this offering, all of our directors and officers, certain significant stockholders and certain affiliates entered into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including, with respect to all of the foregoing, shares of our non-voting common stock, until 90 days following the date of this prospectus, without the prior written consent of Morgan Stanley &amp; Co. LLC, Goldman Sachs &amp; Co. LLC and BofA Securities, Inc., subject to certain exceptions. Morgan Stanley &amp; Co. LLC, Goldman Sachs &amp; Co. LLC and BofA Securities, Inc. may, in their sole discretion and at any time or from time to time before the termination of the 180-day period release all or any portion of the securities subject to lock-up agreements. See the section entitled “Underwriters.”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general, under Rule 144 as currently in effect, a person who is not deemed to have been one of our affiliates for purposes of the Securities Act at any time during the 90 days preceding a sale and who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89" w:lineRule="exact"/>
        <w:rPr>
          <w:sz w:val="20"/>
          <w:szCs w:val="20"/>
          <w:color w:val="auto"/>
        </w:rPr>
      </w:pPr>
    </w:p>
    <w:p>
      <w:pPr>
        <w:ind w:left="1080" w:right="100" w:hanging="532"/>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shares immediately after this offering assuming no exercise of the underwriters’ option to purchase additional shares; or</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that sale.</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are subject to the lock-up and market standoff agreements described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entitled “Description of Capital Stock—Registration Rights.”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the special tax accounting rules under Section 451(b) of the Code, or the Medicare Contribution tax on net investment income and does not deal with state or local tax laws, U.S. federal non-income tax laws, such as gift and estate tax laws, except to the limited extent provided below, or any non-U.S. tax laws that may be relevant to Non-U.S. Holders in light of their particular circumstances.</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 Internal Revenue Code of 1986, as amended, or the Code, such as:</w:t>
      </w:r>
    </w:p>
    <w:p>
      <w:pPr>
        <w:spacing w:after="0" w:line="76"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insurance companies, banks, investment funds and other financial institutions;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of all of the interests of which are held by qualified foreign pension funds;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and</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partnerships and other entities or arrangements treated as pass-through or disregarded entities for U.S. federal income tax purposes, and investors in such entities (regardless of their places of organization or formation).</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Such Non-U.S. Holders are urged to consult their own tax advisors to determine the U.S. federal, state, local and other tax consequences that may be relevant to them.</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Furthermore, the discussion below is based upon the provisions of the Code, and U.S. Treasury Regulations, rulings and judicial decisions thereunder as of the date hereof, and such authorities may be repealed, revoked or modified, possibly retroactively, or could be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w:t>
      </w:r>
    </w:p>
    <w:p>
      <w:pPr>
        <w:spacing w:after="0" w:line="19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For the purposes of this discussion, a “Non-U.S. Holder” is a beneficial owner of common stock, other than a partnership or other entity or arrangement treated as a pass-through entity, that is not, for U.S. federal income tax purposes, (a) 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7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do not expect to make any distributions on our common stock in the foreseeable future. If we do make distributions on our common stock, however, such distributions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entitled “—Gain on Disposition of Our Common Stock.”</w:t>
      </w:r>
    </w:p>
    <w:p>
      <w:pPr>
        <w:spacing w:after="0" w:line="19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Any distribution on our common stock that is treated as a dividend paid to a Non-U.S. Holder that is not effectively connected with the Non-U.S. Holder’s conduct of a trade or business in the United States will generally be subject to U.S. federal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of any excess amounts withheld by timely filing an appropriate claim for a refund with the IRS.</w:t>
      </w:r>
    </w:p>
    <w:p>
      <w:pPr>
        <w:spacing w:after="0" w:line="16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same rates applicable to U.S. persons. A corporate Non-U.S.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720"/>
        <w:spacing w:after="0" w:line="263" w:lineRule="auto"/>
        <w:rPr>
          <w:sz w:val="20"/>
          <w:szCs w:val="20"/>
          <w:color w:val="auto"/>
        </w:rPr>
      </w:pPr>
      <w:r>
        <w:rPr>
          <w:rFonts w:ascii="Arial" w:cs="Arial" w:eastAsia="Arial" w:hAnsi="Arial"/>
          <w:sz w:val="18"/>
          <w:szCs w:val="18"/>
          <w:color w:val="auto"/>
        </w:rPr>
        <w:t>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See also the section below entitled “—Foreign Accounts” for additional withholding rules that may apply to dividends paid to certain foreign financial institutions or non-financial foreign entities.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Subject to the discussions below under the sections entitled “—Backup Withholding and Information Reporting” and “—Foreign Accounts,” a Non-U.S. Holder generally will not be subject to U.S. federal income or withholding tax with respect to gain realized on a sale or other disposition of our common stock unless (a) the gain is effectively connected with a trade or business of the Non-U.S. Holder in the United States (and, if required by an applicable income tax treaty, is attributable to a permanent establishment that the holder maintains in the United States), (b) the Non-U.S. Holder is a nonresident alien who is an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Non-U.S. Holder’s holding period in the common stock.</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you are a Non-U.S. Holder described in (a) above, you will be required to pay tax on the net gain derived from the sale at the same U.S. federal income tax rates applicable to U.S. persons. Corporate Non-U.S. Holders described in (a) above may also be subject to the additional branch profits tax at a 30% rate (or such lower rate as may be specified by an applicable income tax treaty) of its effectively connected earnings and profits for the taxable year, as adjusted for certain items.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United States real property holding corporation if U.S. real property interests as defined in the Code and the U.S. Treasury Regulations comprised (by fair market value) at least half of our worldwide real property interests plus our other assets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were to be treated as a U.S. real property holding corporation, gain realized by a Non-U.S. Holder on a disposition of our common stock would not be subject to U.S. federal income tax so long as (1) the Non-U.S. Holder owned, directly, indirectly or constructively, no more than five percent of our common stock at all times within the shorter of (i) the five-year period preceding the disposition or (ii) the Non-U.S. Holder’s holding period and (2) our common stock is regularly traded on an established securities market. There can be no assurance that our common stock will qualify as regularly traded on an established securities market.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federal backup withholding. U.S. federal backup withholding generally will not apply to a Non-U.S. Holder who provides a properly executed IRS Form W-8BEN, IRS Form W-8BEN-E, or IRS Form ECI, as applicable, or otherwise establishes an exemption, provided that the applicable withholding agent does not have actual knowledge or reason to know the holder is a U.S. person.</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or IRS Form ECI, as applicable,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92"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U.S. federal withholding taxes may apply under the Foreign Account Tax Compliance Act, or FATCA, on certain types of payments, including dividends paid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the applicable Treasury Regulations and administrative guidance, withholding under FATCA generally also would apply to payments of gross proceeds from the sale or other disposition of common stock. Under proposed regulations, however, no withholding will apply with respect to payments of gross proceeds. The preamble to the proposed regulations specifies that taxpayers are permitted to rely on such proposed regulations pending finalization.</w:t>
      </w:r>
    </w:p>
    <w:p>
      <w:pPr>
        <w:spacing w:after="0" w:line="16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 OR UNDER ANY APPLICABLE TAX TREATY.</w:t>
      </w:r>
    </w:p>
    <w:p>
      <w:pPr>
        <w:spacing w:after="0" w:line="10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520"/>
          </w:cols>
          <w:pgMar w:left="320" w:top="459" w:right="10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Goldman Sachs &amp; Co. LLC and BofA Securities, Inc. are acting as representatives, have severally agreed to purchase, and we have agreed to sell to them, severally, the number of shares of common stock indicated below:</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0600" w:type="dxa"/>
            <w:vAlign w:val="bottom"/>
          </w:tcPr>
          <w:p>
            <w:pPr>
              <w:jc w:val="center"/>
              <w:ind w:left="956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0600" w:type="dxa"/>
            <w:vAlign w:val="bottom"/>
          </w:tcPr>
          <w:p>
            <w:pPr>
              <w:jc w:val="center"/>
              <w:ind w:left="9568"/>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10600" w:type="dxa"/>
            <w:vAlign w:val="bottom"/>
          </w:tcPr>
          <w:p>
            <w:pPr>
              <w:jc w:val="center"/>
              <w:ind w:left="9568"/>
              <w:spacing w:after="0" w:line="158" w:lineRule="exact"/>
              <w:rPr>
                <w:sz w:val="20"/>
                <w:szCs w:val="20"/>
                <w:color w:val="auto"/>
              </w:rPr>
            </w:pPr>
            <w:r>
              <w:rPr>
                <w:rFonts w:ascii="Arial" w:cs="Arial" w:eastAsia="Arial" w:hAnsi="Arial"/>
                <w:sz w:val="14"/>
                <w:szCs w:val="14"/>
                <w:b w:val="1"/>
                <w:bCs w:val="1"/>
                <w:u w:val="single" w:color="auto"/>
                <w:color w:val="auto"/>
                <w:w w:val="93"/>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5715</wp:posOffset>
            </wp:positionV>
            <wp:extent cx="60896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14605</wp:posOffset>
            </wp:positionV>
            <wp:extent cx="6089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896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31750</wp:posOffset>
            </wp:positionV>
            <wp:extent cx="6089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25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this prospectus and part to certain dealers at a price that represents a concession not in excess of $ per share of common stock under the public offering price. After the initial offering of the shares of common stock, the offering price and other selling terms may from time to time be varied by the representatives.</w:t>
      </w:r>
    </w:p>
    <w:p>
      <w:pPr>
        <w:spacing w:after="0" w:line="19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additional shares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880" w:type="dxa"/>
            <w:vAlign w:val="bottom"/>
            <w:gridSpan w:val="5"/>
          </w:tcPr>
          <w:p>
            <w:pPr>
              <w:spacing w:after="0"/>
              <w:rPr>
                <w:sz w:val="20"/>
                <w:szCs w:val="20"/>
                <w:color w:val="auto"/>
              </w:rPr>
            </w:pPr>
            <w:r>
              <w:rPr>
                <w:rFonts w:ascii="Arial" w:cs="Arial" w:eastAsia="Arial" w:hAnsi="Arial"/>
                <w:sz w:val="18"/>
                <w:szCs w:val="18"/>
                <w:color w:val="auto"/>
                <w:w w:val="93"/>
              </w:rPr>
              <w:t>us. These amounts are shown assuming both no exercise and full exercise of the underwriters’ option to purchase up to an additional</w:t>
            </w: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377"/>
        </w:trPr>
        <w:tc>
          <w:tcPr>
            <w:tcW w:w="6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w:t>
            </w:r>
          </w:p>
        </w:tc>
        <w:tc>
          <w:tcPr>
            <w:tcW w:w="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0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9"/>
                <w:szCs w:val="9"/>
                <w:color w:val="auto"/>
              </w:rPr>
            </w:pP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Full</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of</w:t>
            </w:r>
          </w:p>
        </w:tc>
        <w:tc>
          <w:tcPr>
            <w:tcW w:w="5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w w:val="91"/>
              </w:rPr>
              <w:t>Common Stock</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Exercise</w:t>
            </w:r>
          </w:p>
        </w:tc>
        <w:tc>
          <w:tcPr>
            <w:tcW w:w="56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7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7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80" w:type="dxa"/>
            <w:vAlign w:val="bottom"/>
            <w:gridSpan w:val="5"/>
          </w:tcPr>
          <w:p>
            <w:pPr>
              <w:jc w:val="right"/>
              <w:ind w:right="268"/>
              <w:spacing w:after="0"/>
              <w:rPr>
                <w:sz w:val="20"/>
                <w:szCs w:val="20"/>
                <w:color w:val="auto"/>
              </w:rPr>
            </w:pPr>
            <w:r>
              <w:rPr>
                <w:rFonts w:ascii="Arial" w:cs="Arial" w:eastAsia="Arial" w:hAnsi="Arial"/>
                <w:sz w:val="18"/>
                <w:szCs w:val="18"/>
                <w:color w:val="auto"/>
                <w:w w:val="94"/>
              </w:rPr>
              <w:t>The estimated offering expenses payable by us, exclusive of the underwriting discounts and commissions, are approximately $</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million. We</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have agreed to reimburse the underwriters for expenses relating to clearance of this offering with the Financial Industry Regulatory Authority of up to</w:t>
      </w:r>
    </w:p>
    <w:p>
      <w:pPr>
        <w:spacing w:after="0" w:line="32" w:lineRule="exact"/>
        <w:rPr>
          <w:sz w:val="20"/>
          <w:szCs w:val="20"/>
          <w:color w:val="auto"/>
        </w:rPr>
      </w:pPr>
    </w:p>
    <w:p>
      <w:pPr>
        <w:ind w:left="560" w:hanging="444"/>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trading symbol “PRLD”. The non-voting common stock is not listed on any national securities exchange.</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and all directors and officers and certain stockholders have agreed that, without the prior written consent of Morgan Stanley &amp; Co. LLC, Goldman Sachs &amp; Co. LLC and BofA Securities, Inc. on behalf of the underwriters, we and they will not, and will not publicly disclose an intention to, during the period ending 90 days after the date of this prospectus, or the restricted period:</w:t>
      </w:r>
    </w:p>
    <w:p>
      <w:pPr>
        <w:spacing w:after="0" w:line="89" w:lineRule="exact"/>
        <w:rPr>
          <w:sz w:val="20"/>
          <w:szCs w:val="20"/>
          <w:color w:val="auto"/>
        </w:rPr>
      </w:pPr>
    </w:p>
    <w:p>
      <w:pPr>
        <w:ind w:left="1080" w:right="60" w:hanging="532"/>
        <w:spacing w:after="0" w:line="311"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non-voting common stock or any securities convertible into or exercisable or exchangeable for shares of common stock or non-voting common stock;</w:t>
      </w:r>
    </w:p>
    <w:p>
      <w:pPr>
        <w:spacing w:after="0" w:line="54" w:lineRule="exact"/>
        <w:rPr>
          <w:rFonts w:ascii="Arial" w:cs="Arial" w:eastAsia="Arial" w:hAnsi="Arial"/>
          <w:sz w:val="16"/>
          <w:szCs w:val="16"/>
          <w:color w:val="auto"/>
        </w:rPr>
      </w:pPr>
    </w:p>
    <w:p>
      <w:pPr>
        <w:ind w:left="1080" w:right="34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 non-voting common stock; or</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 or non-voting common stock;</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whether any such transaction described above is to be settled by delivery of common stock, non-voting common stock or such other securities, in cash or otherwise. In addition, we and each such person agrees that, without the prior written consent of Morgan Stanley &amp; Co. LLC, Goldman Sachs &amp; Co. LLC and BofA Securities, Inc.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restrictions described in the immediately preceding paragraph to do not apply to our directors, officers and securityholders with respect to:</w:t>
      </w:r>
    </w:p>
    <w:p>
      <w:pPr>
        <w:spacing w:after="0" w:line="154" w:lineRule="exact"/>
        <w:rPr>
          <w:sz w:val="20"/>
          <w:szCs w:val="20"/>
          <w:color w:val="auto"/>
        </w:rPr>
      </w:pPr>
    </w:p>
    <w:p>
      <w:pPr>
        <w:ind w:left="1080" w:right="12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the offering or in open market transactions after the completion of the offering, provided that no filing under Section 16(a) of the Exchange Act shall be required or shall be voluntarily made during the restricted period in connection with subsequent sales of common stock or other securities acquired in the offering or such open market transactions;</w:t>
      </w:r>
    </w:p>
    <w:p>
      <w:pPr>
        <w:spacing w:after="0" w:line="9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(i) as a bona fide gift or charitable contribution, (ii) by will or intestacy or to any member of the holder’s immediate family or to a trust for the direct or indirect benefit of the holder and/or any member of the holder’s immediate family, (iii) to any corporation, partnership, limited liability company or other business entity, all of the beneficial ownership interests of which, in each such case, are held by the holder or any member of the holder’s immediate family, (iv) if the holder is an entity, to limited partners, members, shareholders or holders of similar equity interests in the holder, or (v) if the holder is an entity, to another corporation, partnership, limited liability company, trust or other business entity that is an affiliate (as defined in Rule 405 promulgated under the Securities Act) of the holder, or to any investment fund or other entity controlled or managed by the holder or affiliated with the holder; provided that, in the case of any transfer or distribution pursuant to this clause, (A) each transferee, donee or distributee shall sign and deliver a substantially similar lock-up agreement and (B) no filing under Section 16(a) of the Exchange Act reporting a reduction in beneficial ownership of shares of common stock or any securities convertible into or exercisable or exchangeable for common stock shall be required or shall be voluntarily made during the restricted period (other than, in the case of a transfer or other disposition pursuant to clause (i) or (ii) above, a Form 5 required to be filed under the Exchange Act if the holder is subject to Section 16</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right="600"/>
        <w:spacing w:after="0" w:line="342" w:lineRule="auto"/>
        <w:rPr>
          <w:sz w:val="20"/>
          <w:szCs w:val="20"/>
          <w:color w:val="auto"/>
        </w:rPr>
      </w:pPr>
      <w:r>
        <w:rPr>
          <w:rFonts w:ascii="Arial" w:cs="Arial" w:eastAsia="Arial" w:hAnsi="Arial"/>
          <w:sz w:val="16"/>
          <w:szCs w:val="16"/>
          <w:color w:val="auto"/>
        </w:rPr>
        <w:t>reporting under the Exchange Act; any such filing will indicate by footnote disclosure or otherwise the nature of the transfer or disposition); and provided further that any such transfer pursuant to this clause shall not involve a transfer or distribution for value;</w:t>
      </w:r>
    </w:p>
    <w:p>
      <w:pPr>
        <w:spacing w:after="0" w:line="29" w:lineRule="exact"/>
        <w:rPr>
          <w:sz w:val="20"/>
          <w:szCs w:val="20"/>
          <w:color w:val="auto"/>
        </w:rPr>
      </w:pPr>
    </w:p>
    <w:p>
      <w:pPr>
        <w:ind w:left="1080" w:right="520" w:hanging="532"/>
        <w:spacing w:after="0" w:line="291"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shares of common stock by operation of law pursuant to a qualified domestic order or other court order or in connection with a divorce settlement; provided that</w:t>
      </w:r>
    </w:p>
    <w:p>
      <w:pPr>
        <w:ind w:left="1080"/>
        <w:spacing w:after="0"/>
        <w:rPr>
          <w:rFonts w:ascii="Arial" w:cs="Arial" w:eastAsia="Arial" w:hAnsi="Arial"/>
          <w:sz w:val="16"/>
          <w:szCs w:val="16"/>
          <w:color w:val="auto"/>
        </w:rPr>
      </w:pPr>
      <w:r>
        <w:rPr>
          <w:rFonts w:ascii="Arial" w:cs="Arial" w:eastAsia="Arial" w:hAnsi="Arial"/>
          <w:sz w:val="16"/>
          <w:szCs w:val="16"/>
          <w:color w:val="auto"/>
        </w:rPr>
        <w:t>(i) any filing under Section 16(a) of the Exchange Act made during the restricted period shall clearly indicate in the footnotes thereto that</w:t>
      </w:r>
    </w:p>
    <w:p>
      <w:pPr>
        <w:spacing w:after="0" w:line="32" w:lineRule="exact"/>
        <w:rPr>
          <w:rFonts w:ascii="Arial" w:cs="Arial" w:eastAsia="Arial" w:hAnsi="Arial"/>
          <w:sz w:val="16"/>
          <w:szCs w:val="16"/>
          <w:color w:val="auto"/>
        </w:rPr>
      </w:pPr>
    </w:p>
    <w:p>
      <w:pPr>
        <w:ind w:left="1080" w:right="60"/>
        <w:spacing w:after="0" w:line="290" w:lineRule="auto"/>
        <w:rPr>
          <w:rFonts w:ascii="Arial" w:cs="Arial" w:eastAsia="Arial" w:hAnsi="Arial"/>
          <w:sz w:val="16"/>
          <w:szCs w:val="16"/>
          <w:color w:val="auto"/>
        </w:rPr>
      </w:pPr>
      <w:r>
        <w:rPr>
          <w:rFonts w:ascii="Arial" w:cs="Arial" w:eastAsia="Arial" w:hAnsi="Arial"/>
          <w:sz w:val="17"/>
          <w:szCs w:val="17"/>
          <w:color w:val="auto"/>
        </w:rPr>
        <w:t>(A) the filing relates to the circumstances described in this clause and (B) no securities were sold by the holder, and (ii) the holder does not otherwise voluntarily effect any other public filing or report regarding such transfers during the restricted period;</w:t>
      </w:r>
    </w:p>
    <w:p>
      <w:pPr>
        <w:spacing w:after="0" w:line="66" w:lineRule="exact"/>
        <w:rPr>
          <w:rFonts w:ascii="Arial" w:cs="Arial" w:eastAsia="Arial" w:hAnsi="Arial"/>
          <w:sz w:val="16"/>
          <w:szCs w:val="16"/>
          <w:color w:val="auto"/>
        </w:rPr>
      </w:pPr>
    </w:p>
    <w:p>
      <w:pPr>
        <w:ind w:left="1080" w:hanging="532"/>
        <w:spacing w:after="0" w:line="287"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 the exercise of options or other similar awards or the vesting or settlement of awards granted pursuant to our equity incentive plans as described in this prospectus and outstanding on the date of the underwriting agreement (including the delivery and receipt of shares of common stock, other awards or any securities convertible into or exercisable or exchangeable for shares of common stock in connection with such exercise, vesting or settlement), or (ii) the transfer or disposition of shares of common stock or any securities convertible into shares of common stock by the holder to the company (or the purchase and cancellation of the same by the company) upon a vesting or settlement event of our securities or upon the exercise of options to purchase our securities on a “cashless” or “net exercise” basis solely to the extent permitted by the instruments representing such options pursuant to our equity incentive plans as described in this prospectus and solely to cover withholding tax obligations in connection with such transaction and any transfer to the company for the payment of taxes as a result of such transaction, provided that (A) the shares of common stock received upon the exercise or settlement of the option are subject to the same restrictions, (B) no public disclosure or filing under Section 16(a) of the Exchange Act shall be voluntarily made during the restricted period and (C) to the extent a filing under Section 16(a) of the Exchange Act is required during the restricted period as a result of transfers in this clause, it shall clearly indicate that the filing relates to the circumstances described in this clause;</w:t>
      </w:r>
    </w:p>
    <w:p>
      <w:pPr>
        <w:spacing w:after="0" w:line="73"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transfers to the company pursuant to the repurchase of shares of common stock in connection with the termination of the holder’s employment with the company or other service relationship with the company pursuant to contractual agreements with the company as in effect as of the date of this prospectus, provided that no public disclosure or filing under Section 16(a) of the Exchange Act shall be required or shall be voluntarily made during the restricted period;</w:t>
      </w:r>
    </w:p>
    <w:p>
      <w:pPr>
        <w:spacing w:after="0" w:line="92" w:lineRule="exact"/>
        <w:rPr>
          <w:rFonts w:ascii="Arial" w:cs="Arial" w:eastAsia="Arial" w:hAnsi="Arial"/>
          <w:sz w:val="18"/>
          <w:szCs w:val="18"/>
          <w:color w:val="auto"/>
        </w:rPr>
      </w:pPr>
    </w:p>
    <w:p>
      <w:pPr>
        <w:ind w:left="1080" w:right="20" w:hanging="532"/>
        <w:spacing w:after="0" w:line="296"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facilitating the establishment of a trading plan on behalf of a stockholder,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the company regarding the establishment of such plan, such announcement or filing shall include a statement to the effect that no transfer of common stock may be made under such plan during the restricted period; or</w:t>
      </w:r>
    </w:p>
    <w:p>
      <w:pPr>
        <w:spacing w:after="0" w:line="66"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for all outstanding shares of common stock or securities convertible into or exercisable or exchangeable for shares of common stock, merger, amalgamation, consolidation or other similar transaction approved by our board of directors and made to all holders of our securities involving a “change of control” (as defined in the lock-up agreement) of the company (including, without limitation, the entering into any lock-up, voting or similar agreement pursuant to which the holder may agree to transfer, sell, tender or otherwise dispose of shares of common stock or other such securities in connection with such transaction, or vote any shares of common stock or other such securities in favor of any such transaction); provided that in the event that such tender offer, merger, amalgamation, consolidation or other such transaction is not completed, such securities held by the holder shall remain subject to the same restrictions.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on transfers or other dispositions by us described above do not apply to:</w:t>
      </w:r>
    </w:p>
    <w:p>
      <w:pPr>
        <w:spacing w:after="0" w:line="131"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130" w:lineRule="exact"/>
        <w:rPr>
          <w:rFonts w:ascii="Arial" w:cs="Arial" w:eastAsia="Arial" w:hAnsi="Arial"/>
          <w:sz w:val="18"/>
          <w:szCs w:val="18"/>
          <w:color w:val="auto"/>
        </w:rPr>
      </w:pPr>
    </w:p>
    <w:p>
      <w:pPr>
        <w:ind w:left="1080" w:right="60" w:hanging="532"/>
        <w:spacing w:after="0" w:line="308"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issuance by us of shares of common stock or securities convertible into or exercisable for shares of common stock upon the exercise of an option or warrant or the conversion of a security outstanding on the date of this prospectus and described herein;</w:t>
      </w:r>
    </w:p>
    <w:p>
      <w:pPr>
        <w:spacing w:after="0" w:line="51"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issuance by us of shares of common stock or non-voting common stock upon the exchange of any security exchangeable therefor or the conversion of any security convertible therefor pursuant to a contractual arrangement or other right described herein, provided that each recipient of such issuance executes and delivers a lock-up agreement;</w:t>
      </w:r>
    </w:p>
    <w:p>
      <w:pPr>
        <w:spacing w:after="0" w:line="89" w:lineRule="exact"/>
        <w:rPr>
          <w:rFonts w:ascii="Arial" w:cs="Arial" w:eastAsia="Arial" w:hAnsi="Arial"/>
          <w:sz w:val="18"/>
          <w:szCs w:val="18"/>
          <w:color w:val="auto"/>
        </w:rPr>
      </w:pPr>
    </w:p>
    <w:p>
      <w:pPr>
        <w:ind w:left="1080" w:right="60" w:hanging="532"/>
        <w:spacing w:after="0" w:line="25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one of our shareholders, officers or directors pursuant to Rule 10b5-1 under the Exchange Act for the transfer of shares of common stock, provided that such plan does not provide for the transfer of common stock during the restricted period and, to the extent a public announcement or filing under the Exchange Act is required of or voluntarily made by us regarding the establishment of such plan, such announcement or filing shall include a statement to the effect that no transfer of common stock may be made under such plan during the restricted period;</w:t>
      </w:r>
    </w:p>
    <w:p>
      <w:pPr>
        <w:spacing w:after="0" w:line="93" w:lineRule="exact"/>
        <w:rPr>
          <w:rFonts w:ascii="Arial" w:cs="Arial" w:eastAsia="Arial" w:hAnsi="Arial"/>
          <w:sz w:val="18"/>
          <w:szCs w:val="18"/>
          <w:color w:val="auto"/>
        </w:rPr>
      </w:pPr>
    </w:p>
    <w:p>
      <w:pPr>
        <w:jc w:val="both"/>
        <w:ind w:left="1080" w:right="200" w:hanging="532"/>
        <w:spacing w:after="0" w:line="263"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grant of any options to purchase shares of common stock or other awards granted under a stock incentive plan or stock purchase plan described in this prospectus, and the issuance by us of shares of common stock upon the exercise thereof, provided that each recipient of such grant executes and delivers a lock-up agreement;</w:t>
      </w:r>
    </w:p>
    <w:p>
      <w:pPr>
        <w:spacing w:after="0" w:line="89"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filing of any registration statement on Form S-8 or a successor form relating to the shares of common stock granted pursuant to or reserved for issuance under a stock incentive plan or stock purchase plan described in this prospectus; or</w:t>
      </w:r>
    </w:p>
    <w:p>
      <w:pPr>
        <w:spacing w:after="0" w:line="75" w:lineRule="exact"/>
        <w:rPr>
          <w:rFonts w:ascii="Arial" w:cs="Arial" w:eastAsia="Arial" w:hAnsi="Arial"/>
          <w:sz w:val="18"/>
          <w:szCs w:val="18"/>
          <w:color w:val="auto"/>
        </w:rPr>
      </w:pPr>
    </w:p>
    <w:p>
      <w:pPr>
        <w:ind w:left="1080" w:right="40" w:hanging="532"/>
        <w:spacing w:after="0" w:line="273"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shares of common stock or other securities issued in connection with a transaction with an unaffiliated third party that includes a debt financing or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 provided that (1) the aggregate number of shares issued does not exceed 5% of the total number of outstanding shares of our common stock immediately following the closing of this offering and (2) the recipient of any such shares during the restricted period enters into a lock-up agreement.</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Morgan Stanley &amp; Co. LLC, Goldman Sachs &amp; Co. LLC and BofA Securities, Inc., in their joint discretion, may release the common stock and other securities subject to the lock-up agreements described above in whole or in part at any time.</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connection with our initial public offering, we and all of our directors and executive officers and substantially all of our stockholders agreed to 180 day lock-up agreements on substantially the same terms as the 90 day lock-up agreements for this offering. Morgan Stanley &amp; Co. LLC, Goldman Sachs &amp; Co. LLC and BofA Securities, Inc. have waived the lock-up agreement from our initial public offering to the extent necessary to permit us to sell shares of our common stock in this offering.</w:t>
      </w:r>
    </w:p>
    <w:p>
      <w:pPr>
        <w:spacing w:after="0" w:line="18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certain of the underwriters also served as underwriters in our initial public offering in September 2020.</w:t>
      </w:r>
    </w:p>
    <w:p>
      <w:pPr>
        <w:spacing w:after="0" w:line="17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jc w:val="center"/>
        <w:ind w:right="938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jc w:val="center"/>
        <w:ind w:right="940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80"/>
          </w:cols>
          <w:pgMar w:left="320" w:top="459"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or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82" w:lineRule="exact"/>
        <w:rPr>
          <w:sz w:val="20"/>
          <w:szCs w:val="20"/>
          <w:color w:val="auto"/>
        </w:rPr>
      </w:pPr>
    </w:p>
    <w:p>
      <w:pPr>
        <w:ind w:left="1080" w:hanging="408"/>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00" w:hanging="418"/>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80" w:hanging="408"/>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80" w:right="20" w:hanging="408"/>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80" w:right="100" w:hanging="418"/>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Shares of our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(Cap.571, Laws of Hong Kong) and any rules made thereunder.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Where shares of our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and each beneficiary is an accredited investor, shares, debentures and units of shares and debentures of that corporation or the beneficiaries’ rights and interest in that trust shall not be transferable for 6 months after that corporation or that trust has acquired shares of our common stock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80"/>
          </w:cols>
          <w:pgMar w:left="32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8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Fenwick &amp; West LLP, San Francisco, California. Cooley LLP, Boston, Massachusetts, is acting as counsel for the underwriters in connection with this offering.</w:t>
      </w: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financial statements of Prelude Therapeutics Incorporated at December 31, 2019 and 2018, and for each of the two years in the period ended December 31, 2019, appearing in this 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financial statements) appearing elsewhere herein, and are included in reliance upon such report given on the authority of such firm as experts in accounting and auditing.</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filed with the SEC a registration statement on Form S-1 (File Number 333- )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concerning the contents of any contract or any other document are not necessarily complete, please see the copy of the contract or document that has been filed for the complete contents of that contract or document.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file periodic reports, proxy statements and other information with the SEC pursuant to the Securities Exchange Act of 1934, as amended. The SEC maintains a website that contains reports, proxy and information statements and other information regarding registrants that file electronically with the SEC. The address of the website is www.sec.gov.</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also maintain a website at www.preludetx.com.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80"/>
          </w:cols>
          <w:pgMar w:left="320" w:top="459"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2"/>
            <w:vMerge w:val="restart"/>
          </w:tcPr>
          <w:p>
            <w:pPr>
              <w:spacing w:after="0"/>
              <w:rPr>
                <w:sz w:val="20"/>
                <w:szCs w:val="20"/>
                <w:color w:val="auto"/>
              </w:rPr>
            </w:pPr>
            <w:r>
              <w:rPr>
                <w:rFonts w:ascii="Arial" w:cs="Arial" w:eastAsia="Arial" w:hAnsi="Arial"/>
                <w:sz w:val="18"/>
                <w:szCs w:val="18"/>
                <w:color w:val="auto"/>
              </w:rPr>
              <w:t>Audited Financial Statements as of December 31, 2018 and 2019 and for the Years then Ended:</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Balance Sheets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Statements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Statements of Changes in Convertible Preferred Stock and Stockholders’ Deficit</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Statements of Cash Flows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0"/>
        </w:trPr>
        <w:tc>
          <w:tcPr>
            <w:tcW w:w="10560" w:type="dxa"/>
            <w:vAlign w:val="bottom"/>
            <w:gridSpan w:val="2"/>
          </w:tcPr>
          <w:p>
            <w:pPr>
              <w:spacing w:after="0" w:line="190" w:lineRule="exact"/>
              <w:rPr>
                <w:sz w:val="20"/>
                <w:szCs w:val="20"/>
                <w:color w:val="auto"/>
              </w:rPr>
            </w:pPr>
            <w:r>
              <w:rPr>
                <w:rFonts w:ascii="Arial" w:cs="Arial" w:eastAsia="Arial" w:hAnsi="Arial"/>
                <w:sz w:val="18"/>
                <w:szCs w:val="18"/>
                <w:color w:val="0000EE"/>
                <w:w w:val="93"/>
              </w:rPr>
              <w:t>Unaudited Interim Financial Statements as of September 30, 2020 and for the Three and Nine Months Ended September 30, 2019 and 2020: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0120" w:type="dxa"/>
            <w:vAlign w:val="bottom"/>
            <w:tcBorders>
              <w:top w:val="single" w:sz="8" w:color="0000EE"/>
            </w:tcBorders>
          </w:tcPr>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Balance Sheets</w:t>
              </w:r>
            </w:hyperlink>
          </w:p>
        </w:tc>
        <w:tc>
          <w:tcPr>
            <w:tcW w:w="4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Statements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Statements of Changes in Convertible Preferred Stock and Stockholders’ Deficit</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Statements of Cash Flows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30"/>
        </w:trPr>
        <w:tc>
          <w:tcPr>
            <w:tcW w:w="10560" w:type="dxa"/>
            <w:vAlign w:val="bottom"/>
            <w:gridSpan w:val="2"/>
          </w:tcPr>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Notes to Unaudited Interim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365"/>
        </w:trPr>
        <w:tc>
          <w:tcPr>
            <w:tcW w:w="10560" w:type="dxa"/>
            <w:vAlign w:val="bottom"/>
            <w:gridSpan w:val="2"/>
          </w:tcPr>
          <w:p>
            <w:pPr>
              <w:ind w:left="5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Prelude Therapeutics Incorporated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audited the accompanying balance sheets of Prelude Therapeutics Incorporated (the Company) as of December 31, 2019 and 2018, the related statements of operations, changes in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21"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2 to the financial statements, the Company has recurring losses from operations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23, 2020, except for the reverse stock split described in Note 11, as to which the date is September 21, 2020</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except share and per share data)</w:t>
            </w:r>
          </w:p>
        </w:tc>
        <w:tc>
          <w:tcPr>
            <w:tcW w:w="53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00" w:type="dxa"/>
            <w:vAlign w:val="bottom"/>
            <w:tcBorders>
              <w:bottom w:val="single" w:sz="8" w:color="auto"/>
            </w:tcBorders>
            <w:vMerge w:val="continue"/>
          </w:tcPr>
          <w:p>
            <w:pPr>
              <w:spacing w:after="0"/>
              <w:rPr>
                <w:sz w:val="12"/>
                <w:szCs w:val="12"/>
                <w:color w:val="auto"/>
              </w:rPr>
            </w:pPr>
          </w:p>
        </w:tc>
        <w:tc>
          <w:tcPr>
            <w:tcW w:w="5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111"/>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1"/>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18,879</w:t>
            </w:r>
          </w:p>
        </w:tc>
        <w:tc>
          <w:tcPr>
            <w:tcW w:w="0" w:type="dxa"/>
            <w:vAlign w:val="bottom"/>
          </w:tcPr>
          <w:p>
            <w:pPr>
              <w:spacing w:after="0"/>
              <w:rPr>
                <w:sz w:val="1"/>
                <w:szCs w:val="1"/>
                <w:color w:val="auto"/>
              </w:rPr>
            </w:pPr>
          </w:p>
        </w:tc>
      </w:tr>
      <w:tr>
        <w:trPr>
          <w:trHeight w:val="223"/>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15,595</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20,224</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21,871</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Capital lease obligation</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1,362</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23"/>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2,447</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2,504</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Convertible preferred stock, $0.0001 par value: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Series A convertible preferred stock: 13,574,008 shares authorized at December 31,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2019; 11,736,119 shares issued and outstanding at December 31, 2018 and 2019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(liquidation value of $36,878 at December 31, 2019)</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36,595</w:t>
            </w: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36,595</w:t>
            </w:r>
          </w:p>
        </w:tc>
        <w:tc>
          <w:tcPr>
            <w:tcW w:w="0" w:type="dxa"/>
            <w:vAlign w:val="bottom"/>
          </w:tcPr>
          <w:p>
            <w:pPr>
              <w:spacing w:after="0"/>
              <w:rPr>
                <w:sz w:val="1"/>
                <w:szCs w:val="1"/>
                <w:color w:val="auto"/>
              </w:rPr>
            </w:pPr>
          </w:p>
        </w:tc>
      </w:tr>
      <w:tr>
        <w:trPr>
          <w:trHeight w:val="202"/>
        </w:trPr>
        <w:tc>
          <w:tcPr>
            <w:tcW w:w="8200" w:type="dxa"/>
            <w:vAlign w:val="bottom"/>
            <w:gridSpan w:val="2"/>
          </w:tcPr>
          <w:p>
            <w:pPr>
              <w:ind w:left="720"/>
              <w:spacing w:after="0" w:line="201" w:lineRule="exact"/>
              <w:rPr>
                <w:sz w:val="20"/>
                <w:szCs w:val="20"/>
                <w:color w:val="auto"/>
              </w:rPr>
            </w:pPr>
            <w:r>
              <w:rPr>
                <w:rFonts w:ascii="Arial" w:cs="Arial" w:eastAsia="Arial" w:hAnsi="Arial"/>
                <w:sz w:val="18"/>
                <w:szCs w:val="18"/>
                <w:color w:val="auto"/>
              </w:rPr>
              <w:t>Series B convertible preferred stock: 18,500,000 shares authorized at December 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900"/>
              <w:spacing w:after="0"/>
              <w:rPr>
                <w:sz w:val="20"/>
                <w:szCs w:val="20"/>
                <w:color w:val="auto"/>
              </w:rPr>
            </w:pPr>
            <w:r>
              <w:rPr>
                <w:rFonts w:ascii="Arial" w:cs="Arial" w:eastAsia="Arial" w:hAnsi="Arial"/>
                <w:sz w:val="18"/>
                <w:szCs w:val="18"/>
                <w:color w:val="auto"/>
              </w:rPr>
              <w:t>2019; no shares and 7,628,846 shares issued and outstanding at December 31, 2018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00" w:type="dxa"/>
            <w:vAlign w:val="bottom"/>
            <w:gridSpan w:val="2"/>
          </w:tcPr>
          <w:p>
            <w:pPr>
              <w:ind w:left="900"/>
              <w:spacing w:after="0"/>
              <w:rPr>
                <w:sz w:val="20"/>
                <w:szCs w:val="20"/>
                <w:color w:val="auto"/>
              </w:rPr>
            </w:pPr>
            <w:r>
              <w:rPr>
                <w:rFonts w:ascii="Arial" w:cs="Arial" w:eastAsia="Arial" w:hAnsi="Arial"/>
                <w:sz w:val="18"/>
                <w:szCs w:val="18"/>
                <w:color w:val="auto"/>
              </w:rPr>
              <w:t>and 2019, respectively (liquidation value of $30,000 at December 31, 2019)</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convertible preferred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36,595</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66,443</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Commitments (note 7)</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Common stock, $0.0001 par value: 42,000,000 shares authorized at December 31, 2019;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540"/>
              <w:spacing w:after="0"/>
              <w:rPr>
                <w:sz w:val="20"/>
                <w:szCs w:val="20"/>
                <w:color w:val="auto"/>
              </w:rPr>
            </w:pPr>
            <w:r>
              <w:rPr>
                <w:rFonts w:ascii="Arial" w:cs="Arial" w:eastAsia="Arial" w:hAnsi="Arial"/>
                <w:sz w:val="18"/>
                <w:szCs w:val="18"/>
                <w:color w:val="auto"/>
              </w:rPr>
              <w:t>2,380,270 and 3,161,653 shares issued and outstanding at December 31, 2018 and 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gridSpan w:val="2"/>
          </w:tcPr>
          <w:p>
            <w:pPr>
              <w:ind w:left="5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23"/>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(22,927)</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(22,693)</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(49,412)</w:t>
            </w:r>
          </w:p>
        </w:tc>
        <w:tc>
          <w:tcPr>
            <w:tcW w:w="0" w:type="dxa"/>
            <w:vAlign w:val="bottom"/>
          </w:tcPr>
          <w:p>
            <w:pPr>
              <w:spacing w:after="0"/>
              <w:rPr>
                <w:sz w:val="1"/>
                <w:szCs w:val="1"/>
                <w:color w:val="auto"/>
              </w:rPr>
            </w:pPr>
          </w:p>
        </w:tc>
      </w:tr>
      <w:tr>
        <w:trPr>
          <w:trHeight w:val="223"/>
        </w:trPr>
        <w:tc>
          <w:tcPr>
            <w:tcW w:w="8200" w:type="dxa"/>
            <w:vAlign w:val="bottom"/>
            <w:gridSpan w:val="2"/>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16,406</w:t>
            </w:r>
          </w:p>
        </w:tc>
        <w:tc>
          <w:tcPr>
            <w:tcW w:w="2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except share and per share data)</w:t>
            </w:r>
          </w:p>
        </w:tc>
        <w:tc>
          <w:tcPr>
            <w:tcW w:w="5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7"/>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2900" w:type="dxa"/>
            <w:vAlign w:val="bottom"/>
            <w:tcBorders>
              <w:bottom w:val="single" w:sz="8" w:color="auto"/>
            </w:tcBorders>
            <w:vMerge w:val="continue"/>
          </w:tcPr>
          <w:p>
            <w:pPr>
              <w:spacing w:after="0"/>
              <w:rPr>
                <w:sz w:val="12"/>
                <w:szCs w:val="12"/>
                <w:color w:val="auto"/>
              </w:rPr>
            </w:pPr>
          </w:p>
        </w:tc>
        <w:tc>
          <w:tcPr>
            <w:tcW w:w="51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12,621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2,354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14,975</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28,109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(14,975)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(14,680)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Per share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1,402,928</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1,668,549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of common stock, basic and diluted (unaudited)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 average shares outstanding, basic and diluted (unaudited).</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32,105,972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ectPr>
          <w:pgSz w:w="11900" w:h="16838" w:orient="portrait"/>
          <w:cols w:equalWidth="0" w:num="1">
            <w:col w:w="11140"/>
          </w:cols>
          <w:pgMar w:left="320" w:top="459" w:right="439" w:bottom="1440" w:gutter="0" w:footer="0" w:header="0"/>
        </w:sect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Convertible preferred stock</w:t>
            </w:r>
          </w:p>
        </w:tc>
        <w:tc>
          <w:tcPr>
            <w:tcW w:w="0" w:type="dxa"/>
            <w:vAlign w:val="bottom"/>
          </w:tcPr>
          <w:p>
            <w:pPr>
              <w:spacing w:after="0"/>
              <w:rPr>
                <w:sz w:val="1"/>
                <w:szCs w:val="1"/>
                <w:color w:val="auto"/>
              </w:rPr>
            </w:pPr>
          </w:p>
        </w:tc>
      </w:tr>
      <w:tr>
        <w:trPr>
          <w:trHeight w:val="142"/>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w:t>
            </w:r>
          </w:p>
        </w:tc>
        <w:tc>
          <w:tcPr>
            <w:tcW w:w="1440" w:type="dxa"/>
            <w:vAlign w:val="bottom"/>
            <w:tcBorders>
              <w:bottom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rPr>
              <w:t>Series A</w:t>
            </w:r>
          </w:p>
        </w:tc>
        <w:tc>
          <w:tcPr>
            <w:tcW w:w="140" w:type="dxa"/>
            <w:vAlign w:val="bottom"/>
          </w:tcPr>
          <w:p>
            <w:pPr>
              <w:spacing w:after="0"/>
              <w:rPr>
                <w:sz w:val="12"/>
                <w:szCs w:val="12"/>
                <w:color w:val="auto"/>
              </w:rPr>
            </w:pPr>
          </w:p>
        </w:tc>
        <w:tc>
          <w:tcPr>
            <w:tcW w:w="1300" w:type="dxa"/>
            <w:vAlign w:val="bottom"/>
            <w:tcBorders>
              <w:bottom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Series B</w:t>
            </w:r>
          </w:p>
        </w:tc>
        <w:tc>
          <w:tcPr>
            <w:tcW w:w="0" w:type="dxa"/>
            <w:vAlign w:val="bottom"/>
          </w:tcPr>
          <w:p>
            <w:pPr>
              <w:spacing w:after="0"/>
              <w:rPr>
                <w:sz w:val="1"/>
                <w:szCs w:val="1"/>
                <w:color w:val="auto"/>
              </w:rPr>
            </w:pPr>
          </w:p>
        </w:tc>
      </w:tr>
      <w:tr>
        <w:trPr>
          <w:trHeight w:val="106"/>
        </w:trPr>
        <w:tc>
          <w:tcPr>
            <w:tcW w:w="3960" w:type="dxa"/>
            <w:vAlign w:val="bottom"/>
            <w:vMerge w:val="continue"/>
          </w:tcPr>
          <w:p>
            <w:pPr>
              <w:spacing w:after="0"/>
              <w:rPr>
                <w:sz w:val="9"/>
                <w:szCs w:val="9"/>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85"/>
              </w:rPr>
              <w:t>Shares</w:t>
            </w:r>
          </w:p>
        </w:tc>
        <w:tc>
          <w:tcPr>
            <w:tcW w:w="10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3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Shares   Amount</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5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-1973580</wp:posOffset>
            </wp:positionH>
            <wp:positionV relativeFrom="paragraph">
              <wp:posOffset>-86995</wp:posOffset>
            </wp:positionV>
            <wp:extent cx="4457700" cy="3943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457700" cy="3943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gridSpan w:val="2"/>
          </w:tcPr>
          <w:p>
            <w:pPr>
              <w:ind w:left="220"/>
              <w:spacing w:after="0" w:line="119" w:lineRule="exact"/>
              <w:rPr>
                <w:sz w:val="20"/>
                <w:szCs w:val="20"/>
                <w:color w:val="auto"/>
              </w:rPr>
            </w:pPr>
            <w:r>
              <w:rPr>
                <w:rFonts w:ascii="Arial" w:cs="Arial" w:eastAsia="Arial" w:hAnsi="Arial"/>
                <w:sz w:val="13"/>
                <w:szCs w:val="13"/>
                <w:b w:val="1"/>
                <w:bCs w:val="1"/>
                <w:color w:val="auto"/>
              </w:rPr>
              <w:t>Common stock</w:t>
            </w:r>
          </w:p>
        </w:tc>
        <w:tc>
          <w:tcPr>
            <w:tcW w:w="900" w:type="dxa"/>
            <w:vAlign w:val="bottom"/>
            <w:tcBorders>
              <w:top w:val="single" w:sz="8" w:color="auto"/>
            </w:tcBorders>
          </w:tcPr>
          <w:p>
            <w:pPr>
              <w:jc w:val="center"/>
              <w:ind w:left="10"/>
              <w:spacing w:after="0" w:line="119" w:lineRule="exact"/>
              <w:rPr>
                <w:sz w:val="20"/>
                <w:szCs w:val="20"/>
                <w:color w:val="auto"/>
              </w:rPr>
            </w:pPr>
            <w:r>
              <w:rPr>
                <w:rFonts w:ascii="Arial" w:cs="Arial" w:eastAsia="Arial" w:hAnsi="Arial"/>
                <w:sz w:val="13"/>
                <w:szCs w:val="13"/>
                <w:b w:val="1"/>
                <w:bCs w:val="1"/>
                <w:color w:val="auto"/>
              </w:rPr>
              <w:t>Additional</w:t>
            </w:r>
          </w:p>
        </w:tc>
        <w:tc>
          <w:tcPr>
            <w:tcW w:w="10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paid-in</w:t>
            </w:r>
          </w:p>
        </w:tc>
        <w:tc>
          <w:tcPr>
            <w:tcW w:w="104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4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0"/>
              </w:rPr>
              <w:t>Amount</w:t>
            </w:r>
          </w:p>
        </w:tc>
        <w:tc>
          <w:tcPr>
            <w:tcW w:w="9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deficit</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ectPr>
          <w:pgSz w:w="11900" w:h="16838" w:orient="portrait"/>
          <w:cols w:equalWidth="0" w:num="2">
            <w:col w:w="6960" w:space="220"/>
            <w:col w:w="39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6,007,743</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$18,658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1,866,367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(8,193)</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20"/>
                <w:szCs w:val="20"/>
                <w:color w:val="auto"/>
              </w:rPr>
            </w:pPr>
            <w:r>
              <w:rPr>
                <w:rFonts w:ascii="Arial" w:cs="Arial" w:eastAsia="Arial" w:hAnsi="Arial"/>
                <w:sz w:val="16"/>
                <w:szCs w:val="16"/>
                <w:color w:val="auto"/>
              </w:rPr>
              <w:t>Sale of Series A convertible preferred stock, net of</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60" w:type="dxa"/>
            <w:vAlign w:val="bottom"/>
          </w:tcPr>
          <w:p>
            <w:pPr>
              <w:ind w:left="160"/>
              <w:spacing w:after="0"/>
              <w:rPr>
                <w:sz w:val="20"/>
                <w:szCs w:val="20"/>
                <w:color w:val="auto"/>
              </w:rPr>
            </w:pPr>
            <w:r>
              <w:rPr>
                <w:rFonts w:ascii="Arial" w:cs="Arial" w:eastAsia="Arial" w:hAnsi="Arial"/>
                <w:sz w:val="16"/>
                <w:szCs w:val="16"/>
                <w:color w:val="auto"/>
              </w:rPr>
              <w:t>issuance costs of $63</w:t>
            </w:r>
          </w:p>
        </w:tc>
        <w:tc>
          <w:tcPr>
            <w:tcW w:w="760" w:type="dxa"/>
            <w:vAlign w:val="bottom"/>
          </w:tcPr>
          <w:p>
            <w:pPr>
              <w:jc w:val="right"/>
              <w:spacing w:after="0"/>
              <w:rPr>
                <w:sz w:val="20"/>
                <w:szCs w:val="20"/>
                <w:color w:val="auto"/>
              </w:rPr>
            </w:pPr>
            <w:r>
              <w:rPr>
                <w:rFonts w:ascii="Arial" w:cs="Arial" w:eastAsia="Arial" w:hAnsi="Arial"/>
                <w:sz w:val="16"/>
                <w:szCs w:val="16"/>
                <w:color w:val="auto"/>
              </w:rPr>
              <w:t>5,728,376</w:t>
            </w: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17,937</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w w:val="94"/>
              </w:rPr>
              <w:t>Stock-based compensation expense, including issuance of</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 awards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513,903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ind w:lef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(14,680)</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(14,680)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11,736,119</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36,595</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2,380,270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(22,927)</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(22,693)</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3,242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ind w:lef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Sale of Series B convertible preferred stock, net of</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costs of $152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7,628,846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29,848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20"/>
                <w:szCs w:val="20"/>
                <w:color w:val="auto"/>
              </w:rPr>
            </w:pPr>
            <w:r>
              <w:rPr>
                <w:rFonts w:ascii="Arial" w:cs="Arial" w:eastAsia="Arial" w:hAnsi="Arial"/>
                <w:sz w:val="16"/>
                <w:szCs w:val="16"/>
                <w:color w:val="auto"/>
                <w:w w:val="94"/>
              </w:rPr>
              <w:t>Stock-based compensation expense, including issuance of</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60" w:type="dxa"/>
            <w:vAlign w:val="bottom"/>
          </w:tcPr>
          <w:p>
            <w:pPr>
              <w:ind w:left="160"/>
              <w:spacing w:after="0"/>
              <w:rPr>
                <w:sz w:val="20"/>
                <w:szCs w:val="20"/>
                <w:color w:val="auto"/>
              </w:rPr>
            </w:pPr>
            <w:r>
              <w:rPr>
                <w:rFonts w:ascii="Arial" w:cs="Arial" w:eastAsia="Arial" w:hAnsi="Arial"/>
                <w:sz w:val="16"/>
                <w:szCs w:val="16"/>
                <w:color w:val="auto"/>
              </w:rPr>
              <w:t>restricted stock awards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778,141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(27,570)</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(27,570)</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2019</w:t>
            </w: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60" w:type="dxa"/>
            <w:vAlign w:val="bottom"/>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11,736,119</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36,595</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7,628,846</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29,848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3,161,653</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w w:val="87"/>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1,085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(50,497)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(49,412)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type w:val="continuous"/>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2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flows used in operating activities: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(14,680)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(27,570)</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9120" w:type="dxa"/>
            <w:vAlign w:val="bottom"/>
            <w:gridSpan w:val="2"/>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(12,954)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(25,665)</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provided by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Proceeds from the sale of Series A convertible preferred stock, net</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17,937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the sale of Series B convertible preferred stock,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Payment of capital lease obligation</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11,141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15,595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15,595</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18,879</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capital lease obligation in connection with purchase of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ind w:left="360"/>
              <w:spacing w:after="0"/>
              <w:rPr>
                <w:sz w:val="20"/>
                <w:szCs w:val="20"/>
                <w:color w:val="auto"/>
              </w:rPr>
            </w:pPr>
            <w:r>
              <w:rPr>
                <w:rFonts w:ascii="Arial" w:cs="Arial" w:eastAsia="Arial" w:hAnsi="Arial"/>
                <w:sz w:val="18"/>
                <w:szCs w:val="18"/>
                <w:color w:val="auto"/>
              </w:rPr>
              <w:t>Property and equipment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Prelude Therapeutics Incorporated (the “Company”) was incorporated in Delaware on February 5, 2016 and is a clinical-stage biotechnology company focused on discovering and developing new medicines targeting chromatin function to treat cancer and rare diseases. Since beginning operations, the Company has devoted substantially all its efforts to research and development, conducting preclinical and clinical studies, recruiting management and technical staff, administration, and raising capital.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Risks and Liquidity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 follows the provisions of Financial Accounting Standards Board (“FASB”) Accounting Standards Codification (“ASC”) Topic 205-40, Presentation of Financial Statements—Going Concern, which requires management to assess the Company’s ability to continue as a going concern within one year after the date the financial statements are issued.</w:t>
      </w:r>
    </w:p>
    <w:p>
      <w:pPr>
        <w:spacing w:after="0" w:line="184"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Since its inception, the Company has incurred operating losses and has an accumulated deficit of $50.5 million at December 31, 2019. The Company has no revenue to date and devotes its efforts to research and development. The Company anticipates incurring additional losses until such time, if ever, that it can generate significant sales of its product candidates currently in development. The Company’s activities have been primarily funded by the sale of Convertible Preferred Stock (Note 8). These factors and the Company’s recurring losses from operations, negative cash from operations, and accumulated deficit since inception raise substantial doubt about the Company’s ability to continue as a going concern within one year after the date these financial statements are issued.</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Company’s cash and cash equivalents at December 31, 2019 were $18.9 million. This, combined with approximately $29.9 million raised through a Series B Preferred stock financing in March 2020 (Note 11) is expected to enable the Company to fund its operating expenses and capital expenditure requirements into December 2020, at which time the Company will need to secure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equity under acceptable terms, if at all. If the Company is unable to obtain additional financing, the lack of liquidity could have a material adverse effect on the Company’s future prospects. As a result of these factors, there is substantial doubt about the Company’s ability to continue as a going concern within one year after the date that these financial statements are issued.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accompanying financial statements have been prepared on a going-concern basis, which contemplates the realization of assets and satisfaction of liabilities in the normal course of business. The financial statements do not include any adjustments related to the recoverability and classification of recorded asset amounts or the amounts and classification of liabilities that might result from the outcome of this uncertainty. Management is currently evaluating different strategies to obtain the required funding of future operations. These strategies may include, but are not limited to, additional funding from current investors, funding from new investors including strategic corporate investors, and an initial public offering of the Company’s common stock. There can be no assurance these future funding efforts will be successful.</w:t>
      </w:r>
    </w:p>
    <w:p>
      <w:pPr>
        <w:spacing w:after="0" w:line="282" w:lineRule="exact"/>
        <w:rPr>
          <w:sz w:val="20"/>
          <w:szCs w:val="20"/>
          <w:color w:val="auto"/>
        </w:rPr>
      </w:pPr>
    </w:p>
    <w:p>
      <w:pPr>
        <w:ind w:left="560" w:right="7440" w:hanging="444"/>
        <w:spacing w:after="0" w:line="377" w:lineRule="auto"/>
        <w:tabs>
          <w:tab w:leader="none" w:pos="3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(“GAAP”). Any reference in these notes to applicable guidance is meant to refer to GAAP as found in the Accounting Standards Codification (“ASC”) and Accounting Standards Updates (“ASU”) promulgated by the Financial Accounting Standards Board (“FASB”).</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6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Estimates and assumptions are periodically reviewed and the effects of the revisions are reflected in the accompanying financial statements in the period they are determined to be necessary. Significant areas that require management’s estimates include the fair value of the Company’s common stock, stock-based compensation assumptions, and accrued clinical trial expenses.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The Company maintains deposits in federally insured financial institutions in excess of federally insured limits. The Company has not experienced any losses in such accounts and believes it is not exposed to significant credit risk beyond the normal credit risk associated with commercial banking relationships.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and manages its operations as a single operating segment.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Management believes that the carrying amounts of the Company’s financial instruments, including cash, accounts payable, accrued expenses and a capital lease obligation, approximate fair value due to the short-term nature of these instruments.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expense is recognized using the straight-line method over the estimated useful life of the asset, ranging from 5-7 years as follows:</w:t>
      </w:r>
    </w:p>
    <w:p>
      <w:pPr>
        <w:spacing w:after="0" w:line="189" w:lineRule="exact"/>
        <w:rPr>
          <w:sz w:val="20"/>
          <w:szCs w:val="20"/>
          <w:color w:val="auto"/>
        </w:rPr>
      </w:pPr>
    </w:p>
    <w:tbl>
      <w:tblPr>
        <w:tblLayout w:type="fixed"/>
        <w:tblInd w:w="1500" w:type="dxa"/>
        <w:tblCellMar>
          <w:top w:w="0" w:type="dxa"/>
          <w:left w:w="0" w:type="dxa"/>
          <w:bottom w:w="0" w:type="dxa"/>
          <w:right w:w="0" w:type="dxa"/>
        </w:tblCellMar>
      </w:tblPr>
      <w:tr>
        <w:trPr>
          <w:trHeight w:val="19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Fixed Asset Type</w:t>
            </w:r>
          </w:p>
        </w:tc>
        <w:tc>
          <w:tcPr>
            <w:tcW w:w="272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4"/>
                <w:szCs w:val="14"/>
                <w:b w:val="1"/>
                <w:bCs w:val="1"/>
                <w:color w:val="auto"/>
                <w:w w:val="91"/>
              </w:rPr>
              <w:t>Estimated useful life</w:t>
            </w:r>
          </w:p>
        </w:tc>
      </w:tr>
      <w:tr>
        <w:trPr>
          <w:trHeight w:val="189"/>
        </w:trPr>
        <w:tc>
          <w:tcPr>
            <w:tcW w:w="1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5"/>
              </w:rPr>
              <w:t>Lab equipment</w:t>
            </w:r>
          </w:p>
        </w:tc>
        <w:tc>
          <w:tcPr>
            <w:tcW w:w="32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5 years</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Computers</w:t>
            </w:r>
          </w:p>
        </w:tc>
        <w:tc>
          <w:tcPr>
            <w:tcW w:w="3980" w:type="dxa"/>
            <w:vAlign w:val="bottom"/>
            <w:gridSpan w:val="2"/>
          </w:tcPr>
          <w:p>
            <w:pPr>
              <w:ind w:left="2720"/>
              <w:spacing w:after="0"/>
              <w:rPr>
                <w:sz w:val="20"/>
                <w:szCs w:val="20"/>
                <w:color w:val="auto"/>
              </w:rPr>
            </w:pPr>
            <w:r>
              <w:rPr>
                <w:rFonts w:ascii="Arial" w:cs="Arial" w:eastAsia="Arial" w:hAnsi="Arial"/>
                <w:sz w:val="18"/>
                <w:szCs w:val="18"/>
                <w:color w:val="auto"/>
              </w:rPr>
              <w:t>5 years</w:t>
            </w: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980" w:type="dxa"/>
            <w:vAlign w:val="bottom"/>
            <w:gridSpan w:val="2"/>
          </w:tcPr>
          <w:p>
            <w:pPr>
              <w:ind w:left="2720"/>
              <w:spacing w:after="0"/>
              <w:rPr>
                <w:sz w:val="20"/>
                <w:szCs w:val="20"/>
                <w:color w:val="auto"/>
              </w:rPr>
            </w:pPr>
            <w:r>
              <w:rPr>
                <w:rFonts w:ascii="Arial" w:cs="Arial" w:eastAsia="Arial" w:hAnsi="Arial"/>
                <w:sz w:val="18"/>
                <w:szCs w:val="18"/>
                <w:color w:val="auto"/>
              </w:rPr>
              <w:t>7 years</w:t>
            </w:r>
          </w:p>
        </w:tc>
      </w:tr>
    </w:tbl>
    <w:p>
      <w:pPr>
        <w:spacing w:after="0" w:line="202"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Leasehold improvements are amortized over the shorter of the estimated useful life of the assets or the remaining lease term. Assets under capital leases are recorded in property and equipment, net on the balance sheets and depreciated in a manner similar to other property and equipment.</w:t>
      </w:r>
    </w:p>
    <w:p>
      <w:pPr>
        <w:spacing w:after="0" w:line="124"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Expenditures for repairs and maintenance of assets are charged to expense as incurred, while major betterments are capitalized. Upon retirement or sale, the cost and related accumulated depreciation of assets disposed of are removed from the accounts and any resulting gain or loss is included in the statements of operations.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Company reviews long-lived assets, such as property and equipment, for impairment when events or changes in circumstances indicate the carrying amount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then the asset is considered to be impaired and its carrying value is written down to fair value, based on the related estimated discounted future cash flows.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measures the cost of employee services received in exchange for stock-based awards based on the grant-date fair value of the award. The Company recognizes compensation expense using the straight-line method over the vesting period of the awards. The Company accounts for forfeitures as they occur.</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Estimating the fair value of stock-based awards requires the input of subjective assumptions, including the estimated fair value of the Company’s common stock, and, for stock options, the expected life of the options and stock price volatility. The Company uses the Black-Scholes option pricing model to value its stock option awards.</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 xml:space="preserve">As the Company’s common stock has not been publicly traded,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 expected life of the stock options is estimated using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120" w:right="340"/>
        <w:spacing w:after="0" w:line="257" w:lineRule="auto"/>
        <w:rPr>
          <w:sz w:val="20"/>
          <w:szCs w:val="20"/>
          <w:color w:val="auto"/>
        </w:rPr>
      </w:pPr>
      <w:r>
        <w:rPr>
          <w:rFonts w:ascii="Arial" w:cs="Arial" w:eastAsia="Arial" w:hAnsi="Arial"/>
          <w:sz w:val="18"/>
          <w:szCs w:val="18"/>
          <w:color w:val="auto"/>
        </w:rPr>
        <w:t>“simplified method,” as prescribed in SEC’s Staff Accounting Bulletin (SAB) No. 107, as the Company has no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comparable public companies as a basis for its expected volatility to calculate the fair value of option grants. The risk-free rate is based on the U.S. Treasury yield curve commensurate with the expected life of the option.</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 Income and Research and Development Tax Credits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recognizes grant income and Delaware research and development tax credits, which are refundable irrespective of taxable income, in other income, net in the statements of operations when it is probable that the amounts will be received and the necessary qualifying conditions, as stated in the agreements, are met.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principally of personnel costs, including salaries, stock-based compensation, and benefits of employees, and other operational costs related to the Company’s research and development activities, including allocated facility-related expenses and external costs of outside vendors, such as clinical research organizations and clinical manufacturing organizations, and other direct and indirect costs.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Management makes estimates of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Income taxes are accounted for under the asset-and-liability method as required by 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7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FASB ASC Subtopic 740-10, </w:t>
      </w:r>
      <w:r>
        <w:rPr>
          <w:rFonts w:ascii="Arial" w:cs="Arial" w:eastAsia="Arial" w:hAnsi="Arial"/>
          <w:sz w:val="18"/>
          <w:szCs w:val="18"/>
          <w:i w:val="1"/>
          <w:iCs w:val="1"/>
          <w:color w:val="auto"/>
        </w:rPr>
        <w:t>Accounting for Uncertainty of Income Taxes</w:t>
      </w:r>
      <w:r>
        <w:rPr>
          <w:rFonts w:ascii="Arial" w:cs="Arial" w:eastAsia="Arial" w:hAnsi="Arial"/>
          <w:sz w:val="18"/>
          <w:szCs w:val="18"/>
          <w:color w:val="auto"/>
        </w:rPr>
        <w:t>, (“ASC 740-10”) defines the criterion an individual tax position must meet for any part of the benefit of the tax position to be recognized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w:t>
      </w:r>
    </w:p>
    <w:p>
      <w:pPr>
        <w:spacing w:after="0" w:line="1"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ASC 740-10, the Company’s policy on income statement classification of interest and penalties related to income tax obligations is to include such items as part of total interest expense and other expense, respectively.</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 and Unaudited Pro Forma Net Loss Per Share</w:t>
      </w:r>
    </w:p>
    <w:p>
      <w:pPr>
        <w:spacing w:after="0" w:line="11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and unvested restricted stock have no obligation to fund losses.</w:t>
      </w:r>
    </w:p>
    <w:p>
      <w:pPr>
        <w:spacing w:after="0" w:line="18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of common stock outstanding, as they would be anti-dilutive: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11,736,119</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11,736,119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7,628,846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awards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856,438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1,335,349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588,961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2,269,742</w:t>
            </w:r>
          </w:p>
        </w:tc>
      </w:tr>
      <w:tr>
        <w:trPr>
          <w:trHeight w:val="27"/>
        </w:trPr>
        <w:tc>
          <w:tcPr>
            <w:tcW w:w="8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13,181,518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22,970,056</w:t>
            </w:r>
          </w:p>
        </w:tc>
      </w:tr>
      <w:tr>
        <w:trPr>
          <w:trHeight w:val="20"/>
        </w:trPr>
        <w:tc>
          <w:tcPr>
            <w:tcW w:w="8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in the above table reflect the common stock equivalents.</w:t>
      </w:r>
    </w:p>
    <w:p>
      <w:pPr>
        <w:spacing w:after="0" w:line="225"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The unaudited pro forma net loss per share is computed using the weighted average number of shares of common stock outstanding after giving effect to the automatic conversion of all convertible preferred stock, inclusive of the 7,628,846 shares of Series B convertible preferred stock issued in March 2020 and the 3,443,612 shares of Series C convertible preferred stock issued in August 2020, into shares of common stock upon the closing of a qualified initial public offering, as if the qualified initial public offering had occurred at the beginning of the period.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calculation of unaudited pro forma basic and diluted net loss per share of common stock for the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940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(27,570)</w:t>
            </w:r>
          </w:p>
        </w:tc>
      </w:tr>
      <w:tr>
        <w:trPr>
          <w:trHeight w:val="20"/>
        </w:trPr>
        <w:tc>
          <w:tcPr>
            <w:tcW w:w="9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1,668,549</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30,437,423</w:t>
            </w: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w w:val="96"/>
              </w:rPr>
              <w:t>Shares issued in computing unaudited pro forma weighted average basic and diluted shares of common stock outstanding</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32,105,972</w:t>
            </w:r>
          </w:p>
        </w:tc>
        <w:tc>
          <w:tcPr>
            <w:tcW w:w="6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common share, basic and 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(0.86)</w:t>
            </w:r>
          </w:p>
        </w:tc>
      </w:tr>
      <w:tr>
        <w:trPr>
          <w:trHeight w:val="20"/>
        </w:trPr>
        <w:tc>
          <w:tcPr>
            <w:tcW w:w="9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The standard is effective for the Company beginning January 1, 2022, with early adoption permitted. The Company is currently evaluating the expected impact that the standard will have on its financial statements and related disclosures.</w:t>
      </w:r>
    </w:p>
    <w:p>
      <w:pPr>
        <w:spacing w:after="0" w:line="16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 xml:space="preserve">In June 2018, the FASB issued ASU 2018-07, Compensation-Stock Compensation (Topic 718): </w:t>
      </w:r>
      <w:r>
        <w:rPr>
          <w:rFonts w:ascii="Arial" w:cs="Arial" w:eastAsia="Arial" w:hAnsi="Arial"/>
          <w:sz w:val="18"/>
          <w:szCs w:val="18"/>
          <w:i w:val="1"/>
          <w:iCs w:val="1"/>
          <w:color w:val="auto"/>
        </w:rPr>
        <w:t>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(“ASU 2018-07”), as part of an initiative to reduce the cost and complexity in financial reporting and improve the usefulness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provided related to stock-based payment transaction for acquiring goods and services from nonemployees. Under ASU 2018-07, the guidance under ASC 505-50, </w:t>
      </w:r>
      <w:r>
        <w:rPr>
          <w:rFonts w:ascii="Arial" w:cs="Arial" w:eastAsia="Arial" w:hAnsi="Arial"/>
          <w:sz w:val="18"/>
          <w:szCs w:val="18"/>
          <w:i w:val="1"/>
          <w:iCs w:val="1"/>
          <w:color w:val="auto"/>
        </w:rPr>
        <w:t>Equity-Based Payments to Non-Employees</w:t>
      </w:r>
      <w:r>
        <w:rPr>
          <w:rFonts w:ascii="Arial" w:cs="Arial" w:eastAsia="Arial" w:hAnsi="Arial"/>
          <w:sz w:val="18"/>
          <w:szCs w:val="18"/>
          <w:color w:val="auto"/>
        </w:rPr>
        <w:t xml:space="preserve"> is superseded as ASC 718 is expanded to include awards to nonemployees. In general, companies will no longer be required to remeasure (i.e., mark-to-market) the fair value of awards granted to nonemployees at each reporting date until the awards vest (the date the vesting condition is achieved). Instead, grants to nonemployees will be valued and accounted for much in the same way as awards to employees, including the ability to use the simplified method/practical expedient when determining the expected term assumption. The Company adopted ASU 2018-07 effective January 1, 2019, and the adoption did not have an impact on the Company’s financial statements.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Framework—Changes to the Disclosure Requirements for Fair Value Measurements,</w:t>
      </w:r>
      <w:r>
        <w:rPr>
          <w:rFonts w:ascii="Arial" w:cs="Arial" w:eastAsia="Arial" w:hAnsi="Arial"/>
          <w:sz w:val="17"/>
          <w:szCs w:val="17"/>
          <w:color w:val="auto"/>
        </w:rPr>
        <w:t xml:space="preserve"> which changes the fair value measurement disclosure requirements of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The goal of the ASU is to improve the effectiveness of ASC 820’s disclosure requirements. The standard is effective for fiscal years beginning after December 15, 2019 and interim periods therein. The Company is currently evaluating the potential impact of the adoption of this standard and does not anticipate that the adoption of this standard on January 1, 2020 will have a material impact the Company’s financial statements.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70" w:lineRule="exact"/>
        <w:rPr>
          <w:sz w:val="20"/>
          <w:szCs w:val="20"/>
          <w:color w:val="auto"/>
        </w:rPr>
      </w:pPr>
    </w:p>
    <w:p>
      <w:pPr>
        <w:ind w:left="1080" w:right="66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asset or liabilities.</w:t>
      </w:r>
    </w:p>
    <w:p>
      <w:pPr>
        <w:spacing w:after="0" w:line="75"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(i.e., supported by little or no market activity).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fair value hierarchy table presents information about the Company’s assets and liabilities measured at fair value on a recurring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Fair value measurement at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reporting date using</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92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560" w:type="dxa"/>
            <w:vAlign w:val="bottom"/>
          </w:tcPr>
          <w:p>
            <w:pPr>
              <w:spacing w:after="0"/>
              <w:rPr>
                <w:sz w:val="10"/>
                <w:szCs w:val="10"/>
                <w:color w:val="auto"/>
              </w:rPr>
            </w:pPr>
          </w:p>
        </w:tc>
        <w:tc>
          <w:tcPr>
            <w:tcW w:w="124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 active</w:t>
            </w:r>
          </w:p>
        </w:tc>
        <w:tc>
          <w:tcPr>
            <w:tcW w:w="5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identical</w:t>
            </w:r>
          </w:p>
        </w:tc>
        <w:tc>
          <w:tcPr>
            <w:tcW w:w="560" w:type="dxa"/>
            <w:vAlign w:val="bottom"/>
          </w:tcPr>
          <w:p>
            <w:pPr>
              <w:spacing w:after="0"/>
              <w:rPr>
                <w:sz w:val="12"/>
                <w:szCs w:val="12"/>
                <w:color w:val="auto"/>
              </w:rPr>
            </w:pPr>
          </w:p>
        </w:tc>
        <w:tc>
          <w:tcPr>
            <w:tcW w:w="12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9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7"/>
              </w:rPr>
              <w:t>assets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560" w:type="dxa"/>
            <w:vAlign w:val="bottom"/>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2018:</w:t>
            </w:r>
          </w:p>
        </w:tc>
        <w:tc>
          <w:tcPr>
            <w:tcW w:w="3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Assets:</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equivalents (Money Market Funds)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Cash equivalents (Money Market Funds)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18,779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4320" w:type="dxa"/>
            <w:vAlign w:val="bottom"/>
          </w:tcPr>
          <w:p>
            <w:pPr>
              <w:spacing w:after="0"/>
              <w:rPr>
                <w:sz w:val="24"/>
                <w:szCs w:val="24"/>
                <w:color w:val="auto"/>
              </w:rPr>
            </w:pPr>
          </w:p>
        </w:tc>
        <w:tc>
          <w:tcPr>
            <w:tcW w:w="3140" w:type="dxa"/>
            <w:vAlign w:val="bottom"/>
            <w:gridSpan w:val="2"/>
          </w:tcPr>
          <w:p>
            <w:pPr>
              <w:jc w:val="right"/>
              <w:ind w:right="1711"/>
              <w:spacing w:after="0"/>
              <w:rPr>
                <w:sz w:val="20"/>
                <w:szCs w:val="20"/>
                <w:color w:val="auto"/>
              </w:rPr>
            </w:pPr>
            <w:r>
              <w:rPr>
                <w:rFonts w:ascii="Arial" w:cs="Arial" w:eastAsia="Arial" w:hAnsi="Arial"/>
                <w:sz w:val="18"/>
                <w:szCs w:val="18"/>
                <w:color w:val="auto"/>
              </w:rPr>
              <w:t>F-13</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88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9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$1,842</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95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2,203</w:t>
            </w:r>
          </w:p>
        </w:tc>
      </w:tr>
      <w:tr>
        <w:trPr>
          <w:trHeight w:val="223"/>
        </w:trPr>
        <w:tc>
          <w:tcPr>
            <w:tcW w:w="95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(191)</w:t>
            </w: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1,647</w:t>
            </w:r>
          </w:p>
        </w:tc>
      </w:tr>
      <w:tr>
        <w:trPr>
          <w:trHeight w:val="20"/>
        </w:trPr>
        <w:tc>
          <w:tcPr>
            <w:tcW w:w="9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was $0.1 million and $0.4 million for the years ended December 31, 2018 and 2019, respectively.</w:t>
      </w:r>
    </w:p>
    <w:p>
      <w:pPr>
        <w:spacing w:after="0" w:line="23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September 2019, the Company signed a 12-month capital lease for $0.4 million of lab equipment with an effective interest rate of 9.67%. At December 31, 2019, the Company had $0.1 million of accumulated amortization related to the capital lease. At December 31, 2019, the Company owed $0.3 million in future minimum lease payments under the capital lease that are expected to be paid in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9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4"/>
          </w:tcPr>
          <w:p>
            <w:pPr>
              <w:jc w:val="right"/>
              <w:ind w:right="114"/>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Pr>
          <w:p>
            <w:pPr>
              <w:spacing w:after="0"/>
              <w:rPr>
                <w:sz w:val="12"/>
                <w:szCs w:val="12"/>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related benefits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$1,631</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153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r>
      <w:tr>
        <w:trPr>
          <w:trHeight w:val="223"/>
        </w:trPr>
        <w:tc>
          <w:tcPr>
            <w:tcW w:w="9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1,085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2,603</w:t>
            </w: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Company leases office and laboratory space in Wilmington, Delaware under two separate noncancelable leases, which expire in November 2020 and March 2021, respectively. The Company has an option to renew both leases for additional 1-year and 6-months periods, respectively. The leases are classified as operating leases and the Company recognizes rent expense on a straight-line basis over the lease terms. The Company recognized rent expense of $0.7 and $0.9 million during the years ended December 31, 2018 and 2019, respectively, related to these leases.</w:t>
      </w:r>
    </w:p>
    <w:p>
      <w:pPr>
        <w:spacing w:after="0" w:line="15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future minimum lease payments under the Company’s operating lease agreements as of December 31, 2019 are $1.0 million for 2020 and $21,000 for 2021, with no commitments thereafter. In June 2020, the Company extended the lease that was set to expire in November 2020 until December 2021.</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 entered into employment agreements with key personnel providing for compensation and severance in certain circumstances, as defined in the respective employment agreements.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Research and Development Arrangements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enters into agreements with contract research organizations (“CROs”) to assist in the performance of research and development activities. Expenditures to CROs will represent a significant cost in clinical development for the Company.</w:t>
      </w:r>
    </w:p>
    <w:p>
      <w:pPr>
        <w:spacing w:after="0" w:line="274" w:lineRule="exact"/>
        <w:rPr>
          <w:sz w:val="20"/>
          <w:szCs w:val="20"/>
          <w:color w:val="auto"/>
        </w:rPr>
      </w:pPr>
    </w:p>
    <w:p>
      <w:pPr>
        <w:ind w:left="560" w:right="7040" w:hanging="444"/>
        <w:spacing w:after="0" w:line="378" w:lineRule="auto"/>
        <w:tabs>
          <w:tab w:leader="none" w:pos="3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Stock and Common Stock </w:t>
      </w:r>
      <w:r>
        <w:rPr>
          <w:rFonts w:ascii="Arial" w:cs="Arial" w:eastAsia="Arial" w:hAnsi="Arial"/>
          <w:sz w:val="18"/>
          <w:szCs w:val="18"/>
          <w:b w:val="1"/>
          <w:bCs w:val="1"/>
          <w:i w:val="1"/>
          <w:iCs w:val="1"/>
          <w:color w:val="auto"/>
        </w:rPr>
        <w:t>Convertible Preferred Stock</w:t>
      </w:r>
    </w:p>
    <w:p>
      <w:pPr>
        <w:ind w:left="120" w:right="80" w:firstLine="440"/>
        <w:spacing w:after="0" w:line="277" w:lineRule="auto"/>
        <w:rPr>
          <w:sz w:val="20"/>
          <w:szCs w:val="20"/>
          <w:color w:val="auto"/>
        </w:rPr>
      </w:pPr>
      <w:r>
        <w:rPr>
          <w:rFonts w:ascii="Arial" w:cs="Arial" w:eastAsia="Arial" w:hAnsi="Arial"/>
          <w:sz w:val="18"/>
          <w:szCs w:val="18"/>
          <w:color w:val="auto"/>
        </w:rPr>
        <w:t>In August 2018, the Company issued an aggregate of 5,728,376 shares of Series A convertible preferred stock (“Series A”) for $3.1423 per share for aggregate net proceeds of $17.9 million.</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May 2019, the Company issued an aggregate of 7,628,846 shares of Series B convertible preferred stock (“Series B”) to existing investors at $3.9325 per share for aggregate net proceeds of $29.8 million.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is a summary of the rights, preferences, and terms of the Series A and Series B (collectively, “Convertible Preferred Stock”):</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holders of the Convertible Preferred Stock are also entitled to receive dividends payable when, as and if declared by the Board of Directors of the Company, with the holders of common stock, paid out of any assets or on the common stock of the Company, on an as-converted to common stock basis. Dividends are non-cumulative and no dividends on common stock were declared or paid from inception through December 31, 2019.</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Holders of the Convertible Preferred Stock are entitled to one vote for each share of common stock into which their shares may be converted and, subject to certain Convertible Preferred Stock class votes specified in the Company’s certificate of incorporation or as required by law, holders of the Convertible Preferred Stock and common stock vote together on an as-converted basis.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the event of a liquidation, dissolution or winding up of the Company, either voluntary or involuntary, or in the event of a deemed liquidation event, which includes a sale of the Company as defined in the Company’s articles of incorporation, holders of the Convertible Preferred Stock are entitled to receive, in preference to all other stockholders, an amount equal to the greater of their original investment amount plus any declared but unpaid dividends or the fair value of the common stock on a fully converted basis prior to the deemed liquidation event. If, upon the occurrence of such event, the assets and funds available for distribution are insufficient to pay such holders the full amount to which they are entitled, then the entire assets and funds legally available for distribution shall be distributed ratably among the holders of the Convertible Preferred Stock in proportion to the full amounts to which they would otherwise be entitled.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9"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Each share of Convertible Preferred Stock is convertible into one share of common stock at any time at the option of the holder at a conversion price then in effect. As of December 31, 2019, the conversion price of the Series A is $3.1423 per share and the conversion price of the Series B is $3.9325 per share. All outstanding Convertible Preferred Stock will automatically convert into common stock at the conversion price then in effect upon</w:t>
      </w:r>
    </w:p>
    <w:p>
      <w:pPr>
        <w:spacing w:after="0" w:line="2" w:lineRule="exact"/>
        <w:rPr>
          <w:sz w:val="20"/>
          <w:szCs w:val="20"/>
          <w:color w:val="auto"/>
        </w:rPr>
      </w:pPr>
    </w:p>
    <w:p>
      <w:pPr>
        <w:ind w:left="120" w:right="260" w:hanging="4"/>
        <w:spacing w:after="0" w:line="290" w:lineRule="auto"/>
        <w:tabs>
          <w:tab w:leader="none" w:pos="33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qualified initial public offering of common stock with a public offering price of at least $11.80 per share and aggregate gross proceeds of at least $50.0 million or (ii) the affirmative election of 66% of the holders of the outstanding shares of Convertible Preferred Stock.</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Convertible Preferred Stock is subject to redemption under certain deemed liquidation events not solely within the control of the Company, as defined, and as such is considered contingently redeemable for accounting purposes and is classified as temporary equity in the Company’s balance sheets.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Future Tranche Right Feature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Pursuant to the October 2017 Series A Stock Purchase Agreement, the Series A investors could elect to purchase up to an aggregate of 5,728,376 additional shares of the Company’s Series A at a fixed purchase price of $3.1423 per share (the “Series A Future Tranche Right”). Additionally, upon the successful filing of an investigational new drug application (“IND”), the Series A investors were obligated to purchase the additional shares of Series A. In the event the holders did not purchase additional shares of Series A, their initial shares of Series A would have automatically converted into shares of the Company’s common stock at a conversion ratio of 10 shares of Series A for 1 share of common stock. In August 2018, the Series A Future Tranche Right was exercised in full by the Series A investors.</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Pursuant to the May 2019 Series B Stock Purchase Agreement, the Series B investors could elect to purchase an aggregate of 7,628,846 additional shares of the Company’s Series B at a fixed purchase price of $3.9325 per share (the “Series B Future Tranche Right”). Additionally, upon the successful demonstration of certain pharmacokinetic and safety profile milestones by the Company, the holders were obligated to purchase the additional shares of Series B. In the event the holders did not purchase additional shares of Series B, their initial shares of Series B would have automatically converted into shares of the Company’s common stock at a conversion ratio of 10 shares of Series B for 1 share of common stock.</w:t>
      </w:r>
    </w:p>
    <w:p>
      <w:pPr>
        <w:spacing w:after="0" w:line="161"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The Company determined that the Series A Future Tranche Right and Series B Future Tranche Right (Collectively, “Future Tranche Rights”) did not meet the definition of a freestanding financial instrument as they were not legally detachable. The Future Tranche Rights were also evaluated as an embedded derivative and the Company determined they did not meet the definition of a derivative instrument for which bifurcation would be required. In March 2020, the Series B Future Tranche Right was exercised in full by the Series B investors (Note 11).</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holders of the common stock are entitled to one vote for each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Convertible Preferred Stock, the remaining</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funds and assets available for distribution to the stockholders of the Company will be distributed among the holders of shares of common stock, pro rata based on the number of shares of common stock held by each such holder.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Under the Prelude Therapeutics Incorporated 2016 Stock Incentive Plan, as amended (the “Plan”), the Company may grant stock options, stock appreciation rights, restricted stock awards, restricted stock unit awards, performance stock awards and other forms of equity compensation to Company employees, directors and consultants. As of December 31, 2019, there were 364,853 shares of common stock available for issuance under the Plan. The Company’s stock options vest based on the terms in each award agreement, generally over four-year periods with 25% of options vesting after 1 year and then monthly thereafter, and have a term of ten years.</w:t>
      </w:r>
    </w:p>
    <w:p>
      <w:pPr>
        <w:spacing w:after="0" w:line="188"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2"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Year Ended</w:t>
      </w:r>
    </w:p>
    <w:p>
      <w:pPr>
        <w:jc w:val="center"/>
        <w:ind w:left="9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437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409</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846</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440"/>
              <w:spacing w:after="0"/>
              <w:rPr>
                <w:sz w:val="20"/>
                <w:szCs w:val="20"/>
                <w:color w:val="auto"/>
              </w:rPr>
            </w:pPr>
            <w:r>
              <w:rPr>
                <w:rFonts w:ascii="Arial" w:cs="Arial" w:eastAsia="Arial" w:hAnsi="Arial"/>
                <w:sz w:val="18"/>
                <w:szCs w:val="18"/>
                <w:b w:val="1"/>
                <w:bCs w:val="1"/>
                <w:i w:val="1"/>
                <w:iCs w:val="1"/>
                <w:color w:val="auto"/>
              </w:rPr>
              <w:t>Stock Options</w:t>
            </w: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00" w:type="dxa"/>
            <w:vAlign w:val="bottom"/>
          </w:tcPr>
          <w:p>
            <w:pPr>
              <w:ind w:left="440"/>
              <w:spacing w:after="0"/>
              <w:rPr>
                <w:sz w:val="20"/>
                <w:szCs w:val="20"/>
                <w:color w:val="auto"/>
              </w:rPr>
            </w:pPr>
            <w:r>
              <w:rPr>
                <w:rFonts w:ascii="Arial" w:cs="Arial" w:eastAsia="Arial" w:hAnsi="Arial"/>
                <w:sz w:val="18"/>
                <w:szCs w:val="18"/>
                <w:color w:val="auto"/>
              </w:rPr>
              <w:t>The following table summarizes stock option activity for the Plan in the years indicated:</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24"/>
                <w:szCs w:val="24"/>
                <w:color w:val="auto"/>
              </w:rPr>
            </w:pPr>
          </w:p>
        </w:tc>
        <w:tc>
          <w:tcPr>
            <w:tcW w:w="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7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360" w:type="dxa"/>
            <w:vAlign w:val="bottom"/>
          </w:tcPr>
          <w:p>
            <w:pPr>
              <w:spacing w:after="0"/>
              <w:rPr>
                <w:sz w:val="12"/>
                <w:szCs w:val="12"/>
                <w:color w:val="auto"/>
              </w:rPr>
            </w:pPr>
          </w:p>
        </w:tc>
        <w:tc>
          <w:tcPr>
            <w:tcW w:w="7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per share</w:t>
            </w:r>
          </w:p>
        </w:tc>
        <w:tc>
          <w:tcPr>
            <w:tcW w:w="360" w:type="dxa"/>
            <w:vAlign w:val="bottom"/>
          </w:tcPr>
          <w:p>
            <w:pPr>
              <w:spacing w:after="0"/>
              <w:rPr>
                <w:sz w:val="14"/>
                <w:szCs w:val="14"/>
                <w:color w:val="auto"/>
              </w:rPr>
            </w:pPr>
          </w:p>
        </w:tc>
        <w:tc>
          <w:tcPr>
            <w:tcW w:w="74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term (years)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tcPr>
          <w:p>
            <w:pPr>
              <w:ind w:left="360"/>
              <w:spacing w:after="0"/>
              <w:rPr>
                <w:sz w:val="20"/>
                <w:szCs w:val="20"/>
                <w:color w:val="auto"/>
              </w:rPr>
            </w:pPr>
            <w:r>
              <w:rPr>
                <w:rFonts w:ascii="Arial" w:cs="Arial" w:eastAsia="Arial" w:hAnsi="Arial"/>
                <w:sz w:val="18"/>
                <w:szCs w:val="18"/>
                <w:color w:val="auto"/>
              </w:rPr>
              <w:t>Granted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563,023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588,961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1,703,692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2,269,742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Exercisable at December 31, 2019</w:t>
            </w:r>
          </w:p>
        </w:tc>
        <w:tc>
          <w:tcPr>
            <w:tcW w:w="84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8.24</w:t>
            </w: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245,794</w:t>
            </w:r>
          </w:p>
        </w:tc>
        <w:tc>
          <w:tcPr>
            <w:tcW w:w="3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At December 31, 2019, the aggregate intrinsic value of outstanding options and exercisable options was $0.5 million and $0.2 million,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stock options outstanding at December 31, 2019 under the Plan: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6"/>
          </w:tcPr>
          <w:p>
            <w:pPr>
              <w:ind w:left="1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6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8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88"/>
              </w:rPr>
              <w:t>Range of Exercise Prices</w:t>
            </w:r>
          </w:p>
        </w:tc>
        <w:tc>
          <w:tcPr>
            <w:tcW w:w="39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3900" w:type="dxa"/>
            <w:vAlign w:val="bottom"/>
          </w:tcPr>
          <w:p>
            <w:pPr>
              <w:spacing w:after="0"/>
              <w:rPr>
                <w:sz w:val="15"/>
                <w:szCs w:val="15"/>
                <w:color w:val="auto"/>
              </w:rPr>
            </w:pPr>
          </w:p>
        </w:tc>
        <w:tc>
          <w:tcPr>
            <w:tcW w:w="9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5"/>
                <w:szCs w:val="15"/>
                <w:color w:val="auto"/>
              </w:rPr>
            </w:pPr>
          </w:p>
        </w:tc>
        <w:tc>
          <w:tcPr>
            <w:tcW w:w="15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5"/>
                <w:szCs w:val="15"/>
                <w:color w:val="auto"/>
              </w:rPr>
            </w:pPr>
          </w:p>
        </w:tc>
        <w:tc>
          <w:tcPr>
            <w:tcW w:w="9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15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$0.31—$1.02</w:t>
            </w:r>
          </w:p>
        </w:tc>
        <w:tc>
          <w:tcPr>
            <w:tcW w:w="39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396,590</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8.13</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0.97</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189,233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79"/>
              </w:rPr>
              <w:t>0.92</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20"/>
                <w:szCs w:val="20"/>
                <w:color w:val="auto"/>
              </w:rPr>
            </w:pPr>
            <w:r>
              <w:rPr>
                <w:rFonts w:ascii="Arial" w:cs="Arial" w:eastAsia="Arial" w:hAnsi="Arial"/>
                <w:sz w:val="18"/>
                <w:szCs w:val="18"/>
                <w:color w:val="auto"/>
              </w:rPr>
              <w:t>$1.43—$1.89</w:t>
            </w:r>
          </w:p>
        </w:tc>
        <w:tc>
          <w:tcPr>
            <w:tcW w:w="39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1,873,152</w:t>
            </w:r>
          </w:p>
        </w:tc>
        <w:tc>
          <w:tcPr>
            <w:tcW w:w="120" w:type="dxa"/>
            <w:vAlign w:val="bottom"/>
          </w:tcPr>
          <w:p>
            <w:pPr>
              <w:spacing w:after="0"/>
              <w:rPr>
                <w:sz w:val="19"/>
                <w:szCs w:val="19"/>
                <w:color w:val="auto"/>
              </w:rPr>
            </w:pPr>
          </w:p>
        </w:tc>
        <w:tc>
          <w:tcPr>
            <w:tcW w:w="1880" w:type="dxa"/>
            <w:vAlign w:val="bottom"/>
            <w:gridSpan w:val="3"/>
          </w:tcPr>
          <w:p>
            <w:pPr>
              <w:jc w:val="right"/>
              <w:ind w:right="44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1.81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2,269,742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weighted-average grant date fair value of options granted was $0.86 and $1.41 per share for the years ended December 31, 2018 and 2019, respectively. The aggregate intrinsic value of options exercised was $3,000 for the year ended December 31, 2019. The Company recorded stock-based compensation expense of $70,000 and $0.4 million for the years ended December 31, 2018 and 2019, respectively, related to stock options. As of December 31, 2019, the total unrecognized compensation expense related to unvested stock option awards was $2.3 million, which the Company expects to recognize over a weighted-average period of 3.47 years.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each option was estimated on the date of grant using the weighted average assumptions in the table below:</w:t>
      </w:r>
    </w:p>
    <w:p>
      <w:pPr>
        <w:spacing w:after="0" w:line="244"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Year Ended</w:t>
      </w:r>
    </w:p>
    <w:p>
      <w:pPr>
        <w:jc w:val="center"/>
        <w:ind w:left="90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87.01%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91.60%</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2.85%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$ 1.15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$ 1.84</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Company issues restricted stock awards (“RSA”) to employees that generally vest over a four-year period with 25% of awards vesting after 1 year and then monthly thereafter. Any unvested shares will be forfeited upon termination of services. The fair value of an RSA is equal to the fair market value price of the Company’s common stock on the date of grant. RSA expense is amortized straight-line over the vesting period.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activity related to RSA stock-based payment awards: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9"/>
              </w:rPr>
              <w:t>Number of shares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January 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856,438</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778,141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(299,230)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Unvested balance at December 31,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1,335,349</w:t>
            </w:r>
          </w:p>
        </w:tc>
        <w:tc>
          <w:tcPr>
            <w:tcW w:w="20" w:type="dxa"/>
            <w:vAlign w:val="bottom"/>
            <w:tcBorders>
              <w:bottom w:val="single" w:sz="8" w:color="auto"/>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Company recorded stock-based compensation expense of $0.1 million and $0.4 million for the years ended December 31, 2018 and 2019, respectively, related to RSAs. As of December 31, 2019, the total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unrecognized expense related to all RSAs was $1.6 million, which the Company expects to recognize over a weighted-average period of 3.14 years.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tax effects of temporary differences that gave rise to significant portions of the deferred tax assets and liabilities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13,659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3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3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(6,164)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(15,409)</w:t>
            </w:r>
          </w:p>
        </w:tc>
        <w:tc>
          <w:tcPr>
            <w:tcW w:w="0" w:type="dxa"/>
            <w:vAlign w:val="bottom"/>
          </w:tcPr>
          <w:p>
            <w:pPr>
              <w:spacing w:after="0"/>
              <w:rPr>
                <w:sz w:val="1"/>
                <w:szCs w:val="1"/>
                <w:color w:val="auto"/>
              </w:rPr>
            </w:pPr>
          </w:p>
        </w:tc>
      </w:tr>
      <w:tr>
        <w:trPr>
          <w:trHeight w:val="230"/>
        </w:trPr>
        <w:tc>
          <w:tcPr>
            <w:tcW w:w="6040" w:type="dxa"/>
            <w:vAlign w:val="bottom"/>
          </w:tcPr>
          <w:p>
            <w:pPr>
              <w:ind w:left="720"/>
              <w:spacing w:after="0"/>
              <w:rPr>
                <w:sz w:val="20"/>
                <w:szCs w:val="20"/>
                <w:color w:val="auto"/>
              </w:rPr>
            </w:pPr>
            <w:r>
              <w:rPr>
                <w:rFonts w:ascii="Arial" w:cs="Arial" w:eastAsia="Arial" w:hAnsi="Arial"/>
                <w:sz w:val="18"/>
                <w:szCs w:val="18"/>
                <w:color w:val="auto"/>
              </w:rPr>
              <w:t>Total deferred tax asset</w:t>
            </w:r>
          </w:p>
        </w:tc>
        <w:tc>
          <w:tcPr>
            <w:tcW w:w="3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3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604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3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 likely than not threshold for realizability. Accordingly, a full valuation allowance has been recorded against the Company’s net deferred tax assets as of December 31, 2018 and 2019. The valuation allowance increased by $4.6 million and $9.2 million during the years ended December 31, 2018 and 2019, respectively.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44"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Year ended</w:t>
      </w:r>
    </w:p>
    <w:p>
      <w:pPr>
        <w:jc w:val="center"/>
        <w:ind w:left="89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392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Federal tax benefit at statutory rate</w:t>
            </w:r>
          </w:p>
        </w:tc>
        <w:tc>
          <w:tcPr>
            <w:tcW w:w="5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(21.0)%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6260" w:type="dxa"/>
            <w:vAlign w:val="bottom"/>
            <w:gridSpan w:val="3"/>
          </w:tcPr>
          <w:p>
            <w:pPr>
              <w:jc w:val="right"/>
              <w:ind w:right="420"/>
              <w:spacing w:after="0"/>
              <w:rPr>
                <w:sz w:val="20"/>
                <w:szCs w:val="20"/>
                <w:color w:val="auto"/>
              </w:rPr>
            </w:pPr>
            <w:r>
              <w:rPr>
                <w:rFonts w:ascii="Arial" w:cs="Arial" w:eastAsia="Arial" w:hAnsi="Arial"/>
                <w:sz w:val="18"/>
                <w:szCs w:val="18"/>
                <w:color w:val="auto"/>
              </w:rPr>
              <w:t>(6.9)</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Return to provision</w:t>
            </w:r>
          </w:p>
        </w:tc>
        <w:tc>
          <w:tcPr>
            <w:tcW w:w="5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Permanent differences</w:t>
            </w:r>
          </w:p>
        </w:tc>
        <w:tc>
          <w:tcPr>
            <w:tcW w:w="6260" w:type="dxa"/>
            <w:vAlign w:val="bottom"/>
            <w:gridSpan w:val="3"/>
          </w:tcPr>
          <w:p>
            <w:pPr>
              <w:jc w:val="right"/>
              <w:ind w:right="420"/>
              <w:spacing w:after="0"/>
              <w:rPr>
                <w:sz w:val="20"/>
                <w:szCs w:val="20"/>
                <w:color w:val="auto"/>
              </w:rPr>
            </w:pPr>
            <w:r>
              <w:rPr>
                <w:rFonts w:ascii="Arial" w:cs="Arial" w:eastAsia="Arial" w:hAnsi="Arial"/>
                <w:sz w:val="18"/>
                <w:szCs w:val="18"/>
                <w:color w:val="auto"/>
              </w:rPr>
              <w:t>1.4</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5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31.5</w:t>
            </w:r>
          </w:p>
        </w:tc>
        <w:tc>
          <w:tcPr>
            <w:tcW w:w="4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33.6</w:t>
            </w:r>
          </w:p>
        </w:tc>
      </w:tr>
      <w:tr>
        <w:trPr>
          <w:trHeight w:val="27"/>
        </w:trPr>
        <w:tc>
          <w:tcPr>
            <w:tcW w:w="39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6260" w:type="dxa"/>
            <w:vAlign w:val="bottom"/>
            <w:gridSpan w:val="3"/>
          </w:tcPr>
          <w:p>
            <w:pPr>
              <w:jc w:val="right"/>
              <w:ind w:right="4500"/>
              <w:spacing w:after="0"/>
              <w:rPr>
                <w:sz w:val="20"/>
                <w:szCs w:val="20"/>
                <w:color w:val="auto"/>
              </w:rPr>
            </w:pPr>
            <w:r>
              <w:rPr>
                <w:rFonts w:ascii="Arial" w:cs="Arial" w:eastAsia="Arial" w:hAnsi="Arial"/>
                <w:sz w:val="18"/>
                <w:szCs w:val="18"/>
                <w:color w:val="auto"/>
              </w:rPr>
              <w:t>F-19</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carryforwards of federal, state and local net operating losses (“NOL”) and research tax credits: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20" w:type="dxa"/>
            <w:vAlign w:val="bottom"/>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NOL carryforwards—Federal</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   20,298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49,005</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NOL carryforwards—State</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20,298</w:t>
            </w:r>
          </w:p>
        </w:tc>
        <w:tc>
          <w:tcPr>
            <w:tcW w:w="3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49,005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Research tax credits—Federal</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706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Research tax credits—State</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NOL carryforwards begin expiring in 2036 for federal and Delaware state income tax purposes, however; all federal and Delaware state NOL carryforwards generated subsequent to January 1, 2018, are able to be carried forward indefinitely. As of December 31, 2019, the Company also had federal and Delaware research and development tax credit carryforwards of $2.2 million and $43,000, respectively that will begin to expire in 2036, unless previously utilized.</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 Delaware state NOLs may also be limited.</w:t>
      </w:r>
    </w:p>
    <w:p>
      <w:pPr>
        <w:spacing w:after="0" w:line="17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As of December 31, 2019, the Company had no accrued interest or penalties related to uncertain tax positions and no amounts have been recognized in the Company’s statement of operations. Due to NOL and tax credit carry forwards that remain unutilized, income tax returns for tax years from 2016, 2017 and 2018 remain subject to examination by the taxing jurisdictions. The NOL carryforwards remain subject to review until utilized.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preparing the financial statements as of and for the year ended December 31, 2019, the Company evaluated subsequent events for recognition and measurement purposes through July 23, 2020, the date the financial statements were originally issued, and through September 21, 2020, the date the revised financial statements were issued.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Transactions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 March 2020, the Company’s Series B investors exercised their Future Tranche Right and purchased 7,628,846 shares of Series B for net proceeds of approximately $29.9 million.</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August 2020, the Company’s existing Convertible Preferred Stock investors as well as a new investor purchased 3,443,612 shares of Series C convertible preferred stock at a price of $14.5197 per share for net proceeds of approximately $49.9 million.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September 2020, the Company effected a one-for-1.1566 reverse stock split of its common stock and convertible preferred stock. No fractional shares were issued in connection with the reverse stock split. Any fractional share resulting from the reverse stock split was rounded down to the nearest whole share, and in lieu of any fractional shares, the Company will pay in cash to the holders of such fractional shares an amount equal to the fair value, as determined by the board of directors, of such fractional shares. All common stock, convertible preferred stock, per share and related information presented in the financial statements and accompanying notes have been retroactively adjusted to reflect the reverse stock split.</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 in Authorized Shares of Common Stock and Preferred Stock; Creation of Non-Voting Common Stock</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August 2020, the Company effected an increase in the number of authorized shares of its common stock from 42,000,000 shares to 58,850,259 shares, including 12,850,259 shares of the common stock that are non-voting and are designated as “non-voting common stock,” with the remaining 46,000,000 shares of the common stock designated as “voting common stock,” and effected an increase in the number of authorized shares of its Convertible Preferred Stock from 32,074,008 shares to 35,221,066 shares, of which 4,000,000 shares were designated as Series C. In September 2020, the Company approved another increase in the number of authorized voting common stock, to be effective immediately prior to the completion of the Company’s IPO, from 46,000,000 shares to 487,149,741 shares.</w:t>
      </w:r>
    </w:p>
    <w:p>
      <w:pPr>
        <w:spacing w:after="0" w:line="192"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however, that such shares of non-voting common stock may only be converted by each investors into shares of voting common stock during such time or times as immediately prior to or as a result of such conversion would not result in the holder(s) thereof being a beneficial owner (for purposes of Section 13(d) of the Securities Exchange Act of 1934, as amended, and the rules and regulations promulgated thereunder.</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On March 10, 2020, the World Health Organization characterized the novel COVID-19 virus as a global pandemic. There is significant uncertainty as to the likely effects of this disease which may, among other things, materially impact the Company’s planned clinical trials. This pandemic or outbreak could result in difficulty securing clinical trial site locations,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1"/>
        </w:trPr>
        <w:tc>
          <w:tcPr>
            <w:tcW w:w="85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18,879</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1,345</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20,224</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w:t>
            </w: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21,871</w:t>
            </w:r>
          </w:p>
        </w:tc>
        <w:tc>
          <w:tcPr>
            <w:tcW w:w="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239,681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Capital lease obligation</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258</w:t>
            </w:r>
          </w:p>
        </w:tc>
        <w:tc>
          <w:tcPr>
            <w:tcW w:w="6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32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w:t>
            </w: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11,359</w:t>
            </w:r>
          </w:p>
        </w:tc>
        <w:tc>
          <w:tcPr>
            <w:tcW w:w="0" w:type="dxa"/>
            <w:vAlign w:val="bottom"/>
          </w:tcPr>
          <w:p>
            <w:pPr>
              <w:spacing w:after="0"/>
              <w:rPr>
                <w:sz w:val="1"/>
                <w:szCs w:val="1"/>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11,374</w:t>
            </w:r>
          </w:p>
        </w:tc>
        <w:tc>
          <w:tcPr>
            <w:tcW w:w="0" w:type="dxa"/>
            <w:vAlign w:val="bottom"/>
          </w:tcPr>
          <w:p>
            <w:pPr>
              <w:spacing w:after="0"/>
              <w:rPr>
                <w:sz w:val="1"/>
                <w:szCs w:val="1"/>
                <w:color w:val="auto"/>
              </w:rPr>
            </w:pPr>
          </w:p>
        </w:tc>
      </w:tr>
      <w:tr>
        <w:trPr>
          <w:trHeight w:val="207"/>
        </w:trPr>
        <w:tc>
          <w:tcPr>
            <w:tcW w:w="8580" w:type="dxa"/>
            <w:vAlign w:val="bottom"/>
          </w:tcPr>
          <w:p>
            <w:pPr>
              <w:spacing w:after="0"/>
              <w:rPr>
                <w:sz w:val="20"/>
                <w:szCs w:val="20"/>
                <w:color w:val="auto"/>
              </w:rPr>
            </w:pPr>
            <w:r>
              <w:rPr>
                <w:rFonts w:ascii="Arial" w:cs="Arial" w:eastAsia="Arial" w:hAnsi="Arial"/>
                <w:sz w:val="16"/>
                <w:szCs w:val="16"/>
                <w:color w:val="auto"/>
              </w:rPr>
              <w:t>Convertible preferred stock, $0.0001 par value:</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9"/>
              </w:rPr>
              <w:t>Series A convertible preferred stock: 13,574,008 shares and no shares shares authorized at December 31, 2019</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and September 30, 2020, respectively; 11,736,119 shares and no shares issued and outstanding 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December 31, 2019 and September 30, 2020, respectively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8580" w:type="dxa"/>
            <w:vAlign w:val="bottom"/>
          </w:tcPr>
          <w:p>
            <w:pPr>
              <w:ind w:left="640"/>
              <w:spacing w:after="0"/>
              <w:rPr>
                <w:sz w:val="20"/>
                <w:szCs w:val="20"/>
                <w:color w:val="auto"/>
              </w:rPr>
            </w:pPr>
            <w:r>
              <w:rPr>
                <w:rFonts w:ascii="Arial" w:cs="Arial" w:eastAsia="Arial" w:hAnsi="Arial"/>
                <w:sz w:val="16"/>
                <w:szCs w:val="16"/>
                <w:color w:val="auto"/>
              </w:rPr>
              <w:t>Series B convertible preferred stock: 18,500,000 shares and no shares authorized at December 31, 2019 and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800"/>
              <w:spacing w:after="0"/>
              <w:rPr>
                <w:sz w:val="20"/>
                <w:szCs w:val="20"/>
                <w:color w:val="auto"/>
              </w:rPr>
            </w:pPr>
            <w:r>
              <w:rPr>
                <w:rFonts w:ascii="Arial" w:cs="Arial" w:eastAsia="Arial" w:hAnsi="Arial"/>
                <w:sz w:val="16"/>
                <w:szCs w:val="16"/>
                <w:color w:val="auto"/>
              </w:rPr>
              <w:t>September 30, 2020; 7,628,846 shares and no shares issued and outstanding at December 31, 2019 and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80" w:type="dxa"/>
            <w:vAlign w:val="bottom"/>
          </w:tcPr>
          <w:p>
            <w:pPr>
              <w:ind w:left="800"/>
              <w:spacing w:after="0"/>
              <w:rPr>
                <w:sz w:val="20"/>
                <w:szCs w:val="20"/>
                <w:color w:val="auto"/>
              </w:rPr>
            </w:pPr>
            <w:r>
              <w:rPr>
                <w:rFonts w:ascii="Arial" w:cs="Arial" w:eastAsia="Arial" w:hAnsi="Arial"/>
                <w:sz w:val="16"/>
                <w:szCs w:val="16"/>
                <w:color w:val="auto"/>
              </w:rPr>
              <w:t>September 30, 2020, respectively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29,848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Series C convertible preferred stock: no shares authorized, issued or outstanding at December 31, 2019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September 30, 2020</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80" w:type="dxa"/>
            <w:vAlign w:val="bottom"/>
          </w:tcPr>
          <w:p>
            <w:pPr>
              <w:ind w:left="320"/>
              <w:spacing w:after="0"/>
              <w:rPr>
                <w:sz w:val="20"/>
                <w:szCs w:val="20"/>
                <w:color w:val="auto"/>
              </w:rPr>
            </w:pPr>
            <w:r>
              <w:rPr>
                <w:rFonts w:ascii="Arial" w:cs="Arial" w:eastAsia="Arial" w:hAnsi="Arial"/>
                <w:sz w:val="16"/>
                <w:szCs w:val="16"/>
                <w:color w:val="auto"/>
              </w:rPr>
              <w:t>Total convertible preferred stock</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66,443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Commitments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Voting common stock, $0.0001 par value: 42,000,000 and 487,149,741 shares authorized at December 31, 2019 and</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September 30, 2020, respectively;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3,161,653 and 32,593,010 shares issued and outstanding at December 31, 2019 and September 30, 2020, respectively</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20"/>
              <w:spacing w:after="0"/>
              <w:rPr>
                <w:sz w:val="20"/>
                <w:szCs w:val="20"/>
                <w:color w:val="auto"/>
              </w:rPr>
            </w:pPr>
            <w:r>
              <w:rPr>
                <w:rFonts w:ascii="Arial" w:cs="Arial" w:eastAsia="Arial" w:hAnsi="Arial"/>
                <w:sz w:val="16"/>
                <w:szCs w:val="16"/>
                <w:color w:val="auto"/>
              </w:rPr>
              <w:t>Non-voting common stock, $0.0001 par value; No shares and 12,850,259 shares authorized at December 31, 2019</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480"/>
              <w:spacing w:after="0"/>
              <w:rPr>
                <w:sz w:val="20"/>
                <w:szCs w:val="20"/>
                <w:color w:val="auto"/>
              </w:rPr>
            </w:pPr>
            <w:r>
              <w:rPr>
                <w:rFonts w:ascii="Arial" w:cs="Arial" w:eastAsia="Arial" w:hAnsi="Arial"/>
                <w:sz w:val="16"/>
                <w:szCs w:val="16"/>
                <w:color w:val="auto"/>
                <w:w w:val="99"/>
              </w:rPr>
              <w:t>and September 30, 2020, respectively; No shares and 11,110,371 shares issued and outstanding at December 31,</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80" w:type="dxa"/>
            <w:vAlign w:val="bottom"/>
          </w:tcPr>
          <w:p>
            <w:pPr>
              <w:ind w:left="480"/>
              <w:spacing w:after="0"/>
              <w:rPr>
                <w:sz w:val="20"/>
                <w:szCs w:val="20"/>
                <w:color w:val="auto"/>
              </w:rPr>
            </w:pPr>
            <w:r>
              <w:rPr>
                <w:rFonts w:ascii="Arial" w:cs="Arial" w:eastAsia="Arial" w:hAnsi="Arial"/>
                <w:sz w:val="16"/>
                <w:szCs w:val="16"/>
                <w:color w:val="auto"/>
              </w:rPr>
              <w:t>2019 and September 30, 2020, respectively</w:t>
            </w:r>
          </w:p>
        </w:tc>
        <w:tc>
          <w:tcPr>
            <w:tcW w:w="18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(50,497)</w:t>
            </w: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equity (deficit)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(49,412)</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640"/>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21,871</w:t>
            </w:r>
          </w:p>
        </w:tc>
        <w:tc>
          <w:tcPr>
            <w:tcW w:w="6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239,681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0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4"/>
                <w:szCs w:val="14"/>
                <w:color w:val="auto"/>
              </w:rPr>
            </w:pPr>
          </w:p>
        </w:tc>
        <w:tc>
          <w:tcPr>
            <w:tcW w:w="248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20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15,293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15,430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2,851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30"/>
        </w:trPr>
        <w:tc>
          <w:tcPr>
            <w:tcW w:w="6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18,144</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(18,144)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(39,317)</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(16,760)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(37,679)</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Per share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1,713,371</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3,194,471</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1,622,546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2,380,100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 (UNAUDITED)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3980" w:type="dxa"/>
            <w:vAlign w:val="bottom"/>
          </w:tcPr>
          <w:p>
            <w:pPr>
              <w:spacing w:after="0" w:line="20" w:lineRule="exact"/>
              <w:rPr>
                <w:sz w:val="1"/>
                <w:szCs w:val="1"/>
                <w:color w:val="auto"/>
              </w:rPr>
            </w:pPr>
          </w:p>
        </w:tc>
        <w:tc>
          <w:tcPr>
            <w:tcW w:w="2500" w:type="dxa"/>
            <w:vAlign w:val="bottom"/>
            <w:gridSpan w:val="9"/>
            <w:vMerge w:val="restart"/>
          </w:tcPr>
          <w:p>
            <w:pPr>
              <w:jc w:val="right"/>
              <w:ind w:right="128"/>
              <w:spacing w:after="0"/>
              <w:rPr>
                <w:sz w:val="20"/>
                <w:szCs w:val="20"/>
                <w:color w:val="auto"/>
              </w:rPr>
            </w:pPr>
            <w:r>
              <w:rPr>
                <w:rFonts w:ascii="Arial" w:cs="Arial" w:eastAsia="Arial" w:hAnsi="Arial"/>
                <w:sz w:val="14"/>
                <w:szCs w:val="14"/>
                <w:b w:val="1"/>
                <w:bCs w:val="1"/>
                <w:color w:val="auto"/>
              </w:rPr>
              <w:t>Convertible preferred stock</w:t>
            </w: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w w:val="91"/>
              </w:rPr>
              <w:t>Stockholders’ deficit</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80" w:type="dxa"/>
            <w:vAlign w:val="bottom"/>
          </w:tcPr>
          <w:p>
            <w:pPr>
              <w:spacing w:after="0"/>
              <w:rPr>
                <w:sz w:val="12"/>
                <w:szCs w:val="12"/>
                <w:color w:val="auto"/>
              </w:rPr>
            </w:pPr>
          </w:p>
        </w:tc>
        <w:tc>
          <w:tcPr>
            <w:tcW w:w="2500" w:type="dxa"/>
            <w:vAlign w:val="bottom"/>
            <w:tcBorders>
              <w:bottom w:val="single" w:sz="8" w:color="auto"/>
            </w:tcBorders>
            <w:gridSpan w:val="9"/>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7"/>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0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4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1020" w:type="dxa"/>
            <w:vAlign w:val="bottom"/>
            <w:tcBorders>
              <w:bottom w:val="single" w:sz="8" w:color="auto"/>
            </w:tcBorders>
            <w:gridSpan w:val="4"/>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Borders>
              <w:bottom w:val="single" w:sz="8" w:color="auto"/>
            </w:tcBorders>
            <w:gridSpan w:val="3"/>
            <w:vMerge w:val="continue"/>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Borders>
              <w:bottom w:val="single" w:sz="8" w:color="auto"/>
            </w:tcBorders>
            <w:gridSpan w:val="4"/>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paid-in</w:t>
            </w: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5"/>
              </w:rPr>
              <w:t>Accumulated</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shares)</w:t>
            </w:r>
          </w:p>
        </w:tc>
        <w:tc>
          <w:tcPr>
            <w:tcW w:w="8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right w:val="single" w:sz="8" w:color="auto"/>
            </w:tcBorders>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3"/>
                <w:szCs w:val="3"/>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3"/>
                <w:szCs w:val="3"/>
                <w:color w:val="auto"/>
              </w:rPr>
            </w:pPr>
          </w:p>
        </w:tc>
        <w:tc>
          <w:tcPr>
            <w:tcW w:w="54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1"/>
        </w:trPr>
        <w:tc>
          <w:tcPr>
            <w:tcW w:w="39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40" w:type="dxa"/>
            <w:vAlign w:val="bottom"/>
            <w:tcBorders>
              <w:right w:val="single" w:sz="8" w:color="auto"/>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2019</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11,736,119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36,595</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2,380,270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(22,927)</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(22,693)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2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(5,241)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(5,241)</w:t>
            </w:r>
          </w:p>
        </w:tc>
        <w:tc>
          <w:tcPr>
            <w:tcW w:w="0" w:type="dxa"/>
            <w:vAlign w:val="bottom"/>
          </w:tcPr>
          <w:p>
            <w:pPr>
              <w:spacing w:after="0"/>
              <w:rPr>
                <w:sz w:val="1"/>
                <w:szCs w:val="1"/>
                <w:color w:val="auto"/>
              </w:rPr>
            </w:pPr>
          </w:p>
        </w:tc>
      </w:tr>
      <w:tr>
        <w:trPr>
          <w:trHeight w:val="156"/>
        </w:trPr>
        <w:tc>
          <w:tcPr>
            <w:tcW w:w="39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2019</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11,736,119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36,595</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2,380,270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(28,168)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3,242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3980" w:type="dxa"/>
            <w:vAlign w:val="bottom"/>
          </w:tcPr>
          <w:p>
            <w:pPr>
              <w:spacing w:after="0" w:line="130" w:lineRule="exact"/>
              <w:rPr>
                <w:sz w:val="20"/>
                <w:szCs w:val="20"/>
                <w:color w:val="auto"/>
              </w:rPr>
            </w:pPr>
            <w:r>
              <w:rPr>
                <w:rFonts w:ascii="Arial" w:cs="Arial" w:eastAsia="Arial" w:hAnsi="Arial"/>
                <w:sz w:val="14"/>
                <w:szCs w:val="14"/>
                <w:color w:val="auto"/>
                <w:w w:val="97"/>
              </w:rPr>
              <w:t>Sale of Series B convertible preferred stock, net of issuance costs</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80" w:type="dxa"/>
            <w:vAlign w:val="bottom"/>
          </w:tcPr>
          <w:p>
            <w:pPr>
              <w:ind w:left="140"/>
              <w:spacing w:after="0"/>
              <w:rPr>
                <w:sz w:val="20"/>
                <w:szCs w:val="20"/>
                <w:color w:val="auto"/>
              </w:rPr>
            </w:pPr>
            <w:r>
              <w:rPr>
                <w:rFonts w:ascii="Arial" w:cs="Arial" w:eastAsia="Arial" w:hAnsi="Arial"/>
                <w:sz w:val="14"/>
                <w:szCs w:val="14"/>
                <w:color w:val="auto"/>
              </w:rPr>
              <w:t>of $152</w:t>
            </w: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7,628,846</w:t>
            </w:r>
          </w:p>
        </w:tc>
        <w:tc>
          <w:tcPr>
            <w:tcW w:w="22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88"/>
              </w:rPr>
              <w:t>29,848</w:t>
            </w:r>
          </w:p>
        </w:tc>
        <w:tc>
          <w:tcPr>
            <w:tcW w:w="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 expense, including issuance of</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stock awards</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345,840</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141</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2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(5,556)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(5,556)</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June 30, 2019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11,736,119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36,595</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7,628,846</w:t>
            </w:r>
          </w:p>
        </w:tc>
        <w:tc>
          <w:tcPr>
            <w:tcW w:w="22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29,848</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2,729,352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462</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(33,724)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(33,262)</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4"/>
                <w:szCs w:val="14"/>
                <w:color w:val="auto"/>
              </w:rPr>
              <w:t>Stock-based compensation expense, including issuance of</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80" w:type="dxa"/>
            <w:vAlign w:val="bottom"/>
          </w:tcPr>
          <w:p>
            <w:pPr>
              <w:ind w:left="140"/>
              <w:spacing w:after="0"/>
              <w:rPr>
                <w:sz w:val="20"/>
                <w:szCs w:val="20"/>
                <w:color w:val="auto"/>
              </w:rPr>
            </w:pPr>
            <w:r>
              <w:rPr>
                <w:rFonts w:ascii="Arial" w:cs="Arial" w:eastAsia="Arial" w:hAnsi="Arial"/>
                <w:sz w:val="14"/>
                <w:szCs w:val="14"/>
                <w:color w:val="auto"/>
              </w:rPr>
              <w:t>restricted stock awards</w:t>
            </w: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432,301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297</w:t>
            </w:r>
          </w:p>
        </w:tc>
        <w:tc>
          <w:tcPr>
            <w:tcW w:w="1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(6,734)</w:t>
            </w:r>
          </w:p>
        </w:tc>
        <w:tc>
          <w:tcPr>
            <w:tcW w:w="0" w:type="dxa"/>
            <w:vAlign w:val="bottom"/>
          </w:tcPr>
          <w:p>
            <w:pPr>
              <w:spacing w:after="0"/>
              <w:rPr>
                <w:sz w:val="1"/>
                <w:szCs w:val="1"/>
                <w:color w:val="auto"/>
              </w:rPr>
            </w:pPr>
          </w:p>
        </w:tc>
      </w:tr>
      <w:tr>
        <w:trPr>
          <w:trHeight w:val="155"/>
        </w:trPr>
        <w:tc>
          <w:tcPr>
            <w:tcW w:w="39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September 30, 2019</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11,736,119</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36,595</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7,628,846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29,848</w:t>
            </w: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3,161,653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759</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(40,458)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8"/>
            <w:vMerge w:val="restart"/>
          </w:tcPr>
          <w:p>
            <w:pPr>
              <w:jc w:val="right"/>
              <w:ind w:right="20"/>
              <w:spacing w:after="0"/>
              <w:rPr>
                <w:sz w:val="20"/>
                <w:szCs w:val="20"/>
                <w:color w:val="auto"/>
              </w:rPr>
            </w:pPr>
            <w:r>
              <w:rPr>
                <w:rFonts w:ascii="Arial" w:cs="Arial" w:eastAsia="Arial" w:hAnsi="Arial"/>
                <w:sz w:val="14"/>
                <w:szCs w:val="14"/>
                <w:b w:val="1"/>
                <w:bCs w:val="1"/>
                <w:color w:val="auto"/>
              </w:rPr>
              <w:t>Convertible preferred stock</w:t>
            </w: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9"/>
            <w:vMerge w:val="restart"/>
          </w:tcPr>
          <w:p>
            <w:pPr>
              <w:ind w:left="240"/>
              <w:spacing w:after="0"/>
              <w:rPr>
                <w:sz w:val="20"/>
                <w:szCs w:val="20"/>
                <w:color w:val="auto"/>
              </w:rPr>
            </w:pPr>
            <w:r>
              <w:rPr>
                <w:rFonts w:ascii="Arial" w:cs="Arial" w:eastAsia="Arial" w:hAnsi="Arial"/>
                <w:sz w:val="14"/>
                <w:szCs w:val="14"/>
                <w:b w:val="1"/>
                <w:bCs w:val="1"/>
                <w:color w:val="auto"/>
                <w:w w:val="98"/>
              </w:rPr>
              <w:t>Stockholders’ equity (deficit)</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8"/>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9"/>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vMerge w:val="restart"/>
          </w:tcPr>
          <w:p>
            <w:pPr>
              <w:jc w:val="center"/>
              <w:ind w:left="68"/>
              <w:spacing w:after="0"/>
              <w:rPr>
                <w:sz w:val="20"/>
                <w:szCs w:val="20"/>
                <w:color w:val="auto"/>
              </w:rPr>
            </w:pPr>
            <w:r>
              <w:rPr>
                <w:rFonts w:ascii="Arial" w:cs="Arial" w:eastAsia="Arial" w:hAnsi="Arial"/>
                <w:sz w:val="14"/>
                <w:szCs w:val="14"/>
                <w:b w:val="1"/>
                <w:bCs w:val="1"/>
                <w:color w:val="auto"/>
                <w:w w:val="90"/>
              </w:rPr>
              <w:t>Voting common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tcPr>
          <w:p>
            <w:pPr>
              <w:jc w:val="center"/>
              <w:ind w:left="168"/>
              <w:spacing w:after="0" w:line="119" w:lineRule="exact"/>
              <w:rPr>
                <w:sz w:val="20"/>
                <w:szCs w:val="20"/>
                <w:color w:val="auto"/>
              </w:rPr>
            </w:pPr>
            <w:r>
              <w:rPr>
                <w:rFonts w:ascii="Arial" w:cs="Arial" w:eastAsia="Arial" w:hAnsi="Arial"/>
                <w:sz w:val="13"/>
                <w:szCs w:val="13"/>
                <w:b w:val="1"/>
                <w:bCs w:val="1"/>
                <w:color w:val="auto"/>
                <w:w w:val="99"/>
              </w:rPr>
              <w:t>Non-voting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60" w:type="dxa"/>
            <w:vAlign w:val="bottom"/>
            <w:gridSpan w:val="5"/>
            <w:vMerge w:val="restart"/>
          </w:tcPr>
          <w:p>
            <w:pPr>
              <w:jc w:val="right"/>
              <w:ind w:right="408"/>
              <w:spacing w:after="0"/>
              <w:rPr>
                <w:sz w:val="20"/>
                <w:szCs w:val="20"/>
                <w:color w:val="auto"/>
              </w:rPr>
            </w:pPr>
            <w:r>
              <w:rPr>
                <w:rFonts w:ascii="Arial" w:cs="Arial" w:eastAsia="Arial" w:hAnsi="Arial"/>
                <w:sz w:val="14"/>
                <w:szCs w:val="14"/>
                <w:b w:val="1"/>
                <w:bCs w:val="1"/>
                <w:color w:val="auto"/>
              </w:rPr>
              <w:t>Series A</w:t>
            </w:r>
          </w:p>
        </w:tc>
        <w:tc>
          <w:tcPr>
            <w:tcW w:w="100" w:type="dxa"/>
            <w:vAlign w:val="bottom"/>
            <w:vMerge w:val="restart"/>
          </w:tcPr>
          <w:p>
            <w:pPr>
              <w:spacing w:after="0"/>
              <w:rPr>
                <w:sz w:val="12"/>
                <w:szCs w:val="12"/>
                <w:color w:val="auto"/>
              </w:rPr>
            </w:pPr>
          </w:p>
        </w:tc>
        <w:tc>
          <w:tcPr>
            <w:tcW w:w="1460" w:type="dxa"/>
            <w:vAlign w:val="bottom"/>
            <w:gridSpan w:val="5"/>
            <w:vMerge w:val="restart"/>
          </w:tcPr>
          <w:p>
            <w:pPr>
              <w:jc w:val="right"/>
              <w:ind w:right="408"/>
              <w:spacing w:after="0"/>
              <w:rPr>
                <w:sz w:val="20"/>
                <w:szCs w:val="20"/>
                <w:color w:val="auto"/>
              </w:rPr>
            </w:pPr>
            <w:r>
              <w:rPr>
                <w:rFonts w:ascii="Arial" w:cs="Arial" w:eastAsia="Arial" w:hAnsi="Arial"/>
                <w:sz w:val="14"/>
                <w:szCs w:val="14"/>
                <w:b w:val="1"/>
                <w:bCs w:val="1"/>
                <w:color w:val="auto"/>
              </w:rPr>
              <w:t>Series B</w:t>
            </w:r>
          </w:p>
        </w:tc>
        <w:tc>
          <w:tcPr>
            <w:tcW w:w="100" w:type="dxa"/>
            <w:vAlign w:val="bottom"/>
            <w:vMerge w:val="restart"/>
          </w:tcPr>
          <w:p>
            <w:pPr>
              <w:spacing w:after="0"/>
              <w:rPr>
                <w:sz w:val="12"/>
                <w:szCs w:val="12"/>
                <w:color w:val="auto"/>
              </w:rPr>
            </w:pPr>
          </w:p>
        </w:tc>
        <w:tc>
          <w:tcPr>
            <w:tcW w:w="1440" w:type="dxa"/>
            <w:vAlign w:val="bottom"/>
            <w:tcBorders>
              <w:right w:val="single" w:sz="8" w:color="auto"/>
            </w:tcBorders>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Series C</w:t>
            </w:r>
          </w:p>
        </w:tc>
        <w:tc>
          <w:tcPr>
            <w:tcW w:w="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center"/>
              <w:ind w:left="168"/>
              <w:spacing w:after="0" w:line="149" w:lineRule="exact"/>
              <w:rPr>
                <w:sz w:val="20"/>
                <w:szCs w:val="20"/>
                <w:color w:val="auto"/>
              </w:rPr>
            </w:pPr>
            <w:r>
              <w:rPr>
                <w:rFonts w:ascii="Arial" w:cs="Arial" w:eastAsia="Arial" w:hAnsi="Arial"/>
                <w:sz w:val="14"/>
                <w:szCs w:val="14"/>
                <w:b w:val="1"/>
                <w:bCs w:val="1"/>
                <w:color w:val="auto"/>
                <w:w w:val="89"/>
              </w:rPr>
              <w:t>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bottom w:val="single" w:sz="8" w:color="auto"/>
            </w:tcBorders>
            <w:gridSpan w:val="5"/>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60" w:type="dxa"/>
            <w:vAlign w:val="bottom"/>
            <w:tcBorders>
              <w:bottom w:val="single" w:sz="8" w:color="auto"/>
            </w:tcBorders>
            <w:gridSpan w:val="5"/>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40" w:type="dxa"/>
            <w:vAlign w:val="bottom"/>
            <w:tcBorders>
              <w:bottom w:val="single" w:sz="8" w:color="auto"/>
              <w:right w:val="single" w:sz="8" w:color="auto"/>
            </w:tcBorders>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87"/>
              </w:rPr>
              <w:t>stock</w:t>
            </w: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4"/>
                <w:szCs w:val="14"/>
                <w:b w:val="1"/>
                <w:bCs w:val="1"/>
                <w:color w:val="auto"/>
                <w:w w:val="87"/>
              </w:rPr>
              <w:t>stock</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92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320" w:type="dxa"/>
            <w:vAlign w:val="bottom"/>
            <w:vMerge w:val="continue"/>
          </w:tcPr>
          <w:p>
            <w:pPr>
              <w:spacing w:after="0"/>
              <w:rPr>
                <w:sz w:val="9"/>
                <w:szCs w:val="9"/>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9"/>
                <w:szCs w:val="9"/>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6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9"/>
                <w:szCs w:val="9"/>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9"/>
                <w:szCs w:val="9"/>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deficit</w:t>
            </w: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Arial" w:cs="Arial" w:eastAsia="Arial" w:hAnsi="Arial"/>
                <w:sz w:val="14"/>
                <w:szCs w:val="14"/>
                <w:b w:val="1"/>
                <w:bCs w:val="1"/>
                <w:color w:val="auto"/>
              </w:rPr>
              <w:t>except shares)</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3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3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2020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11,736,119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7,628,846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29,848</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3,161,653</w:t>
            </w:r>
          </w:p>
        </w:tc>
        <w:tc>
          <w:tcPr>
            <w:tcW w:w="3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1,085</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(50,497)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$(49,412)</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Sale of Series B</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line="149" w:lineRule="exact"/>
              <w:rPr>
                <w:sz w:val="20"/>
                <w:szCs w:val="20"/>
                <w:color w:val="auto"/>
              </w:rPr>
            </w:pPr>
            <w:r>
              <w:rPr>
                <w:rFonts w:ascii="Arial" w:cs="Arial" w:eastAsia="Arial" w:hAnsi="Arial"/>
                <w:sz w:val="14"/>
                <w:szCs w:val="14"/>
                <w:color w:val="auto"/>
                <w:w w:val="96"/>
              </w:rPr>
              <w:t>preferred stock, net</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line="149" w:lineRule="exact"/>
              <w:rPr>
                <w:sz w:val="20"/>
                <w:szCs w:val="20"/>
                <w:color w:val="auto"/>
              </w:rPr>
            </w:pPr>
            <w:r>
              <w:rPr>
                <w:rFonts w:ascii="Arial" w:cs="Arial" w:eastAsia="Arial" w:hAnsi="Arial"/>
                <w:sz w:val="14"/>
                <w:szCs w:val="14"/>
                <w:color w:val="auto"/>
                <w:w w:val="94"/>
              </w:rPr>
              <w:t>of issuance costs of</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140"/>
              <w:spacing w:after="0"/>
              <w:rPr>
                <w:sz w:val="20"/>
                <w:szCs w:val="20"/>
                <w:color w:val="auto"/>
              </w:rPr>
            </w:pPr>
            <w:r>
              <w:rPr>
                <w:rFonts w:ascii="Arial" w:cs="Arial" w:eastAsia="Arial" w:hAnsi="Arial"/>
                <w:sz w:val="14"/>
                <w:szCs w:val="14"/>
                <w:color w:val="auto"/>
              </w:rPr>
              <w:t>$58</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7,628,846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29,942</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expense, including</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issuance of</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restricted stock</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awards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432,301</w:t>
            </w:r>
          </w:p>
        </w:tc>
        <w:tc>
          <w:tcPr>
            <w:tcW w:w="3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362</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56"/>
        </w:trPr>
        <w:tc>
          <w:tcPr>
            <w:tcW w:w="1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(9,511)</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(9,511)</w:t>
            </w:r>
          </w:p>
        </w:tc>
        <w:tc>
          <w:tcPr>
            <w:tcW w:w="0" w:type="dxa"/>
            <w:vAlign w:val="bottom"/>
          </w:tcPr>
          <w:p>
            <w:pPr>
              <w:spacing w:after="0"/>
              <w:rPr>
                <w:sz w:val="1"/>
                <w:szCs w:val="1"/>
                <w:color w:val="auto"/>
              </w:rPr>
            </w:pPr>
          </w:p>
        </w:tc>
      </w:tr>
      <w:tr>
        <w:trPr>
          <w:trHeight w:val="126"/>
        </w:trPr>
        <w:tc>
          <w:tcPr>
            <w:tcW w:w="13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w:t>
            </w: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March 31, 2020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11,736,119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15,257,692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59,790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3,593,954</w:t>
            </w:r>
          </w:p>
        </w:tc>
        <w:tc>
          <w:tcPr>
            <w:tcW w:w="3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1,447</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(58,561)</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Arial" w:cs="Arial" w:eastAsia="Arial" w:hAnsi="Arial"/>
                <w:sz w:val="14"/>
                <w:szCs w:val="14"/>
                <w:color w:val="auto"/>
              </w:rPr>
              <w:t>Exercise of stock</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140"/>
              <w:spacing w:after="0"/>
              <w:rPr>
                <w:sz w:val="20"/>
                <w:szCs w:val="20"/>
                <w:color w:val="auto"/>
              </w:rPr>
            </w:pPr>
            <w:r>
              <w:rPr>
                <w:rFonts w:ascii="Arial" w:cs="Arial" w:eastAsia="Arial" w:hAnsi="Arial"/>
                <w:sz w:val="14"/>
                <w:szCs w:val="14"/>
                <w:color w:val="auto"/>
              </w:rPr>
              <w:t>options</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36,745</w:t>
            </w:r>
          </w:p>
        </w:tc>
        <w:tc>
          <w:tcPr>
            <w:tcW w:w="36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627</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56"/>
        </w:trPr>
        <w:tc>
          <w:tcPr>
            <w:tcW w:w="1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(11,408)</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(11,408)</w:t>
            </w:r>
          </w:p>
        </w:tc>
        <w:tc>
          <w:tcPr>
            <w:tcW w:w="0" w:type="dxa"/>
            <w:vAlign w:val="bottom"/>
          </w:tcPr>
          <w:p>
            <w:pPr>
              <w:spacing w:after="0"/>
              <w:rPr>
                <w:sz w:val="1"/>
                <w:szCs w:val="1"/>
                <w:color w:val="auto"/>
              </w:rPr>
            </w:pPr>
          </w:p>
        </w:tc>
      </w:tr>
      <w:tr>
        <w:trPr>
          <w:trHeight w:val="126"/>
        </w:trPr>
        <w:tc>
          <w:tcPr>
            <w:tcW w:w="13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June 30,</w:t>
            </w: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11,736,119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15,257,692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59,790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3,630,699</w:t>
            </w:r>
          </w:p>
        </w:tc>
        <w:tc>
          <w:tcPr>
            <w:tcW w:w="3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2,105</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(71,416)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(69,311)</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Arial" w:cs="Arial" w:eastAsia="Arial" w:hAnsi="Arial"/>
                <w:sz w:val="14"/>
                <w:szCs w:val="14"/>
                <w:color w:val="auto"/>
              </w:rPr>
              <w:t>Exercise of stock</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140"/>
              <w:spacing w:after="0"/>
              <w:rPr>
                <w:sz w:val="20"/>
                <w:szCs w:val="20"/>
                <w:color w:val="auto"/>
              </w:rPr>
            </w:pPr>
            <w:r>
              <w:rPr>
                <w:rFonts w:ascii="Arial" w:cs="Arial" w:eastAsia="Arial" w:hAnsi="Arial"/>
                <w:sz w:val="14"/>
                <w:szCs w:val="14"/>
                <w:color w:val="auto"/>
              </w:rPr>
              <w:t>options</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61,509</w:t>
            </w:r>
          </w:p>
        </w:tc>
        <w:tc>
          <w:tcPr>
            <w:tcW w:w="36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 of Series C</w:t>
            </w: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preferred stock, net</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of issuance costs of</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$174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3,443,612</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49,826</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Conversion of</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line="149" w:lineRule="exact"/>
              <w:rPr>
                <w:sz w:val="20"/>
                <w:szCs w:val="20"/>
                <w:color w:val="auto"/>
              </w:rPr>
            </w:pPr>
            <w:r>
              <w:rPr>
                <w:rFonts w:ascii="Arial" w:cs="Arial" w:eastAsia="Arial" w:hAnsi="Arial"/>
                <w:sz w:val="14"/>
                <w:szCs w:val="14"/>
                <w:color w:val="auto"/>
              </w:rPr>
              <w:t>into voting and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40"/>
              <w:spacing w:after="0" w:line="149" w:lineRule="exact"/>
              <w:rPr>
                <w:sz w:val="20"/>
                <w:szCs w:val="20"/>
                <w:color w:val="auto"/>
              </w:rPr>
            </w:pPr>
            <w:r>
              <w:rPr>
                <w:rFonts w:ascii="Arial" w:cs="Arial" w:eastAsia="Arial" w:hAnsi="Arial"/>
                <w:sz w:val="14"/>
                <w:szCs w:val="14"/>
                <w:color w:val="auto"/>
              </w:rPr>
              <w:t>non-voting</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line="149" w:lineRule="exact"/>
              <w:rPr>
                <w:sz w:val="20"/>
                <w:szCs w:val="20"/>
                <w:color w:val="auto"/>
              </w:rPr>
            </w:pPr>
            <w:r>
              <w:rPr>
                <w:rFonts w:ascii="Arial" w:cs="Arial" w:eastAsia="Arial" w:hAnsi="Arial"/>
                <w:sz w:val="14"/>
                <w:szCs w:val="14"/>
                <w:color w:val="auto"/>
              </w:rPr>
              <w:t>common stock</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line="149" w:lineRule="exact"/>
              <w:rPr>
                <w:sz w:val="20"/>
                <w:szCs w:val="20"/>
                <w:color w:val="auto"/>
              </w:rPr>
            </w:pPr>
            <w:r>
              <w:rPr>
                <w:rFonts w:ascii="Arial" w:cs="Arial" w:eastAsia="Arial" w:hAnsi="Arial"/>
                <w:sz w:val="14"/>
                <w:szCs w:val="14"/>
                <w:color w:val="auto"/>
              </w:rPr>
              <w:t>upon initial public</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140"/>
              <w:spacing w:after="0"/>
              <w:rPr>
                <w:sz w:val="20"/>
                <w:szCs w:val="20"/>
                <w:color w:val="auto"/>
              </w:rPr>
            </w:pPr>
            <w:r>
              <w:rPr>
                <w:rFonts w:ascii="Arial" w:cs="Arial" w:eastAsia="Arial" w:hAnsi="Arial"/>
                <w:sz w:val="14"/>
                <w:szCs w:val="14"/>
                <w:color w:val="auto"/>
              </w:rPr>
              <w:t>offering</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(11,736,119)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(36,595)</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(15,257,692)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(59,790)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(3,443,612)</w:t>
            </w:r>
          </w:p>
        </w:tc>
        <w:tc>
          <w:tcPr>
            <w:tcW w:w="80" w:type="dxa"/>
            <w:vAlign w:val="bottom"/>
          </w:tcPr>
          <w:p>
            <w:pPr>
              <w:spacing w:after="0"/>
              <w:rPr>
                <w:sz w:val="14"/>
                <w:szCs w:val="1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w w:val="91"/>
              </w:rPr>
              <w:t>(49,826)</w:t>
            </w:r>
          </w:p>
        </w:tc>
        <w:tc>
          <w:tcPr>
            <w:tcW w:w="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19,327,052</w:t>
            </w:r>
          </w:p>
        </w:tc>
        <w:tc>
          <w:tcPr>
            <w:tcW w:w="36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11,110,371</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146,208</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146,211</w:t>
            </w:r>
          </w:p>
        </w:tc>
        <w:tc>
          <w:tcPr>
            <w:tcW w:w="0" w:type="dxa"/>
            <w:vAlign w:val="bottom"/>
          </w:tcPr>
          <w:p>
            <w:pPr>
              <w:spacing w:after="0"/>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 of common</w:t>
            </w: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stock in initial</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public offering, net</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of offering costs of</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$2,538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9,573,750</w:t>
            </w:r>
          </w:p>
        </w:tc>
        <w:tc>
          <w:tcPr>
            <w:tcW w:w="3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166,629</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166,630</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140"/>
              <w:spacing w:after="0"/>
              <w:rPr>
                <w:sz w:val="20"/>
                <w:szCs w:val="20"/>
                <w:color w:val="auto"/>
              </w:rPr>
            </w:pPr>
            <w:r>
              <w:rPr>
                <w:rFonts w:ascii="Arial" w:cs="Arial" w:eastAsia="Arial" w:hAnsi="Arial"/>
                <w:sz w:val="14"/>
                <w:szCs w:val="14"/>
                <w:color w:val="auto"/>
              </w:rPr>
              <w:t>expense</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1,472</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(16,760)</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(16,760)</w:t>
            </w:r>
          </w:p>
        </w:tc>
        <w:tc>
          <w:tcPr>
            <w:tcW w:w="0" w:type="dxa"/>
            <w:vAlign w:val="bottom"/>
          </w:tcPr>
          <w:p>
            <w:pPr>
              <w:spacing w:after="0"/>
              <w:rPr>
                <w:sz w:val="1"/>
                <w:szCs w:val="1"/>
                <w:color w:val="auto"/>
              </w:rPr>
            </w:pPr>
          </w:p>
        </w:tc>
      </w:tr>
      <w:tr>
        <w:trPr>
          <w:trHeight w:val="133"/>
        </w:trPr>
        <w:tc>
          <w:tcPr>
            <w:tcW w:w="132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32,593,010</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11,110,371</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316,479</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(88,176)</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$ 228,307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12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used in operating activities: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(17,531)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(37,679)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(17,196)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(31,330)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Cash flows provided by financing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common stock upon initial public offering, net of offering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167,929</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Proceeds from the sale of Series C convertible preferred stock, net of offering costs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49,826</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sale of Series B convertible preferred stock, net of offering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29,942</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Payment of capital lease obligation</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247,535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215,913</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18,879</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234,792</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360"/>
              <w:spacing w:after="0"/>
              <w:rPr>
                <w:sz w:val="20"/>
                <w:szCs w:val="20"/>
                <w:color w:val="auto"/>
              </w:rPr>
            </w:pPr>
            <w:r>
              <w:rPr>
                <w:rFonts w:ascii="Arial" w:cs="Arial" w:eastAsia="Arial" w:hAnsi="Arial"/>
                <w:sz w:val="18"/>
                <w:szCs w:val="18"/>
                <w:color w:val="auto"/>
              </w:rPr>
              <w:t>Offering costs in accrued expenses and other current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Background</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Prelude Therapeutics Incorporated (the “Company”) was incorporated in Delaware on February 5, 2016 and is a clinical-stage precision oncology company focused on discovering and developing small molecule therapies optimized to target the key driver mechanisms in cancers with high unmet need. Since beginning operations, the Company has devoted substantially all its efforts to research and development, conducting preclinical and clinical studies, recruiting management and technical staff, administration, and raising capital.</w:t>
      </w:r>
    </w:p>
    <w:p>
      <w:pPr>
        <w:spacing w:after="0" w:line="17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September 2020, the Company closed its initial public offering (“IPO”) in which the Company issued and sold 9,573,750 shares of its common stock at a public offering price of $19.00 per share for net proceeds of $166.6 million after deducting underwriting discounts, commissions and other offering expenses paid or to be paid. Subsequent to the closing of the IPO, there were no shares of convertible preferred stock outstanding. In connection with the closing of the IPO, the Company amended and restated its Fifth Amended and Restated Certificate of Incorporation to change the authorized capital stock to 500,000,000 shares designated as common stock (of which 12,850,259 shares are non-voting common stock) and 10,000,000 shares designated as preferred stock, all with a par value of $0.0001 per share.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Risks and liquidity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Since its inception, the Company has incurred operating losses and has an accumulated deficit of $88.2 million at September 30, 2020.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8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Company believes that its cash and cash equivalents as of September 30, 2020, which includes the net proceeds of approximately $166.6 million from the IPO of the Company’s common stock completed in September 2020, will be sufficient to fund its operating expenses and capital expenditure requirements into the second half of 2022.</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56"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2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On March 10, 2020, the World Health Organization characterized the novel COVID-19 virus as a global pandemic. There is significant uncertainty as to the likely effects of this disease which may, among other things, materially impact the Company’s planned clinical trials. This pandemic or outbreak could result in difficulty securing clinical trial site locations,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summary of significant accounting policies included in the Company’s financial statements for the year ended December 31, 2019 can be found in “Note 3. Summary of significant accounting policies” of the Company’s prospectus filed with the Securities and Exchange Commission (the “SEC”) on September 25, 2020 (the “Prospectus”). Those policies have not materially changed, except as set forth below.</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nine month periods ended September 30, 2020 are not necessarily indicative of the results that may be expected for the year ended December 31, 2020. The accompanying unaudited interim financial statements should be read in conjunction with the annual audited financial statements and related notes as of and for the year ended December 31, 2019 found in the Prospectus filed with the SEC on September 25, 2020. Any reference in these notes to applicable guidance is meant to refer to GAAP as found in the Accounting Standards Codification (“ASC”) and Accounting Standards Updates (“ASU”) of the Financial Accounting Standards Board (“FASB”).</w:t>
      </w:r>
    </w:p>
    <w:p>
      <w:pPr>
        <w:spacing w:after="0" w:line="196"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September 18, 2020, the Company’s board of directors and stockholders approved a 1.1566-to-one reverse stock split of the Company’s issued and outstanding shares of common stock and convertible preferred stock. All share and per share amounts in the unaudited interim financial statements and notes hereto have been retrospectively adjusted for all periods presented to give effect to the reverse stock split.</w:t>
      </w:r>
    </w:p>
    <w:p>
      <w:pPr>
        <w:spacing w:after="0" w:line="16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completion of the IPO, as described above, impacts the comparability of certain amounts to the corresponding prior year period, including earnings per share.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The preparation of the unaudited interim financial statements in conformity with U.S.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80"/>
          </w:cols>
          <w:pgMar w:left="320" w:top="459" w:right="4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5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Estimates and assumptions are periodically reviewed and the effects of the revisions are reflected in the accompanying unaudited interim financial statements in the period they are determined to be necessary. Prior to the IPO, significant areas that required management’s estimates included the fair value of the Company’s common stock, stock-based compensation assumptions and accrued clinical trial expenses. Subsequent to the IPO, the most significant estimate relates to accrued clinical trial expenses.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December 31, 2019 and September 30, 2020.</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and unvested restricted stock have no obligation to fund losses.</w:t>
      </w:r>
    </w:p>
    <w:p>
      <w:pPr>
        <w:spacing w:after="0" w:line="18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of common stock outstanding, as they would be anti-dilutive: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22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8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11,736,119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7,628,846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awards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1,394,056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1,312,024</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Stock options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2,189,333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6,649,882</w:t>
            </w:r>
          </w:p>
        </w:tc>
      </w:tr>
      <w:tr>
        <w:trPr>
          <w:trHeight w:val="27"/>
        </w:trPr>
        <w:tc>
          <w:tcPr>
            <w:tcW w:w="88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22,948,354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7,961,906</w:t>
            </w:r>
          </w:p>
        </w:tc>
      </w:tr>
      <w:tr>
        <w:trPr>
          <w:trHeight w:val="20"/>
        </w:trPr>
        <w:tc>
          <w:tcPr>
            <w:tcW w:w="8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in the above table reflect the common stock equivalents.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56"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The standard is effective for the Company beginning January 1, 2022, with early adoption permitted. The Company is currently evaluating the expected impact that the standard will have on its financial statements and related disclosures.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 for Fair Value Measurements,</w:t>
      </w:r>
      <w:r>
        <w:rPr>
          <w:rFonts w:ascii="Arial" w:cs="Arial" w:eastAsia="Arial" w:hAnsi="Arial"/>
          <w:sz w:val="18"/>
          <w:szCs w:val="18"/>
          <w:color w:val="auto"/>
        </w:rPr>
        <w:t xml:space="preserve"> which changes the fair value measurement disclosure requirements of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The goal of the ASU is to improve the effectiveness of ASC 820’s disclosure requirements. The standard is effective for fiscal years beginning after December 15, 2019 and interim periods therein. The adoption of this standard on January 1, 2020 did not have a material impact on the Company’s unaudited interim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70" w:lineRule="exact"/>
        <w:rPr>
          <w:sz w:val="20"/>
          <w:szCs w:val="20"/>
          <w:color w:val="auto"/>
        </w:rPr>
      </w:pPr>
    </w:p>
    <w:p>
      <w:pPr>
        <w:ind w:left="1080" w:right="6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asset or liabilities.</w:t>
      </w:r>
    </w:p>
    <w:p>
      <w:pPr>
        <w:spacing w:after="0" w:line="75"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(i.e., supported by little or no market activity).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fair value hierarchy table presents information about the Company’s assets and liabilities measured at fair value on a recurring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6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0" w:type="dxa"/>
            <w:vAlign w:val="bottom"/>
          </w:tcPr>
          <w:p>
            <w:pPr>
              <w:spacing w:after="0"/>
              <w:rPr>
                <w:sz w:val="1"/>
                <w:szCs w:val="1"/>
                <w:color w:val="auto"/>
              </w:rPr>
            </w:pPr>
          </w:p>
        </w:tc>
      </w:tr>
      <w:tr>
        <w:trPr>
          <w:trHeight w:val="119"/>
        </w:trPr>
        <w:tc>
          <w:tcPr>
            <w:tcW w:w="6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20" w:type="dxa"/>
            <w:vAlign w:val="bottom"/>
            <w:tcBorders>
              <w:top w:val="single" w:sz="8" w:color="auto"/>
            </w:tcBorders>
            <w:gridSpan w:val="3"/>
          </w:tcPr>
          <w:p>
            <w:pPr>
              <w:jc w:val="center"/>
              <w:ind w:right="78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1540" w:type="dxa"/>
            <w:vAlign w:val="bottom"/>
            <w:tcBorders>
              <w:top w:val="single" w:sz="8" w:color="auto"/>
            </w:tcBorders>
            <w:gridSpan w:val="5"/>
            <w:vMerge w:val="restart"/>
          </w:tcPr>
          <w:p>
            <w:pPr>
              <w:jc w:val="center"/>
              <w:ind w:right="800"/>
              <w:spacing w:after="0"/>
              <w:rPr>
                <w:sz w:val="20"/>
                <w:szCs w:val="20"/>
                <w:color w:val="auto"/>
              </w:rPr>
            </w:pPr>
            <w:r>
              <w:rPr>
                <w:rFonts w:ascii="Arial" w:cs="Arial" w:eastAsia="Arial" w:hAnsi="Arial"/>
                <w:sz w:val="14"/>
                <w:szCs w:val="14"/>
                <w:b w:val="1"/>
                <w:bCs w:val="1"/>
                <w:color w:val="auto"/>
                <w:w w:val="92"/>
              </w:rPr>
              <w:t>Significant</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5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other</w:t>
            </w:r>
          </w:p>
        </w:tc>
        <w:tc>
          <w:tcPr>
            <w:tcW w:w="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54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0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144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62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(Level 1)</w:t>
            </w:r>
          </w:p>
        </w:tc>
        <w:tc>
          <w:tcPr>
            <w:tcW w:w="154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2019:</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equivalents (Money Market Funds)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18,779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September 30, 2020: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Cash equivalents (Money Market Funds)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233,364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13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6"/>
        </w:trPr>
        <w:tc>
          <w:tcPr>
            <w:tcW w:w="6220" w:type="dxa"/>
            <w:vAlign w:val="bottom"/>
          </w:tcPr>
          <w:p>
            <w:pPr>
              <w:spacing w:after="0"/>
              <w:rPr>
                <w:sz w:val="20"/>
                <w:szCs w:val="20"/>
                <w:color w:val="auto"/>
              </w:rPr>
            </w:pPr>
            <w:r>
              <w:rPr>
                <w:rFonts w:ascii="Arial" w:cs="Arial" w:eastAsia="Arial" w:hAnsi="Arial"/>
                <w:sz w:val="18"/>
                <w:szCs w:val="18"/>
                <w:b w:val="1"/>
                <w:bCs w:val="1"/>
                <w:color w:val="auto"/>
              </w:rPr>
              <w:t>5. Accrued Expenses and Other Current Liabilities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622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related benefits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Professional services and other</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314</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2,603</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Convertible Preferred Stock and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Preferred Stock Financings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August 2020, the Company’s existing Convertible Preferred Stock investors as well as a new investor purchased 3,443,612 shares of Series C at a price of $14.5197 per share for net proceeds of approximately $49.8 million.</w:t>
      </w:r>
    </w:p>
    <w:p>
      <w:pPr>
        <w:spacing w:after="0" w:line="170"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 March 2020, the Company’s Series B investors exercised their Future Tranche Right and purchased 7,628,846 shares of Series B for net proceeds of approximately $29.9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September 2020, the Company completed its IPO in which the Company sold 9,573,750 shares of its common stock at a public offering price of $19.00 per share. The Company received net proceeds of $166.6 million after deducting underwriting discounts, commissions, and other offering expenses paid by the Company. In addition, immediately prior to the closing of the IPO on September 29, 2020, (i) all of the Company’s outstanding shares of convertible preferred stock converted into an aggregate of 30,437,423 shares of common stock (of which, 11,110,371 shares are non-voting common stock) and (ii) the Company filed an amended and restated certificate of incorporation to, among other things, increase the number of authorized shares of common stock to 500,000,000.</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The Company has two equity incentive plans: the 2016 Equity Incentive Plan, as amended, and the 2020 Equity Incentive Plan. New awards can only be granted under the 2020 Equity Incentive Plan (the “Plan”). The total number of shares initially authorized under the Plan was 4,680,000. Of this amount, 4,677,407 shares were available for future grants as of September 30, 2020. The number of shares of the Company’s common stock that may be issued pursuant to rights granted under the Plan shall automatically increase on January 1st of each year, commencing on January 1, 2021 and continuing for ten years, in an amount equal to five percent of the total number of shares of the Company’s common stock outstanding on</w:t>
      </w:r>
    </w:p>
    <w:p>
      <w:pPr>
        <w:spacing w:after="0" w:line="2"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December 31st of the preceding calendar year, subject to the discretion of the board of directors or compensation committee to determine a lesser number of shares shall be added for such year. The Plan provides for the granting of common stock, incentive stock options, nonqualified stock options, restricted stock awards, and/or stock appreciation rights to employees, directors, and other persons, as determined by the Company’s board of directors. The Company’s stock options vest based on the terms in each award agreement, generally over four-year periods with 25% of options vesting after 1 year and then monthly thereafter, and have a term of ten years. In September 2020, the Company also adopted the 2020 Employee Stock Purchase Plan (the “ESPP”), which includes 520,000 shares of common stock reserved for future issuance. No shares have been issued from the ESPP as of September 30, 2020.</w:t>
      </w:r>
    </w:p>
    <w:p>
      <w:pPr>
        <w:spacing w:after="0" w:line="192"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8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7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8"/>
              </w:rPr>
              <w:t>September 30,</w:t>
            </w:r>
          </w:p>
        </w:tc>
        <w:tc>
          <w:tcPr>
            <w:tcW w:w="12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3640" w:type="dxa"/>
            <w:vAlign w:val="bottom"/>
            <w:vMerge w:val="continue"/>
          </w:tcPr>
          <w:p>
            <w:pPr>
              <w:spacing w:after="0"/>
              <w:rPr>
                <w:sz w:val="12"/>
                <w:szCs w:val="12"/>
                <w:color w:val="auto"/>
              </w:rPr>
            </w:pPr>
          </w:p>
        </w:tc>
        <w:tc>
          <w:tcPr>
            <w:tcW w:w="430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842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520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4440" w:type="dxa"/>
            <w:vAlign w:val="bottom"/>
            <w:gridSpan w:val="2"/>
          </w:tcPr>
          <w:p>
            <w:pPr>
              <w:ind w:left="1700"/>
              <w:spacing w:after="0"/>
              <w:rPr>
                <w:sz w:val="20"/>
                <w:szCs w:val="20"/>
                <w:color w:val="auto"/>
              </w:rPr>
            </w:pPr>
            <w:r>
              <w:rPr>
                <w:rFonts w:ascii="Arial" w:cs="Arial" w:eastAsia="Arial" w:hAnsi="Arial"/>
                <w:sz w:val="18"/>
                <w:szCs w:val="18"/>
                <w:color w:val="auto"/>
              </w:rPr>
              <w:t>F-32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stock option activity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136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w:t>
            </w: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per share</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term (years)</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2,269,742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4,594,130</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9.38</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(98,254)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0.98</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(115,736)</w:t>
            </w:r>
          </w:p>
        </w:tc>
        <w:tc>
          <w:tcPr>
            <w:tcW w:w="56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1.37</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6,649,882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Exercisable at September 30, 2020</w:t>
            </w: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1.64</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783,236</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At September 30, 2020, the aggregate intrinsic value of outstanding options and exercisable options was $153.7 million and $22.3 million,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stock options outstanding at September 30, 2020 under the Plan: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3"/>
          </w:tcPr>
          <w:p>
            <w:pPr>
              <w:ind w:left="24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4"/>
          </w:tcPr>
          <w:p>
            <w:pPr>
              <w:ind w:left="2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Number</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8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2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420" w:type="dxa"/>
            <w:vAlign w:val="bottom"/>
            <w:vMerge w:val="continue"/>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Outstanding</w:t>
            </w:r>
          </w:p>
        </w:tc>
        <w:tc>
          <w:tcPr>
            <w:tcW w:w="4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Exercisable</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$0.31 - $1.02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253,931</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0.98</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162,037</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$1.43 - $1.89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3,259,095</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9.05</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1.85</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619,998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$12.85 - $19.00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3,136,856</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9.92</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12.86</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6,649,882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783,236</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weighted-average grant date fair value of options granted was $1.40 and $8.44 per share for the nine months ended September 30, 2019 and 2020, respectively. The aggregate intrinsic value of options exercised was $2.9 million for the nine months ended September 30, 2020. The Company recorded stock-based compensation expense of $0.2 million and $1.2 million for the three months ended September 30, 2019 and 2020, respectively, related to stock options. The Company recorded stock-based compensation expense of $0.3 million and $1.9 million for the nine months ended September 30, 2019 and 2020, respectively, related to stock options. As of September 30, 2020, the total unrecognized compensation expense related to unvested stock option awards was $39.1 million, which the Company expects to recognize over a weighted-average period of 3.74 years.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each option was estimated on the date of grant using the weighted average assumptions in the table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Nine months ended</w:t>
            </w:r>
          </w:p>
        </w:tc>
      </w:tr>
      <w:tr>
        <w:trPr>
          <w:trHeight w:val="171"/>
        </w:trPr>
        <w:tc>
          <w:tcPr>
            <w:tcW w:w="35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3540" w:type="dxa"/>
            <w:vAlign w:val="bottom"/>
            <w:tcBorders>
              <w:bottom w:val="single" w:sz="8" w:color="CCEEFF"/>
            </w:tcBorders>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8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91.60%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115.09%</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720" w:type="dxa"/>
            <w:vAlign w:val="bottom"/>
            <w:gridSpan w:val="3"/>
          </w:tcPr>
          <w:p>
            <w:pPr>
              <w:jc w:val="right"/>
              <w:ind w:right="280"/>
              <w:spacing w:after="0"/>
              <w:rPr>
                <w:sz w:val="20"/>
                <w:szCs w:val="20"/>
                <w:color w:val="auto"/>
              </w:rPr>
            </w:pPr>
            <w:r>
              <w:rPr>
                <w:rFonts w:ascii="Arial" w:cs="Arial" w:eastAsia="Arial" w:hAnsi="Arial"/>
                <w:sz w:val="18"/>
                <w:szCs w:val="18"/>
                <w:color w:val="auto"/>
              </w:rPr>
              <w:t>1.88%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6.25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84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350"/>
        </w:trPr>
        <w:tc>
          <w:tcPr>
            <w:tcW w:w="3540" w:type="dxa"/>
            <w:vAlign w:val="bottom"/>
          </w:tcPr>
          <w:p>
            <w:pPr>
              <w:spacing w:after="0"/>
              <w:rPr>
                <w:sz w:val="24"/>
                <w:szCs w:val="24"/>
                <w:color w:val="auto"/>
              </w:rPr>
            </w:pPr>
          </w:p>
        </w:tc>
        <w:tc>
          <w:tcPr>
            <w:tcW w:w="6720" w:type="dxa"/>
            <w:vAlign w:val="bottom"/>
            <w:gridSpan w:val="3"/>
          </w:tcPr>
          <w:p>
            <w:pPr>
              <w:jc w:val="right"/>
              <w:ind w:right="4580"/>
              <w:spacing w:after="0"/>
              <w:rPr>
                <w:sz w:val="20"/>
                <w:szCs w:val="20"/>
                <w:color w:val="auto"/>
              </w:rPr>
            </w:pPr>
            <w:r>
              <w:rPr>
                <w:rFonts w:ascii="Arial" w:cs="Arial" w:eastAsia="Arial" w:hAnsi="Arial"/>
                <w:sz w:val="18"/>
                <w:szCs w:val="18"/>
                <w:color w:val="auto"/>
              </w:rPr>
              <w:t>F-33</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amortized straight-line over the vesting period.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activity related to RSA stock-based payment awards: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9"/>
              </w:rPr>
              <w:t>Number of</w:t>
            </w:r>
          </w:p>
        </w:tc>
        <w:tc>
          <w:tcPr>
            <w:tcW w:w="6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6"/>
              </w:rPr>
              <w:t>Weighted-average</w:t>
            </w:r>
          </w:p>
        </w:tc>
        <w:tc>
          <w:tcPr>
            <w:tcW w:w="0" w:type="dxa"/>
            <w:vAlign w:val="bottom"/>
          </w:tcPr>
          <w:p>
            <w:pPr>
              <w:spacing w:after="0"/>
              <w:rPr>
                <w:sz w:val="1"/>
                <w:szCs w:val="1"/>
                <w:color w:val="auto"/>
              </w:rPr>
            </w:pPr>
          </w:p>
        </w:tc>
      </w:tr>
      <w:tr>
        <w:trPr>
          <w:trHeight w:val="149"/>
        </w:trPr>
        <w:tc>
          <w:tcPr>
            <w:tcW w:w="83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71"/>
        </w:trPr>
        <w:tc>
          <w:tcPr>
            <w:tcW w:w="83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January 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1,335,349</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432,301</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(455,626)</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Unvested balance at September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1,312,024</w:t>
            </w:r>
          </w:p>
        </w:tc>
        <w:tc>
          <w:tcPr>
            <w:tcW w:w="20" w:type="dxa"/>
            <w:vAlign w:val="bottom"/>
            <w:tcBorders>
              <w:bottom w:val="single" w:sz="8" w:color="auto"/>
            </w:tcBorders>
          </w:tcPr>
          <w:p>
            <w:pPr>
              <w:spacing w:after="0"/>
              <w:rPr>
                <w:sz w:val="19"/>
                <w:szCs w:val="19"/>
                <w:color w:val="auto"/>
              </w:rPr>
            </w:pP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 Company recorded stock-based compensation expense of $0.1 million and $0.3 million for the three months ended September 30, 2019 and 2020, respectively, related to RSAs. The Company recorded stock-based compensation expense of $0.3 million and $0.6 million for the nine months ended September 30, 2019 and 2020, respectively, related to RSAs. As of September 30, 2020, the total unrecognized expense related to all RSAs was $2.4 million, which the Company expects to recognize over a weighted-average period of 2.94 years.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November 1, 2020, the Company entered into a Second Amended and Restated Entrepreneur Client License Agreement (the “Amendment”) with Delaware Innovation Space, Inc. (“DISI”) to amend the Amended and Restated Entrepreneur Client License Agreement dated June 1, 2020 (the “Original Agreement”) relating to the Company’s office and laboratory space in Wilmington, Delaware. The Amendment provides for the expansion of the premises by approximately 8,800 rentable square feet (the “Expansion Space”). Upon inclusion of the Expansion Space, the Company will license approximately 19,800 rentable square feet of office space (the “Premises”) from DISI (the “License”). Pursuant to the Amendment, the initial term of the License is twenty-six months commencing on November 1, 2020 and terminating on December 31, 2022 (the “Initial Term”).</w:t>
      </w:r>
    </w:p>
    <w:p>
      <w:pPr>
        <w:spacing w:after="0" w:line="16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total base license fee for the Premises through the Initial Term is expected to be $3.0 million (the “License Fee”). The Company has an option to renew the License for twelve months commencing on January 1, 2023 at a monthly renewal license fee increased by 5.0% for a total of $1.4 million payable during the renewal term.</w:t>
      </w:r>
    </w:p>
    <w:p>
      <w:pPr>
        <w:spacing w:after="0" w:line="184"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Pursuant to the Amendment, the Company was granted a right of first offer (the “ROFO”) in connection with certain licensable additional space on the Premises that becomes vacant prior to October 31, 2021 (“Available ROFO Space”). If the Company exercises its ROFO, the Company will pay to DISI an increased monthly license fee not to exceed $0.2 million per month at any time during the Initial Term. As consideration for the ROFO, the Company paid DISI a one-time payment of $0.2 million.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173355</wp:posOffset>
            </wp:positionV>
            <wp:extent cx="2185670" cy="7543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856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22"/>
          <w:szCs w:val="22"/>
          <w:i w:val="1"/>
          <w:iCs w:val="1"/>
          <w:color w:val="auto"/>
        </w:rPr>
        <w:t>Prelude Therapeutics Incorporated</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238760</wp:posOffset>
            </wp:positionV>
            <wp:extent cx="1474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32"/>
          <w:szCs w:val="32"/>
          <w:i w:val="1"/>
          <w:i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74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32"/>
          <w:szCs w:val="32"/>
          <w:i w:val="1"/>
          <w:iCs w:val="1"/>
          <w:color w:val="auto"/>
        </w:rPr>
        <w:t>MORGAN STANLEY</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32"/>
          <w:szCs w:val="32"/>
          <w:i w:val="1"/>
          <w:iCs w:val="1"/>
          <w:color w:val="auto"/>
        </w:rPr>
        <w:t>GOLDMAN SACHS &amp; CO. LLC</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32"/>
          <w:szCs w:val="32"/>
          <w:i w:val="1"/>
          <w:iCs w:val="1"/>
          <w:color w:val="auto"/>
        </w:rPr>
        <w:t>BofA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Until , 2021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1060"/>
          </w:cols>
          <w:pgMar w:left="320" w:top="459" w:right="5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13.OTHER EXPENSES OF ISSUANCE AND DISTRIBUTION.</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following table sets forth all costs and expenses, other than underwriting discounts and commissions, paid or payable by the Registrant in connection with the sale of the common stock being registered. All amounts shown are estimates except for the Securities and Exchange Commission, or SEC, registration fee, the Financial Industry Regulatory Approval, or FINRA, filing fee and the Nasdaq Global Select Market listing fee:</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r>
      <w:tr>
        <w:trPr>
          <w:trHeight w:val="148"/>
        </w:trPr>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Paid or</w:t>
            </w:r>
          </w:p>
        </w:tc>
      </w:t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To Be Paid</w:t>
            </w:r>
          </w:p>
        </w:tc>
      </w:tr>
      <w:tr>
        <w:trPr>
          <w:trHeight w:val="210"/>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FINRA filing fee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The Nasdaq Global Select Market listing fee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Blue Sky, qualification fees and expenses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8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68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8640" w:type="dxa"/>
            <w:vAlign w:val="bottom"/>
            <w:gridSpan w:val="3"/>
          </w:tcPr>
          <w:p>
            <w:pPr>
              <w:ind w:left="160"/>
              <w:spacing w:after="0"/>
              <w:rPr>
                <w:sz w:val="20"/>
                <w:szCs w:val="20"/>
                <w:color w:val="auto"/>
              </w:rPr>
            </w:pPr>
            <w:r>
              <w:rPr>
                <w:rFonts w:ascii="Arial" w:cs="Arial" w:eastAsia="Arial" w:hAnsi="Arial"/>
                <w:sz w:val="18"/>
                <w:szCs w:val="18"/>
                <w:color w:val="auto"/>
              </w:rPr>
              <w:t>To be provided by amendment.</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14.INDEMNIFICATION OF DIRECTORS AND OFFICERS.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permitted by the DGCL, the Registrant’s restated certificate of incorporation contains provisions that eliminate the personal liability of its directors for monetary damages for any breach of fiduciary duties as a director, except liability for the following:</w:t>
      </w:r>
    </w:p>
    <w:p>
      <w:pPr>
        <w:spacing w:after="0" w:line="76"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under Section 174 of the DGCL (regarding unlawful dividends and stock purchases);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permitted by the DGCL, the Registrant’s restated bylaws provide that:</w:t>
      </w:r>
    </w:p>
    <w:p>
      <w:pPr>
        <w:spacing w:after="0" w:line="131" w:lineRule="exact"/>
        <w:rPr>
          <w:sz w:val="20"/>
          <w:szCs w:val="20"/>
          <w:color w:val="auto"/>
        </w:rPr>
      </w:pPr>
    </w:p>
    <w:p>
      <w:pPr>
        <w:ind w:left="1080" w:right="20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limited exceptions;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10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limited exceptions;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225"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The Registrant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between the Registrant and each of its directors and executive officers may be sufficiently broad to permit indemnification of the Registrant’s directors and executive officers for liabilities arising under the Securities Act.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Registrant has directors’ and officers’ liability insurance for securities matters.</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lists set forth information regarding all securities sold or granted by the Registrant from November 30, 2017 through November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that were not registered under the Securities Act, and the consideration, if any, received by the Registrant for such securities: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From November 30, 2017 and through November 30, 2020, the Registrant has granted to its employees, directors, consultants and other service providers options to purchase an aggregate of 6,987,843 shares of common stock under the 2016 Plan and the 2020 Plan, with exercise prices ranging from $1.02 to $52.90 per share. 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 Preferred Stock</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October 2017 and August 2018, the Registrant issued and sold to eight accredited investors an aggregate of 9,499,556 shares of Series A convertible preferred stock at a purchase price of $3.1423 per share, for aggregate consideration of approximately $30.0 million. Additionally, in October 2017, eight accredited investors converted their previous 2016 Preferred Stock into an aggregate of 2,236,563 shares of Series A convertible preferred stock. These shares of Series A convertible preferred stock converted into 11,736,119 shares of the Registrant’s common stock or non-voting common stock. This transaction was exempt from the registration requirements of the Securities Act in reliance upon Section 4(2) of the Securities Act or Regulation D promulgated under the Securities Act.</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May 2019 and March 2020, the Registrant issued and sold to six accredited investors an aggregate of 15,257,692 shares of Series B convertible preferred stock at a purchase price of $3.9325 per share, for aggregate consideration of approximately $60.0 million. These shares of Series B convertible preferred stock converted into 15,257,692 shares of the Registrant’s common stock or non-voting common stock. This transaction was exempt from the registration requirements of the Securities Act in reliance upon Section 4(2) of the Securities Act or Regulation D promulgated under the Securities Act.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9" w:right="49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August 2020, the Registrant issued and sold to seven accredited investors an aggregate of 3,443,612 shares of Series C convertible preferred stock at a purchase price of $14.5197 per share, for aggregate consideration of approximately $50.0 million. These shares of Series C convertible preferred stock converted into 3,443,612 shares of the Registrant’s common stock or non-voting common stock. This transaction was exempt from the registration requirements of the Securities Act in reliance upon Section 4(2) of the Securities Act or Regulation D promulgated under the Securities Act.</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16.EXHIBITS AND FINANCIAL STATEMENT SCHEDULES.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Exhibit</w:t>
            </w: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Exhibit</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44"/>
        </w:trPr>
        <w:tc>
          <w:tcPr>
            <w:tcW w:w="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94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280" w:type="dxa"/>
            <w:vAlign w:val="bottom"/>
            <w:vMerge w:val="restart"/>
          </w:tcPr>
          <w:p>
            <w:pPr>
              <w:spacing w:after="0"/>
              <w:rPr>
                <w:sz w:val="12"/>
                <w:szCs w:val="12"/>
                <w:color w:val="auto"/>
              </w:rPr>
            </w:pPr>
          </w:p>
        </w:tc>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No.</w:t>
            </w:r>
          </w:p>
        </w:tc>
        <w:tc>
          <w:tcPr>
            <w:tcW w:w="280" w:type="dxa"/>
            <w:vAlign w:val="bottom"/>
            <w:vMerge w:val="restart"/>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Filing</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4"/>
                <w:szCs w:val="14"/>
                <w:color w:val="auto"/>
              </w:rPr>
            </w:pPr>
          </w:p>
        </w:tc>
        <w:tc>
          <w:tcPr>
            <w:tcW w:w="49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6"/>
        </w:trPr>
        <w:tc>
          <w:tcPr>
            <w:tcW w:w="500" w:type="dxa"/>
            <w:vAlign w:val="bottom"/>
          </w:tcPr>
          <w:p>
            <w:pPr>
              <w:jc w:val="center"/>
              <w:ind w:right="13"/>
              <w:spacing w:after="0"/>
              <w:rPr>
                <w:sz w:val="20"/>
                <w:szCs w:val="20"/>
                <w:color w:val="auto"/>
              </w:rPr>
            </w:pPr>
            <w:r>
              <w:rPr>
                <w:rFonts w:ascii="Arial" w:cs="Arial" w:eastAsia="Arial" w:hAnsi="Arial"/>
                <w:sz w:val="18"/>
                <w:szCs w:val="18"/>
                <w:color w:val="auto"/>
                <w:w w:val="95"/>
              </w:rPr>
              <w:t>3.1</w:t>
            </w:r>
          </w:p>
        </w:tc>
        <w:tc>
          <w:tcPr>
            <w:tcW w:w="2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Restated Certificate of Incorporation of Prelude Therapeutics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Incorporated</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10-Q</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001-39527</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11/10/2020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center"/>
              <w:ind w:right="13"/>
              <w:spacing w:after="0"/>
              <w:rPr>
                <w:sz w:val="20"/>
                <w:szCs w:val="20"/>
                <w:color w:val="auto"/>
              </w:rPr>
            </w:pPr>
            <w:r>
              <w:rPr>
                <w:rFonts w:ascii="Arial" w:cs="Arial" w:eastAsia="Arial" w:hAnsi="Arial"/>
                <w:sz w:val="18"/>
                <w:szCs w:val="18"/>
                <w:color w:val="auto"/>
                <w:w w:val="95"/>
              </w:rPr>
              <w:t>3.2</w:t>
            </w:r>
          </w:p>
        </w:tc>
        <w:tc>
          <w:tcPr>
            <w:tcW w:w="2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Restated Bylaws of Prelude Therapeutics Incorporated</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10-Q</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001-39527</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11/10/2020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center"/>
              <w:ind w:right="13"/>
              <w:spacing w:after="0"/>
              <w:rPr>
                <w:sz w:val="20"/>
                <w:szCs w:val="20"/>
                <w:color w:val="auto"/>
              </w:rPr>
            </w:pPr>
            <w:r>
              <w:rPr>
                <w:rFonts w:ascii="Arial" w:cs="Arial" w:eastAsia="Arial" w:hAnsi="Arial"/>
                <w:sz w:val="18"/>
                <w:szCs w:val="18"/>
                <w:color w:val="auto"/>
                <w:w w:val="95"/>
              </w:rPr>
              <w:t>4.1</w:t>
            </w:r>
          </w:p>
        </w:tc>
        <w:tc>
          <w:tcPr>
            <w:tcW w:w="2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Form of Common Stock Certificate.</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333-248628</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09/16/2020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tcPr>
          <w:p>
            <w:pPr>
              <w:jc w:val="center"/>
              <w:ind w:right="13"/>
              <w:spacing w:after="0"/>
              <w:rPr>
                <w:sz w:val="20"/>
                <w:szCs w:val="20"/>
                <w:color w:val="auto"/>
              </w:rPr>
            </w:pPr>
            <w:r>
              <w:rPr>
                <w:rFonts w:ascii="Arial" w:cs="Arial" w:eastAsia="Arial" w:hAnsi="Arial"/>
                <w:sz w:val="18"/>
                <w:szCs w:val="18"/>
                <w:color w:val="auto"/>
                <w:w w:val="95"/>
              </w:rPr>
              <w:t>4.2</w:t>
            </w:r>
          </w:p>
        </w:tc>
        <w:tc>
          <w:tcPr>
            <w:tcW w:w="2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5"/>
              </w:rPr>
              <w:t>Amended and Restated Investors’ Rights Agreement, dated August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21, 2020, by and among the Registrant and certain of its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333-248628</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09/16/2020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tcPr>
          <w:p>
            <w:pPr>
              <w:jc w:val="center"/>
              <w:ind w:right="13"/>
              <w:spacing w:after="0"/>
              <w:rPr>
                <w:sz w:val="20"/>
                <w:szCs w:val="20"/>
                <w:color w:val="auto"/>
              </w:rPr>
            </w:pPr>
            <w:r>
              <w:rPr>
                <w:rFonts w:ascii="Arial" w:cs="Arial" w:eastAsia="Arial" w:hAnsi="Arial"/>
                <w:sz w:val="18"/>
                <w:szCs w:val="18"/>
                <w:color w:val="auto"/>
                <w:w w:val="95"/>
              </w:rPr>
              <w:t>4.3</w:t>
            </w:r>
          </w:p>
        </w:tc>
        <w:tc>
          <w:tcPr>
            <w:tcW w:w="2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Form of Registration Rights Agreement, by and among the</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 and certain of its stockholders.</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ind w:left="9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Opinion of Fenwick &amp; West LLP.</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10.1</w:t>
            </w:r>
          </w:p>
        </w:tc>
        <w:tc>
          <w:tcPr>
            <w:tcW w:w="2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Form of Indemnification Agreement with directors and officers.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333-248628</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09/04/2020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tcPr>
          <w:p>
            <w:pPr>
              <w:jc w:val="center"/>
              <w:ind w:right="13"/>
              <w:spacing w:after="0"/>
              <w:rPr>
                <w:sz w:val="20"/>
                <w:szCs w:val="20"/>
                <w:color w:val="auto"/>
              </w:rPr>
            </w:pPr>
            <w:r>
              <w:rPr>
                <w:rFonts w:ascii="Arial" w:cs="Arial" w:eastAsia="Arial" w:hAnsi="Arial"/>
                <w:sz w:val="18"/>
                <w:szCs w:val="18"/>
                <w:color w:val="auto"/>
                <w:w w:val="91"/>
              </w:rPr>
              <w:t>10.2^</w:t>
            </w:r>
          </w:p>
        </w:tc>
        <w:tc>
          <w:tcPr>
            <w:tcW w:w="2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2016 Stock Incentive Plan, as amended, and forms of award</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agreements.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333-248628</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09/04/2020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center"/>
              <w:ind w:right="13"/>
              <w:spacing w:after="0"/>
              <w:rPr>
                <w:sz w:val="20"/>
                <w:szCs w:val="20"/>
                <w:color w:val="auto"/>
              </w:rPr>
            </w:pPr>
            <w:r>
              <w:rPr>
                <w:rFonts w:ascii="Arial" w:cs="Arial" w:eastAsia="Arial" w:hAnsi="Arial"/>
                <w:sz w:val="18"/>
                <w:szCs w:val="18"/>
                <w:color w:val="auto"/>
                <w:w w:val="91"/>
              </w:rPr>
              <w:t>10.3^</w:t>
            </w:r>
          </w:p>
        </w:tc>
        <w:tc>
          <w:tcPr>
            <w:tcW w:w="2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2020 Equity Incentive Plan and forms of award agreements.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333-248628</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09/21/2020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tcPr>
          <w:p>
            <w:pPr>
              <w:jc w:val="center"/>
              <w:ind w:right="13"/>
              <w:spacing w:after="0"/>
              <w:rPr>
                <w:sz w:val="20"/>
                <w:szCs w:val="20"/>
                <w:color w:val="auto"/>
              </w:rPr>
            </w:pPr>
            <w:r>
              <w:rPr>
                <w:rFonts w:ascii="Arial" w:cs="Arial" w:eastAsia="Arial" w:hAnsi="Arial"/>
                <w:sz w:val="18"/>
                <w:szCs w:val="18"/>
                <w:color w:val="auto"/>
                <w:w w:val="91"/>
              </w:rPr>
              <w:t>10.4^</w:t>
            </w:r>
          </w:p>
        </w:tc>
        <w:tc>
          <w:tcPr>
            <w:tcW w:w="2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2020 Employee Stock Purchase Plan and forms of award</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agreements.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333-248628</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09/21/2020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Exhibit</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44"/>
        </w:trPr>
        <w:tc>
          <w:tcPr>
            <w:tcW w:w="960" w:type="dxa"/>
            <w:vAlign w:val="bottom"/>
            <w:gridSpan w:val="2"/>
            <w:vMerge w:val="continue"/>
          </w:tcPr>
          <w:p>
            <w:pPr>
              <w:spacing w:after="0"/>
              <w:rPr>
                <w:sz w:val="12"/>
                <w:szCs w:val="12"/>
                <w:color w:val="auto"/>
              </w:rPr>
            </w:pPr>
          </w:p>
        </w:tc>
        <w:tc>
          <w:tcPr>
            <w:tcW w:w="462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Form</w:t>
            </w:r>
          </w:p>
        </w:tc>
        <w:tc>
          <w:tcPr>
            <w:tcW w:w="260" w:type="dxa"/>
            <w:vAlign w:val="bottom"/>
            <w:vMerge w:val="restart"/>
          </w:tcPr>
          <w:p>
            <w:pPr>
              <w:spacing w:after="0"/>
              <w:rPr>
                <w:sz w:val="12"/>
                <w:szCs w:val="12"/>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File No.</w:t>
            </w:r>
          </w:p>
        </w:tc>
        <w:tc>
          <w:tcPr>
            <w:tcW w:w="28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6"/>
              </w:rPr>
              <w:t>Filing</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46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6"/>
        </w:trPr>
        <w:tc>
          <w:tcPr>
            <w:tcW w:w="960" w:type="dxa"/>
            <w:vAlign w:val="bottom"/>
            <w:gridSpan w:val="2"/>
          </w:tcPr>
          <w:p>
            <w:pPr>
              <w:spacing w:after="0"/>
              <w:rPr>
                <w:sz w:val="20"/>
                <w:szCs w:val="20"/>
                <w:color w:val="auto"/>
              </w:rPr>
            </w:pPr>
            <w:r>
              <w:rPr>
                <w:rFonts w:ascii="Arial" w:cs="Arial" w:eastAsia="Arial" w:hAnsi="Arial"/>
                <w:sz w:val="18"/>
                <w:szCs w:val="18"/>
                <w:color w:val="auto"/>
              </w:rPr>
              <w:t>10.5†</w:t>
            </w:r>
          </w:p>
        </w:tc>
        <w:tc>
          <w:tcPr>
            <w:tcW w:w="4840" w:type="dxa"/>
            <w:vAlign w:val="bottom"/>
            <w:gridSpan w:val="2"/>
          </w:tcPr>
          <w:p>
            <w:pPr>
              <w:spacing w:after="0"/>
              <w:rPr>
                <w:sz w:val="20"/>
                <w:szCs w:val="20"/>
                <w:color w:val="auto"/>
              </w:rPr>
            </w:pPr>
            <w:r>
              <w:rPr>
                <w:rFonts w:ascii="Arial" w:cs="Arial" w:eastAsia="Arial" w:hAnsi="Arial"/>
                <w:sz w:val="18"/>
                <w:szCs w:val="18"/>
                <w:color w:val="auto"/>
                <w:w w:val="99"/>
              </w:rPr>
              <w:t>Second Amended and Restated Entrepreneur Client License</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Agreement, dated November 1, 2020, by and between the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Registrant and Delaware Innovation Space, Inc.</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001-39527</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11/04/2020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95"/>
              </w:rPr>
              <w:t>10.6^*</w:t>
            </w:r>
          </w:p>
        </w:tc>
        <w:tc>
          <w:tcPr>
            <w:tcW w:w="4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5"/>
              </w:rPr>
              <w:t>Executive Employment Agreement, dated December , 2020, by</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and between the Registrant and Krishna Vaddi.</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95"/>
              </w:rPr>
              <w:t>10.7^*</w:t>
            </w:r>
          </w:p>
        </w:tc>
        <w:tc>
          <w:tcPr>
            <w:tcW w:w="4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8"/>
              </w:rPr>
              <w:t>Executive Employment Agreement, dated December 8, 2020,</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by and between the Registrant and Andrew P. Combs.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95"/>
              </w:rPr>
              <w:t>10.8^*</w:t>
            </w:r>
          </w:p>
        </w:tc>
        <w:tc>
          <w:tcPr>
            <w:tcW w:w="4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5"/>
              </w:rPr>
              <w:t>Executive Employment Agreement, dated December , 2020, by</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and between the Registrant and David Mauro.</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4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333-248628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21.1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09/04/2020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Consent of Ernst &amp; Young LLP, an independent registered</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public accounting firm.</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Consent of Fenwick &amp; West LLP (included in Exhibit 5.1).</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4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Power of Attorney (included in the signature page to this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Registration Statement on Form S-1)</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8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8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840" w:type="dxa"/>
            <w:vAlign w:val="bottom"/>
            <w:gridSpan w:val="2"/>
          </w:tcPr>
          <w:p>
            <w:pPr>
              <w:spacing w:after="0"/>
              <w:rPr>
                <w:sz w:val="20"/>
                <w:szCs w:val="20"/>
                <w:color w:val="auto"/>
              </w:rPr>
            </w:pPr>
            <w:r>
              <w:rPr>
                <w:rFonts w:ascii="Arial" w:cs="Arial" w:eastAsia="Arial" w:hAnsi="Arial"/>
                <w:sz w:val="18"/>
                <w:szCs w:val="18"/>
                <w:color w:val="auto"/>
                <w:w w:val="99"/>
              </w:rPr>
              <w:t>XBRL Taxonomy Extension Calculation Linkbase Document.</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8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8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840" w:type="dxa"/>
            <w:vAlign w:val="bottom"/>
            <w:gridSpan w:val="2"/>
          </w:tcPr>
          <w:p>
            <w:pPr>
              <w:spacing w:after="0"/>
              <w:rPr>
                <w:sz w:val="20"/>
                <w:szCs w:val="20"/>
                <w:color w:val="auto"/>
              </w:rPr>
            </w:pPr>
            <w:r>
              <w:rPr>
                <w:rFonts w:ascii="Arial" w:cs="Arial" w:eastAsia="Arial" w:hAnsi="Arial"/>
                <w:sz w:val="18"/>
                <w:szCs w:val="18"/>
                <w:color w:val="auto"/>
                <w:w w:val="97"/>
              </w:rPr>
              <w:t>XBRL Taxonomy Extension Presentation Linkbase Document.</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40" w:right="140" w:hanging="424"/>
        <w:spacing w:after="0" w:line="250"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The Registrant agrees to furnish supplementally a copy of any omitted schedule or exhibit to the SEC upon request.</w:t>
      </w:r>
    </w:p>
    <w:p>
      <w:pPr>
        <w:spacing w:after="0" w:line="1"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financial statement schedules are provided because the information called for is not required or is shown either in the financial statements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17.UNDERTAKINGS.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120" w:right="200" w:firstLine="436"/>
        <w:spacing w:after="0" w:line="286" w:lineRule="auto"/>
        <w:tabs>
          <w:tab w:leader="none" w:pos="81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left="120" w:firstLine="436"/>
        <w:spacing w:after="0" w:line="263" w:lineRule="auto"/>
        <w:tabs>
          <w:tab w:leader="none" w:pos="81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0"/>
          </w:cols>
          <w:pgMar w:left="320" w:top="459" w:right="5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w:t>
      </w:r>
    </w:p>
    <w:p>
      <w:pPr>
        <w:spacing w:after="0" w:line="46" w:lineRule="exact"/>
        <w:rPr>
          <w:sz w:val="20"/>
          <w:szCs w:val="20"/>
          <w:color w:val="auto"/>
        </w:rPr>
      </w:pPr>
    </w:p>
    <w:p>
      <w:pPr>
        <w:ind w:left="120"/>
        <w:spacing w:after="0"/>
        <w:tabs>
          <w:tab w:leader="none" w:pos="9560" w:val="left"/>
          <w:tab w:leader="none" w:pos="10600" w:val="left"/>
        </w:tabs>
        <w:rPr>
          <w:sz w:val="20"/>
          <w:szCs w:val="20"/>
          <w:color w:val="auto"/>
        </w:rPr>
      </w:pPr>
      <w:r>
        <w:rPr>
          <w:rFonts w:ascii="Arial" w:cs="Arial" w:eastAsia="Arial" w:hAnsi="Arial"/>
          <w:sz w:val="18"/>
          <w:szCs w:val="18"/>
          <w:color w:val="auto"/>
        </w:rPr>
        <w:t>be signed on its behalf by the undersigned, thereunto duly authorized, in the City of Wilmington, State of Delaware,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3"/>
          <w:szCs w:val="13"/>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35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PRELUDE THERAPEUTICS INCORPORATED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Krishna Vaddi, Ph.D.</w:t>
      </w:r>
    </w:p>
    <w:p>
      <w:pPr>
        <w:spacing w:after="0" w:line="23" w:lineRule="exact"/>
        <w:rPr>
          <w:sz w:val="20"/>
          <w:szCs w:val="20"/>
          <w:color w:val="auto"/>
        </w:rPr>
      </w:pPr>
    </w:p>
    <w:p>
      <w:pPr>
        <w:jc w:val="center"/>
        <w:ind w:left="6960"/>
        <w:spacing w:after="0"/>
        <w:rPr>
          <w:sz w:val="20"/>
          <w:szCs w:val="20"/>
          <w:color w:val="auto"/>
        </w:rPr>
      </w:pPr>
      <w:r>
        <w:rPr>
          <w:rFonts w:ascii="Arial" w:cs="Arial" w:eastAsia="Arial" w:hAnsi="Arial"/>
          <w:sz w:val="18"/>
          <w:szCs w:val="18"/>
          <w:i w:val="1"/>
          <w:iCs w:val="1"/>
          <w:color w:val="auto"/>
        </w:rPr>
        <w:t>Chief Executive Officer</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Krishna Vaddi and Brian Piper,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8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78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Date</w:t>
            </w:r>
          </w:p>
        </w:tc>
      </w:tr>
      <w:tr>
        <w:trPr>
          <w:trHeight w:val="425"/>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Chief Executive Officer and Director</w:t>
            </w:r>
          </w:p>
        </w:tc>
        <w:tc>
          <w:tcPr>
            <w:tcW w:w="280" w:type="dxa"/>
            <w:vAlign w:val="bottom"/>
          </w:tcPr>
          <w:p>
            <w:pPr>
              <w:spacing w:after="0"/>
              <w:rPr>
                <w:sz w:val="24"/>
                <w:szCs w:val="24"/>
                <w:color w:val="auto"/>
              </w:rPr>
            </w:pP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0"/>
              </w:rPr>
              <w:t>Krishna Vaddi, Ph.D.</w:t>
            </w:r>
          </w:p>
        </w:tc>
        <w:tc>
          <w:tcPr>
            <w:tcW w:w="4980" w:type="dxa"/>
            <w:vAlign w:val="bottom"/>
            <w:gridSpan w:val="3"/>
          </w:tcPr>
          <w:p>
            <w:pPr>
              <w:jc w:val="center"/>
              <w:ind w:right="880"/>
              <w:spacing w:after="0"/>
              <w:rPr>
                <w:sz w:val="20"/>
                <w:szCs w:val="20"/>
                <w:color w:val="auto"/>
              </w:rPr>
            </w:pPr>
            <w:r>
              <w:rPr>
                <w:rFonts w:ascii="Arial" w:cs="Arial" w:eastAsia="Arial" w:hAnsi="Arial"/>
                <w:sz w:val="18"/>
                <w:szCs w:val="18"/>
                <w:i w:val="1"/>
                <w:iCs w:val="1"/>
                <w:color w:val="auto"/>
                <w:w w:val="94"/>
              </w:rPr>
              <w:t>(Principal Executive Officer)</w:t>
            </w:r>
          </w:p>
        </w:tc>
        <w:tc>
          <w:tcPr>
            <w:tcW w:w="280" w:type="dxa"/>
            <w:vAlign w:val="bottom"/>
          </w:tcPr>
          <w:p>
            <w:pPr>
              <w:spacing w:after="0"/>
              <w:rPr>
                <w:sz w:val="19"/>
                <w:szCs w:val="19"/>
                <w:color w:val="auto"/>
              </w:rPr>
            </w:pPr>
          </w:p>
        </w:tc>
      </w:tr>
      <w:tr>
        <w:trPr>
          <w:trHeight w:val="431"/>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right="880"/>
              <w:spacing w:after="0"/>
              <w:rPr>
                <w:sz w:val="20"/>
                <w:szCs w:val="20"/>
                <w:color w:val="auto"/>
              </w:rPr>
            </w:pPr>
            <w:r>
              <w:rPr>
                <w:rFonts w:ascii="Arial" w:cs="Arial" w:eastAsia="Arial" w:hAnsi="Arial"/>
                <w:sz w:val="18"/>
                <w:szCs w:val="18"/>
                <w:color w:val="auto"/>
                <w:w w:val="93"/>
              </w:rPr>
              <w:t>Chief Financial Officer</w:t>
            </w:r>
          </w:p>
        </w:tc>
        <w:tc>
          <w:tcPr>
            <w:tcW w:w="280" w:type="dxa"/>
            <w:vAlign w:val="bottom"/>
          </w:tcPr>
          <w:p>
            <w:pPr>
              <w:spacing w:after="0"/>
              <w:rPr>
                <w:sz w:val="24"/>
                <w:szCs w:val="24"/>
                <w:color w:val="auto"/>
              </w:rPr>
            </w:pP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4"/>
              </w:rPr>
              <w:t>Brian Piper, M.B.A.</w:t>
            </w:r>
          </w:p>
        </w:tc>
        <w:tc>
          <w:tcPr>
            <w:tcW w:w="4980" w:type="dxa"/>
            <w:vAlign w:val="bottom"/>
            <w:gridSpan w:val="3"/>
          </w:tcPr>
          <w:p>
            <w:pPr>
              <w:jc w:val="center"/>
              <w:ind w:right="880"/>
              <w:spacing w:after="0"/>
              <w:rPr>
                <w:sz w:val="20"/>
                <w:szCs w:val="20"/>
                <w:color w:val="auto"/>
              </w:rPr>
            </w:pPr>
            <w:r>
              <w:rPr>
                <w:rFonts w:ascii="Arial" w:cs="Arial" w:eastAsia="Arial" w:hAnsi="Arial"/>
                <w:sz w:val="18"/>
                <w:szCs w:val="18"/>
                <w:i w:val="1"/>
                <w:iCs w:val="1"/>
                <w:color w:val="auto"/>
                <w:w w:val="94"/>
              </w:rPr>
              <w:t>(Principal Accounting and Financial Officer)</w:t>
            </w:r>
          </w:p>
        </w:tc>
        <w:tc>
          <w:tcPr>
            <w:tcW w:w="280" w:type="dxa"/>
            <w:vAlign w:val="bottom"/>
          </w:tcPr>
          <w:p>
            <w:pPr>
              <w:spacing w:after="0"/>
              <w:rPr>
                <w:sz w:val="19"/>
                <w:szCs w:val="19"/>
                <w:color w:val="auto"/>
              </w:rPr>
            </w:pPr>
          </w:p>
        </w:tc>
      </w:tr>
      <w:tr>
        <w:trPr>
          <w:trHeight w:val="431"/>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Chairman and Director</w:t>
            </w:r>
          </w:p>
        </w:tc>
        <w:tc>
          <w:tcPr>
            <w:tcW w:w="280" w:type="dxa"/>
            <w:vAlign w:val="bottom"/>
          </w:tcPr>
          <w:p>
            <w:pPr>
              <w:spacing w:after="0"/>
              <w:rPr>
                <w:sz w:val="24"/>
                <w:szCs w:val="24"/>
                <w:color w:val="auto"/>
              </w:rPr>
            </w:pP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4"/>
              </w:rPr>
              <w:t>Paul A. Friedman, M.D.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right="900"/>
              <w:spacing w:after="0"/>
              <w:rPr>
                <w:sz w:val="20"/>
                <w:szCs w:val="20"/>
                <w:color w:val="auto"/>
              </w:rPr>
            </w:pPr>
            <w:r>
              <w:rPr>
                <w:rFonts w:ascii="Arial" w:cs="Arial" w:eastAsia="Arial" w:hAnsi="Arial"/>
                <w:sz w:val="18"/>
                <w:szCs w:val="18"/>
                <w:color w:val="auto"/>
                <w:w w:val="95"/>
              </w:rPr>
              <w:t>Director</w:t>
            </w:r>
          </w:p>
        </w:tc>
        <w:tc>
          <w:tcPr>
            <w:tcW w:w="280" w:type="dxa"/>
            <w:vAlign w:val="bottom"/>
          </w:tcPr>
          <w:p>
            <w:pPr>
              <w:spacing w:after="0"/>
              <w:rPr>
                <w:sz w:val="24"/>
                <w:szCs w:val="24"/>
                <w:color w:val="auto"/>
              </w:rPr>
            </w:pP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5"/>
              </w:rPr>
              <w:t>David Bonita, M.D.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right="900"/>
              <w:spacing w:after="0"/>
              <w:rPr>
                <w:sz w:val="20"/>
                <w:szCs w:val="20"/>
                <w:color w:val="auto"/>
              </w:rPr>
            </w:pPr>
            <w:r>
              <w:rPr>
                <w:rFonts w:ascii="Arial" w:cs="Arial" w:eastAsia="Arial" w:hAnsi="Arial"/>
                <w:sz w:val="18"/>
                <w:szCs w:val="18"/>
                <w:color w:val="auto"/>
                <w:w w:val="95"/>
              </w:rPr>
              <w:t>Director</w:t>
            </w:r>
          </w:p>
        </w:tc>
        <w:tc>
          <w:tcPr>
            <w:tcW w:w="280" w:type="dxa"/>
            <w:vAlign w:val="bottom"/>
          </w:tcPr>
          <w:p>
            <w:pPr>
              <w:spacing w:after="0"/>
              <w:rPr>
                <w:sz w:val="24"/>
                <w:szCs w:val="24"/>
                <w:color w:val="auto"/>
              </w:rPr>
            </w:pP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4"/>
              </w:rPr>
              <w:t>Mardi C. Dier</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64"/>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II-6</w:t>
            </w:r>
          </w:p>
        </w:tc>
        <w:tc>
          <w:tcPr>
            <w:tcW w:w="28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p>
      <w:pPr>
        <w:jc w:val="both"/>
        <w:ind w:left="2300"/>
        <w:spacing w:after="0"/>
        <w:tabs>
          <w:tab w:leader="none" w:pos="6960" w:val="left"/>
          <w:tab w:leader="none" w:pos="100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Kelvin Neu, M.D.</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Victor Sandor, M.D.C.M.</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340"/>
          </w:cols>
          <w:pgMar w:left="320" w:top="459" w:right="1239" w:bottom="1440" w:gutter="0" w:footer="0" w:header="0"/>
        </w:sectPr>
      </w:pPr>
    </w:p>
    <w:bookmarkStart w:id="246" w:name="page247"/>
    <w:bookmarkEnd w:id="246"/>
    <w:p>
      <w:pPr>
        <w:jc w:val="center"/>
        <w:ind w:right="-3"/>
        <w:spacing w:after="0"/>
        <w:rPr>
          <w:sz w:val="20"/>
          <w:szCs w:val="20"/>
          <w:color w:val="auto"/>
        </w:rPr>
      </w:pPr>
      <w:r>
        <w:rPr>
          <w:rFonts w:ascii="Arial" w:cs="Arial" w:eastAsia="Arial" w:hAnsi="Arial"/>
          <w:sz w:val="18"/>
          <w:szCs w:val="18"/>
          <w:b w:val="1"/>
          <w:bCs w:val="1"/>
          <w:color w:val="auto"/>
        </w:rPr>
        <w:t>Confidential Treatment Requested by Prelude Therapeutics Incorporated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4" w:right="260"/>
        <w:spacing w:after="0" w:line="311"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 ], 2020 by and between Prelude Therapeutics Incorporated,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the persons listed on the attached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who are signatories to this Agreement (collectively, the “</w:t>
      </w:r>
      <w:r>
        <w:rPr>
          <w:rFonts w:ascii="Arial" w:cs="Arial" w:eastAsia="Arial" w:hAnsi="Arial"/>
          <w:sz w:val="16"/>
          <w:szCs w:val="16"/>
          <w:u w:val="single" w:color="auto"/>
          <w:color w:val="auto"/>
        </w:rPr>
        <w:t>Investors</w:t>
      </w:r>
      <w:r>
        <w:rPr>
          <w:rFonts w:ascii="Arial" w:cs="Arial" w:eastAsia="Arial" w:hAnsi="Arial"/>
          <w:sz w:val="16"/>
          <w:szCs w:val="16"/>
          <w:color w:val="auto"/>
        </w:rPr>
        <w:t xml:space="preserve">”). Unless otherwise defined herein, capitalized terms used in this Agreement have the respective meanings ascribed to them in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 w:right="2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wish to provide for certain arrangements with respect to the registration of the Registrable Securities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by the Company under the Securities Act (as defined below).</w:t>
      </w:r>
    </w:p>
    <w:p>
      <w:pPr>
        <w:spacing w:after="0" w:line="162" w:lineRule="exact"/>
        <w:rPr>
          <w:sz w:val="20"/>
          <w:szCs w:val="20"/>
          <w:color w:val="auto"/>
        </w:rPr>
      </w:pPr>
    </w:p>
    <w:p>
      <w:pPr>
        <w:ind w:left="4" w:right="38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covenants set forth herein, and other consideration, the receipt and adequacy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parties hereto agree as follows:</w:t>
      </w:r>
    </w:p>
    <w:p>
      <w:pPr>
        <w:spacing w:after="0" w:line="378" w:lineRule="exact"/>
        <w:rPr>
          <w:sz w:val="20"/>
          <w:szCs w:val="20"/>
          <w:color w:val="auto"/>
        </w:rPr>
      </w:pPr>
    </w:p>
    <w:p>
      <w:pPr>
        <w:ind w:left="5144"/>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ind w:left="5084"/>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In addition to the terms defined elsewhere in this Agreement, as used in this Agreement, the following terms have the respective meanings set forth below:</w:t>
      </w:r>
    </w:p>
    <w:p>
      <w:pPr>
        <w:spacing w:after="0" w:line="170" w:lineRule="exact"/>
        <w:rPr>
          <w:sz w:val="20"/>
          <w:szCs w:val="20"/>
          <w:color w:val="auto"/>
        </w:rPr>
      </w:pPr>
    </w:p>
    <w:p>
      <w:pPr>
        <w:ind w:left="384" w:hanging="384"/>
        <w:spacing w:after="0"/>
        <w:tabs>
          <w:tab w:leader="none" w:pos="3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shall mean the Securities and Exchange Commission or any other federal agency at the time administering the Securities Act.</w:t>
      </w:r>
    </w:p>
    <w:p>
      <w:pPr>
        <w:spacing w:after="0" w:line="236" w:lineRule="exact"/>
        <w:rPr>
          <w:rFonts w:ascii="Arial" w:cs="Arial" w:eastAsia="Arial" w:hAnsi="Arial"/>
          <w:sz w:val="17"/>
          <w:szCs w:val="17"/>
          <w:color w:val="auto"/>
        </w:rPr>
      </w:pPr>
    </w:p>
    <w:p>
      <w:pPr>
        <w:ind w:left="384" w:hanging="384"/>
        <w:spacing w:after="0"/>
        <w:tabs>
          <w:tab w:leader="none" w:pos="3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voting common stock of the Company, par value $0.0001 per share.</w:t>
      </w:r>
    </w:p>
    <w:p>
      <w:pPr>
        <w:spacing w:after="0" w:line="225" w:lineRule="exact"/>
        <w:rPr>
          <w:rFonts w:ascii="Arial" w:cs="Arial" w:eastAsia="Arial" w:hAnsi="Arial"/>
          <w:sz w:val="18"/>
          <w:szCs w:val="18"/>
          <w:color w:val="auto"/>
        </w:rPr>
      </w:pPr>
    </w:p>
    <w:p>
      <w:pPr>
        <w:ind w:left="4" w:right="40" w:hanging="4"/>
        <w:spacing w:after="0" w:line="277" w:lineRule="auto"/>
        <w:tabs>
          <w:tab w:leader="none" w:pos="39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or any similar successor federal statute and the rules and regulations thereunder, all as the same shall be in effect from time to time.</w:t>
      </w:r>
    </w:p>
    <w:p>
      <w:pPr>
        <w:spacing w:after="0" w:line="170" w:lineRule="exact"/>
        <w:rPr>
          <w:rFonts w:ascii="Arial" w:cs="Arial" w:eastAsia="Arial" w:hAnsi="Arial"/>
          <w:sz w:val="18"/>
          <w:szCs w:val="18"/>
          <w:color w:val="auto"/>
        </w:rPr>
      </w:pPr>
    </w:p>
    <w:p>
      <w:pPr>
        <w:ind w:left="4" w:right="80" w:hanging="4"/>
        <w:spacing w:after="0" w:line="277" w:lineRule="auto"/>
        <w:tabs>
          <w:tab w:leader="none" w:pos="3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 Rights Agreement</w:t>
      </w:r>
      <w:r>
        <w:rPr>
          <w:rFonts w:ascii="Arial" w:cs="Arial" w:eastAsia="Arial" w:hAnsi="Arial"/>
          <w:sz w:val="18"/>
          <w:szCs w:val="18"/>
          <w:color w:val="auto"/>
        </w:rPr>
        <w:t>” shall mean the Amended and Restated Investors’ Right Agreement, dated as of August 21, 2020, by and among the Company and the investors named therein.</w:t>
      </w:r>
    </w:p>
    <w:p>
      <w:pPr>
        <w:spacing w:after="0" w:line="170" w:lineRule="exact"/>
        <w:rPr>
          <w:rFonts w:ascii="Arial" w:cs="Arial" w:eastAsia="Arial" w:hAnsi="Arial"/>
          <w:sz w:val="18"/>
          <w:szCs w:val="18"/>
          <w:color w:val="auto"/>
        </w:rPr>
      </w:pPr>
    </w:p>
    <w:p>
      <w:pPr>
        <w:jc w:val="both"/>
        <w:ind w:left="4" w:right="20" w:hanging="4"/>
        <w:spacing w:after="0" w:line="342" w:lineRule="auto"/>
        <w:tabs>
          <w:tab w:leader="none" w:pos="40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Investors</w:t>
      </w:r>
      <w:r>
        <w:rPr>
          <w:rFonts w:ascii="Arial" w:cs="Arial" w:eastAsia="Arial" w:hAnsi="Arial"/>
          <w:sz w:val="16"/>
          <w:szCs w:val="16"/>
          <w:color w:val="auto"/>
        </w:rPr>
        <w:t>” shall mean the “Investors”, as defined in those certain Registration Rights Agreement, of even date herewith, entered into by and between the Company and each of [ ] (collectively, and without taking into account any amendments thereto after the date hereof, the “</w:t>
      </w:r>
      <w:r>
        <w:rPr>
          <w:rFonts w:ascii="Arial" w:cs="Arial" w:eastAsia="Arial" w:hAnsi="Arial"/>
          <w:sz w:val="16"/>
          <w:szCs w:val="16"/>
          <w:u w:val="single" w:color="auto"/>
          <w:color w:val="auto"/>
        </w:rPr>
        <w:t>Other RRAs</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384" w:hanging="384"/>
        <w:spacing w:after="0"/>
        <w:tabs>
          <w:tab w:leader="none" w:pos="38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Investors’ Registrable Securities</w:t>
      </w:r>
      <w:r>
        <w:rPr>
          <w:rFonts w:ascii="Arial" w:cs="Arial" w:eastAsia="Arial" w:hAnsi="Arial"/>
          <w:sz w:val="17"/>
          <w:szCs w:val="17"/>
          <w:color w:val="auto"/>
        </w:rPr>
        <w:t>” means the Registrable Securities (as defined in each of the Other RRAs) of the Other Investors.</w:t>
      </w:r>
    </w:p>
    <w:p>
      <w:pPr>
        <w:sectPr>
          <w:pgSz w:w="11900" w:h="16838" w:orient="portrait"/>
          <w:cols w:equalWidth="0" w:num="1">
            <w:col w:w="11024"/>
          </w:cols>
          <w:pgMar w:left="436" w:top="121" w:right="439" w:bottom="1440" w:gutter="0" w:footer="0" w:header="0"/>
        </w:sectPr>
      </w:pPr>
    </w:p>
    <w:bookmarkStart w:id="247" w:name="page248"/>
    <w:bookmarkEnd w:id="24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44" w:hanging="444"/>
        <w:spacing w:after="0"/>
        <w:tabs>
          <w:tab w:leader="none" w:pos="44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Securities</w:t>
      </w:r>
      <w:r>
        <w:rPr>
          <w:rFonts w:ascii="Arial" w:cs="Arial" w:eastAsia="Arial" w:hAnsi="Arial"/>
          <w:sz w:val="17"/>
          <w:szCs w:val="17"/>
          <w:color w:val="auto"/>
        </w:rPr>
        <w:t>” shall mean securities of the Company, other than Registrable Securities or the Other Investors’ Registrable Securities.</w:t>
      </w:r>
    </w:p>
    <w:p>
      <w:pPr>
        <w:spacing w:after="0" w:line="236" w:lineRule="exact"/>
        <w:rPr>
          <w:rFonts w:ascii="Arial" w:cs="Arial" w:eastAsia="Arial" w:hAnsi="Arial"/>
          <w:sz w:val="17"/>
          <w:szCs w:val="17"/>
          <w:color w:val="auto"/>
        </w:rPr>
      </w:pPr>
    </w:p>
    <w:p>
      <w:pPr>
        <w:ind w:left="4" w:right="160" w:hanging="4"/>
        <w:spacing w:after="0" w:line="277" w:lineRule="auto"/>
        <w:tabs>
          <w:tab w:leader="none" w:pos="3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70" w:lineRule="exact"/>
        <w:rPr>
          <w:rFonts w:ascii="Arial" w:cs="Arial" w:eastAsia="Arial" w:hAnsi="Arial"/>
          <w:sz w:val="18"/>
          <w:szCs w:val="18"/>
          <w:color w:val="auto"/>
        </w:rPr>
      </w:pPr>
    </w:p>
    <w:p>
      <w:pPr>
        <w:ind w:left="4" w:hanging="4"/>
        <w:spacing w:after="0" w:line="270" w:lineRule="auto"/>
        <w:tabs>
          <w:tab w:leader="none" w:pos="35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shall mean the shares of Common Stock and any Common Stock issued or issuable upon the exercise or conversion of any other securities (whether equity, debt or otherwise) of the Company now owned or hereafter acquired by any of the Investors. Registrable Securities held by any of the Investors shall cease to be Registrable Securities of the Investors upon the earliest to occur of the following events: (i) such Registrable Securities have been sold pursuant to an effective Registration Statement; (ii) such Registrable Securities have been sold by the Investors pursuant to Rule 144 (or other similar rule), (iii) such Registrable Securities may be resold by the Investor holding such Registrable Securities without limitations as to volume or manner of sale pursuant to Rule 144; or (iv) ten (10) years after the date of this Agreement. For purposes of this definition, in order to determine whether an Investor is an “affiliate” (as such term is defined and used in Rule 144, and including for determining whether volume or manner of sale limitations of Rule 144 apply) the parties will assume that all convertible securities (whether equity, debt or otherwise) have been converted into Common Stock without regard to any limitations on conversion applicable thereto.</w:t>
      </w:r>
    </w:p>
    <w:p>
      <w:pPr>
        <w:spacing w:after="0" w:line="180" w:lineRule="exact"/>
        <w:rPr>
          <w:rFonts w:ascii="Arial" w:cs="Arial" w:eastAsia="Arial" w:hAnsi="Arial"/>
          <w:sz w:val="17"/>
          <w:szCs w:val="17"/>
          <w:color w:val="auto"/>
        </w:rPr>
      </w:pPr>
    </w:p>
    <w:p>
      <w:pPr>
        <w:ind w:left="4" w:right="600" w:hanging="4"/>
        <w:spacing w:after="0" w:line="277" w:lineRule="auto"/>
        <w:tabs>
          <w:tab w:leader="none" w:pos="39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shall refer to a registration effected by preparing and filing a Registration Statement in compliance with the Securities Act, and such Registration Statement becoming effective under the Securities Act.</w:t>
      </w:r>
    </w:p>
    <w:p>
      <w:pPr>
        <w:spacing w:after="0" w:line="170" w:lineRule="exact"/>
        <w:rPr>
          <w:rFonts w:ascii="Arial" w:cs="Arial" w:eastAsia="Arial" w:hAnsi="Arial"/>
          <w:sz w:val="18"/>
          <w:szCs w:val="18"/>
          <w:color w:val="auto"/>
        </w:rPr>
      </w:pPr>
    </w:p>
    <w:p>
      <w:pPr>
        <w:ind w:left="4" w:right="60" w:hanging="4"/>
        <w:spacing w:after="0" w:line="272" w:lineRule="auto"/>
        <w:tabs>
          <w:tab w:leader="none" w:pos="35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shall mean all expenses incurred by the Company in effecting any registration pursuant to this Agreement, including, without limitation, all registration, qualification, and filing fees, printing expenses, escrow fees, fees and disbursements of counsel for the Company, up to $50,000 of reasonable legal expenses of one special counsel for Investors (if different from the Company’s counsel and if such counsel is reasonably approved by the Company) in connection with the preparation and filing of the Resale Registration Shelf, and up to $50,000 of reasonable legal expenses of one special counsel for Investors (if different from the Company’s counsel and if such counsel is reasonably approved by the Company) per underwritten public offering, blue sky fees and expenses, and expenses of any regular or special audits incident to or required by any such registration, but shall not include Selling Expenses.</w:t>
      </w:r>
    </w:p>
    <w:p>
      <w:pPr>
        <w:spacing w:after="0" w:line="177" w:lineRule="exact"/>
        <w:rPr>
          <w:rFonts w:ascii="Arial" w:cs="Arial" w:eastAsia="Arial" w:hAnsi="Arial"/>
          <w:sz w:val="17"/>
          <w:szCs w:val="17"/>
          <w:color w:val="auto"/>
        </w:rPr>
      </w:pPr>
    </w:p>
    <w:p>
      <w:pPr>
        <w:ind w:left="4" w:right="60" w:hanging="4"/>
        <w:spacing w:after="0" w:line="301" w:lineRule="auto"/>
        <w:tabs>
          <w:tab w:leader="none" w:pos="44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of the Company filed with, or to be filed with, the Commission under the Securities Act,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other than a registration statement (and related prospectus) filed on Form S-4 or Form S-8 or any successor forms thereto.</w:t>
      </w:r>
    </w:p>
    <w:p>
      <w:pPr>
        <w:spacing w:after="0" w:line="157" w:lineRule="exact"/>
        <w:rPr>
          <w:rFonts w:ascii="Arial" w:cs="Arial" w:eastAsia="Arial" w:hAnsi="Arial"/>
          <w:sz w:val="16"/>
          <w:szCs w:val="16"/>
          <w:color w:val="auto"/>
        </w:rPr>
      </w:pPr>
    </w:p>
    <w:p>
      <w:pPr>
        <w:ind w:left="4" w:right="160" w:hanging="4"/>
        <w:spacing w:after="0" w:line="277" w:lineRule="auto"/>
        <w:tabs>
          <w:tab w:leader="none" w:pos="39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as promulgated by the Commission under the Securities Act, as such rule may be amended from time to time, or any similar successor rule that may be promulgated by the Commission.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48" w:name="page249"/>
    <w:bookmarkEnd w:id="24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760" w:hanging="4"/>
        <w:spacing w:after="0" w:line="277" w:lineRule="auto"/>
        <w:tabs>
          <w:tab w:leader="none" w:pos="39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or any similar successor federal statute and the rules and regulations thereunder, all as the same shall be in effect from time to time.</w:t>
      </w:r>
    </w:p>
    <w:p>
      <w:pPr>
        <w:spacing w:after="0" w:line="170" w:lineRule="exact"/>
        <w:rPr>
          <w:rFonts w:ascii="Arial" w:cs="Arial" w:eastAsia="Arial" w:hAnsi="Arial"/>
          <w:sz w:val="18"/>
          <w:szCs w:val="18"/>
          <w:color w:val="auto"/>
        </w:rPr>
      </w:pPr>
    </w:p>
    <w:p>
      <w:pPr>
        <w:ind w:left="4" w:right="160" w:hanging="4"/>
        <w:spacing w:after="0" w:line="263" w:lineRule="auto"/>
        <w:tabs>
          <w:tab w:leader="none" w:pos="39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Expenses</w:t>
      </w:r>
      <w:r>
        <w:rPr>
          <w:rFonts w:ascii="Arial" w:cs="Arial" w:eastAsia="Arial" w:hAnsi="Arial"/>
          <w:sz w:val="18"/>
          <w:szCs w:val="18"/>
          <w:color w:val="auto"/>
        </w:rPr>
        <w:t>” shall mean all underwriting discounts and selling commissions applicable to the sale of Registrable Securities, the fees and expenses of any legal counsel (except as provided in the definition of “Registration Expenses”) and any other advisors any of the Investors engage and all similar fees and commissions relating to the Investors’ disposition of the Registrable Securities.</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Resale Registration Rights</w:t>
      </w:r>
    </w:p>
    <w:p>
      <w:pPr>
        <w:spacing w:after="0" w:line="211"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Resale Registration Rights</w:t>
      </w:r>
      <w:r>
        <w:rPr>
          <w:rFonts w:ascii="Arial" w:cs="Arial" w:eastAsia="Arial" w:hAnsi="Arial"/>
          <w:sz w:val="16"/>
          <w:szCs w:val="16"/>
          <w:color w:val="auto"/>
        </w:rPr>
        <w:t>.</w:t>
      </w:r>
    </w:p>
    <w:p>
      <w:pPr>
        <w:spacing w:after="0" w:line="117" w:lineRule="exact"/>
        <w:rPr>
          <w:sz w:val="20"/>
          <w:szCs w:val="20"/>
          <w:color w:val="auto"/>
        </w:rPr>
      </w:pPr>
    </w:p>
    <w:p>
      <w:pPr>
        <w:ind w:left="4" w:hanging="4"/>
        <w:spacing w:after="0" w:line="270" w:lineRule="auto"/>
        <w:tabs>
          <w:tab w:leader="none" w:pos="38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Following demand by any Investor, the Company shall file with the Commission a Registration Statement on Form S-3 (except if the Company is not then eligible to register for resale the Registrable Securities on Form S-3, in which case such registration shall be on another appropriate form in accordance with the Securities Act) covering the resale of the Registrable Securities by the Investors (the “</w:t>
      </w:r>
      <w:r>
        <w:rPr>
          <w:rFonts w:ascii="Arial" w:cs="Arial" w:eastAsia="Arial" w:hAnsi="Arial"/>
          <w:sz w:val="17"/>
          <w:szCs w:val="17"/>
          <w:u w:val="single" w:color="auto"/>
          <w:color w:val="auto"/>
        </w:rPr>
        <w:t>Resale Registration Shelf</w:t>
      </w:r>
      <w:r>
        <w:rPr>
          <w:rFonts w:ascii="Arial" w:cs="Arial" w:eastAsia="Arial" w:hAnsi="Arial"/>
          <w:sz w:val="17"/>
          <w:szCs w:val="17"/>
          <w:color w:val="auto"/>
        </w:rPr>
        <w:t xml:space="preserve">”), and the Company shall file such Resale Registration Shelf as promptly as reasonably practicable following such demand, and in any event within sixty (60) days of such demand. Such Resale Registration Shelf shall include a “final” prospectus, including the information required by Item 507 of Regulation S-K of the Securities Act, as provided by the Investors in accordance with Section 2.7. Notwithstanding the foregoing, before filing the Resale Registration Shelf, the Company shall furnish to the Investors a copy of the Resale Registration Shelf and afford the Investors an opportunity to review and comment on the Resale Registration Shelf. The Company’s obligation pursuant to this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is conditioned upon the Investors providing the information contemplated in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4" w:right="120" w:hanging="4"/>
        <w:spacing w:after="0" w:line="286" w:lineRule="auto"/>
        <w:tabs>
          <w:tab w:leader="none" w:pos="39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shall use its reasonable best efforts to cause the Resale Registration Shelf and related prospectuses to become effective as promptly as practicable after filing. The Company shall use its reasonable best efforts to cause such Registration Statement to remain effective under the Securities Act until the earlier of the date (i) all Registrable Securities covered by the Resale Registration Shelf have been sold or (ii) all Registrable Securities covered by the Resale Registration Shelf otherwise cease to be Registrable Securities. The Company shall promptly, and within two</w:t>
      </w:r>
    </w:p>
    <w:p>
      <w:pPr>
        <w:spacing w:after="0" w:line="1" w:lineRule="exact"/>
        <w:rPr>
          <w:rFonts w:ascii="Arial" w:cs="Arial" w:eastAsia="Arial" w:hAnsi="Arial"/>
          <w:sz w:val="16"/>
          <w:szCs w:val="16"/>
          <w:color w:val="auto"/>
        </w:rPr>
      </w:pPr>
    </w:p>
    <w:p>
      <w:pPr>
        <w:ind w:left="4" w:right="840"/>
        <w:spacing w:after="0" w:line="260" w:lineRule="auto"/>
        <w:rPr>
          <w:rFonts w:ascii="Arial" w:cs="Arial" w:eastAsia="Arial" w:hAnsi="Arial"/>
          <w:sz w:val="16"/>
          <w:szCs w:val="16"/>
          <w:color w:val="auto"/>
        </w:rPr>
      </w:pPr>
      <w:r>
        <w:rPr>
          <w:rFonts w:ascii="Arial" w:cs="Arial" w:eastAsia="Arial" w:hAnsi="Arial"/>
          <w:sz w:val="18"/>
          <w:szCs w:val="18"/>
          <w:color w:val="auto"/>
        </w:rPr>
        <w:t>(2) business days after the Company confirms effectiveness of the Resale Registration Shelf with the Commission, notify the Investors of the effectiveness of the Resale Registration Shelf.</w:t>
      </w:r>
    </w:p>
    <w:p>
      <w:pPr>
        <w:spacing w:after="0" w:line="185" w:lineRule="exact"/>
        <w:rPr>
          <w:rFonts w:ascii="Arial" w:cs="Arial" w:eastAsia="Arial" w:hAnsi="Arial"/>
          <w:sz w:val="16"/>
          <w:szCs w:val="16"/>
          <w:color w:val="auto"/>
        </w:rPr>
      </w:pPr>
    </w:p>
    <w:p>
      <w:pPr>
        <w:ind w:left="4" w:right="780" w:hanging="4"/>
        <w:spacing w:after="0" w:line="277" w:lineRule="auto"/>
        <w:tabs>
          <w:tab w:leader="none" w:pos="38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herein to the contrary, the Company shall not be obligated to effect, or to take any action to effect, a registration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70" w:lineRule="exact"/>
        <w:rPr>
          <w:sz w:val="20"/>
          <w:szCs w:val="20"/>
          <w:color w:val="auto"/>
        </w:rPr>
      </w:pPr>
    </w:p>
    <w:p>
      <w:pPr>
        <w:ind w:left="4" w:right="420" w:hanging="4"/>
        <w:spacing w:after="0" w:line="277" w:lineRule="auto"/>
        <w:tabs>
          <w:tab w:leader="none" w:pos="35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Company has and maintains an effective Registration Statement on Form S-3ASR that provides for the resale of an unlimited number of securities by selling stockholders (a “</w:t>
      </w:r>
      <w:r>
        <w:rPr>
          <w:rFonts w:ascii="Arial" w:cs="Arial" w:eastAsia="Arial" w:hAnsi="Arial"/>
          <w:sz w:val="18"/>
          <w:szCs w:val="18"/>
          <w:u w:val="single" w:color="auto"/>
          <w:color w:val="auto"/>
        </w:rPr>
        <w:t>Company Registration Shelf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04" w:hanging="404"/>
        <w:spacing w:after="0"/>
        <w:tabs>
          <w:tab w:leader="none" w:pos="40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during the period forty-five (45) days prior to the Company’s good faith estimate of the date of filing of a Company Registration Shelf; or</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249" w:name="page250"/>
    <w:bookmarkEnd w:id="24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280" w:hanging="4"/>
        <w:spacing w:after="0" w:line="308" w:lineRule="auto"/>
        <w:tabs>
          <w:tab w:leader="none" w:pos="45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if the Company has caused a Registration Statement to become effective (A)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(B) Section 2.1 of any of the Other RRAs (and complied with its obligations under </w:t>
      </w:r>
      <w:r>
        <w:rPr>
          <w:rFonts w:ascii="Arial" w:cs="Arial" w:eastAsia="Arial" w:hAnsi="Arial"/>
          <w:sz w:val="17"/>
          <w:szCs w:val="17"/>
          <w:u w:val="single" w:color="auto"/>
          <w:color w:val="auto"/>
        </w:rPr>
        <w:t>Section 2.1(f)</w:t>
      </w:r>
      <w:r>
        <w:rPr>
          <w:rFonts w:ascii="Arial" w:cs="Arial" w:eastAsia="Arial" w:hAnsi="Arial"/>
          <w:sz w:val="17"/>
          <w:szCs w:val="17"/>
          <w:color w:val="auto"/>
        </w:rPr>
        <w:t>, below, in connection therewith) during the prior twelve (12) month period.</w:t>
      </w:r>
    </w:p>
    <w:p>
      <w:pPr>
        <w:spacing w:after="0" w:line="146" w:lineRule="exact"/>
        <w:rPr>
          <w:sz w:val="20"/>
          <w:szCs w:val="20"/>
          <w:color w:val="auto"/>
        </w:rPr>
      </w:pPr>
    </w:p>
    <w:p>
      <w:pPr>
        <w:ind w:left="4" w:right="40" w:hanging="4"/>
        <w:spacing w:after="0" w:line="290" w:lineRule="auto"/>
        <w:tabs>
          <w:tab w:leader="none" w:pos="39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If the Company has a Company Registration Shelf in place at any time in which the Investors make a demand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the Company shall file with the Commission, as promptly as practicable, and in any event within fifteen (15) business days after such demand, a “final” prospectus supplement to its Company Registration Shelf covering the resale of the Registrable Securities by the Investors (the “</w:t>
      </w:r>
      <w:r>
        <w:rPr>
          <w:rFonts w:ascii="Arial" w:cs="Arial" w:eastAsia="Arial" w:hAnsi="Arial"/>
          <w:sz w:val="16"/>
          <w:szCs w:val="16"/>
          <w:u w:val="single" w:color="auto"/>
          <w:color w:val="auto"/>
        </w:rPr>
        <w:t>Prospectus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file more than one Prospectus pursuant to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in any six month period to add additional Registrable Securities to the Company Registration Shelf that were acquired by the Investors other than directly from the Company or in an underwritten public offering by the Company. The Prospectus shall include the information required under Item 507 of Regulation S-K of the Securities Act, which information shall be provided by the Investors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 Notwithstanding the foregoing, before filing the Prospectus, the Company shall furnish to the Investors a copy of the Prospectus and afford the Investors an opportunity to review and comment on the Prospectus.</w:t>
      </w:r>
    </w:p>
    <w:p>
      <w:pPr>
        <w:spacing w:after="0" w:line="165" w:lineRule="exact"/>
        <w:rPr>
          <w:rFonts w:ascii="Arial" w:cs="Arial" w:eastAsia="Arial" w:hAnsi="Arial"/>
          <w:sz w:val="16"/>
          <w:szCs w:val="16"/>
          <w:color w:val="auto"/>
        </w:rPr>
      </w:pPr>
    </w:p>
    <w:p>
      <w:pPr>
        <w:ind w:left="4" w:hanging="4"/>
        <w:spacing w:after="0" w:line="267" w:lineRule="auto"/>
        <w:tabs>
          <w:tab w:leader="none" w:pos="383"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Deferral and Suspension</w:t>
      </w:r>
      <w:r>
        <w:rPr>
          <w:rFonts w:ascii="Arial" w:cs="Arial" w:eastAsia="Arial" w:hAnsi="Arial"/>
          <w:sz w:val="17"/>
          <w:szCs w:val="17"/>
          <w:color w:val="auto"/>
        </w:rPr>
        <w:t xml:space="preserve">. At any time after being obligated to file a Resale Registration Shelf or Prospectus, or after any Resale Registration Shelf has become effective or a Prospectus is filed with the Commission (in each case, including pursuant to an Other RRA), the Company may defer the filing of or suspend the use of any such Resale Registration Shelf or Prospectus, upon giving written notice of such action to the Investors with a certificate signed by the Principal Executive Officer of the Company stating that in the good faith judgment of the Board, the filing or use of any such Resale Registration Shelf or Prospectus covering the Registrable Securities would be seriously detrimental to the Company or its stockholders at such time and that the Board concludes, as a result, that it is in the best interests of the Company and its stockholders to defer the filing or suspend the use of such Resale Registration Shelf or Prospectus at such time. The Company shall have the right to defer the filing of or suspend the use of such Resale Registration Shelf or Prospectus for a period of not more than one hundred twenty (120) days from the date the Company notifies the Investors of such deferral or suspension;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exercise the right contained in this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more than once in any twelve month period. In the case of the suspension of use of any effective Resale Registration Shelf or Prospectus, the Investors, immediately upon receipt of notice thereof from the Company, shall discontinue any offers or sales of Registrable Securities pursuant to such Resale Registration Shelf or Prospectus until advised in writing by the Company that the use of such Resale Registration Shelf or Prospectus may be resumed. In the case of a deferred Prospectus or Resale Registration Shelf filing, the Company shall provide prompt written notice to the Investors of (i) the Company’s decision to file or seek effectiveness of the Prospectus or Resale Registration Shelf, as the case may be, following such deferral and (ii) in the case of a Resale Registration Shelf, the effectiveness of such Resale Registration Shelf. In the case of either a suspension of use of, or deferred filing of, any Resale Registration Shelf or Prospectus, the Company shall not, during the pendency of such suspension or deferral, be required to take any action hereunder (including any action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with respect to the registration or sale of any Registrable Securities pursuant to any such Resale Registration Shelf, Company Registration Shelf or Prospectus.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250" w:name="page251"/>
    <w:bookmarkEnd w:id="25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hanging="4"/>
        <w:spacing w:after="0" w:line="296" w:lineRule="auto"/>
        <w:tabs>
          <w:tab w:leader="none" w:pos="364"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The Company must provide the Investors with ten (10) days’ notice before filing any Resale Registration Shelf or Prospectus pursuant to a request by the Other Investors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of the Other RRAs, and, upon the Investors’ written request, include the Investors as one or more selling stockholders in such Resale Registration Shelf or Prospectus. </w:t>
      </w:r>
      <w:r>
        <w:rPr>
          <w:rFonts w:ascii="Arial" w:cs="Arial" w:eastAsia="Arial" w:hAnsi="Arial"/>
          <w:sz w:val="16"/>
          <w:szCs w:val="16"/>
          <w:u w:val="single" w:color="auto"/>
          <w:color w:val="auto"/>
        </w:rPr>
        <w:t>Section 2.1(g)</w:t>
      </w:r>
      <w:r>
        <w:rPr>
          <w:rFonts w:ascii="Arial" w:cs="Arial" w:eastAsia="Arial" w:hAnsi="Arial"/>
          <w:sz w:val="16"/>
          <w:szCs w:val="16"/>
          <w:color w:val="auto"/>
        </w:rPr>
        <w:t xml:space="preserve"> of the Other RRAs notwithstanding, the securities of the Investors and the Other Investors will be excluded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from such Registration Statement if any such exclusion is deemed necessary in order to comply with any applicable laws or request from the Commission, Nasdaq or any applicable listing agency.</w:t>
      </w:r>
    </w:p>
    <w:p>
      <w:pPr>
        <w:spacing w:after="0" w:line="161" w:lineRule="exact"/>
        <w:rPr>
          <w:rFonts w:ascii="Arial" w:cs="Arial" w:eastAsia="Arial" w:hAnsi="Arial"/>
          <w:sz w:val="16"/>
          <w:szCs w:val="16"/>
          <w:color w:val="auto"/>
        </w:rPr>
      </w:pPr>
    </w:p>
    <w:p>
      <w:pPr>
        <w:ind w:left="4" w:right="140" w:hanging="4"/>
        <w:spacing w:after="0" w:line="296" w:lineRule="auto"/>
        <w:tabs>
          <w:tab w:leader="none" w:pos="394"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Other Securities</w:t>
      </w:r>
      <w:r>
        <w:rPr>
          <w:rFonts w:ascii="Arial" w:cs="Arial" w:eastAsia="Arial" w:hAnsi="Arial"/>
          <w:sz w:val="16"/>
          <w:szCs w:val="16"/>
          <w:color w:val="auto"/>
        </w:rPr>
        <w:t xml:space="preserve">. Any Resale Registration Shelf or Prospectus may include Other Investors’ Registrable Securities, Other Securities, and may include securities of the Company being sold for the account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 such Other Investors’ Registrable Securities are treated in a manner consistent with Section 2.1(f) of the Other RRAs) and (ii) such Other Securities are excluded first from such Registration Statement in order to comply with any applicable laws or request from the Commission, Nasdaq or any applicable listing agency. For the avoidance of doubt, no Other Securities may be included in an underwritten offering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without the consent of the Investors except as expressly set forth herein.</w:t>
      </w:r>
    </w:p>
    <w:p>
      <w:pPr>
        <w:spacing w:after="0" w:line="269"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Sales and Underwritten Offerings of the Registrable Securities</w:t>
      </w:r>
      <w:r>
        <w:rPr>
          <w:rFonts w:ascii="Arial" w:cs="Arial" w:eastAsia="Arial" w:hAnsi="Arial"/>
          <w:sz w:val="16"/>
          <w:szCs w:val="16"/>
          <w:color w:val="auto"/>
        </w:rPr>
        <w:t>.</w:t>
      </w:r>
    </w:p>
    <w:p>
      <w:pPr>
        <w:spacing w:after="0" w:line="117" w:lineRule="exact"/>
        <w:rPr>
          <w:sz w:val="20"/>
          <w:szCs w:val="20"/>
          <w:color w:val="auto"/>
        </w:rPr>
      </w:pPr>
    </w:p>
    <w:p>
      <w:pPr>
        <w:ind w:left="4" w:right="120" w:hanging="4"/>
        <w:spacing w:after="0" w:line="259" w:lineRule="auto"/>
        <w:tabs>
          <w:tab w:leader="none" w:pos="38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Notwithstanding any provision contained herein to the contrary, the Investors, collectively, shall and subject to the limitations set forth in this </w:t>
      </w:r>
      <w:r>
        <w:rPr>
          <w:rFonts w:ascii="Arial" w:cs="Arial" w:eastAsia="Arial" w:hAnsi="Arial"/>
          <w:sz w:val="18"/>
          <w:szCs w:val="18"/>
          <w:u w:val="single" w:color="auto"/>
          <w:color w:val="auto"/>
        </w:rPr>
        <w:t>Section 2.2</w:t>
      </w:r>
      <w:r>
        <w:rPr>
          <w:rFonts w:ascii="Arial" w:cs="Arial" w:eastAsia="Arial" w:hAnsi="Arial"/>
          <w:sz w:val="18"/>
          <w:szCs w:val="18"/>
          <w:color w:val="auto"/>
        </w:rPr>
        <w:t>, be entitled to demand up to two underwritten public offerings to effect the sale or distribution of Registrable Securities during the term of this Agreement; provided that the Investors and the Other Investors shall be entitled to not more than an aggregate of two underwritten public offerings per calendar year pursuant to this Section 2.2 or Section 2.2 of the Other RRAs.</w:t>
      </w:r>
    </w:p>
    <w:p>
      <w:pPr>
        <w:spacing w:after="0" w:line="186" w:lineRule="exact"/>
        <w:rPr>
          <w:rFonts w:ascii="Arial" w:cs="Arial" w:eastAsia="Arial" w:hAnsi="Arial"/>
          <w:sz w:val="18"/>
          <w:szCs w:val="18"/>
          <w:color w:val="auto"/>
        </w:rPr>
      </w:pPr>
    </w:p>
    <w:p>
      <w:pPr>
        <w:ind w:left="4" w:right="20" w:hanging="4"/>
        <w:spacing w:after="0" w:line="259" w:lineRule="auto"/>
        <w:tabs>
          <w:tab w:leader="none" w:pos="39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Investors intend to effect an underwritten public offering pursuant to a Resale Registration Shelf or Company Registration Shelf to sell or otherwise distribute Registrable Securities, they shall so advise the Company and provide as much notice to the Company as reasonably practicable (and in any event not less than fifteen (15) business days prior to the Investors’ request that the Company file a prospectus supplement to a Resale Registration Shelf or Company Registration Shelf).</w:t>
      </w:r>
    </w:p>
    <w:p>
      <w:pPr>
        <w:spacing w:after="0" w:line="186" w:lineRule="exact"/>
        <w:rPr>
          <w:rFonts w:ascii="Arial" w:cs="Arial" w:eastAsia="Arial" w:hAnsi="Arial"/>
          <w:sz w:val="18"/>
          <w:szCs w:val="18"/>
          <w:color w:val="auto"/>
        </w:rPr>
      </w:pPr>
    </w:p>
    <w:p>
      <w:pPr>
        <w:ind w:left="4" w:right="40" w:hanging="4"/>
        <w:spacing w:after="0" w:line="263" w:lineRule="auto"/>
        <w:tabs>
          <w:tab w:leader="none" w:pos="38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In connection with any offering initiated by the Investors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involving an underwriting of shares of Registrable Securities, the Investors shall be entitled to select the underwriter or underwriters for such offering, subject to the consent of the Company, such consent not to be unreasonably withheld, conditioned or delayed.</w:t>
      </w:r>
    </w:p>
    <w:p>
      <w:pPr>
        <w:spacing w:after="0" w:line="183" w:lineRule="exact"/>
        <w:rPr>
          <w:rFonts w:ascii="Arial" w:cs="Arial" w:eastAsia="Arial" w:hAnsi="Arial"/>
          <w:sz w:val="18"/>
          <w:szCs w:val="18"/>
          <w:color w:val="auto"/>
        </w:rPr>
      </w:pPr>
    </w:p>
    <w:p>
      <w:pPr>
        <w:ind w:left="4" w:hanging="4"/>
        <w:spacing w:after="0" w:line="286" w:lineRule="auto"/>
        <w:tabs>
          <w:tab w:leader="none" w:pos="39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initiated by the Investors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involving an underwriting of shares of Registrable Securities, the Company shall not be required to include any of the Registrable Securities in such underwriting unless the Investors (i) enter into an underwriting agreement in customary form with the underwriter or underwriters, (ii) accept customary terms in such underwriting agreement with regard to representations and warranties relating to ownership of the Registrable Securities and authority and power to enter into such underwriting agreement and</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complete and execute all questionnaires, powers of attorney, custody agreements, indemnities and other documents as may be requested by such</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251" w:name="page252"/>
    <w:bookmarkEnd w:id="25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underwriter or underwriters. Further, the Company shall not be required to include any of the Registrable Securities in such underwriting if (Y) the underwriting agreement proposed by the underwriter or underwriters contains representations, warranties or conditions that are not reasonable in light of the Company’s then-current business or (Z) the underwriter, underwriters or the Investors require the Company to participate in any marketing, road show or comparable activity that may be required to complete the orderly sale of shares by the underwriter or underwriters.</w:t>
      </w:r>
    </w:p>
    <w:p>
      <w:pPr>
        <w:spacing w:after="0" w:line="171" w:lineRule="exact"/>
        <w:rPr>
          <w:sz w:val="20"/>
          <w:szCs w:val="20"/>
          <w:color w:val="auto"/>
        </w:rPr>
      </w:pPr>
    </w:p>
    <w:p>
      <w:pPr>
        <w:ind w:left="4" w:right="60" w:hanging="4"/>
        <w:spacing w:after="0" w:line="286" w:lineRule="auto"/>
        <w:tabs>
          <w:tab w:leader="none" w:pos="38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below, the Company must provide the Investors with not less than ten (10) business days’ notice before effecting an underwritten public offering of Other Investors’ Registrable Securities (including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 Other RRAs) and Other Securities, and, upon the Investor’s written request, include the Registrable Securities requested by Investor in such underwritten public offering.</w:t>
      </w:r>
    </w:p>
    <w:p>
      <w:pPr>
        <w:spacing w:after="0" w:line="165" w:lineRule="exact"/>
        <w:rPr>
          <w:rFonts w:ascii="Arial" w:cs="Arial" w:eastAsia="Arial" w:hAnsi="Arial"/>
          <w:sz w:val="17"/>
          <w:szCs w:val="17"/>
          <w:color w:val="auto"/>
        </w:rPr>
      </w:pPr>
    </w:p>
    <w:p>
      <w:pPr>
        <w:ind w:left="4" w:right="60" w:hanging="4"/>
        <w:spacing w:after="0" w:line="288" w:lineRule="auto"/>
        <w:tabs>
          <w:tab w:leader="none" w:pos="36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If the total amount of securities to be sold in any underwritten public offering initiated by the Investors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or any underwritten public offering initiated by the Other Investors pursuant to their registration rights, exceeds the amount that the underwriters determine in their sole discretion is compatible with the success of the offering, then the Company shall be required to include in the offering only that number of such securities, including Registrable Securities (subject in each case to the cutback provisions set forth in this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that the underwriters and the Company determine in their sole discretion shall not jeopardize the success of the offering. If the underwritten public offering has been requested pursuant to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of this Agreement or the Other RRAs, the number of shares that are entitled to be included in the registration and underwriting shall be allocated in the following manner: (a)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shares of Company equity securities that the Company desires to include in such registration shall be excluded and (b)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Registrable Securities requested to be included in such registration by the Investors and the Other Investors shall be excluded, </w:t>
      </w:r>
      <w:r>
        <w:rPr>
          <w:rFonts w:ascii="Arial" w:cs="Arial" w:eastAsia="Arial" w:hAnsi="Arial"/>
          <w:sz w:val="16"/>
          <w:szCs w:val="16"/>
          <w:i w:val="1"/>
          <w:iCs w:val="1"/>
          <w:color w:val="auto"/>
        </w:rPr>
        <w:t>pro rata</w:t>
      </w:r>
      <w:r>
        <w:rPr>
          <w:rFonts w:ascii="Arial" w:cs="Arial" w:eastAsia="Arial" w:hAnsi="Arial"/>
          <w:sz w:val="16"/>
          <w:szCs w:val="16"/>
          <w:color w:val="auto"/>
        </w:rPr>
        <w:t>. To facilitate the allocation of shares in accordance with the above provisions, the Company or the underwriters may round down the number of shares allocated to any of the Investors or the Other Investors to the nearest 100 shares.</w:t>
      </w:r>
    </w:p>
    <w:p>
      <w:pPr>
        <w:spacing w:after="0" w:line="168" w:lineRule="exact"/>
        <w:rPr>
          <w:sz w:val="20"/>
          <w:szCs w:val="20"/>
          <w:color w:val="auto"/>
        </w:rPr>
      </w:pPr>
    </w:p>
    <w:p>
      <w:pPr>
        <w:ind w:left="4" w:right="720"/>
        <w:spacing w:after="0" w:line="30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Fees and Expenses</w:t>
      </w:r>
      <w:r>
        <w:rPr>
          <w:rFonts w:ascii="Arial" w:cs="Arial" w:eastAsia="Arial" w:hAnsi="Arial"/>
          <w:sz w:val="17"/>
          <w:szCs w:val="17"/>
          <w:color w:val="auto"/>
        </w:rPr>
        <w:t>. All Registration Expenses incurred in connection with registrations pursuant to this Agreement shall be borne by the Company. All Selling Expenses relating to securities registered on behalf of the Investors shall be borne by the Investors.</w:t>
      </w:r>
    </w:p>
    <w:p>
      <w:pPr>
        <w:spacing w:after="0" w:line="146" w:lineRule="exact"/>
        <w:rPr>
          <w:sz w:val="20"/>
          <w:szCs w:val="20"/>
          <w:color w:val="auto"/>
        </w:rPr>
      </w:pPr>
    </w:p>
    <w:p>
      <w:pPr>
        <w:ind w:left="4" w:right="80"/>
        <w:spacing w:after="0" w:line="286"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Registration Procedures</w:t>
      </w:r>
      <w:r>
        <w:rPr>
          <w:rFonts w:ascii="Arial" w:cs="Arial" w:eastAsia="Arial" w:hAnsi="Arial"/>
          <w:sz w:val="17"/>
          <w:szCs w:val="17"/>
          <w:color w:val="auto"/>
        </w:rPr>
        <w:t xml:space="preserve">. In the case of each registration of Registrable Securities effected by the Company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(including, for the avoidance of doubt, </w:t>
      </w:r>
      <w:r>
        <w:rPr>
          <w:rFonts w:ascii="Arial" w:cs="Arial" w:eastAsia="Arial" w:hAnsi="Arial"/>
          <w:sz w:val="17"/>
          <w:szCs w:val="17"/>
          <w:u w:val="single" w:color="auto"/>
          <w:color w:val="auto"/>
        </w:rPr>
        <w:t>Section 2.1(f)</w:t>
      </w:r>
      <w:r>
        <w:rPr>
          <w:rFonts w:ascii="Arial" w:cs="Arial" w:eastAsia="Arial" w:hAnsi="Arial"/>
          <w:sz w:val="17"/>
          <w:szCs w:val="17"/>
          <w:color w:val="auto"/>
        </w:rPr>
        <w:t xml:space="preserve">), the Company shall keep the Investors advised as to the initiation of each such registration and as to the status thereof. The Company shall use its reasonable best efforts, within the limits set forth in this </w:t>
      </w:r>
      <w:r>
        <w:rPr>
          <w:rFonts w:ascii="Arial" w:cs="Arial" w:eastAsia="Arial" w:hAnsi="Arial"/>
          <w:sz w:val="17"/>
          <w:szCs w:val="17"/>
          <w:u w:val="single" w:color="auto"/>
          <w:color w:val="auto"/>
        </w:rPr>
        <w:t>Section 2.4</w:t>
      </w:r>
      <w:r>
        <w:rPr>
          <w:rFonts w:ascii="Arial" w:cs="Arial" w:eastAsia="Arial" w:hAnsi="Arial"/>
          <w:sz w:val="17"/>
          <w:szCs w:val="17"/>
          <w:color w:val="auto"/>
        </w:rPr>
        <w:t>, to:</w:t>
      </w:r>
    </w:p>
    <w:p>
      <w:pPr>
        <w:spacing w:after="0" w:line="165" w:lineRule="exact"/>
        <w:rPr>
          <w:sz w:val="20"/>
          <w:szCs w:val="20"/>
          <w:color w:val="auto"/>
        </w:rPr>
      </w:pPr>
    </w:p>
    <w:p>
      <w:pPr>
        <w:jc w:val="both"/>
        <w:ind w:left="4" w:right="140" w:hanging="4"/>
        <w:spacing w:after="0" w:line="286" w:lineRule="auto"/>
        <w:tabs>
          <w:tab w:leader="none" w:pos="38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prepare and file with the Commission such amendments and supplements to such Registration Statement and the prospectuses used in connection with such Registration Statement as may be necessary to keep such Registration Statement effective and current and comply with the provisions of the Securities Act with respect to the disposition of all securities covered by such Registration Statement;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0" w:right="479" w:bottom="1440" w:gutter="0" w:footer="0" w:header="0"/>
        </w:sectPr>
      </w:pPr>
    </w:p>
    <w:bookmarkStart w:id="252" w:name="page253"/>
    <w:bookmarkEnd w:id="25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340" w:hanging="4"/>
        <w:spacing w:after="0" w:line="342" w:lineRule="auto"/>
        <w:tabs>
          <w:tab w:leader="none" w:pos="39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furnish to the Investors such numbers of copies of a prospectus, including preliminary prospectuses, in conformity with the requirements of the Securities Act, and such other documents as the Investors may reasonably request in order to facilitate the disposition of Registrable Securities;</w:t>
      </w:r>
    </w:p>
    <w:p>
      <w:pPr>
        <w:spacing w:after="0" w:line="123" w:lineRule="exact"/>
        <w:rPr>
          <w:rFonts w:ascii="Arial" w:cs="Arial" w:eastAsia="Arial" w:hAnsi="Arial"/>
          <w:sz w:val="16"/>
          <w:szCs w:val="16"/>
          <w:color w:val="auto"/>
        </w:rPr>
      </w:pPr>
    </w:p>
    <w:p>
      <w:pPr>
        <w:ind w:left="4" w:right="120" w:hanging="4"/>
        <w:spacing w:after="0" w:line="259" w:lineRule="auto"/>
        <w:tabs>
          <w:tab w:leader="none" w:pos="38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use its reasonable best efforts to register and qualify the Registrable Securities covered by such Registration Statement under such other securities or blue sky laws of such jurisdictions in the United States as shall be reasonably requested by the Investors, provided that the Company shall not be required in connection therewith or as a condition thereto to qualify to do business or to file a general consent to service of process in any such states or jurisdictions;</w:t>
      </w:r>
    </w:p>
    <w:p>
      <w:pPr>
        <w:spacing w:after="0" w:line="186" w:lineRule="exact"/>
        <w:rPr>
          <w:rFonts w:ascii="Arial" w:cs="Arial" w:eastAsia="Arial" w:hAnsi="Arial"/>
          <w:sz w:val="18"/>
          <w:szCs w:val="18"/>
          <w:color w:val="auto"/>
        </w:rPr>
      </w:pPr>
    </w:p>
    <w:p>
      <w:pPr>
        <w:ind w:left="4" w:hanging="4"/>
        <w:spacing w:after="0" w:line="263" w:lineRule="auto"/>
        <w:tabs>
          <w:tab w:leader="none" w:pos="39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 the event of any underwritten public offering, and subject to </w:t>
      </w:r>
      <w:r>
        <w:rPr>
          <w:rFonts w:ascii="Arial" w:cs="Arial" w:eastAsia="Arial" w:hAnsi="Arial"/>
          <w:sz w:val="18"/>
          <w:szCs w:val="18"/>
          <w:u w:val="single" w:color="auto"/>
          <w:color w:val="auto"/>
        </w:rPr>
        <w:t>Section 2.2(d),</w:t>
      </w:r>
      <w:r>
        <w:rPr>
          <w:rFonts w:ascii="Arial" w:cs="Arial" w:eastAsia="Arial" w:hAnsi="Arial"/>
          <w:sz w:val="18"/>
          <w:szCs w:val="18"/>
          <w:color w:val="auto"/>
        </w:rPr>
        <w:t xml:space="preserve"> enter into and perform its obligations under an underwriting agreement, in usual and customary form, with the managing underwriter of such offering and take such other usual and customary action as the Investors may reasonably request in order to facilitate the disposition of such Registrable Securities;</w:t>
      </w:r>
    </w:p>
    <w:p>
      <w:pPr>
        <w:spacing w:after="0" w:line="183" w:lineRule="exact"/>
        <w:rPr>
          <w:rFonts w:ascii="Arial" w:cs="Arial" w:eastAsia="Arial" w:hAnsi="Arial"/>
          <w:sz w:val="18"/>
          <w:szCs w:val="18"/>
          <w:color w:val="auto"/>
        </w:rPr>
      </w:pPr>
    </w:p>
    <w:p>
      <w:pPr>
        <w:ind w:left="4" w:right="180" w:hanging="4"/>
        <w:spacing w:after="0" w:line="293" w:lineRule="auto"/>
        <w:tabs>
          <w:tab w:leader="none" w:pos="38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notify the Investors at any time when a prospectus relating to a Registration Statement covering any Registrable Securities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shall use its reasonable best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64" w:lineRule="exact"/>
        <w:rPr>
          <w:rFonts w:ascii="Arial" w:cs="Arial" w:eastAsia="Arial" w:hAnsi="Arial"/>
          <w:sz w:val="16"/>
          <w:szCs w:val="16"/>
          <w:color w:val="auto"/>
        </w:rPr>
      </w:pPr>
    </w:p>
    <w:p>
      <w:pPr>
        <w:ind w:left="4" w:right="380" w:hanging="4"/>
        <w:spacing w:after="0" w:line="277" w:lineRule="auto"/>
        <w:tabs>
          <w:tab w:leader="none" w:pos="3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such Registration Statement and, if required,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left="4" w:right="20" w:hanging="4"/>
        <w:spacing w:after="0" w:line="277" w:lineRule="auto"/>
        <w:tabs>
          <w:tab w:leader="none" w:pos="39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requested by an Investor, use reasonable best efforts to cause the Company’s transfer agent to remove any restrictive legend from any Registrable Securities, within two business days following such request;</w:t>
      </w:r>
    </w:p>
    <w:p>
      <w:pPr>
        <w:spacing w:after="0" w:line="170" w:lineRule="exact"/>
        <w:rPr>
          <w:rFonts w:ascii="Arial" w:cs="Arial" w:eastAsia="Arial" w:hAnsi="Arial"/>
          <w:sz w:val="18"/>
          <w:szCs w:val="18"/>
          <w:color w:val="auto"/>
        </w:rPr>
      </w:pPr>
    </w:p>
    <w:p>
      <w:pPr>
        <w:ind w:left="4" w:right="200" w:hanging="4"/>
        <w:spacing w:after="0" w:line="287" w:lineRule="auto"/>
        <w:tabs>
          <w:tab w:leader="none" w:pos="39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cause to be furnished, at the request of the Investors, on the date that Registrable Securities are delivered to underwriters for sale in connection with an underwritten offering pursuant to this Agreement, (i) an opinion, dated such date, of the counsel representing the Company for the purposes of such registration, in form and substance as is customarily given to underwriters in an underwritten public offering, addressed to the underwriters, and</w:t>
      </w:r>
    </w:p>
    <w:p>
      <w:pPr>
        <w:spacing w:after="0" w:line="2" w:lineRule="exact"/>
        <w:rPr>
          <w:rFonts w:ascii="Arial" w:cs="Arial" w:eastAsia="Arial" w:hAnsi="Arial"/>
          <w:sz w:val="16"/>
          <w:szCs w:val="16"/>
          <w:color w:val="auto"/>
        </w:rPr>
      </w:pPr>
    </w:p>
    <w:p>
      <w:pPr>
        <w:ind w:left="4" w:right="260" w:hanging="4"/>
        <w:spacing w:after="0" w:line="260" w:lineRule="auto"/>
        <w:tabs>
          <w:tab w:leader="none" w:pos="26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letter or letters from the independent certified public accountants of the Company, in form and substance as is customarily given by independent certified public accountants to underwriters in an underwritten public offering, addressed to the underwriters; and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0" w:right="439" w:bottom="1440" w:gutter="0" w:footer="0" w:header="0"/>
        </w:sectPr>
      </w:pPr>
    </w:p>
    <w:bookmarkStart w:id="253" w:name="page254"/>
    <w:bookmarkEnd w:id="253"/>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240" w:hanging="4"/>
        <w:spacing w:after="0" w:line="277" w:lineRule="auto"/>
        <w:tabs>
          <w:tab w:leader="none" w:pos="35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cause all such Registrable Securities included in a Registration Statement pursuant to this Agreement to be listed on each securities exchange or other securities trading markets on which Common Stock is then listed.</w:t>
      </w:r>
    </w:p>
    <w:p>
      <w:pPr>
        <w:spacing w:after="0" w:line="278"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The Investors Obligations</w:t>
      </w:r>
      <w:r>
        <w:rPr>
          <w:rFonts w:ascii="Arial" w:cs="Arial" w:eastAsia="Arial" w:hAnsi="Arial"/>
          <w:sz w:val="16"/>
          <w:szCs w:val="16"/>
          <w:color w:val="auto"/>
        </w:rPr>
        <w:t>.</w:t>
      </w:r>
    </w:p>
    <w:p>
      <w:pPr>
        <w:spacing w:after="0" w:line="117" w:lineRule="exact"/>
        <w:rPr>
          <w:sz w:val="20"/>
          <w:szCs w:val="20"/>
          <w:color w:val="auto"/>
        </w:rPr>
      </w:pPr>
    </w:p>
    <w:p>
      <w:pPr>
        <w:ind w:left="4" w:right="80" w:hanging="4"/>
        <w:spacing w:after="0" w:line="296" w:lineRule="auto"/>
        <w:tabs>
          <w:tab w:leader="none" w:pos="383"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Discontinuance of Distribution</w:t>
      </w:r>
      <w:r>
        <w:rPr>
          <w:rFonts w:ascii="Arial" w:cs="Arial" w:eastAsia="Arial" w:hAnsi="Arial"/>
          <w:sz w:val="16"/>
          <w:szCs w:val="16"/>
          <w:color w:val="auto"/>
        </w:rPr>
        <w:t xml:space="preserve">. The Investors agree that, upon receipt of any notice from the Company of the occurrence of any event of the kind described in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hereof, the Investors shall immediately discontinue disposition of Registrable Securities pursuant to any Registration Statement covering such Registrable Securities until the Investors’ receipt of the copies of the supplemented or amended prospectus contemplated by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hereof or receipt of notice that no supplement or amendment is required and that the Investors’ disposition of the Registrable Securities may be resumed. The Company may provide appropriate stop orders to enforce the provisions of this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4" w:right="200" w:hanging="4"/>
        <w:spacing w:after="0" w:line="263" w:lineRule="auto"/>
        <w:tabs>
          <w:tab w:leader="none" w:pos="39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Compliance with Prospectus Delivery Requirements</w:t>
      </w:r>
      <w:r>
        <w:rPr>
          <w:rFonts w:ascii="Arial" w:cs="Arial" w:eastAsia="Arial" w:hAnsi="Arial"/>
          <w:sz w:val="18"/>
          <w:szCs w:val="18"/>
          <w:color w:val="auto"/>
        </w:rPr>
        <w:t>. The Investors covenant and agree that they shall comply with the prospectus delivery requirements of the Securities Act as applicable to them or an exemption therefrom in connection with sales of Registrable Securities pursuant to any Registration Statement filed by the Company pursuant to this Agreement.</w:t>
      </w:r>
    </w:p>
    <w:p>
      <w:pPr>
        <w:spacing w:after="0" w:line="183" w:lineRule="exact"/>
        <w:rPr>
          <w:rFonts w:ascii="Arial" w:cs="Arial" w:eastAsia="Arial" w:hAnsi="Arial"/>
          <w:sz w:val="18"/>
          <w:szCs w:val="18"/>
          <w:color w:val="auto"/>
        </w:rPr>
      </w:pPr>
    </w:p>
    <w:p>
      <w:pPr>
        <w:ind w:left="4" w:right="620" w:hanging="4"/>
        <w:spacing w:after="0" w:line="263" w:lineRule="auto"/>
        <w:tabs>
          <w:tab w:leader="none" w:pos="383"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Notification of Sale of Registrable Securities</w:t>
      </w:r>
      <w:r>
        <w:rPr>
          <w:rFonts w:ascii="Arial" w:cs="Arial" w:eastAsia="Arial" w:hAnsi="Arial"/>
          <w:sz w:val="18"/>
          <w:szCs w:val="18"/>
          <w:color w:val="auto"/>
        </w:rPr>
        <w:t>. The Investors covenant and agree that they shall notify the Company following the sale of Registrable Securities to a third party as promptly as reasonably practicable, and in any event within thirty (30) days, following the sale of such Registrable Securities.</w:t>
      </w:r>
    </w:p>
    <w:p>
      <w:pPr>
        <w:spacing w:after="0" w:line="292"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17" w:lineRule="exact"/>
        <w:rPr>
          <w:sz w:val="20"/>
          <w:szCs w:val="20"/>
          <w:color w:val="auto"/>
        </w:rPr>
      </w:pPr>
    </w:p>
    <w:p>
      <w:pPr>
        <w:ind w:left="4" w:hanging="4"/>
        <w:spacing w:after="0" w:line="286" w:lineRule="auto"/>
        <w:tabs>
          <w:tab w:leader="none" w:pos="3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shall indemnify the Investors, and, as applicable, their officers, directors, and constituent partners, legal counsel for each Investor and each Person controlling the Investors, with respect to which registration, related qualification, or related compliance of Registrable Securities has been effected pursuant to this Agreement, and each underwriter, if any, and each Person who controls any underwriter within the meaning of the Securities Act against all claims, losses, damages, or liabilities (or actions in respect thereof) to the extent such claims, losses, damages, or liabilities arise out of or are based upon (i) any untrue statement (or alleged untrue statement) of a material fact contained in any prospectus or other document (including any related Registration Statement) incident to any such registration, qualification, or compliance, or (ii) any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applicable to the Company and relating to action or inaction required of the Company in connection with any such registration, qualification, or compliance; and the Company shall pay as incurred to the Investors, each such underwriter, and each Person who controls the Investors or underwriter, any legal and any other expenses reasonably incurred in connection with investigating or defending any such claim, loss,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contained in this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shall not apply to amounts paid in settlement of any such claim, loss, damage, liability, or action if</w:t>
      </w:r>
    </w:p>
    <w:p>
      <w:pPr>
        <w:spacing w:after="0" w:line="10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4"/>
          </w:cols>
          <w:pgMar w:left="436" w:top="270" w:right="519" w:bottom="1440" w:gutter="0" w:footer="0" w:header="0"/>
        </w:sectPr>
      </w:pPr>
    </w:p>
    <w:bookmarkStart w:id="254" w:name="page255"/>
    <w:bookmarkEnd w:id="25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 xml:space="preserve">settlement is effected without the consent of the Company (which consent shall not unreasonably be withheld); and provided, further, that the Company shall not be liable in any such case to the extent that any such claim, loss, damage, liability, or expense arises out of or is based upon any violation by such Investor of the obligations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hereof or any untrue statement or omission contained in such prospectus or other document based upon written information furnished to the Company by the Investors, such underwriter, or such controlling Person and stated to be for use therein.</w:t>
      </w:r>
    </w:p>
    <w:p>
      <w:pPr>
        <w:spacing w:after="0" w:line="157" w:lineRule="exact"/>
        <w:rPr>
          <w:sz w:val="20"/>
          <w:szCs w:val="20"/>
          <w:color w:val="auto"/>
        </w:rPr>
      </w:pPr>
    </w:p>
    <w:p>
      <w:pPr>
        <w:ind w:left="4" w:hanging="4"/>
        <w:spacing w:after="0" w:line="282" w:lineRule="auto"/>
        <w:tabs>
          <w:tab w:leader="none" w:pos="39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Investor (severally and not jointly) shall, if Registrable Securities held by such Investor are included for sale in the registration and related qualification and compliance effected pursuant to this Agreement, indemnify the Company, each of its directors, each officer of the Company who signs the applicable Registration Statement, each legal counsel and each underwriter of the Company’s securities covered by such a Registration Statement, each Person who controls the Company or such underwriter within the meaning of the Securities Act against all claims, losses, damages, and liabilities (or actions in respect thereof) arising out of or based upon (i) any untrue statement (or alleged untrue statement) of a material fact contained in any such Registration Statement, or related document, or (ii) any omission (or alleged omission) to state therein a material fact required to be stated therein or necessary to make the statements therein not misleading, or (iii) any violation or alleged violation by such Investor of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hereof, the Securities Act, the Exchange Act, any state securities law, or any rule or regulation promulgated under the Securities Act, the Exchange Act or any state securities law applicable to such Investor and relating to action or inaction required of such Investor in connection with any such registration and related qualification and compliance, and shall pay as incurred to such persons, any legal and any other expenses reasonably incurred in connection with investigating or defending any such claim, loss, damage, liability, or action, in each case only to the extent that such untrue statement (or alleged untrue statement) or omission (or alleged omission) is made in (and such violation pertains to) such Registration Statement or related document in reliance upon and in conformity with written information furnished to the Company by such Investor and stated to be specifically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contained in this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shall not apply to amounts paid in settlement of any such claim, loss, damage, liability, or action if settlement is effected without the consent of such Investor (which consent shall not unreasonably be withheld); provided, further, that such Investor’s liability under this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(when combined with any amounts such Investor is liable for</w:t>
      </w:r>
    </w:p>
    <w:p>
      <w:pPr>
        <w:spacing w:after="0" w:line="1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 xml:space="preserve">under </w:t>
      </w:r>
      <w:r>
        <w:rPr>
          <w:rFonts w:ascii="Arial" w:cs="Arial" w:eastAsia="Arial" w:hAnsi="Arial"/>
          <w:sz w:val="17"/>
          <w:szCs w:val="17"/>
          <w:u w:val="single" w:color="auto"/>
          <w:color w:val="auto"/>
        </w:rPr>
        <w:t>Section 2.6(d)</w:t>
      </w:r>
      <w:r>
        <w:rPr>
          <w:rFonts w:ascii="Arial" w:cs="Arial" w:eastAsia="Arial" w:hAnsi="Arial"/>
          <w:sz w:val="17"/>
          <w:szCs w:val="17"/>
          <w:color w:val="auto"/>
        </w:rPr>
        <w:t>) shall not exceed such Investor’s net proceeds from the offering of securities made in connection with such registration.</w:t>
      </w:r>
    </w:p>
    <w:p>
      <w:pPr>
        <w:spacing w:after="0" w:line="222" w:lineRule="exact"/>
        <w:rPr>
          <w:rFonts w:ascii="Arial" w:cs="Arial" w:eastAsia="Arial" w:hAnsi="Arial"/>
          <w:sz w:val="16"/>
          <w:szCs w:val="16"/>
          <w:color w:val="auto"/>
        </w:rPr>
      </w:pPr>
    </w:p>
    <w:p>
      <w:pPr>
        <w:ind w:left="4" w:hanging="4"/>
        <w:spacing w:after="0" w:line="254" w:lineRule="auto"/>
        <w:tabs>
          <w:tab w:leader="none" w:pos="3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Promptly after receipt by an indemnified party under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notice of the commencement of any action, such indemnified party shall, if a claim in respect thereof is to be made against an indemnifying party under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notify the indemnifying party in writing of the commencement thereof and generally summarize such action. The indemnifying party shall have the right to participate in and to assume the defense of such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indemnifying party shall be entitled to select counsel for the defense of such claim with the approval of any parties entitled to indemnification, which approval shall not be unreasonably withheld; provided further, however, that if either party reasonably determines that there may be a conflict between the position of the Company and the Investors in conducting the defense of such action, suit, or proceeding by reason of recognized claims for indemnity under</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255" w:name="page256"/>
    <w:bookmarkEnd w:id="25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then counsel for such party shall be entitled to conduct the defense to the extent reasonably determined by such counsel to be necessary to protect the interest of such party. The failure to notify an indemnifying party promptly of the commencement of any such action, if prejudicial to the ability of the indemnifying party to defend such action, shall relieve such indemnifying party, to the extent so prejudiced, of any liability to the indemnified party under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but the omission so to notify the indemnifying party shall not relieve such party of any liability that such party may have to any indemnified party otherwise than under this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88" w:lineRule="exact"/>
        <w:rPr>
          <w:sz w:val="20"/>
          <w:szCs w:val="20"/>
          <w:color w:val="auto"/>
        </w:rPr>
      </w:pPr>
    </w:p>
    <w:p>
      <w:pPr>
        <w:ind w:left="4" w:hanging="4"/>
        <w:spacing w:after="0" w:line="287" w:lineRule="auto"/>
        <w:tabs>
          <w:tab w:leader="none" w:pos="39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In no event, however, shall (i) any amount due for contribution hereunder be in excess of the amount that would otherwise be due under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2.6(b)</w:t>
      </w:r>
      <w:r>
        <w:rPr>
          <w:rFonts w:ascii="Arial" w:cs="Arial" w:eastAsia="Arial" w:hAnsi="Arial"/>
          <w:sz w:val="16"/>
          <w:szCs w:val="16"/>
          <w:color w:val="auto"/>
        </w:rPr>
        <w:t>, as applicable, based on the limitations of such provisions and (ii) a Person guilty of fraudulent misrepresentation (within the meaning of the Securities Act) be entitled to contribution from a Person who was not guilty of such fraudulent misrepresentation.</w:t>
      </w:r>
    </w:p>
    <w:p>
      <w:pPr>
        <w:spacing w:after="0" w:line="171" w:lineRule="exact"/>
        <w:rPr>
          <w:rFonts w:ascii="Arial" w:cs="Arial" w:eastAsia="Arial" w:hAnsi="Arial"/>
          <w:sz w:val="16"/>
          <w:szCs w:val="16"/>
          <w:color w:val="auto"/>
        </w:rPr>
      </w:pPr>
    </w:p>
    <w:p>
      <w:pPr>
        <w:ind w:left="4" w:right="160" w:hanging="4"/>
        <w:spacing w:after="0" w:line="279" w:lineRule="auto"/>
        <w:tabs>
          <w:tab w:leader="none" w:pos="38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Notwithstanding the foregoing, to the extent that the provisions on indemnification and contribution contained in the underwriting agreement entered into in connection with an underwritten public offering are in conflict with the foregoing provisions, the provisions in the underwriting agreement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the underwriting agreement to provide for or address a matter provided for or addressed by the foregoing provisions shall not be a conflict between the underwriting agreement and the foregoing provisions.</w:t>
      </w:r>
    </w:p>
    <w:p>
      <w:pPr>
        <w:spacing w:after="0" w:line="171" w:lineRule="exact"/>
        <w:rPr>
          <w:rFonts w:ascii="Arial" w:cs="Arial" w:eastAsia="Arial" w:hAnsi="Arial"/>
          <w:sz w:val="17"/>
          <w:szCs w:val="17"/>
          <w:color w:val="auto"/>
        </w:rPr>
      </w:pPr>
    </w:p>
    <w:p>
      <w:pPr>
        <w:ind w:left="4" w:right="80" w:hanging="4"/>
        <w:spacing w:after="0" w:line="277" w:lineRule="auto"/>
        <w:tabs>
          <w:tab w:leader="none" w:pos="3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obligations of the Company and the Investors under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survive the completion of any offering of Registrable Securities in a Registration Statement under this Agreement or otherwise.</w:t>
      </w:r>
    </w:p>
    <w:p>
      <w:pPr>
        <w:spacing w:after="0" w:line="170"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Information</w:t>
      </w:r>
      <w:r>
        <w:rPr>
          <w:rFonts w:ascii="Arial" w:cs="Arial" w:eastAsia="Arial" w:hAnsi="Arial"/>
          <w:sz w:val="18"/>
          <w:szCs w:val="18"/>
          <w:color w:val="auto"/>
        </w:rPr>
        <w:t>. The Investors shall furnish to the Company such information regarding the Investors and the distribution proposed by the Investors as the Company may reasonably request and as shall be reasonably required in connection with any registration referred to in this Agreement. The Investors agree to, as promptly as practicable (and in any event prior to any sales made pursuant to a prospectus), furnish to the Company all information required to be disclosed in order to make the information previously furnished to the Company by the Investors not misleading. The Investors agree to keep confidential the receipt of any notice received</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0" w:right="479" w:bottom="1440" w:gutter="0" w:footer="0" w:header="0"/>
        </w:sectPr>
      </w:pPr>
    </w:p>
    <w:bookmarkStart w:id="256" w:name="page257"/>
    <w:bookmarkEnd w:id="25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4" w:right="200"/>
        <w:spacing w:after="0" w:line="31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and the contents thereof, except as required pursuant to applicable law. Notwithstanding anything to the contrary herein, the Company shall be under no obligation to name the Investors in any Registration Statement if the Investors have not provided the information required by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with respect to the Investors as a selling securityholder in such Registration Statement or any related prospectus.</w:t>
      </w:r>
    </w:p>
    <w:p>
      <w:pPr>
        <w:spacing w:after="0" w:line="149" w:lineRule="exact"/>
        <w:rPr>
          <w:sz w:val="20"/>
          <w:szCs w:val="20"/>
          <w:color w:val="auto"/>
        </w:rPr>
      </w:pPr>
    </w:p>
    <w:p>
      <w:pPr>
        <w:ind w:left="4" w:right="380"/>
        <w:spacing w:after="0" w:line="263"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Rule 144 Requirements</w:t>
      </w:r>
      <w:r>
        <w:rPr>
          <w:rFonts w:ascii="Arial" w:cs="Arial" w:eastAsia="Arial" w:hAnsi="Arial"/>
          <w:sz w:val="18"/>
          <w:szCs w:val="18"/>
          <w:color w:val="auto"/>
        </w:rPr>
        <w:t>. With a view to making available to the Investors the benefits of Rule 144 and any other rule or regulation of the Commission that may at any time permit the Investors to sell Registrable Securities to the public without registration, the Company agrees to use its reasonable best efforts to:</w:t>
      </w:r>
    </w:p>
    <w:p>
      <w:pPr>
        <w:spacing w:after="0" w:line="184" w:lineRule="exact"/>
        <w:rPr>
          <w:sz w:val="20"/>
          <w:szCs w:val="20"/>
          <w:color w:val="auto"/>
        </w:rPr>
      </w:pPr>
    </w:p>
    <w:p>
      <w:pPr>
        <w:ind w:left="384" w:hanging="384"/>
        <w:spacing w:after="0"/>
        <w:tabs>
          <w:tab w:leader="none" w:pos="38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at all times after the date hereof;</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file with the Commission in a timely manner all reports and other documents required of the Company under the Securities Act and the Exchange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4" w:right="120" w:hanging="4"/>
        <w:spacing w:after="0" w:line="263" w:lineRule="auto"/>
        <w:tabs>
          <w:tab w:leader="none" w:pos="38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prior to the filing of the Registration Statement or any amendment thereto (whether pre-effective or post-effective), and prior to the filing of any prospectus or prospectus supplement related thereto, to provide the Investors with copies of all of the pages thereof (if any) that reference the Investors; and</w:t>
      </w:r>
    </w:p>
    <w:p>
      <w:pPr>
        <w:spacing w:after="0" w:line="183" w:lineRule="exact"/>
        <w:rPr>
          <w:rFonts w:ascii="Arial" w:cs="Arial" w:eastAsia="Arial" w:hAnsi="Arial"/>
          <w:sz w:val="18"/>
          <w:szCs w:val="18"/>
          <w:color w:val="auto"/>
        </w:rPr>
      </w:pPr>
    </w:p>
    <w:p>
      <w:pPr>
        <w:ind w:left="4" w:right="40" w:hanging="4"/>
        <w:spacing w:after="0" w:line="279" w:lineRule="auto"/>
        <w:tabs>
          <w:tab w:leader="none" w:pos="39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furnish to any Investor, so long as the Investor owns any Registrable Securities, forthwith upon request (i) a written statement by the Company that it has complied with the reporting requirements of Rule 144, (ii) a copy of the most recent annual or quarterly report of the Company and such other reports and documents so filed by the Company, and (iii) such other information as may be reasonably requested by an Investor in availing itself of any rule or regulation of the Commission which permits an Investor to sell any such securities without registration.</w:t>
      </w:r>
    </w:p>
    <w:p>
      <w:pPr>
        <w:spacing w:after="0" w:line="171"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xml:space="preserve">. From and after the date of this Agreement, the Company shall not, without prior written consent of the Investors, (a) enter into any agreement with any holder or prospective holder of any securities of the Company that would provide to such holder rights with respect to the registration of such securities under the Securities Act or the Exchange Act that would conflict with or adversely affect any of the rights provided to the Investors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(b) amend the registration rights provisions of the Investors’ Rights Agreement or any of the Other RRAs in any manner that would conflict with or adversely affect any of the rights provided to the Investors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in the case of any such amendment, the Company shall notify the Investors in advance of such amendment for it to determine whether such amendment would conflict with or adversely affects their rights in this Section 2); it being understood and agreed that any subsequent agreement of the Company with any holder or prospective holder of any securities of the Company of the same class (or convertible into or exchange for securities of the same class) as the Registrable Securities that grants rights equivalent to the rights of the Investors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will not be prohibited by the terms of this</w:t>
      </w:r>
    </w:p>
    <w:p>
      <w:pPr>
        <w:spacing w:after="0" w:line="6" w:lineRule="exact"/>
        <w:rPr>
          <w:sz w:val="20"/>
          <w:szCs w:val="20"/>
          <w:color w:val="auto"/>
        </w:rPr>
      </w:pPr>
    </w:p>
    <w:p>
      <w:pPr>
        <w:ind w:left="4" w:right="460"/>
        <w:spacing w:after="0" w:line="260" w:lineRule="auto"/>
        <w:rPr>
          <w:sz w:val="20"/>
          <w:szCs w:val="20"/>
          <w:color w:val="auto"/>
        </w:rPr>
      </w:pP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so long as the inclusion of such holder or prospective holder’s securities will not reduce the number of the Registrable Securities of the Holders that are included in any registration hereunder or thereunder.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0" w:right="439" w:bottom="1440" w:gutter="0" w:footer="0" w:header="0"/>
        </w:sectPr>
      </w:pPr>
    </w:p>
    <w:bookmarkStart w:id="257" w:name="page258"/>
    <w:bookmarkEnd w:id="257"/>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w:t>
      </w:r>
      <w:r>
        <w:rPr>
          <w:rFonts w:ascii="Arial" w:cs="Arial" w:eastAsia="Arial" w:hAnsi="Arial"/>
          <w:sz w:val="18"/>
          <w:szCs w:val="18"/>
          <w:color w:val="auto"/>
        </w:rPr>
        <w:t>. No amendment, alteration or modification of any of the provisions of this Agreement shall be binding unless made in writing and signed by each of the Company and the Investors.</w:t>
      </w:r>
    </w:p>
    <w:p>
      <w:pPr>
        <w:spacing w:after="0" w:line="170"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Injunctive Relief</w:t>
      </w:r>
      <w:r>
        <w:rPr>
          <w:rFonts w:ascii="Arial" w:cs="Arial" w:eastAsia="Arial" w:hAnsi="Arial"/>
          <w:sz w:val="18"/>
          <w:szCs w:val="18"/>
          <w:color w:val="auto"/>
        </w:rPr>
        <w:t>. It is hereby agreed and acknowledged that it shall be impossible to measure in money the damages that would be suffered if the parties fail to comply with any of the obligations herein imposed on them and that in the event of any such failure, an aggrieved Person shall be irreparably damaged and shall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w:t>
      </w:r>
    </w:p>
    <w:p>
      <w:pPr>
        <w:spacing w:after="0" w:line="192"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required or permitted under this Agreement must be in writing and sent to the address or facsimile number identified below. Notices must be given: (a) by personal delivery, with receipt acknowledged; (b) by facsimile followed by hard copy delivered by the methods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(c) by prepaid certified or registered mail, return receipt requested; or (d) by prepaid reputable overnight delivery service. Notices shall be effective upon receipt. Either party may change its notice address by providing the other party written notice of such change. Notices shall be delivered as follows:</w:t>
      </w:r>
    </w:p>
    <w:p>
      <w:pPr>
        <w:sectPr>
          <w:pgSz w:w="11900" w:h="16838" w:orient="portrait"/>
          <w:cols w:equalWidth="0" w:num="1">
            <w:col w:w="10964"/>
          </w:cols>
          <w:pgMar w:left="436" w:top="270" w:right="499" w:bottom="1440" w:gutter="0" w:footer="0" w:header="0"/>
        </w:sectPr>
      </w:pPr>
    </w:p>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to the Investors: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At such Investor’s address as set forth on Schedule A hereto</w:t>
      </w:r>
    </w:p>
    <w:p>
      <w:pPr>
        <w:spacing w:after="0" w:line="200" w:lineRule="exact"/>
        <w:rPr>
          <w:sz w:val="20"/>
          <w:szCs w:val="20"/>
          <w:color w:val="auto"/>
        </w:rPr>
      </w:pPr>
    </w:p>
    <w:p>
      <w:pPr>
        <w:sectPr>
          <w:pgSz w:w="11900" w:h="16838" w:orient="portrait"/>
          <w:cols w:equalWidth="0" w:num="2">
            <w:col w:w="2484" w:space="720"/>
            <w:col w:w="7760"/>
          </w:cols>
          <w:pgMar w:left="436" w:top="270" w:right="499" w:bottom="1440" w:gutter="0" w:footer="0" w:header="0"/>
          <w:type w:val="continuous"/>
        </w:sectPr>
      </w:pP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200 Powder Mill Road, Wilmington, DE 19803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200" w:lineRule="exact"/>
        <w:rPr>
          <w:sz w:val="20"/>
          <w:szCs w:val="20"/>
          <w:color w:val="auto"/>
        </w:rPr>
      </w:pPr>
    </w:p>
    <w:p>
      <w:pPr>
        <w:sectPr>
          <w:pgSz w:w="11900" w:h="16838" w:orient="portrait"/>
          <w:cols w:equalWidth="0" w:num="2">
            <w:col w:w="2484" w:space="720"/>
            <w:col w:w="7760"/>
          </w:cols>
          <w:pgMar w:left="436" w:top="270" w:right="499" w:bottom="1440" w:gutter="0" w:footer="0" w:header="0"/>
          <w:type w:val="continuous"/>
        </w:sectPr>
      </w:pP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Freedman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555 California Street, 12</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rfreedman@fenwick.com</w:t>
      </w:r>
    </w:p>
    <w:p>
      <w:pPr>
        <w:spacing w:after="0" w:line="200" w:lineRule="exact"/>
        <w:rPr>
          <w:sz w:val="20"/>
          <w:szCs w:val="20"/>
          <w:color w:val="auto"/>
        </w:rPr>
      </w:pPr>
    </w:p>
    <w:p>
      <w:pPr>
        <w:sectPr>
          <w:pgSz w:w="11900" w:h="16838" w:orient="portrait"/>
          <w:cols w:equalWidth="0" w:num="2">
            <w:col w:w="2484" w:space="720"/>
            <w:col w:w="7760"/>
          </w:cols>
          <w:pgMar w:left="436" w:top="270" w:right="499" w:bottom="1440" w:gutter="0" w:footer="0" w:header="0"/>
          <w:type w:val="continuous"/>
        </w:sectPr>
      </w:pPr>
    </w:p>
    <w:p>
      <w:pPr>
        <w:spacing w:after="0" w:line="47"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Governing Law; Jurisdiction; Venue; Jury Trial</w:t>
      </w:r>
      <w:r>
        <w:rPr>
          <w:rFonts w:ascii="Arial" w:cs="Arial" w:eastAsia="Arial" w:hAnsi="Arial"/>
          <w:sz w:val="16"/>
          <w:szCs w:val="16"/>
          <w:color w:val="auto"/>
        </w:rPr>
        <w:t>.</w:t>
      </w:r>
    </w:p>
    <w:p>
      <w:pPr>
        <w:spacing w:after="0" w:line="117" w:lineRule="exact"/>
        <w:rPr>
          <w:sz w:val="20"/>
          <w:szCs w:val="20"/>
          <w:color w:val="auto"/>
        </w:rPr>
      </w:pPr>
    </w:p>
    <w:p>
      <w:pPr>
        <w:ind w:left="4" w:right="200" w:hanging="4"/>
        <w:spacing w:after="0" w:line="263" w:lineRule="auto"/>
        <w:tabs>
          <w:tab w:leader="none" w:pos="3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spacing w:after="0" w:line="183" w:lineRule="exact"/>
        <w:rPr>
          <w:rFonts w:ascii="Arial" w:cs="Arial" w:eastAsia="Arial" w:hAnsi="Arial"/>
          <w:sz w:val="18"/>
          <w:szCs w:val="18"/>
          <w:color w:val="auto"/>
        </w:rPr>
      </w:pPr>
    </w:p>
    <w:p>
      <w:pPr>
        <w:jc w:val="both"/>
        <w:ind w:left="4" w:right="100" w:hanging="4"/>
        <w:spacing w:after="0" w:line="263" w:lineRule="auto"/>
        <w:tabs>
          <w:tab w:leader="none" w:pos="39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of the Company and the Investors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0" w:right="499" w:bottom="1440" w:gutter="0" w:footer="0" w:header="0"/>
          <w:type w:val="continuous"/>
        </w:sectPr>
      </w:pPr>
    </w:p>
    <w:bookmarkStart w:id="258" w:name="page259"/>
    <w:bookmarkEnd w:id="25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proceeding arising out of or relating to this Agreement and the transactions contemplated herein, or for recognition or enforcement of any judgment, and each of the Company and the Investors irrevocably and unconditionally agrees that all claims in respect of any such action or proceeding may be heard and determined in such New York state court or, to the fullest extent permitted by applicable law, in such federal court. Each of the Company and the Investors hereto agrees that a final judgment in any such action or proceeding shall be conclusive and may be enforced in other jurisdictions by suit on the judgment or in any other manner provided by law.</w:t>
      </w:r>
    </w:p>
    <w:p>
      <w:pPr>
        <w:spacing w:after="0" w:line="188" w:lineRule="exact"/>
        <w:rPr>
          <w:sz w:val="20"/>
          <w:szCs w:val="20"/>
          <w:color w:val="auto"/>
        </w:rPr>
      </w:pPr>
    </w:p>
    <w:p>
      <w:pPr>
        <w:ind w:left="4" w:hanging="4"/>
        <w:spacing w:after="0" w:line="301" w:lineRule="auto"/>
        <w:tabs>
          <w:tab w:leader="none" w:pos="38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Each of the Company and the Investors irrevocably and unconditionally waives, to the fullest extent permitted by applicable law, any objection that it may now or hereafter have to the laying of venue of any action or proceeding arising out of or relating to this Agreement and the transactions contemplated herein in any court referred to in </w:t>
      </w:r>
      <w:r>
        <w:rPr>
          <w:rFonts w:ascii="Arial" w:cs="Arial" w:eastAsia="Arial" w:hAnsi="Arial"/>
          <w:sz w:val="16"/>
          <w:szCs w:val="16"/>
          <w:u w:val="single" w:color="auto"/>
          <w:color w:val="auto"/>
        </w:rPr>
        <w:t>Section 3.4</w:t>
      </w:r>
      <w:r>
        <w:rPr>
          <w:rFonts w:ascii="Arial" w:cs="Arial" w:eastAsia="Arial" w:hAnsi="Arial"/>
          <w:sz w:val="16"/>
          <w:szCs w:val="16"/>
          <w:color w:val="auto"/>
        </w:rPr>
        <w:t>(b) hereof. Each of the Company and the Investors hereby irrevocably waives, to the fullest extent permitted by applicable law, the defense of an inconvenient forum to the maintenance of such action or proceeding in any such court.</w:t>
      </w:r>
    </w:p>
    <w:p>
      <w:pPr>
        <w:spacing w:after="0" w:line="157" w:lineRule="exact"/>
        <w:rPr>
          <w:rFonts w:ascii="Arial" w:cs="Arial" w:eastAsia="Arial" w:hAnsi="Arial"/>
          <w:sz w:val="16"/>
          <w:szCs w:val="16"/>
          <w:color w:val="auto"/>
        </w:rPr>
      </w:pPr>
    </w:p>
    <w:p>
      <w:pPr>
        <w:ind w:left="4" w:right="180" w:hanging="4"/>
        <w:spacing w:after="0" w:line="268" w:lineRule="auto"/>
        <w:tabs>
          <w:tab w:leader="none" w:pos="39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OF THE COMPANY AND THE INVESTORS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OF THE COMPANY AND THE INVESTORS (A) CERTIFIES THAT NO REPRESENTATIVE, AGENT OR ATTORNEY OF ANY OTHER PERSON HAS REPRESENTED, EXPRESSLY OR OTHERWISE, THAT SUCH OTHER PERSON WOULD NOT, IN THE EVENT OF LITIGATION, SEEK TO ENFORCE THE FOREGOING WAIVER AND</w:t>
      </w:r>
    </w:p>
    <w:p>
      <w:pPr>
        <w:ind w:left="4" w:right="1140"/>
        <w:spacing w:after="0" w:line="260" w:lineRule="auto"/>
        <w:rPr>
          <w:rFonts w:ascii="Arial" w:cs="Arial" w:eastAsia="Arial" w:hAnsi="Arial"/>
          <w:sz w:val="17"/>
          <w:szCs w:val="17"/>
          <w:color w:val="auto"/>
        </w:rPr>
      </w:pPr>
      <w:r>
        <w:rPr>
          <w:rFonts w:ascii="Arial" w:cs="Arial" w:eastAsia="Arial" w:hAnsi="Arial"/>
          <w:sz w:val="18"/>
          <w:szCs w:val="18"/>
          <w:color w:val="auto"/>
        </w:rPr>
        <w:t>(B) ACKNOWLEDGES THAT EACH OF THE COMPANY AND THE INVESTORS HAS BEEN INDUCED TO ENTER INTO THIS AGREEMENT BY, AMONG OTHER THINGS, THE MUTUAL WAIVERS AND CERTIFICATIONS IN THIS SECTION.</w:t>
      </w:r>
    </w:p>
    <w:p>
      <w:pPr>
        <w:spacing w:after="0" w:line="185"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Successors, Assigns and Transferees</w:t>
      </w:r>
      <w:r>
        <w:rPr>
          <w:rFonts w:ascii="Arial" w:cs="Arial" w:eastAsia="Arial" w:hAnsi="Arial"/>
          <w:sz w:val="17"/>
          <w:szCs w:val="17"/>
          <w:color w:val="auto"/>
        </w:rPr>
        <w:t xml:space="preserve">. Any and all rights, duties and obligations hereunder shall not be assigned, transferred, delegated or sublicensed by any party hereto without the prior written consent of the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Investors shall be entitled to transfer Registrable Securities to one or more of their affiliates and, solely in connection therewith, may assign their rights hereunder in respect of such transferred Registrable Securities, in each case, so long as such Investor is not relieved of any liability or obligations hereunder, without the prior consent of the Company. Any transfer or assignment made other than as provided in the first sentence of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shall be null and void. Subject to the foregoing and except as otherwise provided herein, the provisions of this Agreement shall inure to the benefit of, and be binding upon, the successors, permitted assigns, heirs, executors and administrators of the parties hereto. The Company shall not consummate any recapitalization, merger, consolidation, reorganization or other similar transaction whereby stockholders of the Company receive (either directly, through an exchange, via dividend from the Company or otherwise) equity (the “</w:t>
      </w:r>
      <w:r>
        <w:rPr>
          <w:rFonts w:ascii="Arial" w:cs="Arial" w:eastAsia="Arial" w:hAnsi="Arial"/>
          <w:sz w:val="17"/>
          <w:szCs w:val="17"/>
          <w:u w:val="single" w:color="auto"/>
          <w:color w:val="auto"/>
        </w:rPr>
        <w:t>Other Equity</w:t>
      </w:r>
      <w:r>
        <w:rPr>
          <w:rFonts w:ascii="Arial" w:cs="Arial" w:eastAsia="Arial" w:hAnsi="Arial"/>
          <w:sz w:val="17"/>
          <w:szCs w:val="17"/>
          <w:color w:val="auto"/>
        </w:rPr>
        <w:t>”) in any other entity (the “</w:t>
      </w:r>
      <w:r>
        <w:rPr>
          <w:rFonts w:ascii="Arial" w:cs="Arial" w:eastAsia="Arial" w:hAnsi="Arial"/>
          <w:sz w:val="17"/>
          <w:szCs w:val="17"/>
          <w:u w:val="single" w:color="auto"/>
          <w:color w:val="auto"/>
        </w:rPr>
        <w:t>Other Entity</w:t>
      </w:r>
      <w:r>
        <w:rPr>
          <w:rFonts w:ascii="Arial" w:cs="Arial" w:eastAsia="Arial" w:hAnsi="Arial"/>
          <w:sz w:val="17"/>
          <w:szCs w:val="17"/>
          <w:color w:val="auto"/>
        </w:rPr>
        <w:t>”) with respect to Registrable Securities hereunder, unless prior to the consummation thereof, the Other Entity assumes, by written instrument, the obligations under this Agreement with respect to such Other Equity as if such Other Equity were Registrable Securities hereunder.</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any exhibits hereto, constitute the entire agreement between the parties relating to the subject matter hereof and all previous agreements or arrangements between the parties, written or oral, relating to the subject matter hereof are superseded. To the extent there is any conflict between the terms of this Agreement and the terms of the Investors’ Rights Agreement, the terms of this Agreement shall govern.</w:t>
      </w:r>
    </w:p>
    <w:p>
      <w:pPr>
        <w:spacing w:after="0" w:line="18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Waiver</w:t>
      </w:r>
      <w:r>
        <w:rPr>
          <w:rFonts w:ascii="Arial" w:cs="Arial" w:eastAsia="Arial" w:hAnsi="Arial"/>
          <w:sz w:val="18"/>
          <w:szCs w:val="18"/>
          <w:color w:val="auto"/>
        </w:rPr>
        <w:t>. No failure on the part of either party hereto to exercise any power, right, privilege or remedy under this Agreement, and no delay on the part of either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8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part of this Agreement is declared invalid or unenforceable by any court of competent jurisdiction, such declaration shall not affect the remainder of the Agreement and the invalidated provision shall be revised in a manner that shall render such provision valid while preserving the parties’ original intent to the maximum extent possible.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 All references in this Agreement to sections, paragraphs and exhibits shall, unless otherwise provided, refer to sections and paragraphs hereof and exhibits attached hereto. References to any section in an Other RRA shall be deemed to refer to the equivalent section in the event of any amendment thereto.</w:t>
      </w:r>
    </w:p>
    <w:p>
      <w:pPr>
        <w:spacing w:after="0" w:line="18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in any number of counterparts, each of which shall be enforceable against the parties that execute such counterparts (including by facsimile or other electronic means), and all of which together shall constitute one instrument.</w:t>
      </w:r>
    </w:p>
    <w:p>
      <w:pPr>
        <w:spacing w:after="0" w:line="12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Term and Termination</w:t>
      </w:r>
      <w:r>
        <w:rPr>
          <w:rFonts w:ascii="Arial" w:cs="Arial" w:eastAsia="Arial" w:hAnsi="Arial"/>
          <w:sz w:val="18"/>
          <w:szCs w:val="18"/>
          <w:color w:val="auto"/>
        </w:rPr>
        <w:t xml:space="preserve">. The Investors’ rights to demand the registration of the Registrable Securities under this Agreement, as well as the Company’s obligations hereunder other than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hereof, shall terminate automatically once all Registrable Securities cease to be Registrable Securities pursuant to the terms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60" w:name="page261"/>
    <w:bookmarkEnd w:id="260"/>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parties hereto have executed this Registration Rights Agreement effective as of the day, month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PRELUDE THERAPEUTICS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INCORPORATED</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Krishna Vaddi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10540"/>
          </w:cols>
          <w:pgMar w:left="440" w:top="270" w:right="919" w:bottom="1440" w:gutter="0" w:footer="0" w:header="0"/>
        </w:sectPr>
      </w:pPr>
    </w:p>
    <w:bookmarkStart w:id="261" w:name="page262"/>
    <w:bookmarkEnd w:id="261"/>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by Prelude Therapeutics Incorporated</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parties hereto have executed this Registration Rights Agreement effective as of the day, month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10540"/>
          </w:cols>
          <w:pgMar w:left="440" w:top="270" w:right="919" w:bottom="1440" w:gutter="0" w:footer="0" w:header="0"/>
        </w:sectPr>
      </w:pPr>
    </w:p>
    <w:bookmarkStart w:id="262" w:name="page263"/>
    <w:bookmarkEnd w:id="262"/>
    <w:p>
      <w:pPr>
        <w:jc w:val="center"/>
        <w:ind w:right="-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by Prelude Therapeutics Incorporated</w:t>
      </w:r>
    </w:p>
    <w:p>
      <w:pPr>
        <w:spacing w:after="0" w:line="5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The Investors</w:t>
      </w:r>
    </w:p>
    <w:p>
      <w:pPr>
        <w:spacing w:after="0" w:line="121"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tab/>
        <w: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decimal"/>
      <w:start w:val="1"/>
    </w:lvl>
  </w:abstractNum>
  <w:abstractNum w:abstractNumId="1">
    <w:nsid w:val="5DB70AE5"/>
    <w:multiLevelType w:val="hybridMultilevel"/>
    <w:lvl w:ilvl="0">
      <w:lvlJc w:val="left"/>
      <w:lvlText w:val="(%1)"/>
      <w:numFmt w:val="decimal"/>
      <w:start w:val="1"/>
    </w:lvl>
  </w:abstractNum>
  <w:abstractNum w:abstractNumId="2">
    <w:nsid w:val="100F8FCA"/>
    <w:multiLevelType w:val="hybridMultilevel"/>
    <w:lvl w:ilvl="0">
      <w:lvlJc w:val="left"/>
      <w:lvlText w:val="•"/>
      <w:numFmt w:val="bullet"/>
      <w:start w:val="1"/>
    </w:lvl>
    <w:lvl w:ilvl="1">
      <w:lvlJc w:val="left"/>
      <w:lvlText w:val="•"/>
      <w:numFmt w:val="bullet"/>
      <w:start w:val="1"/>
    </w:lvl>
  </w:abstractNum>
  <w:abstractNum w:abstractNumId="3">
    <w:nsid w:val="6590700B"/>
    <w:multiLevelType w:val="hybridMultilevel"/>
    <w:lvl w:ilvl="0">
      <w:lvlJc w:val="left"/>
      <w:lvlText w:val="•"/>
      <w:numFmt w:val="bullet"/>
      <w:start w:val="1"/>
    </w:lvl>
    <w:lvl w:ilvl="1">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1)"/>
      <w:numFmt w:val="decimal"/>
      <w:start w:val="1"/>
    </w:lvl>
  </w:abstractNum>
  <w:abstractNum w:abstractNumId="10">
    <w:nsid w:val="168E121F"/>
    <w:multiLevelType w:val="hybridMultilevel"/>
    <w:lvl w:ilvl="0">
      <w:lvlJc w:val="left"/>
      <w:lvlText w:val="(%1)"/>
      <w:numFmt w:val="decimal"/>
      <w:start w:val="2"/>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1)"/>
      <w:numFmt w:val="lowerRoman"/>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1)"/>
      <w:numFmt w:val="decimal"/>
      <w:start w:val="1"/>
    </w:lvl>
  </w:abstractNum>
  <w:abstractNum w:abstractNumId="50">
    <w:nsid w:val="57FC4FBB"/>
    <w:multiLevelType w:val="hybridMultilevel"/>
    <w:lvl w:ilvl="0">
      <w:lvlJc w:val="left"/>
      <w:lvlText w:val="(%1)"/>
      <w:numFmt w:val="decimal"/>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1)"/>
      <w:numFmt w:val="decimal"/>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1)"/>
      <w:numFmt w:val="lowerRoman"/>
      <w:start w:val="3"/>
    </w:lvl>
  </w:abstractNum>
  <w:abstractNum w:abstractNumId="57">
    <w:nsid w:val="7055A5F5"/>
    <w:multiLevelType w:val="hybridMultilevel"/>
    <w:lvl w:ilvl="0">
      <w:lvlJc w:val="left"/>
      <w:lvlText w:val="•"/>
      <w:numFmt w:val="bullet"/>
      <w:start w:val="1"/>
    </w:lvl>
    <w:lvl w:ilvl="1">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1"/>
      <w:numFmt w:val="upperLetter"/>
      <w:start w:val="1"/>
    </w:lvl>
    <w:lvl w:ilvl="1">
      <w:lvlJc w:val="left"/>
      <w:lvlText w:val="%2"/>
      <w:numFmt w:val="upperLetter"/>
      <w:start w:val="39"/>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1)"/>
      <w:numFmt w:val="decimal"/>
      <w:start w:val="1"/>
    </w:lvl>
  </w:abstractNum>
  <w:abstractNum w:abstractNumId="75">
    <w:nsid w:val="9DAF632"/>
    <w:multiLevelType w:val="hybridMultilevel"/>
    <w:lvl w:ilvl="0">
      <w:lvlJc w:val="left"/>
      <w:lvlText w:val="(%1)"/>
      <w:numFmt w:val="decimal"/>
      <w:start w:val="1"/>
    </w:lvl>
  </w:abstractNum>
  <w:abstractNum w:abstractNumId="76">
    <w:nsid w:val="53299938"/>
    <w:multiLevelType w:val="hybridMultilevel"/>
    <w:lvl w:ilvl="0">
      <w:lvlJc w:val="left"/>
      <w:lvlText w:val="(%1)"/>
      <w:numFmt w:val="lowerRoman"/>
      <w:start w:val="3"/>
    </w:lvl>
  </w:abstractNum>
  <w:abstractNum w:abstractNumId="77">
    <w:nsid w:val="1FBFE8E0"/>
    <w:multiLevelType w:val="hybridMultilevel"/>
    <w:lvl w:ilvl="0">
      <w:lvlJc w:val="left"/>
      <w:lvlText w:val="•"/>
      <w:numFmt w:val="bullet"/>
      <w:start w:val="1"/>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1)"/>
      <w:numFmt w:val="decimal"/>
      <w:start w:val="1"/>
    </w:lvl>
  </w:abstractNum>
  <w:abstractNum w:abstractNumId="82">
    <w:nsid w:val="2A155DBC"/>
    <w:multiLevelType w:val="hybridMultilevel"/>
    <w:lvl w:ilvl="0">
      <w:lvlJc w:val="left"/>
      <w:lvlText w:val="(%1)"/>
      <w:numFmt w:val="decimal"/>
      <w:start w:val="3"/>
    </w:lvl>
  </w:abstractNum>
  <w:abstractNum w:abstractNumId="83">
    <w:nsid w:val="1D9F6E5F"/>
    <w:multiLevelType w:val="hybridMultilevel"/>
    <w:lvl w:ilvl="0">
      <w:lvlJc w:val="left"/>
      <w:lvlText w:val="(%1)"/>
      <w:numFmt w:val="decimal"/>
      <w:start w:val="1"/>
    </w:lvl>
  </w:abstractNum>
  <w:abstractNum w:abstractNumId="84">
    <w:nsid w:val="97E1B4E"/>
    <w:multiLevelType w:val="hybridMultilevel"/>
    <w:lvl w:ilvl="0">
      <w:lvlJc w:val="left"/>
      <w:lvlText w:val="(%1)"/>
      <w:numFmt w:val="decimal"/>
      <w:start w:val="1"/>
    </w:lvl>
  </w:abstractNum>
  <w:abstractNum w:abstractNumId="85">
    <w:nsid w:val="51088277"/>
    <w:multiLevelType w:val="hybridMultilevel"/>
    <w:lvl w:ilvl="0">
      <w:lvlJc w:val="left"/>
      <w:lvlText w:val="•"/>
      <w:numFmt w:val="bullet"/>
      <w:start w:val="1"/>
    </w:lvl>
  </w:abstractNum>
  <w:abstractNum w:abstractNumId="86">
    <w:nsid w:val="1CA0C5FA"/>
    <w:multiLevelType w:val="hybridMultilevel"/>
    <w:lvl w:ilvl="0">
      <w:lvlJc w:val="left"/>
      <w:lvlText w:val="*"/>
      <w:numFmt w:val="bullet"/>
      <w:start w:val="1"/>
    </w:lvl>
  </w:abstractNum>
  <w:abstractNum w:abstractNumId="87">
    <w:nsid w:val="53584BCB"/>
    <w:multiLevelType w:val="hybridMultilevel"/>
    <w:lvl w:ilvl="0">
      <w:lvlJc w:val="left"/>
      <w:lvlText w:val="(%1)"/>
      <w:numFmt w:val="decimal"/>
      <w:start w:val="1"/>
    </w:lvl>
  </w:abstractNum>
  <w:abstractNum w:abstractNumId="88">
    <w:nsid w:val="415E286C"/>
    <w:multiLevelType w:val="hybridMultilevel"/>
    <w:lvl w:ilvl="0">
      <w:lvlJc w:val="left"/>
      <w:lvlText w:val="•"/>
      <w:numFmt w:val="bullet"/>
      <w:start w:val="1"/>
    </w:lvl>
  </w:abstractNum>
  <w:abstractNum w:abstractNumId="89">
    <w:nsid w:val="7C58FD05"/>
    <w:multiLevelType w:val="hybridMultilevel"/>
    <w:lvl w:ilvl="0">
      <w:lvlJc w:val="left"/>
      <w:lvlText w:val="•"/>
      <w:numFmt w:val="bullet"/>
      <w:start w:val="1"/>
    </w:lvl>
  </w:abstractNum>
  <w:abstractNum w:abstractNumId="90">
    <w:nsid w:val="23D86AAC"/>
    <w:multiLevelType w:val="hybridMultilevel"/>
    <w:lvl w:ilvl="0">
      <w:lvlJc w:val="left"/>
      <w:lvlText w:val="•"/>
      <w:numFmt w:val="bullet"/>
      <w:start w:val="1"/>
    </w:lvl>
  </w:abstractNum>
  <w:abstractNum w:abstractNumId="91">
    <w:nsid w:val="45E6D486"/>
    <w:multiLevelType w:val="hybridMultilevel"/>
    <w:lvl w:ilvl="0">
      <w:lvlJc w:val="left"/>
      <w:lvlText w:val="•"/>
      <w:numFmt w:val="bullet"/>
      <w:start w:val="1"/>
    </w:lvl>
  </w:abstractNum>
  <w:abstractNum w:abstractNumId="92">
    <w:nsid w:val="5C10FE21"/>
    <w:multiLevelType w:val="hybridMultilevel"/>
    <w:lvl w:ilvl="0">
      <w:lvlJc w:val="left"/>
      <w:lvlText w:val="•"/>
      <w:numFmt w:val="bullet"/>
      <w:start w:val="1"/>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1)"/>
      <w:numFmt w:val="lowerLetter"/>
      <w:start w:val="1"/>
    </w:lvl>
  </w:abstractNum>
  <w:abstractNum w:abstractNumId="99">
    <w:nsid w:val="6C80EC70"/>
    <w:multiLevelType w:val="hybridMultilevel"/>
    <w:lvl w:ilvl="0">
      <w:lvlJc w:val="left"/>
      <w:lvlText w:val="(%1)"/>
      <w:numFmt w:val="lowerLetter"/>
      <w:start w:val="1"/>
    </w:lvl>
  </w:abstractNum>
  <w:abstractNum w:abstractNumId="100">
    <w:nsid w:val="379E21B5"/>
    <w:multiLevelType w:val="hybridMultilevel"/>
    <w:lvl w:ilvl="0">
      <w:lvlJc w:val="left"/>
      <w:lvlText w:val="%1."/>
      <w:numFmt w:val="decimal"/>
      <w:start w:val="3"/>
    </w:lvl>
  </w:abstractNum>
  <w:abstractNum w:abstractNumId="101">
    <w:nsid w:val="69E373"/>
    <w:multiLevelType w:val="hybridMultilevel"/>
    <w:lvl w:ilvl="0">
      <w:lvlJc w:val="left"/>
      <w:lvlText w:val="•"/>
      <w:numFmt w:val="bullet"/>
      <w:start w:val="1"/>
    </w:lvl>
  </w:abstractNum>
  <w:abstractNum w:abstractNumId="102">
    <w:nsid w:val="2C27173B"/>
    <w:multiLevelType w:val="hybridMultilevel"/>
    <w:lvl w:ilvl="0">
      <w:lvlJc w:val="left"/>
      <w:lvlText w:val="%1."/>
      <w:numFmt w:val="decimal"/>
      <w:start w:val="8"/>
    </w:lvl>
  </w:abstractNum>
  <w:abstractNum w:abstractNumId="103">
    <w:nsid w:val="4C9B0904"/>
    <w:multiLevelType w:val="hybridMultilevel"/>
    <w:lvl w:ilvl="0">
      <w:lvlJc w:val="left"/>
      <w:lvlText w:val="(%1)"/>
      <w:numFmt w:val="lowerRoman"/>
      <w:start w:val="1"/>
    </w:lvl>
  </w:abstractNum>
  <w:abstractNum w:abstractNumId="104">
    <w:nsid w:val="6AA7B75C"/>
    <w:multiLevelType w:val="hybridMultilevel"/>
    <w:lvl w:ilvl="0">
      <w:lvlJc w:val="left"/>
      <w:lvlText w:val="•"/>
      <w:numFmt w:val="bullet"/>
      <w:start w:val="1"/>
    </w:lvl>
  </w:abstractNum>
  <w:abstractNum w:abstractNumId="105">
    <w:nsid w:val="1DF029D3"/>
    <w:multiLevelType w:val="hybridMultilevel"/>
    <w:lvl w:ilvl="0">
      <w:lvlJc w:val="left"/>
      <w:lvlText w:val="•"/>
      <w:numFmt w:val="bullet"/>
      <w:start w:val="1"/>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
      <w:numFmt w:val="bullet"/>
      <w:start w:val="1"/>
    </w:lvl>
  </w:abstractNum>
  <w:abstractNum w:abstractNumId="108">
    <w:nsid w:val="3DB012B3"/>
    <w:multiLevelType w:val="hybridMultilevel"/>
    <w:lvl w:ilvl="0">
      <w:lvlJc w:val="left"/>
      <w:lvlText w:val="*"/>
      <w:numFmt w:val="bullet"/>
      <w:start w:val="1"/>
    </w:lvl>
  </w:abstractNum>
  <w:abstractNum w:abstractNumId="109">
    <w:nsid w:val="2708C9AF"/>
    <w:multiLevelType w:val="hybridMultilevel"/>
    <w:lvl w:ilvl="0">
      <w:lvlJc w:val="left"/>
      <w:lvlText w:val="†"/>
      <w:numFmt w:val="bullet"/>
      <w:start w:val="1"/>
    </w:lvl>
  </w:abstractNum>
  <w:abstractNum w:abstractNumId="110">
    <w:nsid w:val="5B25ACE2"/>
    <w:multiLevelType w:val="hybridMultilevel"/>
    <w:lvl w:ilvl="0">
      <w:lvlJc w:val="left"/>
      <w:lvlText w:val="^"/>
      <w:numFmt w:val="bullet"/>
      <w:start w:val="1"/>
    </w:lvl>
  </w:abstractNum>
  <w:abstractNum w:abstractNumId="111">
    <w:nsid w:val="175DFCF0"/>
    <w:multiLevelType w:val="hybridMultilevel"/>
    <w:lvl w:ilvl="0">
      <w:lvlJc w:val="left"/>
      <w:lvlText w:val="(%1)"/>
      <w:numFmt w:val="decimal"/>
      <w:start w:val="1"/>
    </w:lvl>
  </w:abstractNum>
  <w:abstractNum w:abstractNumId="112">
    <w:nsid w:val="4F97E3E4"/>
    <w:multiLevelType w:val="hybridMultilevel"/>
    <w:lvl w:ilvl="0">
      <w:lvlJc w:val="left"/>
      <w:lvlText w:val="(%1)"/>
      <w:numFmt w:val="lowerLetter"/>
      <w:start w:val="1"/>
    </w:lvl>
  </w:abstractNum>
  <w:abstractNum w:abstractNumId="113">
    <w:nsid w:val="53B0A9E"/>
    <w:multiLevelType w:val="hybridMultilevel"/>
    <w:lvl w:ilvl="0">
      <w:lvlJc w:val="left"/>
      <w:lvlText w:val="(%1)"/>
      <w:numFmt w:val="lowerLetter"/>
      <w:start w:val="8"/>
    </w:lvl>
  </w:abstractNum>
  <w:abstractNum w:abstractNumId="114">
    <w:nsid w:val="34FD6B4F"/>
    <w:multiLevelType w:val="hybridMultilevel"/>
    <w:lvl w:ilvl="0">
      <w:lvlJc w:val="left"/>
      <w:lvlText w:val="(%1)"/>
      <w:numFmt w:val="lowerLetter"/>
      <w:start w:val="15"/>
    </w:lvl>
  </w:abstractNum>
  <w:abstractNum w:abstractNumId="115">
    <w:nsid w:val="5915FF32"/>
    <w:multiLevelType w:val="hybridMultilevel"/>
    <w:lvl w:ilvl="0">
      <w:lvlJc w:val="left"/>
      <w:lvlText w:val="(%1)"/>
      <w:numFmt w:val="lowerLetter"/>
      <w:start w:val="1"/>
    </w:lvl>
  </w:abstractNum>
  <w:abstractNum w:abstractNumId="116">
    <w:nsid w:val="56438D15"/>
    <w:multiLevelType w:val="hybridMultilevel"/>
    <w:lvl w:ilvl="0">
      <w:lvlJc w:val="left"/>
      <w:lvlText w:val="(%1)"/>
      <w:numFmt w:val="lowerRoman"/>
      <w:start w:val="1"/>
    </w:lvl>
  </w:abstractNum>
  <w:abstractNum w:abstractNumId="117">
    <w:nsid w:val="519E3149"/>
    <w:multiLevelType w:val="hybridMultilevel"/>
    <w:lvl w:ilvl="0">
      <w:lvlJc w:val="left"/>
      <w:lvlText w:val="(%1)"/>
      <w:numFmt w:val="lowerRoman"/>
      <w:start w:val="3"/>
    </w:lvl>
  </w:abstractNum>
  <w:abstractNum w:abstractNumId="118">
    <w:nsid w:val="2C6E4AFD"/>
    <w:multiLevelType w:val="hybridMultilevel"/>
    <w:lvl w:ilvl="0">
      <w:lvlJc w:val="left"/>
      <w:lvlText w:val="(%1)"/>
      <w:numFmt w:val="lowerLetter"/>
      <w:start w:val="4"/>
    </w:lvl>
  </w:abstractNum>
  <w:abstractNum w:abstractNumId="119">
    <w:nsid w:val="17A1B582"/>
    <w:multiLevelType w:val="hybridMultilevel"/>
    <w:lvl w:ilvl="0">
      <w:lvlJc w:val="left"/>
      <w:lvlText w:val="(%1)"/>
      <w:numFmt w:val="lowerLetter"/>
      <w:start w:val="6"/>
    </w:lvl>
  </w:abstractNum>
  <w:abstractNum w:abstractNumId="120">
    <w:nsid w:val="4DF72E4E"/>
    <w:multiLevelType w:val="hybridMultilevel"/>
    <w:lvl w:ilvl="0">
      <w:lvlJc w:val="left"/>
      <w:lvlText w:val="(%1)"/>
      <w:numFmt w:val="lowerLetter"/>
      <w:start w:val="1"/>
    </w:lvl>
  </w:abstractNum>
  <w:abstractNum w:abstractNumId="121">
    <w:nsid w:val="5046B5A9"/>
    <w:multiLevelType w:val="hybridMultilevel"/>
    <w:lvl w:ilvl="0">
      <w:lvlJc w:val="left"/>
      <w:lvlText w:val="(%1)"/>
      <w:numFmt w:val="lowerLetter"/>
      <w:start w:val="61"/>
    </w:lvl>
  </w:abstractNum>
  <w:abstractNum w:abstractNumId="122">
    <w:nsid w:val="5D888A08"/>
    <w:multiLevelType w:val="hybridMultilevel"/>
    <w:lvl w:ilvl="0">
      <w:lvlJc w:val="left"/>
      <w:lvlText w:val="(%1)"/>
      <w:numFmt w:val="lowerLetter"/>
      <w:start w:val="5"/>
    </w:lvl>
  </w:abstractNum>
  <w:abstractNum w:abstractNumId="123">
    <w:nsid w:val="2A082C70"/>
    <w:multiLevelType w:val="hybridMultilevel"/>
    <w:lvl w:ilvl="0">
      <w:lvlJc w:val="left"/>
      <w:lvlText w:val="(%1)"/>
      <w:numFmt w:val="lowerLetter"/>
      <w:start w:val="1"/>
    </w:lvl>
  </w:abstractNum>
  <w:abstractNum w:abstractNumId="124">
    <w:nsid w:val="5EC6AFD4"/>
    <w:multiLevelType w:val="hybridMultilevel"/>
    <w:lvl w:ilvl="0">
      <w:lvlJc w:val="left"/>
      <w:lvlText w:val="(%1)"/>
      <w:numFmt w:val="lowerLetter"/>
      <w:start w:val="2"/>
    </w:lvl>
  </w:abstractNum>
  <w:abstractNum w:abstractNumId="125">
    <w:nsid w:val="19E21BB2"/>
    <w:multiLevelType w:val="hybridMultilevel"/>
    <w:lvl w:ilvl="0">
      <w:lvlJc w:val="left"/>
      <w:lvlText w:val="(%1)"/>
      <w:numFmt w:val="lowerLetter"/>
      <w:start w:val="35"/>
    </w:lvl>
  </w:abstractNum>
  <w:abstractNum w:abstractNumId="126">
    <w:nsid w:val="75E0858A"/>
    <w:multiLevelType w:val="hybridMultilevel"/>
    <w:lvl w:ilvl="0">
      <w:lvlJc w:val="left"/>
      <w:lvlText w:val="(%1)"/>
      <w:numFmt w:val="lowerRoman"/>
      <w:start w:val="1"/>
    </w:lvl>
  </w:abstractNum>
  <w:abstractNum w:abstractNumId="127">
    <w:nsid w:val="57A61A29"/>
    <w:multiLevelType w:val="hybridMultilevel"/>
    <w:lvl w:ilvl="0">
      <w:lvlJc w:val="left"/>
      <w:lvlText w:val="(%1)"/>
      <w:numFmt w:val="lowerLetter"/>
      <w:start w:val="1"/>
    </w:lvl>
  </w:abstractNum>
  <w:abstractNum w:abstractNumId="128">
    <w:nsid w:val="5399C654"/>
    <w:multiLevelType w:val="hybridMultilevel"/>
    <w:lvl w:ilvl="0">
      <w:lvlJc w:val="left"/>
      <w:lvlText w:val="(%1)"/>
      <w:numFmt w:val="lowerLetter"/>
      <w:start w:val="1"/>
    </w:lvl>
  </w:abstractNum>
  <w:abstractNum w:abstractNumId="129">
    <w:nsid w:val="20EE1348"/>
    <w:multiLevelType w:val="hybridMultilevel"/>
    <w:lvl w:ilvl="0">
      <w:lvlJc w:val="left"/>
      <w:lvlText w:val="(%1)"/>
      <w:numFmt w:val="lowerLetter"/>
      <w:start w:val="2"/>
    </w:lvl>
  </w:abstractNum>
  <w:abstractNum w:abstractNumId="130">
    <w:nsid w:val="4427069A"/>
    <w:multiLevelType w:val="hybridMultilevel"/>
    <w:lvl w:ilvl="0">
      <w:lvlJc w:val="left"/>
      <w:lvlText w:val="(%1)"/>
      <w:numFmt w:val="lowerLetter"/>
      <w:start w:val="4"/>
    </w:lvl>
  </w:abstractNum>
  <w:abstractNum w:abstractNumId="131">
    <w:nsid w:val="B37E80A"/>
    <w:multiLevelType w:val="hybridMultilevel"/>
    <w:lvl w:ilvl="0">
      <w:lvlJc w:val="left"/>
      <w:lvlText w:val="(%1)"/>
      <w:numFmt w:val="lowerLetter"/>
      <w:start w:val="1"/>
    </w:lvl>
  </w:abstractNum>
  <w:abstractNum w:abstractNumId="132">
    <w:nsid w:val="2157F6BC"/>
    <w:multiLevelType w:val="hybridMultilevel"/>
    <w:lvl w:ilvl="0">
      <w:lvlJc w:val="left"/>
      <w:lvlText w:val="(%1)"/>
      <w:numFmt w:val="lowerLetter"/>
      <w:start w:val="1"/>
    </w:lvl>
  </w:abstractNum>
  <w:abstractNum w:abstractNumId="133">
    <w:nsid w:val="704E1DD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2021-01-11T23:21:17Z</dcterms:created>
  <dcterms:modified xsi:type="dcterms:W3CDTF">2021-01-11T23:21:17Z</dcterms:modified>
</cp:coreProperties>
</file>