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3660" w:right="1580" w:hanging="3639"/>
        <w:spacing w:after="0" w:line="226" w:lineRule="auto"/>
        <w:tabs>
          <w:tab w:leader="none" w:pos="485"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PRELUDE THERAPEUTICS INCORPORATED</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p>
      <w:pPr>
        <w:spacing w:after="0" w:line="18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81-1384762</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87" w:lineRule="exact"/>
        <w:rPr>
          <w:sz w:val="24"/>
          <w:szCs w:val="24"/>
          <w:color w:val="auto"/>
        </w:rPr>
      </w:pPr>
    </w:p>
    <w:p>
      <w:pPr>
        <w:sectPr>
          <w:pgSz w:w="11900" w:h="16838" w:orient="portrait"/>
          <w:cols w:equalWidth="0" w:num="2">
            <w:col w:w="7220" w:space="720"/>
            <w:col w:w="3300"/>
          </w:cols>
          <w:pgMar w:left="320" w:top="974" w:right="339" w:bottom="1440" w:gutter="0" w:footer="0" w:header="0"/>
          <w:type w:val="continuous"/>
        </w:sectPr>
      </w:pPr>
    </w:p>
    <w:tbl>
      <w:tblPr>
        <w:tblLayout w:type="fixed"/>
        <w:tblInd w:w="1760" w:type="dxa"/>
        <w:tblCellMar>
          <w:top w:w="0" w:type="dxa"/>
          <w:left w:w="0" w:type="dxa"/>
          <w:bottom w:w="0" w:type="dxa"/>
          <w:right w:w="0" w:type="dxa"/>
        </w:tblCellMar>
      </w:tblPr>
      <w:tr>
        <w:trPr>
          <w:trHeight w:val="230"/>
        </w:trPr>
        <w:tc>
          <w:tcPr>
            <w:tcW w:w="4240" w:type="dxa"/>
            <w:vAlign w:val="bottom"/>
          </w:tcPr>
          <w:p>
            <w:pPr>
              <w:jc w:val="center"/>
              <w:ind w:right="2079"/>
              <w:spacing w:after="0"/>
              <w:rPr>
                <w:sz w:val="20"/>
                <w:szCs w:val="20"/>
                <w:color w:val="auto"/>
              </w:rPr>
            </w:pPr>
            <w:r>
              <w:rPr>
                <w:rFonts w:ascii="Times New Roman" w:cs="Times New Roman" w:eastAsia="Times New Roman" w:hAnsi="Times New Roman"/>
                <w:sz w:val="18"/>
                <w:szCs w:val="18"/>
                <w:b w:val="1"/>
                <w:bCs w:val="1"/>
                <w:color w:val="auto"/>
                <w:w w:val="99"/>
              </w:rPr>
              <w:t>175 Innovation Boulevard</w:t>
            </w:r>
          </w:p>
        </w:tc>
        <w:tc>
          <w:tcPr>
            <w:tcW w:w="2720" w:type="dxa"/>
            <w:vAlign w:val="bottom"/>
          </w:tcPr>
          <w:p>
            <w:pPr>
              <w:spacing w:after="0"/>
              <w:rPr>
                <w:sz w:val="19"/>
                <w:szCs w:val="19"/>
                <w:color w:val="auto"/>
              </w:rPr>
            </w:pPr>
          </w:p>
        </w:tc>
      </w:tr>
      <w:tr>
        <w:trPr>
          <w:trHeight w:val="232"/>
        </w:trPr>
        <w:tc>
          <w:tcPr>
            <w:tcW w:w="424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2720" w:type="dxa"/>
            <w:vAlign w:val="bottom"/>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19805</w:t>
            </w:r>
          </w:p>
        </w:tc>
      </w:tr>
      <w:tr>
        <w:trPr>
          <w:trHeight w:val="166"/>
        </w:trPr>
        <w:tc>
          <w:tcPr>
            <w:tcW w:w="424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720" w:type="dxa"/>
            <w:vAlign w:val="bottom"/>
          </w:tcPr>
          <w:p>
            <w:pPr>
              <w:jc w:val="center"/>
              <w:ind w:left="20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PRLD</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firstLine="47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0" w:firstLine="478"/>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60" w:firstLine="47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jc w:val="both"/>
        <w:ind w:right="100" w:firstLine="478"/>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left="480"/>
        <w:spacing w:after="0" w:line="184" w:lineRule="exact"/>
        <w:tabs>
          <w:tab w:leader="none" w:pos="8020" w:val="left"/>
          <w:tab w:leader="none" w:pos="87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November 10, 2025, the registrant had 62,865,270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9560" w:type="dxa"/>
            <w:vAlign w:val="bottom"/>
            <w:gridSpan w:val="17"/>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Balance Sheets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 and Comprehensive Loss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Statements of Changes in Stockholders’ Equity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Interim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2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220" w:type="dxa"/>
            <w:vAlign w:val="bottom"/>
            <w:tcBorders>
              <w:left w:val="single" w:sz="8" w:color="0000FF"/>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vMerge w:val="continue"/>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8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4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center"/>
              <w:ind w:right="400"/>
              <w:spacing w:after="0"/>
              <w:rPr>
                <w:sz w:val="20"/>
                <w:szCs w:val="20"/>
                <w:color w:val="auto"/>
              </w:rPr>
            </w:pPr>
            <w:r>
              <w:rPr>
                <w:rFonts w:ascii="Times New Roman" w:cs="Times New Roman" w:eastAsia="Times New Roman" w:hAnsi="Times New Roman"/>
                <w:sz w:val="14"/>
                <w:szCs w:val="14"/>
                <w:color w:val="auto"/>
              </w:rPr>
              <w:t>(unaudited)</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47,532</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135,895</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28,699</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49"/>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94,755</w:t>
            </w:r>
          </w:p>
        </w:tc>
        <w:tc>
          <w:tcPr>
            <w:tcW w:w="1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175,515</w:t>
            </w:r>
          </w:p>
        </w:tc>
        <w:tc>
          <w:tcPr>
            <w:tcW w:w="100" w:type="dxa"/>
            <w:vAlign w:val="bottom"/>
            <w:shd w:val="clear" w:color="auto" w:fill="CFF0FC"/>
          </w:tcPr>
          <w:p>
            <w:pPr>
              <w:spacing w:after="0"/>
              <w:rPr>
                <w:sz w:val="21"/>
                <w:szCs w:val="21"/>
                <w:color w:val="auto"/>
              </w:rPr>
            </w:pPr>
          </w:p>
        </w:tc>
      </w:tr>
      <w:tr>
        <w:trPr>
          <w:trHeight w:val="197"/>
        </w:trPr>
        <w:tc>
          <w:tcPr>
            <w:tcW w:w="7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 liability</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18"/>
                <w:szCs w:val="18"/>
                <w:color w:val="auto"/>
              </w:rPr>
            </w:pPr>
          </w:p>
        </w:tc>
      </w:tr>
      <w:tr>
        <w:trPr>
          <w:trHeight w:val="210"/>
        </w:trPr>
        <w:tc>
          <w:tcPr>
            <w:tcW w:w="76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25,641</w:t>
            </w:r>
          </w:p>
        </w:tc>
        <w:tc>
          <w:tcPr>
            <w:tcW w:w="100" w:type="dxa"/>
            <w:vAlign w:val="bottom"/>
            <w:tcBorders>
              <w:top w:val="single" w:sz="8" w:color="CFF0FC"/>
            </w:tcBorders>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100" w:type="dxa"/>
            <w:vAlign w:val="bottom"/>
          </w:tcPr>
          <w:p>
            <w:pPr>
              <w:spacing w:after="0"/>
              <w:rPr>
                <w:sz w:val="18"/>
                <w:szCs w:val="18"/>
                <w:color w:val="auto"/>
              </w:rPr>
            </w:pPr>
          </w:p>
        </w:tc>
      </w:tr>
      <w:tr>
        <w:trPr>
          <w:trHeight w:val="209"/>
        </w:trPr>
        <w:tc>
          <w:tcPr>
            <w:tcW w:w="7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(Note 8)</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6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Voting common stock, $0.0001 par value: 487,149,741 shares authorized; 43,750,086 and</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42,298,859 shares issued and outstanding at September 30, 2025 and December 31, 2024,</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198"/>
        </w:trPr>
        <w:tc>
          <w:tcPr>
            <w:tcW w:w="76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Non-voting common stock, $0.0001 par value: 112,850,259 and 12,850,259 shares authorized at</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September 30, 2025 and December 31, 2024, respectively; 12,850,259 shares issued and</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at both September 30, 2025 and December 31, 2024</w:t>
            </w: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714,982</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(666,604)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(583,563)</w:t>
            </w:r>
          </w:p>
        </w:tc>
      </w:tr>
      <w:tr>
        <w:trPr>
          <w:trHeight w:val="210"/>
        </w:trPr>
        <w:tc>
          <w:tcPr>
            <w:tcW w:w="7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58,534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94,755</w:t>
            </w:r>
          </w:p>
        </w:tc>
        <w:tc>
          <w:tcPr>
            <w:tcW w:w="1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175,515</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-4088765</wp:posOffset>
            </wp:positionV>
            <wp:extent cx="768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-4088765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-3248025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-3231515</wp:posOffset>
            </wp:positionV>
            <wp:extent cx="76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-3231515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-2399665</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-1833880</wp:posOffset>
            </wp:positionV>
            <wp:extent cx="76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60" w:type="dxa"/>
            <w:vAlign w:val="bottom"/>
          </w:tcPr>
          <w:p>
            <w:pPr>
              <w:spacing w:after="0"/>
              <w:rPr>
                <w:sz w:val="15"/>
                <w:szCs w:val="15"/>
                <w:color w:val="auto"/>
              </w:rPr>
            </w:pPr>
          </w:p>
        </w:tc>
        <w:tc>
          <w:tcPr>
            <w:tcW w:w="282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66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400" w:type="dxa"/>
            <w:vAlign w:val="bottom"/>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(20,418)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(34,376)</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(87,218)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(105,883)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(19,725)</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(32,271)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(83,041)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(98,442)</w:t>
            </w:r>
          </w:p>
        </w:tc>
        <w:tc>
          <w:tcPr>
            <w:tcW w:w="0" w:type="dxa"/>
            <w:vAlign w:val="bottom"/>
          </w:tcPr>
          <w:p>
            <w:pPr>
              <w:spacing w:after="0"/>
              <w:rPr>
                <w:sz w:val="1"/>
                <w:szCs w:val="1"/>
                <w:color w:val="auto"/>
              </w:rPr>
            </w:pPr>
          </w:p>
        </w:tc>
      </w:tr>
      <w:tr>
        <w:trPr>
          <w:trHeight w:val="197"/>
        </w:trPr>
        <w:tc>
          <w:tcPr>
            <w:tcW w:w="54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Per share information:</w:t>
            </w: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78"/>
        </w:trPr>
        <w:tc>
          <w:tcPr>
            <w:tcW w:w="540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76,132,337</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75,855,949</w:t>
            </w:r>
          </w:p>
        </w:tc>
        <w:tc>
          <w:tcPr>
            <w:tcW w:w="26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76,038,055</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75,784,902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4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(19,725)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(32,271)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(83,041)</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(98,442)</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(19,722)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(31,814)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(83,074)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(98,498)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-1757045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-1757045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-1757045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-1182370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-1165225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-1182370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-1165225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-1182370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-1165225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-882650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-864870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-882650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-864870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-882650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-864870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-170815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0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4"/>
            <w:vMerge w:val="restart"/>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Non-voting common</w:t>
            </w: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Borders>
              <w:bottom w:val="single" w:sz="8" w:color="auto"/>
            </w:tcBorders>
            <w:gridSpan w:val="2"/>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w w:val="96"/>
              </w:rPr>
              <w:t>stock</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0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86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(583,56</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42,298,859</w:t>
            </w:r>
          </w:p>
        </w:tc>
        <w:tc>
          <w:tcPr>
            <w:tcW w:w="6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$ 714,982</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RSUs, net of 3,859 shares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3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1,299,827</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securities, net of tax</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(32,085)</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(32,085)</w:t>
            </w:r>
          </w:p>
        </w:tc>
        <w:tc>
          <w:tcPr>
            <w:tcW w:w="0" w:type="dxa"/>
            <w:vAlign w:val="bottom"/>
          </w:tcPr>
          <w:p>
            <w:pPr>
              <w:spacing w:after="0"/>
              <w:rPr>
                <w:sz w:val="1"/>
                <w:szCs w:val="1"/>
                <w:color w:val="auto"/>
              </w:rPr>
            </w:pPr>
          </w:p>
        </w:tc>
      </w:tr>
      <w:tr>
        <w:trPr>
          <w:trHeight w:val="191"/>
        </w:trPr>
        <w:tc>
          <w:tcPr>
            <w:tcW w:w="30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0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(615,64</w:t>
            </w: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43,604,202</w:t>
            </w:r>
          </w:p>
        </w:tc>
        <w:tc>
          <w:tcPr>
            <w:tcW w:w="6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$ 718,809</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RSUs, net of 3,355 shares withheld for</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employee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133,844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securities, net of tax</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(31,231)</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(31,231)</w:t>
            </w:r>
          </w:p>
        </w:tc>
        <w:tc>
          <w:tcPr>
            <w:tcW w:w="0" w:type="dxa"/>
            <w:vAlign w:val="bottom"/>
          </w:tcPr>
          <w:p>
            <w:pPr>
              <w:spacing w:after="0"/>
              <w:rPr>
                <w:sz w:val="1"/>
                <w:szCs w:val="1"/>
                <w:color w:val="auto"/>
              </w:rPr>
            </w:pPr>
          </w:p>
        </w:tc>
      </w:tr>
      <w:tr>
        <w:trPr>
          <w:trHeight w:val="191"/>
        </w:trPr>
        <w:tc>
          <w:tcPr>
            <w:tcW w:w="30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0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(646,87</w:t>
            </w: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43,744,066</w:t>
            </w:r>
          </w:p>
        </w:tc>
        <w:tc>
          <w:tcPr>
            <w:tcW w:w="6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$ 722,713</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RSUs, net of 3,355 shares withheld for</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employee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3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(19,725)</w:t>
            </w: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(19,725)</w:t>
            </w:r>
          </w:p>
        </w:tc>
        <w:tc>
          <w:tcPr>
            <w:tcW w:w="0" w:type="dxa"/>
            <w:vAlign w:val="bottom"/>
          </w:tcPr>
          <w:p>
            <w:pPr>
              <w:spacing w:after="0"/>
              <w:rPr>
                <w:sz w:val="1"/>
                <w:szCs w:val="1"/>
                <w:color w:val="auto"/>
              </w:rPr>
            </w:pPr>
          </w:p>
        </w:tc>
      </w:tr>
      <w:tr>
        <w:trPr>
          <w:trHeight w:val="191"/>
        </w:trPr>
        <w:tc>
          <w:tcPr>
            <w:tcW w:w="300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0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(666,60</w:t>
            </w: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43,750,086</w:t>
            </w:r>
          </w:p>
        </w:tc>
        <w:tc>
          <w:tcPr>
            <w:tcW w:w="6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4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$ 725,131</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-2939415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-2939415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-2939415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-2939415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-2939415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-2939415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-2939415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-1414145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-1414145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-1414145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-1414145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-1414145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-1414145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-1414145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-307975</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-307975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-307975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-307975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-307975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-307975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-307975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8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tcBorders>
              <w:top w:val="single" w:sz="8" w:color="auto"/>
            </w:tcBorders>
            <w:gridSpan w:val="3"/>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8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20" w:type="dxa"/>
            <w:vAlign w:val="bottom"/>
          </w:tcPr>
          <w:p>
            <w:pPr>
              <w:spacing w:after="0"/>
              <w:rPr>
                <w:sz w:val="12"/>
                <w:szCs w:val="12"/>
                <w:color w:val="auto"/>
              </w:rPr>
            </w:pPr>
          </w:p>
        </w:tc>
        <w:tc>
          <w:tcPr>
            <w:tcW w:w="1920" w:type="dxa"/>
            <w:vAlign w:val="bottom"/>
            <w:gridSpan w:val="4"/>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Non-voting common stock</w:t>
            </w: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3"/>
                <w:szCs w:val="13"/>
                <w:color w:val="auto"/>
              </w:rPr>
            </w:pPr>
          </w:p>
        </w:tc>
        <w:tc>
          <w:tcPr>
            <w:tcW w:w="184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92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52"/>
              <w:spacing w:after="0" w:line="142"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9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42,063,99</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693,252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 (456,390)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237,090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RSUs, net of 4,285 shares withheld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for employee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8"/>
        </w:trPr>
        <w:tc>
          <w:tcPr>
            <w:tcW w:w="2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net of tax</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(458)</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(31,431)</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(31,431)</w:t>
            </w:r>
          </w:p>
        </w:tc>
        <w:tc>
          <w:tcPr>
            <w:tcW w:w="0" w:type="dxa"/>
            <w:vAlign w:val="bottom"/>
          </w:tcPr>
          <w:p>
            <w:pPr>
              <w:spacing w:after="0"/>
              <w:rPr>
                <w:sz w:val="1"/>
                <w:szCs w:val="1"/>
                <w:color w:val="auto"/>
              </w:rPr>
            </w:pPr>
          </w:p>
        </w:tc>
      </w:tr>
      <w:tr>
        <w:trPr>
          <w:trHeight w:val="191"/>
        </w:trPr>
        <w:tc>
          <w:tcPr>
            <w:tcW w:w="286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42,071,50</w:t>
            </w:r>
          </w:p>
        </w:tc>
        <w:tc>
          <w:tcPr>
            <w:tcW w:w="22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698,785</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 (487,821)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net of 3,722 shares withheld</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employee taxes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net of tax</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(34,740)</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(34,740)</w:t>
            </w:r>
          </w:p>
        </w:tc>
        <w:tc>
          <w:tcPr>
            <w:tcW w:w="0" w:type="dxa"/>
            <w:vAlign w:val="bottom"/>
          </w:tcPr>
          <w:p>
            <w:pPr>
              <w:spacing w:after="0"/>
              <w:rPr>
                <w:sz w:val="1"/>
                <w:szCs w:val="1"/>
                <w:color w:val="auto"/>
              </w:rPr>
            </w:pPr>
          </w:p>
        </w:tc>
      </w:tr>
      <w:tr>
        <w:trPr>
          <w:trHeight w:val="191"/>
        </w:trPr>
        <w:tc>
          <w:tcPr>
            <w:tcW w:w="286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42,158,22</w:t>
            </w:r>
          </w:p>
        </w:tc>
        <w:tc>
          <w:tcPr>
            <w:tcW w:w="22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705,122</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 (522,561)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net of 3,722 shares withheld</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employee taxes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of forfeitures of restricted stock</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(32,271)</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(32,271)</w:t>
            </w:r>
          </w:p>
        </w:tc>
        <w:tc>
          <w:tcPr>
            <w:tcW w:w="0" w:type="dxa"/>
            <w:vAlign w:val="bottom"/>
          </w:tcPr>
          <w:p>
            <w:pPr>
              <w:spacing w:after="0"/>
              <w:rPr>
                <w:sz w:val="1"/>
                <w:szCs w:val="1"/>
                <w:color w:val="auto"/>
              </w:rPr>
            </w:pPr>
          </w:p>
        </w:tc>
      </w:tr>
      <w:tr>
        <w:trPr>
          <w:trHeight w:val="191"/>
        </w:trPr>
        <w:tc>
          <w:tcPr>
            <w:tcW w:w="28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9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42,178,01</w:t>
            </w: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711,091</w:t>
            </w:r>
          </w:p>
        </w:tc>
        <w:tc>
          <w:tcPr>
            <w:tcW w:w="22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 (554,832)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156,431</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-3634105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-3634105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-3634105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-3634105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-3634105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-3634105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-3634105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-3634105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-1971040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-1971040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-1971040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-1971040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-1971040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-1971040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-1971040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-1971040</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-25400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31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(83,041)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(98,442)</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(3,688)</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(79,421)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(82,144)</w:t>
            </w: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(34,127)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(45,366)</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113,798</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68,073</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 under ESPP</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 in connection with the exercise of stock options</w:t>
            </w:r>
          </w:p>
        </w:tc>
        <w:tc>
          <w:tcPr>
            <w:tcW w:w="3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withholding taxes related to stock-based compensation to employees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(14,157)</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50,767</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-2571115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-2571115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-2013585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-2013585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-890905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-607695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right="160" w:firstLine="478"/>
        <w:spacing w:after="0" w:line="266" w:lineRule="auto"/>
        <w:rPr>
          <w:sz w:val="20"/>
          <w:szCs w:val="20"/>
          <w:color w:val="auto"/>
        </w:rPr>
      </w:pPr>
      <w:r>
        <w:rPr>
          <w:rFonts w:ascii="Times New Roman" w:cs="Times New Roman" w:eastAsia="Times New Roman" w:hAnsi="Times New Roman"/>
          <w:sz w:val="18"/>
          <w:szCs w:val="18"/>
          <w:color w:val="auto"/>
        </w:rPr>
        <w:t>Prelude Therapeutics Incorporated (the “Company”) is a precision oncology company built on a foundation of drug discovery excellence to deliver novel precision cancer medicines to underserved patients. Since beginning operations in 2016, the Company has devoted substantially all its efforts to research and development, conducting preclinical and clinical studies, recruiting management and technical staff, administration, and raising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229"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The Company faces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adequate protection for the Company’s technology will be obtained, any products developed will obtain necessary government regulatory approval, or any approved products will be commercially viable. The Company operates in an environment of rapid change in technology and substantial competition from pharmaceutical and biotechnology companies.</w:t>
      </w:r>
    </w:p>
    <w:p>
      <w:pPr>
        <w:spacing w:after="0" w:line="188" w:lineRule="exact"/>
        <w:rPr>
          <w:sz w:val="20"/>
          <w:szCs w:val="20"/>
          <w:color w:val="auto"/>
        </w:rPr>
      </w:pPr>
    </w:p>
    <w:p>
      <w:pPr>
        <w:ind w:right="60" w:firstLine="479"/>
        <w:spacing w:after="0" w:line="277" w:lineRule="auto"/>
        <w:rPr>
          <w:sz w:val="20"/>
          <w:szCs w:val="20"/>
          <w:color w:val="auto"/>
        </w:rPr>
      </w:pPr>
      <w:r>
        <w:rPr>
          <w:rFonts w:ascii="Times New Roman" w:cs="Times New Roman" w:eastAsia="Times New Roman" w:hAnsi="Times New Roman"/>
          <w:sz w:val="17"/>
          <w:szCs w:val="17"/>
          <w:color w:val="auto"/>
        </w:rPr>
        <w:t>The Company follows the provisions of Financial Accounting Standards Board (“FASB”) Accounting Standards Codification (“ASC”) 205-40, Presentation of Financial Statements—Going Concern, which requires management to assess the Company’s ability to continue as a going concern within one year after the date the financial statements are issued. Since its inception, the Company has incurred operating losses and had an accumulated deficit of $666.6 million as of September 30, 2025. The Company has no product revenue to date and devotes its efforts to research and development. The Company anticipates incurring additional losses until such time, if ever, that it can generate significant sales of its product candidates currently in development.</w:t>
      </w:r>
    </w:p>
    <w:p>
      <w:pPr>
        <w:spacing w:after="0" w:line="168"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At September 30, 2025, the Company had cash, cash equivalents, restricted cash and marketable securities totaling $58.2 million. Subsequent to September 30, 2025, the Company received $6 million from its expanded collaborative agreement with AbCellera in October 2025. See Note 8 - Commitments for additional information. In November 2025, the Company received $60 million in capital, comprised of an initial payment of $35 million in cash plus a $25 million equity investment, from Incyte Corporation ("Incyte"). See Note 12 - Subsequent Events for additional information. Based on preliminary estimates, the Company believes that these funds and its existing cash, cash equivalents, restricted cash and marketable securities could extend its cash runway into 2027.</w:t>
      </w:r>
    </w:p>
    <w:p>
      <w:pPr>
        <w:spacing w:after="0" w:line="187"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In November 2025, the Company also announced changes in the research and development programs that it plans to devote its resources towards over the next twelve months. The Company believes that these changes provide some uncertainty around its preliminary cash flow estimates, and therefore, that its cash, cash equivalents, restricted cash and marketable securities may not be sufficient to fund its operating expenses and capital expenditure requirements for at least the next twelve months from the filing date of this Quarterly Report on Form 10-Q. As a result, substantial doubt exists about the Company's ability to continue as a going concern. The accompanying financial statements have been prepared on a going concern basis, which contemplates the realization of assets and satisfaction of liabilities in the ordinary course of business. The financial statements do not include any adjustments related to the recoverability and classification of recorded asset amounts or the amounts and classification of liabilities that might result from the outcome of the uncertainties described above.</w:t>
      </w:r>
    </w:p>
    <w:p>
      <w:pPr>
        <w:spacing w:after="0" w:line="192"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it could be required to delay, reduce or eliminate research and development programs, product portfolio expansion or future commercialization efforts, which could adversely affect its business prospects.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9"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8"/>
          <w:szCs w:val="18"/>
          <w:color w:val="auto"/>
        </w:rPr>
        <w:t>The complete summary of significant accounting policies included in the Company’s financial statements for the year ended December 31, 2024 can be found in “Note 3. Summary of significant accounting policies” of the Company’s Annual Report on Form 10-K filed with the Securities and Exchange Commission (the “SEC”) on March 10, 2025.</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and nine months ended September 30, 2025 are not necessarily indicative of the results that may be expected for the year ending December 31, 2025. The accompanying unaudited interim financial statements should be read in conjunction with the annual audited financial statements and related notes as of and for the year ended December 31, 2024 found in the Company's Annual Report on Form 10-K filed with the SEC on March 10, 2025. Any reference in these notes to applicable guidance is meant to refer to GAAP as found in the Accounting Standards Codification (“ASC”) and Accounting Standards Updates (“ASU”) of the Financial Accounting Standards Board (“FASB”).</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right="260" w:firstLine="478"/>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76"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September 30, 2025 and December 31, 2024.</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operating decision maker ("CODM") is its Chief Executive Officer. The Company views and manages its operations as a single operating segment.</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162" w:lineRule="exact"/>
        <w:rPr>
          <w:sz w:val="20"/>
          <w:szCs w:val="20"/>
          <w:color w:val="auto"/>
        </w:rPr>
      </w:pPr>
    </w:p>
    <w:p>
      <w:pPr>
        <w:ind w:right="540" w:firstLine="479"/>
        <w:spacing w:after="0" w:line="282" w:lineRule="auto"/>
        <w:rPr>
          <w:sz w:val="20"/>
          <w:szCs w:val="20"/>
          <w:color w:val="auto"/>
        </w:rPr>
      </w:pPr>
      <w:r>
        <w:rPr>
          <w:rFonts w:ascii="Times New Roman" w:cs="Times New Roman" w:eastAsia="Times New Roman" w:hAnsi="Times New Roman"/>
          <w:sz w:val="18"/>
          <w:szCs w:val="18"/>
          <w:color w:val="auto"/>
        </w:rPr>
        <w:t>Restricted cash consists of a letter of credit for the benefit of the landlord in connection with the Company’s Chestnut Run Lease. See Note 8-Commitments for further details.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ind w:right="48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that total to the amounts shown in the statement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47,532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12,474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4,044</w:t>
            </w:r>
          </w:p>
        </w:tc>
      </w:tr>
      <w:tr>
        <w:trPr>
          <w:trHeight w:val="20"/>
        </w:trPr>
        <w:tc>
          <w:tcPr>
            <w:tcW w:w="7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 of cash flows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50,767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16,518</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corporate debt securities and United States (“U.S.”) government debt securities that are classified as available-for-sale. The securities are carried at fair value with the unrealized gains and losses, net of tax, included in accumulated other comprehensive loss, a component of stockholders’ equity. Realized gains and losses as well as credit losses, if any, on marketable securities are included in the Company’s statements of operations. The Company classifies marketable securities that are available for use in current operations as current assets on the balance sheets.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360" w:firstLine="479"/>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 Codification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the Company recognizes revenue when its customer obtains control of promised goods or services, in an amount that reflects the consideration which the Company expects to receive in exchange for those goods or services. The Company's revenue recognition analysis consists of the following steps: (i) identify the contract(s) with a customer; (ii) identify the performance obligations in the contract; (iii) determine the transaction price; (iv) allocate the transaction price to the performance obligations; and (v) recognition of revenue as we satisfy each performance obligation.</w:t>
      </w:r>
    </w:p>
    <w:p>
      <w:pPr>
        <w:spacing w:after="0" w:line="185"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The Company evaluates all promised goods and services within a customer contract and determines which goods and services are separate performance obligations. This evaluation includes an assessment of whether the good or service is capable of being distinct and whether the good or service is separable from other promises in the contract.</w:t>
      </w:r>
    </w:p>
    <w:p>
      <w:pPr>
        <w:spacing w:after="0" w:line="176"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The transaction price is determined based on the amount of consideration to which the Company expects to be entitled in exchange for transferring promised goods or services to a customer. The Company recognizes as revenue the amount of the transaction price that is allocated to the respective performance obligations when (or as) the performance obligations are satisfied. The Company recognizes a liability when the Company has received payment but has not yet satisfied the related performance obligations.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including pre-funded warrants to purchase shares of common stock. Diluted net loss per share of common stock includes the effect, if any, from the potential exercise of securities, such as stock options, and the effect from unvested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w:t>
      </w:r>
    </w:p>
    <w:p>
      <w:pPr>
        <w:spacing w:after="0" w:line="183" w:lineRule="exact"/>
        <w:rPr>
          <w:sz w:val="20"/>
          <w:szCs w:val="20"/>
          <w:color w:val="auto"/>
        </w:rPr>
      </w:pPr>
    </w:p>
    <w:p>
      <w:pPr>
        <w:ind w:right="680" w:firstLine="47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234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60" w:type="dxa"/>
            <w:vAlign w:val="bottom"/>
          </w:tcPr>
          <w:p>
            <w:pPr>
              <w:spacing w:after="0"/>
              <w:rPr>
                <w:sz w:val="12"/>
                <w:szCs w:val="12"/>
                <w:color w:val="auto"/>
              </w:rPr>
            </w:pPr>
          </w:p>
        </w:tc>
        <w:tc>
          <w:tcPr>
            <w:tcW w:w="160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292,375</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15,502,712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15,036,871</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127,814</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15,922,901</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15,207,896</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227"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 The Company anticipates that it will no longer be an emerging growth company as of December 31, 2025 and, as a result, we will no longer be able to take advantage of reduced disclosure and other obligations that are available to emerging growth companies after that date. However, even after we no longer qualify as an emerging growth company, we may still qualify as a “smaller reporting company” which would allow us to take advantage of many of the same exemptions from disclosure requirements and other obligations.</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227" w:lineRule="exact"/>
        <w:rPr>
          <w:sz w:val="20"/>
          <w:szCs w:val="20"/>
          <w:color w:val="auto"/>
        </w:rPr>
      </w:pPr>
    </w:p>
    <w:p>
      <w:pPr>
        <w:ind w:right="240" w:firstLine="47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 Improvements to Income Tax Disclosures. ASU 2023-09 requires enhanced income tax disclosures related to the rate reconciliation and income taxes paid information. For public business entities, the amendments in this ASU are effective for annual periods beginning after December 15, 2024 with early adoption permitted. The Company is currently evaluating the impact of this standard but does not expect that it will have a material impact on the financial statements and related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provides detail of the Company's marketable securities.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28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Pr>
          <w:p>
            <w:pPr>
              <w:spacing w:after="0"/>
              <w:rPr>
                <w:sz w:val="18"/>
                <w:szCs w:val="18"/>
                <w:color w:val="auto"/>
              </w:rPr>
            </w:pPr>
          </w:p>
        </w:tc>
      </w:tr>
      <w:tr>
        <w:trPr>
          <w:trHeight w:val="25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100" w:type="dxa"/>
            <w:vAlign w:val="bottom"/>
            <w:shd w:val="clear" w:color="auto" w:fill="CFF0FC"/>
          </w:tcPr>
          <w:p>
            <w:pPr>
              <w:spacing w:after="0"/>
              <w:rPr>
                <w:sz w:val="21"/>
                <w:szCs w:val="21"/>
                <w:color w:val="auto"/>
              </w:rPr>
            </w:pPr>
          </w:p>
        </w:tc>
      </w:tr>
      <w:tr>
        <w:trPr>
          <w:trHeight w:val="197"/>
        </w:trPr>
        <w:tc>
          <w:tcPr>
            <w:tcW w:w="2920" w:type="dxa"/>
            <w:vAlign w:val="bottom"/>
            <w:tcBorders>
              <w:top w:val="single" w:sz="8" w:color="CFF0FC"/>
            </w:tcBorders>
          </w:tcPr>
          <w:p>
            <w:pPr>
              <w:spacing w:after="0"/>
              <w:rPr>
                <w:sz w:val="17"/>
                <w:szCs w:val="17"/>
                <w:color w:val="auto"/>
              </w:rPr>
            </w:pPr>
          </w:p>
        </w:tc>
        <w:tc>
          <w:tcPr>
            <w:tcW w:w="8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70,059</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70,076</w:t>
            </w: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51,046</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51,064</w:t>
            </w:r>
          </w:p>
        </w:tc>
        <w:tc>
          <w:tcPr>
            <w:tcW w:w="100" w:type="dxa"/>
            <w:vAlign w:val="bottom"/>
          </w:tcPr>
          <w:p>
            <w:pPr>
              <w:spacing w:after="0"/>
              <w:rPr>
                <w:sz w:val="18"/>
                <w:szCs w:val="18"/>
                <w:color w:val="auto"/>
              </w:rPr>
            </w:pPr>
          </w:p>
        </w:tc>
      </w:tr>
      <w:tr>
        <w:trPr>
          <w:trHeight w:val="23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121,105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100" w:type="dxa"/>
            <w:vAlign w:val="bottom"/>
            <w:shd w:val="clear" w:color="auto" w:fill="CFF0FC"/>
          </w:tcPr>
          <w:p>
            <w:pPr>
              <w:spacing w:after="0"/>
              <w:rPr>
                <w:sz w:val="19"/>
                <w:szCs w:val="19"/>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-882015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-864870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-882015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-864870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-882015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-864870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generally have contractual maturity dates of 4 months or less. As of September 30, 2025, the Company had 1 security with a total fair market value of $1.4 million in an unrealized loss position. The Company believes any unrealized losses associated with the decline in value of its securities is temporary and is primarily related to market factors. Furthermore, the Company believes it is more likely than not that it will be able to hold its marketable securities to maturity. Therefore, the Company anticipates a full recovery of the amortized cost basis of its marketable securities at maturity and an allowance for credit losses was not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229"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ind w:right="220"/>
        <w:spacing w:after="0" w:line="282" w:lineRule="auto"/>
        <w:rPr>
          <w:sz w:val="20"/>
          <w:szCs w:val="20"/>
          <w:color w:val="auto"/>
        </w:rPr>
      </w:pPr>
      <w:r>
        <w:rPr>
          <w:rFonts w:ascii="Times New Roman" w:cs="Times New Roman" w:eastAsia="Times New Roman" w:hAnsi="Times New Roman"/>
          <w:sz w:val="18"/>
          <w:szCs w:val="18"/>
          <w:color w:val="auto"/>
        </w:rPr>
        <w:t>follows the provisions of ASC 820, Fair Value Measurement, for financial assets and liabilities measured on a recurring basis. The guidance requires fair value measurements be classified and disclosed in one of the following three categories:</w:t>
      </w:r>
    </w:p>
    <w:p>
      <w:pPr>
        <w:spacing w:after="0" w:line="52" w:lineRule="exact"/>
        <w:rPr>
          <w:sz w:val="20"/>
          <w:szCs w:val="20"/>
          <w:color w:val="auto"/>
        </w:rPr>
      </w:pPr>
    </w:p>
    <w:p>
      <w:pPr>
        <w:ind w:left="960" w:hanging="47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ind w:left="96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50" w:lineRule="exact"/>
        <w:rPr>
          <w:rFonts w:ascii="Times New Roman" w:cs="Times New Roman" w:eastAsia="Times New Roman" w:hAnsi="Times New Roman"/>
          <w:sz w:val="18"/>
          <w:szCs w:val="18"/>
          <w:color w:val="auto"/>
        </w:rPr>
      </w:pPr>
    </w:p>
    <w:p>
      <w:pPr>
        <w:ind w:left="960" w:right="52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little or no market activity).</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60" w:type="dxa"/>
            <w:vAlign w:val="bottom"/>
            <w:gridSpan w:val="11"/>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 active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16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44,841</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44,841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70,076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51,064</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4"/>
        </w:trPr>
        <w:tc>
          <w:tcPr>
            <w:tcW w:w="6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26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-4045585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-4045585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-4045585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-2914015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-2914015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-2914015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-2622550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-2605405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-2622550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-2605405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-2622550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-2605405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-1079500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Statements</w:t>
      </w:r>
    </w:p>
    <w:p>
      <w:pPr>
        <w:spacing w:after="0" w:line="121" w:lineRule="exact"/>
        <w:rPr>
          <w:sz w:val="20"/>
          <w:szCs w:val="20"/>
          <w:color w:val="auto"/>
        </w:rPr>
      </w:pPr>
    </w:p>
    <w:p>
      <w:pPr>
        <w:ind w:right="140" w:firstLine="479"/>
        <w:spacing w:after="0" w:line="261" w:lineRule="auto"/>
        <w:rPr>
          <w:sz w:val="20"/>
          <w:szCs w:val="20"/>
          <w:color w:val="auto"/>
        </w:rPr>
      </w:pPr>
      <w:r>
        <w:rPr>
          <w:rFonts w:ascii="Times New Roman" w:cs="Times New Roman" w:eastAsia="Times New Roman" w:hAnsi="Times New Roman"/>
          <w:sz w:val="18"/>
          <w:szCs w:val="18"/>
          <w:color w:val="auto"/>
        </w:rPr>
        <w:t>In May 2024, the Company filed a shelf registration statement (the "2024 Shelf Registration Statement") with the SEC for the issuance of common stock, preferred stock, debt securities, warrants, subscription rights and units up to an aggregate amount of $400 million. The 2024 Shelf Registration Statement was declared effective on June 10, 2024. The 2024 Shelf Registration Statement expires in May 2027, and as of September 30, 2025, there was $400.0 million remaining under the 2024 Shelf Registration Statement.</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Sales Agreement</w:t>
      </w:r>
    </w:p>
    <w:p>
      <w:pPr>
        <w:spacing w:after="0" w:line="121" w:lineRule="exact"/>
        <w:rPr>
          <w:sz w:val="20"/>
          <w:szCs w:val="20"/>
          <w:color w:val="auto"/>
        </w:rPr>
      </w:pPr>
    </w:p>
    <w:p>
      <w:pPr>
        <w:ind w:right="80" w:firstLine="479"/>
        <w:spacing w:after="0" w:line="255" w:lineRule="auto"/>
        <w:rPr>
          <w:sz w:val="20"/>
          <w:szCs w:val="20"/>
          <w:color w:val="auto"/>
        </w:rPr>
      </w:pPr>
      <w:r>
        <w:rPr>
          <w:rFonts w:ascii="Times New Roman" w:cs="Times New Roman" w:eastAsia="Times New Roman" w:hAnsi="Times New Roman"/>
          <w:sz w:val="18"/>
          <w:szCs w:val="18"/>
          <w:color w:val="auto"/>
        </w:rPr>
        <w:t>In March 2023, in connection with filing a prospectus supplement to the shelf registration statement filed in November 2021 (the “2021 Shelf Registration Statement"), the Company entered into an Open Market Sales Agreement (the "Sales Agreement") with Jefferies LLC, as the sales agent, pursuant to which the Company may offer and sell shares of its common stock having an aggregate offering amount of up to $75.0 million. In November 2024, the 2021 Shelf Registration Statement expired with respect to the shares to be sold under the Sales Agreement. Accordingly, the Company will need to register the $75.0 million of common stock that may be issued and sold pursuant to the Sales Agreement on a subsequent registration statement before any future sales are permitted. The Company will pay Jefferies LLC a commission rate of up to 3.0% of the aggregate gross proceeds from the sale of any shares of common stock pursuant to the Sales Agreement. At September 30, 2025, there was $75.0 million remaining under the Sales Agreement.</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right="440" w:firstLine="479"/>
        <w:spacing w:after="0" w:line="266" w:lineRule="auto"/>
        <w:rPr>
          <w:sz w:val="20"/>
          <w:szCs w:val="20"/>
          <w:color w:val="auto"/>
        </w:rPr>
      </w:pPr>
      <w:r>
        <w:rPr>
          <w:rFonts w:ascii="Times New Roman" w:cs="Times New Roman" w:eastAsia="Times New Roman" w:hAnsi="Times New Roman"/>
          <w:sz w:val="18"/>
          <w:szCs w:val="18"/>
          <w:color w:val="auto"/>
        </w:rPr>
        <w:t>During the second quarter of 2023, the Company sold pre-funded warrants to purchase 12,895,256 shares of voting common stock at a price of $5.7499 per pre-funded warrant and during the fourth quarter of 2023 the Company sold pre-funded warrants to purchase 7,936,759 shares of voting common stock at a price of $3.1499 per pre-funded warrant.</w:t>
      </w:r>
    </w:p>
    <w:p>
      <w:pPr>
        <w:spacing w:after="0" w:line="68"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The purchase price per share of each pre-funded warrant represented the per share offering price for the common stock, minus the $0.0001 per share exercise price of such pre-funded warrant.</w:t>
      </w:r>
    </w:p>
    <w:p>
      <w:pPr>
        <w:spacing w:after="0" w:line="54"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stockholders’ equity within additional paid-in capital and were recorded at the issuance date using a relative fair value allocation method.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79" w:lineRule="exact"/>
        <w:rPr>
          <w:sz w:val="20"/>
          <w:szCs w:val="20"/>
          <w:color w:val="auto"/>
        </w:rPr>
      </w:pPr>
    </w:p>
    <w:p>
      <w:pPr>
        <w:ind w:right="680" w:firstLine="479"/>
        <w:spacing w:after="0" w:line="282" w:lineRule="auto"/>
        <w:rPr>
          <w:sz w:val="20"/>
          <w:szCs w:val="20"/>
          <w:color w:val="auto"/>
        </w:rPr>
      </w:pPr>
      <w:r>
        <w:rPr>
          <w:rFonts w:ascii="Times New Roman" w:cs="Times New Roman" w:eastAsia="Times New Roman" w:hAnsi="Times New Roman"/>
          <w:sz w:val="18"/>
          <w:szCs w:val="18"/>
          <w:color w:val="auto"/>
        </w:rPr>
        <w:t>There were 1,300,000 pre-funded warrants exercised during the nine months ended September 30, 2025. The Company did not conduct any financings during the nine months ended September 30, 2025 and 2024.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00" w:firstLine="479"/>
        <w:spacing w:after="0" w:line="256" w:lineRule="auto"/>
        <w:rPr>
          <w:sz w:val="20"/>
          <w:szCs w:val="20"/>
          <w:color w:val="auto"/>
        </w:rPr>
      </w:pPr>
      <w:r>
        <w:rPr>
          <w:rFonts w:ascii="Times New Roman" w:cs="Times New Roman" w:eastAsia="Times New Roman" w:hAnsi="Times New Roman"/>
          <w:sz w:val="18"/>
          <w:szCs w:val="18"/>
          <w:color w:val="auto"/>
        </w:rPr>
        <w:t>The Company leases office and laboratory space in Wilmington, Delaware under a noncancelable lease (the “Chestnut Run Lease”). The premises include approximately 81,000 rentable square feet and has an initial term of 162 months with 3 five-year extension options and certain expansion rights. Neither the option to extend nor the expansion rights were recognized as part of the Company's measurement of the right-of-use ("ROU") asset and operating lease liability as of September 30, 2025. Under the terms of the Chestnut Run Lease, the landlord provided an allowance towards the cost of completing tenant improvements for the premises. The Company concluded that the improvements resulting from both the landlord's build-out and the tenant improvements are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3" w:name="page14"/>
    <w:bookmarkEnd w:id="13"/>
    <w:p>
      <w:pPr>
        <w:ind w:right="40"/>
        <w:spacing w:after="0" w:line="282" w:lineRule="auto"/>
        <w:rPr>
          <w:sz w:val="20"/>
          <w:szCs w:val="20"/>
          <w:color w:val="auto"/>
        </w:rPr>
      </w:pPr>
      <w:r>
        <w:rPr>
          <w:rFonts w:ascii="Times New Roman" w:cs="Times New Roman" w:eastAsia="Times New Roman" w:hAnsi="Times New Roman"/>
          <w:sz w:val="18"/>
          <w:szCs w:val="18"/>
          <w:color w:val="auto"/>
        </w:rPr>
        <w:t>landlord's assets for accounting purposes. Costs incurred by the Company related to tenant improvements in excess of the landlord's allowance were treated as prepaid rent and increased the right-of-use asset on the commencement date.</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April 2024, the Company entered into a 12 month finance lease for equipment. The final payment under the agreement was made in April 2025.</w:t>
      </w:r>
    </w:p>
    <w:p>
      <w:pPr>
        <w:spacing w:after="0" w:line="225" w:lineRule="exact"/>
        <w:rPr>
          <w:sz w:val="20"/>
          <w:szCs w:val="20"/>
          <w:color w:val="auto"/>
        </w:rPr>
      </w:pPr>
    </w:p>
    <w:p>
      <w:pPr>
        <w:jc w:val="both"/>
        <w:ind w:right="360" w:firstLine="479"/>
        <w:spacing w:after="0" w:line="266" w:lineRule="auto"/>
        <w:rPr>
          <w:sz w:val="20"/>
          <w:szCs w:val="20"/>
          <w:color w:val="auto"/>
        </w:rPr>
      </w:pPr>
      <w:r>
        <w:rPr>
          <w:rFonts w:ascii="Times New Roman" w:cs="Times New Roman" w:eastAsia="Times New Roman" w:hAnsi="Times New Roman"/>
          <w:sz w:val="18"/>
          <w:szCs w:val="18"/>
          <w:color w:val="auto"/>
        </w:rPr>
        <w:t>The Company's operating lease costs for the three months ended September 30, 2025 and 2024 were $1.1 million and $1.2 million, respectively. Operating lease costs for the nine months ended September 30, 2025 and 2024 were $3.2 million and $3.3 million, respectively. Supplemental balance sheet and other information related to our operating and finance leases as of September 30, 2025 and December 31, 2024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vMerge w:val="restart"/>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177"/>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7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FF0FC"/>
          </w:tcPr>
          <w:p>
            <w:pPr>
              <w:spacing w:after="0"/>
              <w:rPr>
                <w:sz w:val="18"/>
                <w:szCs w:val="18"/>
                <w:color w:val="auto"/>
              </w:rPr>
            </w:pPr>
          </w:p>
        </w:tc>
        <w:tc>
          <w:tcPr>
            <w:tcW w:w="3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27,549</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Finance</w:t>
            </w:r>
          </w:p>
        </w:tc>
        <w:tc>
          <w:tcPr>
            <w:tcW w:w="31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leased assets</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27,549</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FF0FC"/>
          </w:tcPr>
          <w:p>
            <w:pPr>
              <w:spacing w:after="0"/>
              <w:rPr>
                <w:sz w:val="17"/>
                <w:szCs w:val="17"/>
                <w:color w:val="auto"/>
              </w:rPr>
            </w:pPr>
          </w:p>
        </w:tc>
        <w:tc>
          <w:tcPr>
            <w:tcW w:w="3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Current liabilities, operating lease</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FF0FC"/>
          </w:tcPr>
          <w:p>
            <w:pPr>
              <w:spacing w:after="0"/>
              <w:rPr>
                <w:sz w:val="20"/>
                <w:szCs w:val="20"/>
                <w:color w:val="auto"/>
              </w:rPr>
            </w:pPr>
          </w:p>
        </w:tc>
        <w:tc>
          <w:tcPr>
            <w:tcW w:w="31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liability</w:t>
            </w:r>
          </w:p>
        </w:tc>
        <w:tc>
          <w:tcPr>
            <w:tcW w:w="116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liabilities, finance lease liability</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15,127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shd w:val="clear" w:color="auto" w:fill="CFF0FC"/>
          </w:tcPr>
          <w:p>
            <w:pPr>
              <w:spacing w:after="0"/>
              <w:rPr>
                <w:sz w:val="21"/>
                <w:szCs w:val="21"/>
                <w:color w:val="auto"/>
              </w:rPr>
            </w:pPr>
          </w:p>
        </w:tc>
        <w:tc>
          <w:tcPr>
            <w:tcW w:w="30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17,854</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Finance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4"/>
        </w:trPr>
        <w:tc>
          <w:tcPr>
            <w:tcW w:w="32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w:t>
            </w: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160" w:type="dxa"/>
            <w:vAlign w:val="bottom"/>
            <w:gridSpan w:val="11"/>
          </w:tcPr>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our leases for the nine months ended September 30, 2025 and 2024 were as follows: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140" w:type="dxa"/>
            <w:vAlign w:val="bottom"/>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from operating lease</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7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cash flows from finance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cash flows from finance lease</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transaction</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Right-of-use asset obtained in exchange for lease obligations: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260" w:type="dxa"/>
            <w:vAlign w:val="bottom"/>
          </w:tcPr>
          <w:p>
            <w:pPr>
              <w:spacing w:after="0"/>
              <w:rPr>
                <w:sz w:val="24"/>
                <w:szCs w:val="24"/>
                <w:color w:val="auto"/>
              </w:rPr>
            </w:pPr>
          </w:p>
        </w:tc>
        <w:tc>
          <w:tcPr>
            <w:tcW w:w="3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-4817110</wp:posOffset>
            </wp:positionV>
            <wp:extent cx="1111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-4817110</wp:posOffset>
            </wp:positionV>
            <wp:extent cx="1117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-3539490</wp:posOffset>
            </wp:positionV>
            <wp:extent cx="1111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-3522345</wp:posOffset>
            </wp:positionV>
            <wp:extent cx="1111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-3539490</wp:posOffset>
            </wp:positionV>
            <wp:extent cx="1117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-3522345</wp:posOffset>
            </wp:positionV>
            <wp:extent cx="1117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left="480"/>
        <w:spacing w:after="0"/>
        <w:rPr>
          <w:sz w:val="20"/>
          <w:szCs w:val="20"/>
          <w:color w:val="auto"/>
        </w:rPr>
      </w:pPr>
      <w:r>
        <w:rPr>
          <w:rFonts w:ascii="Times New Roman" w:cs="Times New Roman" w:eastAsia="Times New Roman" w:hAnsi="Times New Roman"/>
          <w:sz w:val="18"/>
          <w:szCs w:val="18"/>
          <w:color w:val="auto"/>
        </w:rPr>
        <w:t>Future minimum annual lease payments for operating lease at September 30, 2025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8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16"/>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Pr>
          <w:p>
            <w:pPr>
              <w:spacing w:after="0"/>
              <w:rPr>
                <w:sz w:val="18"/>
                <w:szCs w:val="18"/>
                <w:color w:val="auto"/>
              </w:rPr>
            </w:pPr>
          </w:p>
        </w:tc>
      </w:tr>
      <w:tr>
        <w:trPr>
          <w:trHeight w:val="216"/>
        </w:trPr>
        <w:tc>
          <w:tcPr>
            <w:tcW w:w="9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39,456</w:t>
            </w:r>
          </w:p>
        </w:tc>
        <w:tc>
          <w:tcPr>
            <w:tcW w:w="100" w:type="dxa"/>
            <w:vAlign w:val="bottom"/>
          </w:tcPr>
          <w:p>
            <w:pPr>
              <w:spacing w:after="0"/>
              <w:rPr>
                <w:sz w:val="18"/>
                <w:szCs w:val="18"/>
                <w:color w:val="auto"/>
              </w:rPr>
            </w:pPr>
          </w:p>
        </w:tc>
      </w:tr>
      <w:tr>
        <w:trPr>
          <w:trHeight w:val="209"/>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(21,602)</w:t>
            </w:r>
          </w:p>
        </w:tc>
      </w:tr>
      <w:tr>
        <w:trPr>
          <w:trHeight w:val="209"/>
        </w:trPr>
        <w:tc>
          <w:tcPr>
            <w:tcW w:w="9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17,854</w:t>
            </w:r>
          </w:p>
        </w:tc>
        <w:tc>
          <w:tcPr>
            <w:tcW w:w="100" w:type="dxa"/>
            <w:vAlign w:val="bottom"/>
            <w:tcBorders>
              <w:top w:val="single" w:sz="8" w:color="CFF0FC"/>
            </w:tcBorders>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60" w:firstLine="479"/>
        <w:spacing w:after="0" w:line="266" w:lineRule="auto"/>
        <w:rPr>
          <w:sz w:val="20"/>
          <w:szCs w:val="20"/>
          <w:color w:val="auto"/>
        </w:rPr>
      </w:pPr>
      <w:r>
        <w:rPr>
          <w:rFonts w:ascii="Times New Roman" w:cs="Times New Roman" w:eastAsia="Times New Roman" w:hAnsi="Times New Roman"/>
          <w:sz w:val="18"/>
          <w:szCs w:val="18"/>
          <w:color w:val="auto"/>
        </w:rPr>
        <w:t>The Company paid a security deposit for the Chestnut Run Lease in the form of a letter of credit of $4.0 million, which is in the accompanying balance sheet as restricted cash. The letter of credit was reduced during the third quarter of 2025 and as of September 30, 2025 the balance was $3.2 million. The security deposit may be reduced to $0.5 million over time in accordance with the terms of the Chestnut Run Lease.</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The Company has employment agreements with key personnel providing for compensation and severance in certain circumstances, as defined in the respective employment agreements.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188" w:lineRule="exact"/>
        <w:rPr>
          <w:sz w:val="20"/>
          <w:szCs w:val="20"/>
          <w:color w:val="auto"/>
        </w:rPr>
      </w:pPr>
    </w:p>
    <w:p>
      <w:pPr>
        <w:ind w:right="280" w:firstLine="479"/>
        <w:spacing w:after="0" w:line="228" w:lineRule="exact"/>
        <w:rPr>
          <w:sz w:val="20"/>
          <w:szCs w:val="20"/>
          <w:color w:val="auto"/>
        </w:rPr>
      </w:pPr>
      <w:r>
        <w:rPr>
          <w:rFonts w:ascii="Times New Roman" w:cs="Times New Roman" w:eastAsia="Times New Roman" w:hAnsi="Times New Roman"/>
          <w:sz w:val="18"/>
          <w:szCs w:val="18"/>
          <w:color w:val="auto"/>
        </w:rPr>
        <w:t>The Company sponsors a 401(k)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match of a maximum amount of 3% of the participant’s compensation. For each of the three months ended September 30, 2025 and 2024, the Company made matching contributions of $0.2 million. For each of the nine months ended September 30, 2025 and 2024, the Company made matching contributions of $0.6 million.</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Amended and Expanded AbCellera Research Collaboration Agreement</w:t>
      </w:r>
    </w:p>
    <w:p>
      <w:pPr>
        <w:spacing w:after="0" w:line="121" w:lineRule="exact"/>
        <w:rPr>
          <w:sz w:val="20"/>
          <w:szCs w:val="20"/>
          <w:color w:val="auto"/>
        </w:rPr>
      </w:pPr>
    </w:p>
    <w:p>
      <w:pPr>
        <w:ind w:right="60" w:firstLine="479"/>
        <w:spacing w:after="0" w:line="255" w:lineRule="auto"/>
        <w:rPr>
          <w:sz w:val="20"/>
          <w:szCs w:val="20"/>
          <w:color w:val="auto"/>
        </w:rPr>
      </w:pPr>
      <w:r>
        <w:rPr>
          <w:rFonts w:ascii="Times New Roman" w:cs="Times New Roman" w:eastAsia="Times New Roman" w:hAnsi="Times New Roman"/>
          <w:sz w:val="18"/>
          <w:szCs w:val="18"/>
          <w:color w:val="auto"/>
        </w:rPr>
        <w:t>In 2023, the Company entered into a multi-year, multi-program agreement with AbCellera Biologics Incorporated ("AbCellera") to jointly discover, develop, and commercialize novel degrader antibody conjugates (“DACs”) for up to five programs ("the Collaboration Agreement"). Under the terms of the agreement, AbCellera will lead manufacturing activities and the Company will lead clinical development and global commercialization, subject to AbCellera’s option to co-promote any resulting commercial products in the United States. The Company concluded that the agreement with AbCellera will be accounted for under the scope of ASC 808, Collaborative Arrangements, as both parties will actively participate in joint operating activities and are exposed to significant risks and rewards. Costs related to the Collaboration Agreement were not material for the three and nine months ended September 30, 2025 and 2024.</w:t>
      </w:r>
    </w:p>
    <w:p>
      <w:pPr>
        <w:spacing w:after="0" w:line="81"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8"/>
          <w:szCs w:val="18"/>
          <w:color w:val="auto"/>
        </w:rPr>
        <w:t>During the third quarter of 2025 the Company amended its collaboration with AbCellera ("the Amended Agreement") and, subsequently in October 2025, further expanded the collaboration ("the Expanded License Agreement"). The Amended Agreement and Expanded License Agreement provided AbCellera a non-exclusive license to use certain of the Company’s degrader payloads to independently discover, develop and commercialize a select number of DACs against undisclosed antibody targets. The agreements also entailed other changes to overall resource allocation and collaboration governance. For the newly licensed DAC programs, AbCellera received world-wide rights to lead and fully control the licensed programs at its sole cost and expense and the Company is not responsible for any additional financial responsibilities or go forward development costs associated with those programs. The Company received an upfront non-refundable payment from AbCellera of $6.5 million in the third quarter of 2025 upon signing the Amended Agreement and an upfront non-refundable payment of $6 million in October 2025 upon signing of the Expanded License Agreement. For the additional licensed DACs, the Company is also eligible to receive customary downstream milestones and single digit royalties on future product sales. The original Collaboration Agreement, whereunder the companies can jointly discover, develop, and commercialize novel DACs for up to five programs remains in effect.</w:t>
      </w:r>
    </w:p>
    <w:p>
      <w:pPr>
        <w:spacing w:after="0" w:line="190" w:lineRule="exact"/>
        <w:rPr>
          <w:sz w:val="20"/>
          <w:szCs w:val="20"/>
          <w:color w:val="auto"/>
        </w:rPr>
      </w:pPr>
    </w:p>
    <w:p>
      <w:pPr>
        <w:ind w:right="40" w:firstLine="524"/>
        <w:spacing w:after="0" w:line="267" w:lineRule="auto"/>
        <w:rPr>
          <w:sz w:val="20"/>
          <w:szCs w:val="20"/>
          <w:color w:val="auto"/>
        </w:rPr>
      </w:pPr>
      <w:r>
        <w:rPr>
          <w:rFonts w:ascii="Times New Roman" w:cs="Times New Roman" w:eastAsia="Times New Roman" w:hAnsi="Times New Roman"/>
          <w:sz w:val="18"/>
          <w:szCs w:val="18"/>
          <w:color w:val="auto"/>
        </w:rPr>
        <w:t xml:space="preserve">The Company assessed the Amended Agreement signed during the third quarter of 2025 in accordance with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 </w:t>
      </w:r>
      <w:r>
        <w:rPr>
          <w:rFonts w:ascii="Times New Roman" w:cs="Times New Roman" w:eastAsia="Times New Roman" w:hAnsi="Times New Roman"/>
          <w:sz w:val="18"/>
          <w:szCs w:val="18"/>
          <w:color w:val="auto"/>
        </w:rPr>
        <w:t>and concluded that AbCellera is a customer in the context of the Amended Agreement. The Amended Agreement required the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certain intellectual property and related know-how to AbCellera which represented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300"/>
        <w:spacing w:after="0" w:line="266" w:lineRule="auto"/>
        <w:rPr>
          <w:sz w:val="20"/>
          <w:szCs w:val="20"/>
          <w:color w:val="auto"/>
        </w:rPr>
      </w:pPr>
      <w:r>
        <w:rPr>
          <w:rFonts w:ascii="Times New Roman" w:cs="Times New Roman" w:eastAsia="Times New Roman" w:hAnsi="Times New Roman"/>
          <w:sz w:val="18"/>
          <w:szCs w:val="18"/>
          <w:color w:val="auto"/>
        </w:rPr>
        <w:t>only performance obligation in the Amended Agreement and was satisfied at a point in time, when the intellectual property and related know-how were transferred to AbCellera during the third quarter of 2025. The Company recognized revenues of $6.5 million during the three and nine months ended September 30, 2025 related to the Amended Agreement.</w:t>
      </w:r>
    </w:p>
    <w:p>
      <w:pPr>
        <w:spacing w:after="0" w:line="3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229"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In May 2024, the Company and Pathos AI, Inc. ("Pathos") entered into a license agreement under which the Company granted to Pathos an exclusive, sublicensable, world-wide license to its selective, brain-penetrant PRMT5 inhibitor, PRT811. Under the terms of the license agreement, the Company received a $3.0 million upfront, non-refundable payment. The agreement also included a near term $4.0 million payment upon the earlier of 180 days following the effective date of the license agreement or the execution of a quality agreement between the parties pursuant to which the Company transferred title to certain quantities of Active Pharmaceutical Ingredient (“API”). In addition, the Company may receive potential developmental milestone payments up to $37.0 million, potential sales milestone payments up to $100 million and a range of high single-digit to low double-digit royalties on PRT811 global net sales.</w:t>
      </w:r>
    </w:p>
    <w:p>
      <w:pPr>
        <w:spacing w:after="0" w:line="187" w:lineRule="exact"/>
        <w:rPr>
          <w:sz w:val="20"/>
          <w:szCs w:val="20"/>
          <w:color w:val="auto"/>
        </w:rPr>
      </w:pPr>
    </w:p>
    <w:p>
      <w:pPr>
        <w:ind w:right="20" w:firstLine="524"/>
        <w:spacing w:after="0" w:line="254" w:lineRule="auto"/>
        <w:rPr>
          <w:sz w:val="20"/>
          <w:szCs w:val="20"/>
          <w:color w:val="auto"/>
        </w:rPr>
      </w:pPr>
      <w:r>
        <w:rPr>
          <w:rFonts w:ascii="Times New Roman" w:cs="Times New Roman" w:eastAsia="Times New Roman" w:hAnsi="Times New Roman"/>
          <w:sz w:val="18"/>
          <w:szCs w:val="18"/>
          <w:color w:val="auto"/>
        </w:rPr>
        <w:t xml:space="preserve">The Company assessed the license agreement with Pathos in accordance with ASC 606, </w:t>
      </w:r>
      <w:r>
        <w:rPr>
          <w:rFonts w:ascii="Times New Roman" w:cs="Times New Roman" w:eastAsia="Times New Roman" w:hAnsi="Times New Roman"/>
          <w:sz w:val="18"/>
          <w:szCs w:val="18"/>
          <w:i w:val="1"/>
          <w:iCs w:val="1"/>
          <w:color w:val="auto"/>
        </w:rPr>
        <w:t>Revenue from Contracts with Customer,</w:t>
      </w:r>
      <w:r>
        <w:rPr>
          <w:rFonts w:ascii="Times New Roman" w:cs="Times New Roman" w:eastAsia="Times New Roman" w:hAnsi="Times New Roman"/>
          <w:sz w:val="18"/>
          <w:szCs w:val="18"/>
          <w:color w:val="auto"/>
        </w:rPr>
        <w:t xml:space="preserve"> and concluded that Pathos is a customer. The license agreement with Pathos included the transfer of the following goods or services: (i) exclusive license to PRT811, (ii) transfer of licensed know-how and materials (i.e. datasets, regulatory and manufacturing documents, etc.), (iii) participation in a Joint Communication Committee ("JCC"), and (iv) execution of a quality agreement pursuant to which the Company transferred title to certain API. The Company evaluated all of the promised goods or services within the contract and determined which goods and services were separate performance obligations. The Company determined that Pathos could not benefit from the license separately from the related know-how and materials, accordingly they represent one combined performance obligation. The execution of a quality agreement pursuant to which the Company transferred title to certain API was identified as a separate performance obligation. The Company also determined the participation in the JCC is immaterial in the context of the license agreement as the Company has no decision-making ability through its participation in the JCC.</w:t>
      </w:r>
    </w:p>
    <w:p>
      <w:pPr>
        <w:spacing w:after="0" w:line="190" w:lineRule="exact"/>
        <w:rPr>
          <w:sz w:val="20"/>
          <w:szCs w:val="20"/>
          <w:color w:val="auto"/>
        </w:rPr>
      </w:pPr>
    </w:p>
    <w:p>
      <w:pPr>
        <w:jc w:val="both"/>
        <w:ind w:right="360" w:firstLine="479"/>
        <w:spacing w:after="0" w:line="266" w:lineRule="auto"/>
        <w:rPr>
          <w:sz w:val="20"/>
          <w:szCs w:val="20"/>
          <w:color w:val="auto"/>
        </w:rPr>
      </w:pPr>
      <w:r>
        <w:rPr>
          <w:rFonts w:ascii="Times New Roman" w:cs="Times New Roman" w:eastAsia="Times New Roman" w:hAnsi="Times New Roman"/>
          <w:sz w:val="18"/>
          <w:szCs w:val="18"/>
          <w:color w:val="auto"/>
        </w:rPr>
        <w:t>The transaction price was allocated to the performance obligation based upon relative standalone selling prices, which were estimated for (i) the exclusive license and know-how and materials at $3.0 million using an adjusted market approach and (ii) execution of a quality agreement pursuant to which the Company transferred title to certain API at $4.0 million using a cost plus margin approach.</w:t>
      </w:r>
    </w:p>
    <w:p>
      <w:pPr>
        <w:spacing w:after="0" w:line="176"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With respect to the accounting principles identified above, each performance obligation was recognized at a point in time. The Company determined that the performance obligation for the license and transfer of related know-how and materials was fully satisfied when the license was granted and key know-how and materials were transferred to Pathos as that was the point at which Pathos could fully use and benefit from the license to PRT811. The performance obligation for the execution of a quality agreement pursuant to which the Company transferred title to certain API was satisfied when the legal title to the API was transferred. During the third quarter of 2024, the Company satisfied the performance obligation related to the exclusive license and transfer of related know-how and materials which resulted in the recognition of revenue for $3.0 million. The Company recognized revenue of $4.0 million in the fourth quarter of 2024 as the performance obligation for the execution of the quality agreement pursuant to which the Company transferred title to certain API was completed in October 2024.</w:t>
      </w:r>
    </w:p>
    <w:p>
      <w:pPr>
        <w:spacing w:after="0" w:line="192"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There was no revenue recognized in the statement of operations related to the license agreement with Pathos for the nine months ended September 30, 2025.</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229" w:lineRule="exact"/>
        <w:rPr>
          <w:sz w:val="20"/>
          <w:szCs w:val="20"/>
          <w:color w:val="auto"/>
        </w:rPr>
      </w:pPr>
    </w:p>
    <w:p>
      <w:pPr>
        <w:ind w:right="560" w:firstLine="479"/>
        <w:spacing w:after="0" w:line="282" w:lineRule="auto"/>
        <w:rPr>
          <w:sz w:val="20"/>
          <w:szCs w:val="20"/>
          <w:color w:val="auto"/>
        </w:rPr>
      </w:pPr>
      <w:r>
        <w:rPr>
          <w:rFonts w:ascii="Times New Roman" w:cs="Times New Roman" w:eastAsia="Times New Roman" w:hAnsi="Times New Roman"/>
          <w:sz w:val="18"/>
          <w:szCs w:val="18"/>
          <w:color w:val="auto"/>
        </w:rPr>
        <w:t>The Company enters into agreements with clinical research organizations ("CROs") to assist in the performance of research and development activities. Expenditures to CROs represent a significant cost in clinical development for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Segments</w:t>
      </w:r>
    </w:p>
    <w:p>
      <w:pPr>
        <w:spacing w:after="0" w:line="229" w:lineRule="exact"/>
        <w:rPr>
          <w:sz w:val="20"/>
          <w:szCs w:val="20"/>
          <w:color w:val="auto"/>
        </w:rPr>
      </w:pPr>
    </w:p>
    <w:p>
      <w:pPr>
        <w:jc w:val="both"/>
        <w:ind w:right="300" w:firstLine="479"/>
        <w:spacing w:after="0" w:line="266" w:lineRule="auto"/>
        <w:rPr>
          <w:sz w:val="20"/>
          <w:szCs w:val="20"/>
          <w:color w:val="auto"/>
        </w:rPr>
      </w:pPr>
      <w:r>
        <w:rPr>
          <w:rFonts w:ascii="Times New Roman" w:cs="Times New Roman" w:eastAsia="Times New Roman" w:hAnsi="Times New Roman"/>
          <w:sz w:val="18"/>
          <w:szCs w:val="18"/>
          <w:color w:val="auto"/>
        </w:rPr>
        <w:t>The Company currently operates as one operating business segment focused on developing innovative medicines in areas of high unmet need for cancer patients. The Company's determination that it operates as a single segment is consistent with the financial information regularly reviewed by the CODM for purposes of evaluating performance, allocating resources, and planning and forecasting for future periods.</w:t>
      </w:r>
    </w:p>
    <w:p>
      <w:pPr>
        <w:spacing w:after="0" w:line="176" w:lineRule="exact"/>
        <w:rPr>
          <w:sz w:val="20"/>
          <w:szCs w:val="20"/>
          <w:color w:val="auto"/>
        </w:rPr>
      </w:pPr>
    </w:p>
    <w:p>
      <w:pPr>
        <w:ind w:right="420" w:firstLine="479"/>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The CODM assesses performance for the segment based on net loss, which is reported on the statement of operations and comprehensive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loss as net loss. The measure of segment assets is reported on the balance sheet as total assets.</w:t>
      </w:r>
    </w:p>
    <w:p>
      <w:pPr>
        <w:spacing w:after="0" w:line="225" w:lineRule="exact"/>
        <w:rPr>
          <w:sz w:val="20"/>
          <w:szCs w:val="20"/>
          <w:color w:val="auto"/>
        </w:rPr>
      </w:pPr>
    </w:p>
    <w:p>
      <w:pPr>
        <w:ind w:right="200" w:firstLine="479"/>
        <w:spacing w:after="0" w:line="266" w:lineRule="auto"/>
        <w:rPr>
          <w:sz w:val="20"/>
          <w:szCs w:val="20"/>
          <w:color w:val="auto"/>
        </w:rPr>
      </w:pPr>
      <w:r>
        <w:rPr>
          <w:rFonts w:ascii="Times New Roman" w:cs="Times New Roman" w:eastAsia="Times New Roman" w:hAnsi="Times New Roman"/>
          <w:sz w:val="18"/>
          <w:szCs w:val="18"/>
          <w:color w:val="auto"/>
        </w:rPr>
        <w:t>To date, the Company has not recognized any revenue from product sales, and the Company does not expect to generate any revenue in the foreseeable future. Net loss is used to monitor budget versus actual results. Monitoring budgeted versus actual results is used in assessing performance of the segment and to make decisions about the allocation of resources, along with cash forecast models.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tables summarizes the significant expense categories regularly reviewed by the CODM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PRT3789</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PRT7732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Discovery programs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costs, including personnel related</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26,918</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37,376</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93,718</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(20,418)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(34,376)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(87,218)</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(105,883)</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(19,725)</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(32,271)</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(83,041)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(98,442)</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-890905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-890905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-890905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-599440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-599440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-599440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9"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equity incentive plans: the 2016 Equity Incentive Plan, as amended, and the 2020 Equity Incentive Plan. New awards can only be granted under the 2020 Equity Incentive Plan (the “Plan”) and as of September 30, 2025, 6,615,355 shares were available for future grants. The number of shares of the Company’s common stock that may be issued pursuant to rights granted under the Plan shall automatically increase on January 1st of each year and continuing for ten years beginning on January 1, 2021, in an amount equal to five percent of the total number of shares of the Company’s common stock outstanding on December 31st of the preceding calendar year, subject to the discretion of the Company's board of directors or compensation committee to determine a lesser number of shares shall be added for such year. On January 1, 2025, 2,757,455 shares were added to the Plan.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one year and then monthly thereafter, and have a term of ten years.</w:t>
      </w:r>
    </w:p>
    <w:p>
      <w:pPr>
        <w:spacing w:after="0" w:line="194" w:lineRule="exact"/>
        <w:rPr>
          <w:sz w:val="20"/>
          <w:szCs w:val="20"/>
          <w:color w:val="auto"/>
        </w:rPr>
      </w:pPr>
    </w:p>
    <w:p>
      <w:pPr>
        <w:ind w:right="100" w:firstLine="47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40" w:type="dxa"/>
            <w:vAlign w:val="bottom"/>
            <w:shd w:val="clear" w:color="auto" w:fill="CFF0FC"/>
          </w:tcPr>
          <w:p>
            <w:pPr>
              <w:spacing w:after="0"/>
              <w:rPr>
                <w:sz w:val="21"/>
                <w:szCs w:val="21"/>
                <w:color w:val="auto"/>
              </w:rPr>
            </w:pPr>
          </w:p>
        </w:tc>
        <w:tc>
          <w:tcPr>
            <w:tcW w:w="2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3740" w:type="dxa"/>
            <w:vAlign w:val="bottom"/>
            <w:tcBorders>
              <w:top w:val="single" w:sz="8" w:color="CFF0FC"/>
            </w:tcBorders>
          </w:tcPr>
          <w:p>
            <w:pPr>
              <w:spacing w:after="0"/>
              <w:rPr>
                <w:sz w:val="24"/>
                <w:szCs w:val="24"/>
                <w:color w:val="auto"/>
              </w:rPr>
            </w:pPr>
          </w:p>
        </w:tc>
        <w:tc>
          <w:tcPr>
            <w:tcW w:w="20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-933450</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-916305</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-933450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-916305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-933450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-916305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5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3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14,212,538</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3,594,000</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(8,905)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(2,294,921)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15,502,712</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September 30, 2025</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9,627,299</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1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-187960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September 30, 2025, the aggregate intrinsic value of outstanding options and exercisable options was $1.1 million and $53 thousand, respectively.</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September 30, 2025 under the Plan: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4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$0.31</w:t>
            </w: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$1.66</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3,397,351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247,184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$1.67</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4,648,637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2,896,053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$4.67</w:t>
            </w: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$10.34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3,447,283</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$10.35 - $88.98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4,009,441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3,909,062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FF0FC"/>
            </w:tcBorders>
            <w:shd w:val="clear" w:color="auto" w:fill="CFF0FC"/>
          </w:tcPr>
          <w:p>
            <w:pPr>
              <w:spacing w:after="0"/>
              <w:rPr>
                <w:sz w:val="21"/>
                <w:szCs w:val="21"/>
                <w:color w:val="auto"/>
              </w:rPr>
            </w:pPr>
          </w:p>
        </w:tc>
        <w:tc>
          <w:tcPr>
            <w:tcW w:w="45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15,502,712</w:t>
            </w:r>
          </w:p>
        </w:tc>
        <w:tc>
          <w:tcPr>
            <w:tcW w:w="2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9,627,299</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-24765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77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firstLine="479"/>
        <w:spacing w:after="0" w:line="277" w:lineRule="auto"/>
        <w:rPr>
          <w:sz w:val="20"/>
          <w:szCs w:val="20"/>
          <w:color w:val="auto"/>
        </w:rPr>
      </w:pPr>
      <w:r>
        <w:rPr>
          <w:rFonts w:ascii="Times New Roman" w:cs="Times New Roman" w:eastAsia="Times New Roman" w:hAnsi="Times New Roman"/>
          <w:sz w:val="17"/>
          <w:szCs w:val="17"/>
          <w:color w:val="auto"/>
        </w:rPr>
        <w:t>The weighted-average grant date fair value of options granted was $0.83 and $3.31 per option for the nine months ended September 30, 2025 and 2024, respectively. The Company recorded stock-based compensation expense of $2.4 million and $5.8 million for the three months ended September 30, 2025 and 2024, respectively, related to stock options. The Company recorded stock-based compensation expense of $9.8 million and $17.1 million for the nine months ended September 30, 2025 and 2024, respectively, related to stock options. As of September 30, 2025, the total unrecognized compensation expense related to unvested stock option awards was $12.1 million, which the Company expects to recognize over a weighted-average period of 2.00 years.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46"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5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10"/>
        </w:trPr>
        <w:tc>
          <w:tcPr>
            <w:tcW w:w="8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86.49%</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84.97%</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8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shd w:val="clear" w:color="auto" w:fill="CFF0FC"/>
          </w:tcPr>
          <w:p>
            <w:pPr>
              <w:spacing w:after="0"/>
              <w:rPr>
                <w:sz w:val="18"/>
                <w:szCs w:val="18"/>
                <w:color w:val="auto"/>
              </w:rPr>
            </w:pP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The Company granted restricted stock units (“RSUs”) to employees that generally vest over a four-year period with 25% of awards vesting after one year and then quarterly thereafter. Any unvested units will be forfeited upon termination of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RSU stock-based payment awards: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8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7640" w:type="dxa"/>
            <w:vAlign w:val="bottom"/>
          </w:tcPr>
          <w:p>
            <w:pPr>
              <w:spacing w:after="0"/>
              <w:rPr>
                <w:sz w:val="15"/>
                <w:szCs w:val="15"/>
                <w:color w:val="auto"/>
              </w:rPr>
            </w:pPr>
          </w:p>
        </w:tc>
        <w:tc>
          <w:tcPr>
            <w:tcW w:w="16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January 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349,500</w:t>
            </w: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(28,125)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(85,250)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September 30, 2025</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292,375</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80" w:firstLine="479"/>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of $60 thousand and $68 thousand for the three months ended September 30, 2025 and 2024, respectively, related to RSUs. The Company recorded stock-based compensation expense of $185 thousand and $205 thousand for the nine months ended September 30, 2025 and 2024, respectively, related to RSUs. At September 30, 2025, the total unrecognized expense related to the RSUs was $0.3 million, which the Company expects to recognize over 2.58 years.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“ESPP”), which, as of September 30, 2025, had 2,393,217 shares of common stock reserved for future issuance.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Company's board of directors or compensation committee to determine a lesser number of shares shall be added for such year. On January 1, 2025, 551,491 shares were added to the ESPP.</w:t>
      </w:r>
    </w:p>
    <w:p>
      <w:pPr>
        <w:spacing w:after="0" w:line="187" w:lineRule="exact"/>
        <w:rPr>
          <w:sz w:val="20"/>
          <w:szCs w:val="20"/>
          <w:color w:val="auto"/>
        </w:rPr>
      </w:pPr>
    </w:p>
    <w:p>
      <w:pPr>
        <w:ind w:right="280" w:firstLine="47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can purchase the Company’s common stock through accumulated payroll deductions at such times as are established by the Company's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83"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$16 thousand and $57 thousand for the three months ended September 30, 2025 and 2024 related to the ESPP, respectively. The Company recognized share-based compensation expense of $91 thousand and $177 thousand for the nine months ended September 30, 2025 and 2024, respectively, related to the ESPP.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Workforce Reduction</w:t>
      </w:r>
    </w:p>
    <w:p>
      <w:pPr>
        <w:spacing w:after="0" w:line="229"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the Company reduced its current workforce by approximately eleven percent of full-time employees to align its resources with its ongoing clinical and preclinical programs. The one-time costs related to the workforce reduction were $0.5 million.</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accrued liabilities activity recorded in connection with the reduction in workforce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00" w:type="dxa"/>
            <w:vAlign w:val="bottom"/>
          </w:tcPr>
          <w:p>
            <w:pPr>
              <w:jc w:val="center"/>
              <w:ind w:left="1002"/>
              <w:spacing w:after="0"/>
              <w:rPr>
                <w:sz w:val="20"/>
                <w:szCs w:val="20"/>
                <w:color w:val="auto"/>
              </w:rPr>
            </w:pPr>
            <w:r>
              <w:rPr>
                <w:rFonts w:ascii="Times New Roman" w:cs="Times New Roman" w:eastAsia="Times New Roman" w:hAnsi="Times New Roman"/>
                <w:sz w:val="14"/>
                <w:szCs w:val="14"/>
                <w:b w:val="1"/>
                <w:bCs w:val="1"/>
                <w:color w:val="auto"/>
              </w:rPr>
              <w:t>Amount accrued at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 accrued at</w:t>
            </w:r>
          </w:p>
        </w:tc>
        <w:tc>
          <w:tcPr>
            <w:tcW w:w="0" w:type="dxa"/>
            <w:vAlign w:val="bottom"/>
          </w:tcPr>
          <w:p>
            <w:pPr>
              <w:spacing w:after="0"/>
              <w:rPr>
                <w:sz w:val="1"/>
                <w:szCs w:val="1"/>
                <w:color w:val="auto"/>
              </w:rPr>
            </w:pPr>
          </w:p>
        </w:tc>
      </w:tr>
      <w:tr>
        <w:trPr>
          <w:trHeight w:val="173"/>
        </w:trPr>
        <w:tc>
          <w:tcPr>
            <w:tcW w:w="2400" w:type="dxa"/>
            <w:vAlign w:val="bottom"/>
            <w:tcBorders>
              <w:bottom w:val="single" w:sz="8" w:color="auto"/>
            </w:tcBorders>
            <w:vMerge w:val="continue"/>
          </w:tcPr>
          <w:p>
            <w:pPr>
              <w:spacing w:after="0"/>
              <w:rPr>
                <w:sz w:val="15"/>
                <w:szCs w:val="15"/>
                <w:color w:val="auto"/>
              </w:rPr>
            </w:pPr>
          </w:p>
        </w:tc>
        <w:tc>
          <w:tcPr>
            <w:tcW w:w="2300" w:type="dxa"/>
            <w:vAlign w:val="bottom"/>
            <w:tcBorders>
              <w:bottom w:val="single" w:sz="8" w:color="auto"/>
            </w:tcBorders>
          </w:tcPr>
          <w:p>
            <w:pPr>
              <w:jc w:val="center"/>
              <w:ind w:left="102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Workforce reduction</w:t>
            </w:r>
          </w:p>
        </w:tc>
        <w:tc>
          <w:tcPr>
            <w:tcW w:w="2300" w:type="dxa"/>
            <w:vAlign w:val="bottom"/>
            <w:shd w:val="clear" w:color="auto" w:fill="CFF0FC"/>
          </w:tcPr>
          <w:p>
            <w:pPr>
              <w:jc w:val="right"/>
              <w:ind w:right="122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Exclusive Option Agreement</w:t>
      </w:r>
    </w:p>
    <w:p>
      <w:pPr>
        <w:spacing w:after="0" w:line="229" w:lineRule="exact"/>
        <w:rPr>
          <w:sz w:val="20"/>
          <w:szCs w:val="20"/>
          <w:color w:val="auto"/>
        </w:rPr>
      </w:pPr>
    </w:p>
    <w:p>
      <w:pPr>
        <w:ind w:right="120" w:firstLine="479"/>
        <w:spacing w:after="0" w:line="282" w:lineRule="auto"/>
        <w:rPr>
          <w:sz w:val="20"/>
          <w:szCs w:val="20"/>
          <w:color w:val="auto"/>
        </w:rPr>
      </w:pPr>
      <w:r>
        <w:rPr>
          <w:rFonts w:ascii="Times New Roman" w:cs="Times New Roman" w:eastAsia="Times New Roman" w:hAnsi="Times New Roman"/>
          <w:sz w:val="18"/>
          <w:szCs w:val="18"/>
          <w:color w:val="auto"/>
        </w:rPr>
        <w:t>On November 3, 2025, the Company entered into an Exclusive Option Agreement (the “Option Agreement”) with Incyte to acquire the Company’s mutative selective JAK2V617F JH2 inhibitor program (the “Program”) for patients with myeloproliferative neoplasms.</w:t>
      </w:r>
    </w:p>
    <w:p>
      <w:pPr>
        <w:spacing w:after="0" w:line="162"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Under the Option Agreement, Incyte will receive an exclusive option to acquire the Company’s entire right, title, and interest in and to certain assets, properties, and rights related to the Program, including the Company’s library of preclinical candidates (collectively, the “Transferred Assets”). The Company received $60 million in capital, comprised of an initial payment of $35 million in cash, plus a $25 million equity investment by Incyte.</w:t>
      </w:r>
    </w:p>
    <w:p>
      <w:pPr>
        <w:spacing w:after="0" w:line="176" w:lineRule="exact"/>
        <w:rPr>
          <w:sz w:val="20"/>
          <w:szCs w:val="20"/>
          <w:color w:val="auto"/>
        </w:rPr>
      </w:pPr>
    </w:p>
    <w:p>
      <w:pPr>
        <w:ind w:right="340" w:firstLine="479"/>
        <w:spacing w:after="0" w:line="266" w:lineRule="auto"/>
        <w:rPr>
          <w:sz w:val="20"/>
          <w:szCs w:val="20"/>
          <w:color w:val="auto"/>
        </w:rPr>
      </w:pPr>
      <w:r>
        <w:rPr>
          <w:rFonts w:ascii="Times New Roman" w:cs="Times New Roman" w:eastAsia="Times New Roman" w:hAnsi="Times New Roman"/>
          <w:sz w:val="18"/>
          <w:szCs w:val="18"/>
          <w:color w:val="auto"/>
        </w:rPr>
        <w:t>The Option Agreement includes, as an exhibit, the form of an Asset Purchase Agreement (the “APA”), which contemplates the sale, transfer, assignment, and conveyance by the Company to Incyte, and the purchase, acquisition, and assumption by Incyte from the Company, of the Company’s entire right, title, and interest in and to the Transferred Assets in the event Incyte exercises its option under the Option Agreement.</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expects to continue to advance the Program. At any time commencing on the effective date of the Option Agreement until the later of</w:t>
      </w:r>
    </w:p>
    <w:p>
      <w:pPr>
        <w:spacing w:after="0" w:line="27" w:lineRule="exact"/>
        <w:rPr>
          <w:sz w:val="20"/>
          <w:szCs w:val="20"/>
          <w:color w:val="auto"/>
        </w:rPr>
      </w:pPr>
    </w:p>
    <w:p>
      <w:pPr>
        <w:ind w:right="60" w:firstLine="8"/>
        <w:spacing w:after="0" w:line="271" w:lineRule="auto"/>
        <w:tabs>
          <w:tab w:leader="none" w:pos="24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 days after the Company’s delivery of the IND-ready data package or (b) 15 months after the effective date of the Option Agreement (which 15 month period shall automatically toll for the Company to deliver the IND-ready package but such tolling will not exceed 3 months unless otherwise agreed by the parties) (the “Option Period”), Incyte may elect to exercise its exclusive option to acquire the Program and associated assets from the Company pursuant to the APA for $100 million. Under the APA, the Company would be eligible to receive up to $775 million in additional clinical and regulatory milestones, and single digit royalties on global net sales. Combined, total potential cash payments from the transaction could reach up to $910 million.</w:t>
      </w:r>
    </w:p>
    <w:p>
      <w:pPr>
        <w:spacing w:after="0" w:line="174"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auto"/>
        </w:rPr>
        <w:t>The Company will continue to own and develop all Transferred Assets. If the option is exercised during the Option Period and the parties enter into and close the transaction set forth in the APA, Incyte will own all Transferred Assets subject to the Company’s right, in its sole discretion and cost, to continue to conduct development activities during the Option Period to nominate and select development candidate(s) for the Program. If Incyte elects to not exercise its option to acquire the Program, all Transferred Assets would remain in the sole ownership and control of the Company.</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Concurrently with the Option Agreement, on November 3, 2025, the Company entered into a securities purchase agreement with Incyte (the “Securities Purchase Agreement”), pursuant to which Incyte agreed to purchase 6,250,000 shares (the “Shares”) of the Company’s non-voting common stock at a price of $4.00 per share for a total of $25.0 million. Pursuant to the Company’s Amended and Restated Certificate of Incorporation and subject to the Beneficial Ownership Limitation as set forth therein, Incyte may elect to convert the Shares into voting shares of the Company’s common stock at any time. The closing of the purchase of the Shares occurred on November 10,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47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 Item 1A of our Annual Report on Form 10-K filed with the SEC on March 10, 2025, or our 2024 Annual Report on Form 10-K. These forward-looking statements may include, but are not limited to, statements regarding our future results of operations and financial position, our ability to develop our clinical candidates, inflation and interest rate risk, recessionary concerns, the effects of a continued federal government shutdown,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w:t>
      </w:r>
    </w:p>
    <w:p>
      <w:pPr>
        <w:spacing w:after="0" w:line="185" w:lineRule="exact"/>
        <w:rPr>
          <w:sz w:val="20"/>
          <w:szCs w:val="20"/>
          <w:color w:val="auto"/>
        </w:rPr>
      </w:pPr>
    </w:p>
    <w:p>
      <w:pPr>
        <w:ind w:right="32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Prelude is a precision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drug discovery engine and the development expertise necessary to identify compelling biological targets and create new chemical entities, or NCEs, that we advance into clinical trials. We believe our approach could result in better targeted cancer therapies. Our discovery excellence has been supported by our steady progress in creating a wholly-owned, internally developed pipeline. We also are working with our partner AbCellera Biologics Incorporated ("AbCellera") on an early-stage discovery program involving potent degraders as payloads for novel antibodies targeting tumor specific antigens. Since our inception in 2016, we have received clearance from the U.S. Food and Drug Administration, or the FDA, for multiple investigational new drug applications, or INDs, and successfully advanced several programs into clinical trials. In addition, we have other differentiated proprietary programs in various stages of preclinical development.</w:t>
      </w:r>
    </w:p>
    <w:p>
      <w:pPr>
        <w:spacing w:after="0" w:line="80"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including kinases, targeted protein degraders, and degrader antibody conjugates ("DAC").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72"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Myeloproliferative neoplasms ("MPN") are hematopoietic disorders arising from clonal expansion of hematopoietic stem cells (HSC) in the bone marrow. Current treatment options for MPN patients offer symptomatic benefit but fail to eliminate disease-initiating clones leading to treatment resistance and progression to secondary acute myeloid leukemia. Therapeutic approaches that can selectively eliminate disease-initiating HSCs and induce molecular remission are an unmet medical need.</w:t>
      </w:r>
    </w:p>
    <w:p>
      <w:pPr>
        <w:spacing w:after="0" w:line="72"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Mutations in JAK2, calreticulin (CALR) and MPL are phenotypic drivers of disease in over 90% of MPN cases. CALR mutations are the second most common driver alteration in MPN, accounting for 20-30% of all cases. Selective expression of mutant CALR on diseased cells but not on normal cells makes CALR a high value target for antibody-directed therapies in MPN.</w:t>
      </w:r>
    </w:p>
    <w:p>
      <w:pPr>
        <w:spacing w:after="0" w:line="176" w:lineRule="exact"/>
        <w:rPr>
          <w:sz w:val="20"/>
          <w:szCs w:val="20"/>
          <w:color w:val="auto"/>
        </w:rPr>
      </w:pPr>
    </w:p>
    <w:p>
      <w:pPr>
        <w:ind w:right="240" w:firstLine="479"/>
        <w:spacing w:after="0" w:line="261" w:lineRule="auto"/>
        <w:rPr>
          <w:sz w:val="20"/>
          <w:szCs w:val="20"/>
          <w:color w:val="auto"/>
        </w:rPr>
      </w:pPr>
      <w:r>
        <w:rPr>
          <w:rFonts w:ascii="Times New Roman" w:cs="Times New Roman" w:eastAsia="Times New Roman" w:hAnsi="Times New Roman"/>
          <w:sz w:val="18"/>
          <w:szCs w:val="18"/>
          <w:color w:val="auto"/>
        </w:rPr>
        <w:t>JAK2V617F is the primary driver mutation responsible for disease progression in the majority of patients living with MPNs. We have discovered novel allosteric inhibitors that bind into the JAK2 JH2 “deep pocket” where the V617F mutation resides. These candidates demonstrate mutant specific inhibition in multiple preclinical models of MPNs. We believe this approach may have the potential to reduce mutant allele burden, slow or even reverse disease progression, and transform treatment outcomes for MPN patients.</w:t>
      </w:r>
    </w:p>
    <w:p>
      <w:pPr>
        <w:spacing w:after="0" w:line="72" w:lineRule="exact"/>
        <w:rPr>
          <w:sz w:val="20"/>
          <w:szCs w:val="20"/>
          <w:color w:val="auto"/>
        </w:rPr>
      </w:pPr>
    </w:p>
    <w:p>
      <w:pPr>
        <w:jc w:val="both"/>
        <w:ind w:right="100" w:firstLine="479"/>
        <w:spacing w:after="0" w:line="266" w:lineRule="auto"/>
        <w:rPr>
          <w:sz w:val="20"/>
          <w:szCs w:val="20"/>
          <w:color w:val="auto"/>
        </w:rPr>
      </w:pPr>
      <w:r>
        <w:rPr>
          <w:rFonts w:ascii="Times New Roman" w:cs="Times New Roman" w:eastAsia="Times New Roman" w:hAnsi="Times New Roman"/>
          <w:sz w:val="18"/>
          <w:szCs w:val="18"/>
          <w:color w:val="auto"/>
        </w:rPr>
        <w:t>As previously announced on November 4, 2025, we have entered into an exclusive option agreement with Incyte Corporation ("Incyte"). Under the option agreement, Incyte will receive an exclusive option to acquire our entire right, title, and interest in and to certain assets, properties, and rights related to the JAK2V617F JH2 inhibitor program, including our library of preclinical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ind w:right="20"/>
        <w:spacing w:after="0" w:line="261" w:lineRule="auto"/>
        <w:rPr>
          <w:sz w:val="20"/>
          <w:szCs w:val="20"/>
          <w:color w:val="auto"/>
        </w:rPr>
      </w:pPr>
      <w:r>
        <w:rPr>
          <w:rFonts w:ascii="Times New Roman" w:cs="Times New Roman" w:eastAsia="Times New Roman" w:hAnsi="Times New Roman"/>
          <w:sz w:val="18"/>
          <w:szCs w:val="18"/>
          <w:color w:val="auto"/>
        </w:rPr>
        <w:t>(collectively, the “Transferred Assets”). We expect to advance the JAK2V617F program to pre-defined milestones. Incyte may elect to exercise its exclusive option during the option period to acquire the program and associated assets from us for $100 million. As the JAK2V617F program candidates advance in the clinic, we would be eligible to receive up to $775 million in additional clinical and regulatory milestones, and single digit royalties on global net sales. Combined, total potential cash payments from the transaction, excluding royalties, could reach up to $910 million.</w:t>
      </w:r>
    </w:p>
    <w:p>
      <w:pPr>
        <w:spacing w:after="0" w:line="72" w:lineRule="exact"/>
        <w:rPr>
          <w:sz w:val="20"/>
          <w:szCs w:val="20"/>
          <w:color w:val="auto"/>
        </w:rPr>
      </w:pPr>
    </w:p>
    <w:p>
      <w:pPr>
        <w:ind w:right="240" w:firstLine="479"/>
        <w:spacing w:after="0" w:line="261" w:lineRule="auto"/>
        <w:rPr>
          <w:sz w:val="20"/>
          <w:szCs w:val="20"/>
          <w:color w:val="auto"/>
        </w:rPr>
      </w:pPr>
      <w:r>
        <w:rPr>
          <w:rFonts w:ascii="Times New Roman" w:cs="Times New Roman" w:eastAsia="Times New Roman" w:hAnsi="Times New Roman"/>
          <w:sz w:val="18"/>
          <w:szCs w:val="18"/>
          <w:color w:val="auto"/>
        </w:rPr>
        <w:t>We have discovered and are developing a series of selective and orally bioavailable KAT6A selective degraders. We have selected a development candidate and remain on track to file an IND in mid-2026. We believe that selectively degrading KAT6A has the potential for improved efficacy, tolerability and combinability with other agents relative to non-selective inhibitors of KAT6A/B. The Company recently presented preclinical data supporting this hypothesis at the American Association for Cancer Research Annual Meeting 2025.</w:t>
      </w:r>
    </w:p>
    <w:p>
      <w:pPr>
        <w:spacing w:after="0" w:line="72"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In June 2025, at the European Hematology Association, we delivered an oral presentation about our mutated calreticulin (mCALR) discovery efforts, including the first-in-class CALR-targeted DACs that selectively target mutant CALR expressing cells, with the potential to achieve responses by eliminating MPN clones. These data demonstrate that a CALRxSMARCA2/4 degrader antibody conjugate can selectively degrade SMARCA2/4 in CALR mutant cells and robustly inhibit CALR-mutant cell growth in vitro and in vivo.</w:t>
      </w:r>
    </w:p>
    <w:p>
      <w:pPr>
        <w:spacing w:after="0" w:line="72"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Drawing on our expertise in targeted protein degradation, we have discovered and optimized a series of proprietary degrader payloads for use in discovering and developing DACs. We disclosed first data at the 36th EORTC-NCI-AACR Symposium describing preclinical proof-of-concept using a novel, potent SMARCA2/4 dual degrader as a degrader payload conjugated to multiple antibodies. Prelude’s SMARCA2/4 dual degraders have shown picomolar potency with potential for increased efficacy, selectivity and improved therapeutic index. DACs have potential to expand the reach of SMARCA degrader technology to cancers without SMARCA4 mutations.</w:t>
      </w:r>
    </w:p>
    <w:p>
      <w:pPr>
        <w:spacing w:after="0" w:line="75" w:lineRule="exact"/>
        <w:rPr>
          <w:sz w:val="20"/>
          <w:szCs w:val="20"/>
          <w:color w:val="auto"/>
        </w:rPr>
      </w:pPr>
    </w:p>
    <w:p>
      <w:pPr>
        <w:jc w:val="both"/>
        <w:ind w:right="20" w:firstLine="479"/>
        <w:spacing w:after="0" w:line="266" w:lineRule="auto"/>
        <w:rPr>
          <w:sz w:val="20"/>
          <w:szCs w:val="20"/>
          <w:color w:val="auto"/>
        </w:rPr>
      </w:pPr>
      <w:r>
        <w:rPr>
          <w:rFonts w:ascii="Times New Roman" w:cs="Times New Roman" w:eastAsia="Times New Roman" w:hAnsi="Times New Roman"/>
          <w:sz w:val="18"/>
          <w:szCs w:val="18"/>
          <w:color w:val="auto"/>
        </w:rPr>
        <w:t>During the third quarter of 2025, and as a subsequent event in October 2025, we restructured aspects of the collaboration agreement with AbCellera to allow AbCellera to independently discover, develop and commercialize select undisclosed DACs by providing a non-exclusive license to the Company’s degrader payloads among other changes to overall resource allocation, governance, and operational aspects of the collaboration.</w:t>
      </w:r>
    </w:p>
    <w:p>
      <w:pPr>
        <w:spacing w:after="0" w:line="68"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On November 4, 2025 we announced that we decided to pause the clinical development of our SMARCA2 degrader program which is comprised of PRT3789 and PRT7732. PRT3789 is a first-in-class, highly selective degrader of SMARCA2 protein, which along with SMARCA4 controls gene regulation through chromatin remodeling. PRT7732 is &gt;1000-fold selective for SMARCA2 vs. SMARCA4 and demonstrates robust activity in SMARCA4 deficient cancer models both as monotherapy and in combination with docetaxel at well-tolerated doses. The decision to pause was based on a comprehensive review of clinical data generated to date and our assessment of the capital and resource allocation required to advance the SMARCA2 program, versus the JAK2 and KAT6A programs, to key points of value inflection.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Regained Nasdaq Compliance</w:t>
      </w:r>
    </w:p>
    <w:p>
      <w:pPr>
        <w:spacing w:after="0" w:line="121" w:lineRule="exact"/>
        <w:rPr>
          <w:sz w:val="20"/>
          <w:szCs w:val="20"/>
          <w:color w:val="auto"/>
        </w:rPr>
      </w:pPr>
    </w:p>
    <w:p>
      <w:pPr>
        <w:jc w:val="both"/>
        <w:ind w:right="160" w:firstLine="479"/>
        <w:spacing w:after="0" w:line="258" w:lineRule="auto"/>
        <w:rPr>
          <w:sz w:val="20"/>
          <w:szCs w:val="20"/>
          <w:color w:val="auto"/>
        </w:rPr>
      </w:pPr>
      <w:r>
        <w:rPr>
          <w:rFonts w:ascii="Times New Roman" w:cs="Times New Roman" w:eastAsia="Times New Roman" w:hAnsi="Times New Roman"/>
          <w:sz w:val="18"/>
          <w:szCs w:val="18"/>
          <w:color w:val="auto"/>
        </w:rPr>
        <w:t>On March 27, 2025, the Company received a letter (the “Bid Price Notice”) from the Listing Qualifications staff (the “Staff”) of The Nasdaq Stock Market LLC (“Nasdaq”) indicating that, based upon the closing bid price of the Company’s common stock for the prior 30 consecutive business days, the Company was not in compliance with the requirement to maintain a minimum bid price of $1.00 per share for continued listing on Nasdaq, as set forth in Nasdaq Listing Rule 5550(a)(2) (the “Minimum Bid Price Requirement”). On September 18, 2025, the Company received a letter from Nasdaq notifying the Company that it had regained compliance with the Minimum Bid Price Requirement and that the matter is now closed.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common stock and pre-funded warrants. Our net loss was $83.0 million and $98.4 million for the nine months ended September 30, 2025 and 2024, respectively. As of September 30, 2025, we had an accumulated deficit of $666.6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Our net losses may fluctuate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940"/>
        <w:spacing w:after="0" w:line="282" w:lineRule="auto"/>
        <w:rPr>
          <w:sz w:val="20"/>
          <w:szCs w:val="20"/>
          <w:color w:val="auto"/>
        </w:rPr>
      </w:pPr>
      <w:r>
        <w:rPr>
          <w:rFonts w:ascii="Times New Roman" w:cs="Times New Roman" w:eastAsia="Times New Roman" w:hAnsi="Times New Roman"/>
          <w:sz w:val="18"/>
          <w:szCs w:val="18"/>
          <w:color w:val="auto"/>
        </w:rPr>
        <w:t>significantly from quarter-to-quarter and year-to-year, depending on the timing of our clinical trials and our expenditures on other research and development activities.</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in the foreseeable future. During the three months ended September 30, 2025, we recognized revenue from amendments related to our collaboration agreement with AbCellera. No other revenue was recognized during the three months ended September 30, 2025. If our development efforts for our product candidates are successful and result in regulatory approval, or license agreements with third parties, we may generate revenue in the future in the form of milestone payments, royalties, or product sales. However, there can be no assurance as to when we will generate such revenue, if at all.</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99" w:lineRule="exact"/>
        <w:rPr>
          <w:sz w:val="20"/>
          <w:szCs w:val="20"/>
          <w:color w:val="auto"/>
        </w:rPr>
      </w:pPr>
    </w:p>
    <w:p>
      <w:pPr>
        <w:ind w:left="960" w:right="20" w:hanging="47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53" w:lineRule="exact"/>
        <w:rPr>
          <w:rFonts w:ascii="Times New Roman" w:cs="Times New Roman" w:eastAsia="Times New Roman" w:hAnsi="Times New Roman"/>
          <w:sz w:val="18"/>
          <w:szCs w:val="18"/>
          <w:color w:val="auto"/>
        </w:rPr>
      </w:pPr>
    </w:p>
    <w:p>
      <w:pPr>
        <w:ind w:left="960" w:right="860" w:hanging="47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960" w:right="380" w:hanging="47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53" w:lineRule="exact"/>
        <w:rPr>
          <w:rFonts w:ascii="Times New Roman" w:cs="Times New Roman" w:eastAsia="Times New Roman" w:hAnsi="Times New Roman"/>
          <w:sz w:val="18"/>
          <w:szCs w:val="18"/>
          <w:color w:val="auto"/>
        </w:rPr>
      </w:pPr>
    </w:p>
    <w:p>
      <w:pPr>
        <w:ind w:left="960" w:right="20" w:hanging="47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0" w:lineRule="exact"/>
        <w:rPr>
          <w:sz w:val="20"/>
          <w:szCs w:val="20"/>
          <w:color w:val="auto"/>
        </w:rPr>
      </w:pPr>
    </w:p>
    <w:p>
      <w:pPr>
        <w:ind w:right="18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to continue to incur research and development expenses over the next several years related to personnel costs, including stock-based compensation, clinical trials, including later-stage clinical trials, for current and future product candidates and preparing regulatory filings for our product candidates.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firstLine="478"/>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64" w:lineRule="exact"/>
        <w:rPr>
          <w:sz w:val="20"/>
          <w:szCs w:val="20"/>
          <w:color w:val="auto"/>
        </w:rPr>
      </w:pPr>
    </w:p>
    <w:p>
      <w:pPr>
        <w:ind w:right="300" w:firstLine="478"/>
        <w:spacing w:after="0" w:line="261" w:lineRule="auto"/>
        <w:rPr>
          <w:sz w:val="20"/>
          <w:szCs w:val="20"/>
          <w:color w:val="auto"/>
        </w:rPr>
      </w:pPr>
      <w:r>
        <w:rPr>
          <w:rFonts w:ascii="Times New Roman" w:cs="Times New Roman" w:eastAsia="Times New Roman" w:hAnsi="Times New Roman"/>
          <w:sz w:val="18"/>
          <w:szCs w:val="18"/>
          <w:color w:val="auto"/>
        </w:rPr>
        <w:t>We expect to continue to incur general and administrative expense in the future to support our continued research and development activities and potential commercialization efforts. These expenses will likely include costs related to the hiring of personnel and fees to outside consultants and legal support, among other expenses. The costs associated with being a public company include expenses related to services associated with maintaining compliance with the requirements of Nasdaq and the Securities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120"/>
        <w:spacing w:after="0" w:line="282" w:lineRule="auto"/>
        <w:rPr>
          <w:sz w:val="20"/>
          <w:szCs w:val="20"/>
          <w:color w:val="auto"/>
        </w:rPr>
      </w:pPr>
      <w:r>
        <w:rPr>
          <w:rFonts w:ascii="Times New Roman" w:cs="Times New Roman" w:eastAsia="Times New Roman" w:hAnsi="Times New Roman"/>
          <w:sz w:val="18"/>
          <w:szCs w:val="18"/>
          <w:color w:val="auto"/>
        </w:rPr>
        <w:t>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20" w:firstLine="478"/>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marketable securities and grant income received from the State of Delaware. We anticipate re-applying for grants from the State of Delaware from time to time as long as we maintain qualifying headcount levels.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w:t>
      </w:r>
    </w:p>
    <w:tbl>
      <w:tblPr>
        <w:tblLayout w:type="fixed"/>
        <w:tblInd w:w="0" w:type="dxa"/>
        <w:tblCellMar>
          <w:top w:w="0" w:type="dxa"/>
          <w:left w:w="0" w:type="dxa"/>
          <w:bottom w:w="0" w:type="dxa"/>
          <w:right w:w="0" w:type="dxa"/>
        </w:tblCellMar>
      </w:tblPr>
      <w:tr>
        <w:trPr>
          <w:trHeight w:val="151"/>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4"/>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7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(7,749)</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(20,418)</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(34,376)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(19,725)</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(32,271)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-599440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-599440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340" w:firstLine="479"/>
        <w:spacing w:after="0" w:line="282" w:lineRule="auto"/>
        <w:rPr>
          <w:sz w:val="20"/>
          <w:szCs w:val="20"/>
          <w:color w:val="auto"/>
        </w:rPr>
      </w:pPr>
      <w:r>
        <w:rPr>
          <w:rFonts w:ascii="Times New Roman" w:cs="Times New Roman" w:eastAsia="Times New Roman" w:hAnsi="Times New Roman"/>
          <w:sz w:val="18"/>
          <w:szCs w:val="18"/>
          <w:color w:val="auto"/>
        </w:rPr>
        <w:t>Revenue for the three months ended September 30, 2025 related to amendments to the collaboration agreement with AbCellera. During the third quarter of 2025, we satisfied the single performance obligation and recognized revenue of $6.5 million.</w:t>
      </w:r>
    </w:p>
    <w:p>
      <w:pPr>
        <w:spacing w:after="0" w:line="162"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Revenue for the three months ended September 30, 2024 related to our license agreement with Pathos AI, Inc. During the third quarter of 2024, we satisfied the performance obligation related to the exclusive license and transfer of related know-how and materials which resulted in the recognition of revenue for $3.0 million.</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260" w:firstLine="47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from $29.5 million for the three months ended September 30, 2024 to $21.7 million for the three months ended September 30, 2025. Included in research and development expenses for the three months ended September 30, 2025, was $1.4 million of non-cash expense related to stock-based compensation expense, including employee stock options, compared to $3.4 million for the three months ended September 30, 2024. Along with the decrease in stock-based compensation expense, research and development expenses decreased due to a decrease in expense related to our SMARCA2 clinical trials. Research and development expenses may fluctuate from period to period depending upon the stage of certain projects and the level of preclinical and clinical trial-related activities.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660" w:firstLine="479"/>
        <w:spacing w:after="0" w:line="257" w:lineRule="auto"/>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 Expenses for programs that have been discontinued are included in Other.</w:t>
      </w:r>
    </w:p>
    <w:tbl>
      <w:tblPr>
        <w:tblLayout w:type="fixed"/>
        <w:tblInd w:w="0" w:type="dxa"/>
        <w:tblCellMar>
          <w:top w:w="0" w:type="dxa"/>
          <w:left w:w="0" w:type="dxa"/>
          <w:bottom w:w="0" w:type="dxa"/>
          <w:right w:w="0" w:type="dxa"/>
        </w:tblCellMar>
      </w:tblPr>
      <w:tr>
        <w:trPr>
          <w:trHeight w:val="131"/>
        </w:trPr>
        <w:tc>
          <w:tcPr>
            <w:tcW w:w="7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60" w:type="dxa"/>
            <w:vAlign w:val="bottom"/>
            <w:gridSpan w:val="3"/>
          </w:tcPr>
          <w:p>
            <w:pPr>
              <w:jc w:val="right"/>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PRT3789</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PRT7732</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programs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from $7.9 million for the three months ended September 30, 2024 to $5.2 million for the three months ended September 30, 2025. Included in general and administrative expenses for the three months ended September 30, 2025, was $1.0 million of non-cash expense related to stock-based compensation expense compared to $2.5 million for the three months ended September 30, 2024. The decrease in general and administrative expenses was primarily driven by a decrease in stock-based compensation expense due to the tapering off of the vesting period of prior granted options and lower valuation on more recent grants due to the decrease in our stock price.</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800" w:firstLine="478"/>
        <w:spacing w:after="0" w:line="282" w:lineRule="auto"/>
        <w:rPr>
          <w:sz w:val="20"/>
          <w:szCs w:val="20"/>
          <w:color w:val="auto"/>
        </w:rPr>
      </w:pPr>
      <w:r>
        <w:rPr>
          <w:rFonts w:ascii="Times New Roman" w:cs="Times New Roman" w:eastAsia="Times New Roman" w:hAnsi="Times New Roman"/>
          <w:sz w:val="18"/>
          <w:szCs w:val="18"/>
          <w:color w:val="auto"/>
        </w:rPr>
        <w:t>Other income, net decreased from $2.1 million for the three months ended September 30, 2024, to $0.7 million for the three months ended September 30, 2025 primarily due to lower income earned our investments due to lower balances.</w:t>
      </w:r>
    </w:p>
    <w:p>
      <w:pPr>
        <w:spacing w:after="0" w:line="3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7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76,308</w:t>
            </w:r>
          </w:p>
        </w:tc>
        <w:tc>
          <w:tcPr>
            <w:tcW w:w="16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86,375</w:t>
            </w:r>
          </w:p>
        </w:tc>
        <w:tc>
          <w:tcPr>
            <w:tcW w:w="1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(10,067)</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(5,098)</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(15,165)</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(87,218)</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(105,883)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(83,041)</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(98,442)</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-599440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-599440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400" w:firstLine="479"/>
        <w:spacing w:after="0" w:line="282" w:lineRule="auto"/>
        <w:rPr>
          <w:sz w:val="20"/>
          <w:szCs w:val="20"/>
          <w:color w:val="auto"/>
        </w:rPr>
      </w:pPr>
      <w:r>
        <w:rPr>
          <w:rFonts w:ascii="Times New Roman" w:cs="Times New Roman" w:eastAsia="Times New Roman" w:hAnsi="Times New Roman"/>
          <w:sz w:val="18"/>
          <w:szCs w:val="18"/>
          <w:color w:val="auto"/>
        </w:rPr>
        <w:t>Revenue for the nine months ended September 30, 2025 related to amendments to the collaboration agreement with AbCellera. During the third quarter of 2025, we satisfied the single performance obligation and recognized revenue of $6.5 million.</w:t>
      </w:r>
    </w:p>
    <w:p>
      <w:pPr>
        <w:spacing w:after="0" w:line="162" w:lineRule="exact"/>
        <w:rPr>
          <w:sz w:val="20"/>
          <w:szCs w:val="20"/>
          <w:color w:val="auto"/>
        </w:rPr>
      </w:pPr>
    </w:p>
    <w:p>
      <w:pPr>
        <w:ind w:right="220" w:firstLine="479"/>
        <w:spacing w:after="0" w:line="266" w:lineRule="auto"/>
        <w:rPr>
          <w:sz w:val="20"/>
          <w:szCs w:val="20"/>
          <w:color w:val="auto"/>
        </w:rPr>
      </w:pPr>
      <w:r>
        <w:rPr>
          <w:rFonts w:ascii="Times New Roman" w:cs="Times New Roman" w:eastAsia="Times New Roman" w:hAnsi="Times New Roman"/>
          <w:sz w:val="18"/>
          <w:szCs w:val="18"/>
          <w:color w:val="auto"/>
        </w:rPr>
        <w:t>Revenue for the nine months ended September 30, 2024 related to our license agreement with Pathos AI, Inc. During the third quarter of 2024, we satisfied the performance obligation related to the exclusive license and transfer of related know-how and materials which resulted in the recognition of revenue for $3.0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200" w:firstLine="47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decreased from $86.4 million for the nine months ended September 30, 2024 to $76.3 million for the nine months ended September 30, 2025. Included in research and development expenses for the nine months ended September 30, 2025, was $5.9 million of non-cash expense related to stock-based compensation expense, including employee stock options, compared to $9.8 million for the nine months ended September 30, 2024. Research and development expenses decreased primarily due to lower stock-based compensation expense due to lower valuation on more recent grants due to the decrease in our stock price along with a decrease in expense related to our discontinued clinical trials, primarily PRT2527. Research and development expenses may fluctuate from period to period depending upon the stage of certain projects and the level of preclinical and clinical trial-related activities.</w:t>
      </w:r>
    </w:p>
    <w:p>
      <w:pPr>
        <w:spacing w:after="0" w:line="189" w:lineRule="exact"/>
        <w:rPr>
          <w:sz w:val="20"/>
          <w:szCs w:val="20"/>
          <w:color w:val="auto"/>
        </w:rPr>
      </w:pPr>
    </w:p>
    <w:p>
      <w:pPr>
        <w:ind w:right="660" w:firstLine="47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 Expenses for programs that have been discontinued are included in Other.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PRT3789</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11,542</w:t>
            </w:r>
          </w:p>
        </w:tc>
        <w:tc>
          <w:tcPr>
            <w:tcW w:w="8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PRT7732</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programs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costs, including personnel related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45,241</w:t>
            </w:r>
          </w:p>
        </w:tc>
        <w:tc>
          <w:tcPr>
            <w:tcW w:w="3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47,125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76,308</w:t>
            </w: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40" w:firstLine="47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from $22.5 million for the nine months ended September 30, 2024 to $17.4 million for the nine months ended September 30, 2025. The decrease was primarily driven by a decrease in non-cash expense related to stock-based compensation expense. Included in general and administrative expenses for the three months ended September 30, 2025, was $4.2 million of stock-based compensation expense compared to $7.7 million for the three months ended September 30, 2024. The decrease was due to the tapering off of the vesting period of prior granted options and lower valuation on more recent grants due to the decrease in our stock price.</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Other income, net decreased from $7.4 million for the nine months ended September 30, 2024, to $4.2 million for the nine months ended September 30, 2025 primarily due to lower income earned our investments due to lower balances partially offset by the receipt and recognition of research and development tax credits.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Since our inception, we have not recognized any product revenue and have incurred operating losses and negative cash flows from our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yet commercialized any product and we do not expect to generate revenue from sales of any products for several years, if at all.</w:t>
      </w:r>
    </w:p>
    <w:p>
      <w:pPr>
        <w:spacing w:after="0" w:line="207"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At September 30, 2025 we had cash, cash equivalents, restricted cash and marketable securities totaling $58.2 million. Subsequent to September 30, 2025, we received $6 million from our expanded collaborative agreement with AbCellera in October 2025 and we received $60 million in capital, comprised of an initial payment of $35 million in cash, plus a $25 million equity investment, from Incyte Corporation in November 2025. See Note 12-Subsequent Events for additional information. Based on preliminary estimates, we believe that these funds, together with our existing cash, cash equivalents, restricted cash, and marketable securities could extend our cash runway into 2027.</w:t>
      </w:r>
    </w:p>
    <w:p>
      <w:pPr>
        <w:spacing w:after="0" w:line="183" w:lineRule="exact"/>
        <w:rPr>
          <w:sz w:val="20"/>
          <w:szCs w:val="20"/>
          <w:color w:val="auto"/>
        </w:rPr>
      </w:pPr>
    </w:p>
    <w:p>
      <w:pPr>
        <w:ind w:right="60" w:firstLine="479"/>
        <w:spacing w:after="0" w:line="266" w:lineRule="auto"/>
        <w:rPr>
          <w:sz w:val="20"/>
          <w:szCs w:val="20"/>
          <w:color w:val="auto"/>
        </w:rPr>
      </w:pPr>
      <w:r>
        <w:rPr>
          <w:rFonts w:ascii="Times New Roman" w:cs="Times New Roman" w:eastAsia="Times New Roman" w:hAnsi="Times New Roman"/>
          <w:sz w:val="18"/>
          <w:szCs w:val="18"/>
          <w:color w:val="auto"/>
        </w:rPr>
        <w:t>In November 2025, we also announced changes in the research and development programs that we plan to devote our resources towards over the next twelve months. We believe that these changes provide some uncertainty around our preliminary cash flow estimates, and therefore, that our cash, cash equivalents, restricted cash and marketable securities may not be sufficient to fund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6" w:name="page27"/>
    <w:bookmarkEnd w:id="26"/>
    <w:p>
      <w:pPr>
        <w:ind w:right="60"/>
        <w:spacing w:after="0" w:line="282" w:lineRule="auto"/>
        <w:rPr>
          <w:sz w:val="20"/>
          <w:szCs w:val="20"/>
          <w:color w:val="auto"/>
        </w:rPr>
      </w:pPr>
      <w:r>
        <w:rPr>
          <w:rFonts w:ascii="Times New Roman" w:cs="Times New Roman" w:eastAsia="Times New Roman" w:hAnsi="Times New Roman"/>
          <w:sz w:val="18"/>
          <w:szCs w:val="18"/>
          <w:color w:val="auto"/>
        </w:rPr>
        <w:t>operating expenses and capital expenditure requirements for at least the next twelve months from the filing date of this Quarterly Report on Form 10-Q. As a result, substantial doubt exists about our ability to continue as a going concern.</w:t>
      </w:r>
    </w:p>
    <w:p>
      <w:pPr>
        <w:spacing w:after="0" w:line="162"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through the sale of convertible preferred stock, common stock, and pre-funded warrants. 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260" w:firstLine="478"/>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6" w:lineRule="exact"/>
        <w:rPr>
          <w:sz w:val="20"/>
          <w:szCs w:val="20"/>
          <w:color w:val="auto"/>
        </w:rPr>
      </w:pPr>
    </w:p>
    <w:p>
      <w:pPr>
        <w:ind w:right="40" w:firstLine="47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17" w:lineRule="exact"/>
        <w:rPr>
          <w:rFonts w:ascii="Times New Roman" w:cs="Times New Roman" w:eastAsia="Times New Roman" w:hAnsi="Times New Roman"/>
          <w:sz w:val="18"/>
          <w:szCs w:val="18"/>
          <w:color w:val="auto"/>
        </w:rPr>
      </w:pPr>
    </w:p>
    <w:p>
      <w:pPr>
        <w:ind w:left="960" w:right="360" w:hanging="473"/>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53" w:lineRule="exact"/>
        <w:rPr>
          <w:rFonts w:ascii="Times New Roman" w:cs="Times New Roman" w:eastAsia="Times New Roman" w:hAnsi="Times New Roman"/>
          <w:sz w:val="18"/>
          <w:szCs w:val="18"/>
          <w:color w:val="auto"/>
        </w:rPr>
      </w:pPr>
    </w:p>
    <w:p>
      <w:pPr>
        <w:ind w:left="960" w:right="360" w:hanging="473"/>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17" w:lineRule="exact"/>
        <w:rPr>
          <w:rFonts w:ascii="Times New Roman" w:cs="Times New Roman" w:eastAsia="Times New Roman" w:hAnsi="Times New Roman"/>
          <w:sz w:val="18"/>
          <w:szCs w:val="18"/>
          <w:color w:val="auto"/>
        </w:rPr>
      </w:pPr>
    </w:p>
    <w:p>
      <w:pPr>
        <w:ind w:left="960" w:right="20" w:hanging="473"/>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25"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72"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In May 2024, we filed a shelf registration statement (the "2024 Shelf Registration Statement") with the SEC for the issuance of common stock, preferred stock, debt securities, warrants, subscription rights and units up to an aggregate amount of $400 million. The 2024 Shelf Registration statement was declared effective on June 10, 2024. The 2024 Shelf Registration statement expires in May 2027, and as of September 30, 2025 there was $400 million remaining under the 2024 Shelf Registration Statement.</w:t>
      </w:r>
    </w:p>
    <w:p>
      <w:pPr>
        <w:spacing w:after="0" w:line="72"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In March 2023, in connection with filing a prospectus supplement to our shelf registration statement previously filed in November 2021 (the “2021 Shelf Registration Statement"), we entered into an Open Market Sales Agreement (the "Sales Agreement") with Jefferies LLC, as the sales agent, pursuant to which we may offer and sell shares of our common stock having an aggregate offering amount of up to $75.0 million. We will pay Jefferies LLC a commission rate of up to 3.0% of the aggregate gross proceeds from the sale of any shares of common stock pursuant to the Sales Agreement. In November 2024, the 2021 Shelf Registration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right="140"/>
        <w:spacing w:after="0" w:line="266" w:lineRule="auto"/>
        <w:rPr>
          <w:sz w:val="20"/>
          <w:szCs w:val="20"/>
          <w:color w:val="auto"/>
        </w:rPr>
      </w:pPr>
      <w:r>
        <w:rPr>
          <w:rFonts w:ascii="Times New Roman" w:cs="Times New Roman" w:eastAsia="Times New Roman" w:hAnsi="Times New Roman"/>
          <w:sz w:val="18"/>
          <w:szCs w:val="18"/>
          <w:color w:val="auto"/>
        </w:rPr>
        <w:t>Statement expired with respect to the shares to be sold under the Sales Agreement. Accordingly, we expect to file a prospectus supplement to the 2024 Shelf Registration Statement in order to continue to allow us to access the Sales Agreement. We have $75.0 million remaining under the Sales Agreement as of September 30, 2025.</w:t>
      </w:r>
    </w:p>
    <w:p>
      <w:pPr>
        <w:spacing w:after="0" w:line="176"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(79,421)</w:t>
            </w:r>
          </w:p>
        </w:tc>
        <w:tc>
          <w:tcPr>
            <w:tcW w:w="6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(82,144)</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68,073</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18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(14,157)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we used $79.4 million of cash in operating activities. Cash used in operating activities reflected our net loss of $83.0 million and a $8.7 million net decrease in our operating assets and liabilities offset by noncash charges of $12.3 million, which primarily consisted of stock-based compensation. The primary use of cash was to fund our operations related to the development of our product candidates.</w:t>
      </w:r>
    </w:p>
    <w:p>
      <w:pPr>
        <w:spacing w:after="0" w:line="176" w:lineRule="exact"/>
        <w:rPr>
          <w:sz w:val="20"/>
          <w:szCs w:val="20"/>
          <w:color w:val="auto"/>
        </w:rPr>
      </w:pPr>
    </w:p>
    <w:p>
      <w:pPr>
        <w:jc w:val="both"/>
        <w:ind w:right="120" w:firstLine="47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used $82.1 million of cash in operating activities. Cash used in operating activities reflected our net loss of $98.4 million offset by noncash charges of $16.4 million, which primarily consisted of stock-based compensation. The primary use of cash was to fund our operations related to the development of our product candidates.</w:t>
      </w:r>
    </w:p>
    <w:p>
      <w:pPr>
        <w:spacing w:after="0" w:line="3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80" w:firstLine="47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net cash provided by investing activities of $113.8 million consisted primarily of $148.0 million in proceeds from maturities of marketable securities, partially offset by $34.1 million in purchases of marketable securities. During the nine months ended September 30, 2024, net cash used in investing activities of $68.1 million consisted primarily of $114.2 million in proceeds from maturities of marketable securities, partially offset by $45.4 million in purchases of marketable securities.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200" w:firstLine="47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financing activities was primarily for principal payments on our finance lease. For the nine months ended September 30, 2024 net cash provided by financing activities was primarily for principal payments on our finance lease and the payment of offering costs related to the shelf registration statement, partially offset by proceeds received from the issuance of common stock under the employee stock purchase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there were no other material changes to our critical accounting policies and estimates from those described under the heading “Management’s Discussion and Analysis of Financial Condition and Results of Operations-Critical Accounting Estimates” in our 2024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100" w:firstLine="479"/>
        <w:spacing w:after="0" w:line="256"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 We anticipate that we will no longer be an emerging growth company as of December 31, 2025 and, as a result, we will no longer be able to take advantage of reduced disclosure and other obligations that are available to emerging growth companies after that date.</w:t>
      </w:r>
    </w:p>
    <w:p>
      <w:pPr>
        <w:spacing w:after="0" w:line="183"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remain a smaller reporting company once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40" w:firstLine="47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 with respect to the period ending September 30,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w:t>
      </w:r>
    </w:p>
    <w:p>
      <w:pPr>
        <w:spacing w:after="0" w:line="22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As of September 30, 2025,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September 30, 2025, the design and operation of our disclosure controls and procedures were effective at a reasonable assurance level.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firstLine="478"/>
        <w:spacing w:after="0" w:line="282" w:lineRule="auto"/>
        <w:rPr>
          <w:sz w:val="20"/>
          <w:szCs w:val="20"/>
          <w:color w:val="auto"/>
        </w:rPr>
      </w:pPr>
      <w:r>
        <w:rPr>
          <w:rFonts w:ascii="Times New Roman" w:cs="Times New Roman" w:eastAsia="Times New Roman" w:hAnsi="Times New Roman"/>
          <w:sz w:val="18"/>
          <w:szCs w:val="18"/>
          <w:color w:val="auto"/>
        </w:rPr>
        <w:t>Management determined that, as of September 30, 2025,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30" w:name="page31"/>
    <w:bookmarkEnd w:id="3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firstLine="47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00" w:firstLine="479"/>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your decision to invest in shares of our common stock, you should carefully consider the risks and uncertainties described under Part I, Item 1A, “Risk Factors” in our 2024 Annual Report on Form 10-K filed with the Securities and Exchange Commission on March 10, 2025 in addition to the risk factors below.</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financial statements contain a statement regarding a substantial doubt about the Company’s ability to continue as a going concern.</w:t>
      </w:r>
    </w:p>
    <w:p>
      <w:pPr>
        <w:spacing w:after="0" w:line="22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We had no revenue from product sales during the nine months ended September 30, 2025. Our primary uses of cash are to fund our planned clinical trials, research and development expenditures and for operating expenses. Cash used to fund operating expenses is based on the assumption that we will continue as a going concern, which contemplates the realization of assets and liquidation of liabilities in the normal course of business. We face certain risks and uncertainties that are present in many emerging pharmaceutical companies regarding product development, limited working capital, recurring losses and negative cash flow from operations, future profitability, ability to obtain future capital, protection of patents, technologies and property rights, competition, navigating the domestic and major foreign markets’ regulatory and clinical environment, recruiting and retaining key personnel, dependence on third party manufacturing organizations, third party collaboration and licensing agreements, lack of sales and marketing activities. We currently have no customers or pharmaceutical products to sell or distribute. Absent additional funding, we believe that our cash, cash equivalents, and marketable securities may not be sufficient to fund our operating expenses and capital expenditure requirements for at least the next twelve months from the filing date of this Quarterly Report on Form 10-Q. These risks and other factors raise substantial doubt about our ability to continue as a going concern.</w:t>
      </w:r>
    </w:p>
    <w:p>
      <w:pPr>
        <w:spacing w:after="0" w:line="194" w:lineRule="exact"/>
        <w:rPr>
          <w:sz w:val="20"/>
          <w:szCs w:val="20"/>
          <w:color w:val="auto"/>
        </w:rPr>
      </w:pPr>
    </w:p>
    <w:p>
      <w:pPr>
        <w:ind w:right="20" w:firstLine="524"/>
        <w:spacing w:after="0" w:line="261" w:lineRule="auto"/>
        <w:rPr>
          <w:sz w:val="20"/>
          <w:szCs w:val="20"/>
          <w:color w:val="auto"/>
        </w:rPr>
      </w:pPr>
      <w:r>
        <w:rPr>
          <w:rFonts w:ascii="Times New Roman" w:cs="Times New Roman" w:eastAsia="Times New Roman" w:hAnsi="Times New Roman"/>
          <w:sz w:val="18"/>
          <w:szCs w:val="18"/>
          <w:color w:val="auto"/>
        </w:rPr>
        <w:t>Our ability to continue as a going concern is dependent on our ability to obtain the necessary financing to meet our obligations and repay our liabilities arising from the ordinary course of business operations when they become due. The substantial doubt about our ability to continue as a going concern may affect the price of our common stock, may impact our relationship with third parties with whom we do business and may impact our ability to raise additional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500" w:firstLine="47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we did not issue or sell any unregistered securities not previously disclosed in a Quarterly Report on Form 10-Q or in a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40" w:hanging="253"/>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provided pursuant to Item 3.02 of Form 8-K. Unregistered Sales of Equity Securities and Item 8.01 of Form 8-K. Other Events.</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1" w:name="page32"/>
    <w:bookmarkEnd w:id="31"/>
    <w:p>
      <w:pPr>
        <w:ind w:firstLine="479"/>
        <w:spacing w:after="0" w:line="258" w:lineRule="auto"/>
        <w:rPr>
          <w:sz w:val="20"/>
          <w:szCs w:val="20"/>
          <w:color w:val="auto"/>
        </w:rPr>
      </w:pPr>
      <w:r>
        <w:rPr>
          <w:rFonts w:ascii="Times New Roman" w:cs="Times New Roman" w:eastAsia="Times New Roman" w:hAnsi="Times New Roman"/>
          <w:sz w:val="18"/>
          <w:szCs w:val="18"/>
          <w:color w:val="auto"/>
        </w:rPr>
        <w:t>On November 10, 2025, the Company issued 6,250,000 shares (the “Shares”) of the Company’s non-voting common stock at a price of $4.00 per share for a total of $25.0 million to Incyte Corporation (“Incyte”) pursuant to a securities purchase agreement (the “Securities Purchase Agreement”), dated November 3, 2025, by and between the Company and Incyte (the “Closing”). Pursuant to the Company’s Amended and Restated Certificate of Incorporation and subject to the Beneficial Ownership Limitation as set forth therein, Incyte may elect to convert the Shares into voting shares of the Company’s common stock at any time.</w:t>
      </w:r>
    </w:p>
    <w:p>
      <w:pPr>
        <w:spacing w:after="0" w:line="183"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In connection with the Closing, the Company entered into a registration rights agreement (the “Registration Rights Agreement”) with Incyte pursuant to which the Company agreed to prepare and file a registration statement on Form S-3 with the Securities and Exchange Commission (the “SEC”) registering the resale of the Shares by Incyte (the “Resale Registration Shelf”), (i) as promptly as reasonably practicable following the request of Incyte, and in any event within sixty (60) days of such request, (ii) or no later than thirty (30) days after the Closing of the sale of the non-voting common stock. The Company also agreed to use reasonable best efforts to cause such registration statement to become effective as promptly as practicable after filing the Resale Registration Shelf.</w:t>
      </w:r>
    </w:p>
    <w:p>
      <w:pPr>
        <w:spacing w:after="0" w:line="187"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Based in part upon the representations of Incyte in the Securities Purchase Agreement, the offering and sale of the Shares will be exempt from registration under Section 4(a)(2) of the Securities Act of 1933, as amended (the “Securities Act”). The Shares will not be registered under the Securities Act or any state securities laws and may not be offered or sold in the United States absent registration with the SEC or an applicable exemption from the registration requirements. The sale of the securities will not involve a public offering. Incyte represented that it is an accredited investor, as such term is defined in Rule 501(a) of Regulation D under the Securities Act, and that it is acquiring the Shares for investment purposes only and not with a view to any distribution of the Shares in violation of the United States federal securities laws.</w:t>
      </w:r>
    </w:p>
    <w:p>
      <w:pPr>
        <w:spacing w:after="0" w:line="187"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The Company intends to apply the net proceeds from the sale of the Shares pursuant to the Securities Purchase Agreement to advance its pipeline, including the KAT6A program, the JAK2V617F program, and for working capital and general corporate purposes.</w:t>
      </w:r>
    </w:p>
    <w:p>
      <w:pPr>
        <w:spacing w:after="0" w:line="162" w:lineRule="exact"/>
        <w:rPr>
          <w:sz w:val="20"/>
          <w:szCs w:val="20"/>
          <w:color w:val="auto"/>
        </w:rPr>
      </w:pPr>
    </w:p>
    <w:p>
      <w:pPr>
        <w:ind w:left="740" w:hanging="253"/>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right="160" w:firstLine="487"/>
        <w:spacing w:after="0" w:line="282" w:lineRule="auto"/>
        <w:tabs>
          <w:tab w:leader="none" w:pos="7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during the Company’s fiscal quarter ended September 30, 2025.</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40" w:type="dxa"/>
            <w:vAlign w:val="bottom"/>
            <w:gridSpan w:val="6"/>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  Exhibit Filing</w:t>
            </w:r>
          </w:p>
        </w:tc>
        <w:tc>
          <w:tcPr>
            <w:tcW w:w="12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040" w:type="dxa"/>
            <w:vAlign w:val="bottom"/>
            <w:tcBorders>
              <w:bottom w:val="single" w:sz="8" w:color="auto"/>
            </w:tcBorders>
            <w:gridSpan w:val="6"/>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6"/>
                <w:szCs w:val="16"/>
                <w:color w:val="auto"/>
              </w:rPr>
            </w:pPr>
          </w:p>
        </w:tc>
        <w:tc>
          <w:tcPr>
            <w:tcW w:w="54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8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0"/>
                <w:szCs w:val="20"/>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the Interactive Data File as its XBRL tags are embedded within the</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Documents</w:t>
            </w: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both"/>
        <w:ind w:right="4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certifications furnished in Exhibits 32.1 and 32.2 hereto are deemed to accompany this Form 10-Q and are not deemed “filed” for purposes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4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Prelude Therapeutics Incorporated</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20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187"/>
        </w:trPr>
        <w:tc>
          <w:tcPr>
            <w:tcW w:w="35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5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Krishna Vaddi, PhD</w:t>
            </w:r>
          </w:p>
        </w:tc>
      </w:tr>
      <w:tr>
        <w:trPr>
          <w:trHeight w:val="216"/>
        </w:trPr>
        <w:tc>
          <w:tcPr>
            <w:tcW w:w="3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20"/>
        </w:trPr>
        <w:tc>
          <w:tcPr>
            <w:tcW w:w="35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20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Bryant Lim</w:t>
            </w:r>
          </w:p>
        </w:tc>
      </w:tr>
      <w:tr>
        <w:trPr>
          <w:trHeight w:val="187"/>
        </w:trPr>
        <w:tc>
          <w:tcPr>
            <w:tcW w:w="35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5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Bryant Lim</w:t>
            </w:r>
          </w:p>
        </w:tc>
      </w:tr>
      <w:tr>
        <w:trPr>
          <w:trHeight w:val="238"/>
        </w:trPr>
        <w:tc>
          <w:tcPr>
            <w:tcW w:w="35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ind w:left="6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Krishna Vaddi, certify that:</w:t>
      </w:r>
    </w:p>
    <w:p>
      <w:pPr>
        <w:spacing w:after="0" w:line="22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22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189"/>
        </w:trPr>
        <w:tc>
          <w:tcPr>
            <w:tcW w:w="37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Krishna Vaddi, PhD</w:t>
            </w:r>
          </w:p>
        </w:tc>
      </w:tr>
      <w:tr>
        <w:trPr>
          <w:trHeight w:val="216"/>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79"/>
        </w:trPr>
        <w:tc>
          <w:tcPr>
            <w:tcW w:w="37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Bryant Lim, certify that:</w:t>
      </w:r>
    </w:p>
    <w:p>
      <w:pPr>
        <w:spacing w:after="0" w:line="225"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Bryant Lim</w:t>
            </w:r>
          </w:p>
        </w:tc>
      </w:tr>
      <w:tr>
        <w:trPr>
          <w:trHeight w:val="189"/>
        </w:trPr>
        <w:tc>
          <w:tcPr>
            <w:tcW w:w="38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Bryant Lim</w:t>
            </w:r>
          </w:p>
        </w:tc>
      </w:tr>
      <w:tr>
        <w:trPr>
          <w:trHeight w:val="216"/>
        </w:trPr>
        <w:tc>
          <w:tcPr>
            <w:tcW w:w="38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979"/>
        </w:trPr>
        <w:tc>
          <w:tcPr>
            <w:tcW w:w="38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1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22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189"/>
        </w:trPr>
        <w:tc>
          <w:tcPr>
            <w:tcW w:w="37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Krishna Vaddi, PhD</w:t>
            </w:r>
          </w:p>
        </w:tc>
      </w:tr>
      <w:tr>
        <w:trPr>
          <w:trHeight w:val="216"/>
        </w:trPr>
        <w:tc>
          <w:tcPr>
            <w:tcW w:w="37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7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79"/>
        </w:trPr>
        <w:tc>
          <w:tcPr>
            <w:tcW w:w="37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firstLine="554"/>
        <w:spacing w:after="0" w:line="282" w:lineRule="auto"/>
        <w:rPr>
          <w:sz w:val="20"/>
          <w:szCs w:val="20"/>
          <w:color w:val="auto"/>
        </w:rPr>
      </w:pPr>
      <w:r>
        <w:rPr>
          <w:rFonts w:ascii="Times New Roman" w:cs="Times New Roman" w:eastAsia="Times New Roman" w:hAnsi="Times New Roman"/>
          <w:sz w:val="18"/>
          <w:szCs w:val="18"/>
          <w:color w:val="auto"/>
        </w:rPr>
        <w:t>I, Bryant Lim, Chief Financial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1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21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Bryant Lim</w:t>
            </w:r>
          </w:p>
        </w:tc>
      </w:tr>
      <w:tr>
        <w:trPr>
          <w:trHeight w:val="189"/>
        </w:trPr>
        <w:tc>
          <w:tcPr>
            <w:tcW w:w="37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Bryant Lim</w:t>
            </w:r>
          </w:p>
        </w:tc>
      </w:tr>
      <w:tr>
        <w:trPr>
          <w:trHeight w:val="216"/>
        </w:trPr>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979"/>
        </w:trPr>
        <w:tc>
          <w:tcPr>
            <w:tcW w:w="37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2025-11-12T06:30:17Z</dcterms:created>
  <dcterms:modified xsi:type="dcterms:W3CDTF">2025-11-12T06:30:17Z</dcterms:modified>
</cp:coreProperties>
</file>