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prld-20260609.htm"/>
      <w:bookmarkStart w:id="1" w:name="ksprld20260609"/>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20" w:after="6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June 9,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Prelude Therapeutics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6066" w:type="dxa"/>
        <w:jc w:val="left"/>
        <w:tblInd w:w="0" w:type="dxa"/>
        <w:tblLayout w:type="fixed"/>
        <w:tblCellMar>
          <w:top w:w="28" w:type="dxa"/>
          <w:left w:w="28" w:type="dxa"/>
          <w:bottom w:w="28" w:type="dxa"/>
          <w:right w:w="28" w:type="dxa"/>
        </w:tblCellMar>
      </w:tblPr>
      <w:tblGrid>
        <w:gridCol w:w="2845"/>
        <w:gridCol w:w="151"/>
        <w:gridCol w:w="379"/>
        <w:gridCol w:w="493"/>
        <w:gridCol w:w="371"/>
        <w:gridCol w:w="146"/>
        <w:gridCol w:w="1681"/>
      </w:tblGrid>
      <w:tr>
        <w:trPr/>
        <w:tc>
          <w:tcPr>
            <w:tcW w:w="28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845"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81-1384762</w:t>
            </w:r>
          </w:p>
        </w:tc>
      </w:tr>
      <w:tr>
        <w:trPr/>
        <w:tc>
          <w:tcPr>
            <w:tcW w:w="2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or other jurisdiction of</w:t>
              <w:br/>
              <w:t>incorporation or organization)</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7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175 Innovation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120" w:after="120"/>
        <w:jc w:val="center"/>
        <w:rPr>
          <w:rFonts w:ascii="Times New Roman" w:hAnsi="Times New Roman"/>
          <w:sz w:val="20"/>
        </w:rPr>
      </w:pPr>
      <w:r>
        <w:rPr>
          <w:rFonts w:ascii="Times New Roman" w:hAnsi="Times New Roman"/>
          <w:b/>
          <w:color w:val="000000"/>
          <w:sz w:val="20"/>
        </w:rPr>
        <w:t>Registrant’s telephone number, including area code: (302)</w:t>
      </w:r>
      <w:r>
        <w:rPr>
          <w:rFonts w:ascii="Times New Roman" w:hAnsi="Times New Roman"/>
          <w:color w:val="000000"/>
          <w:sz w:val="20"/>
        </w:rPr>
        <w:t xml:space="preserve"> </w:t>
      </w:r>
      <w:r>
        <w:rPr>
          <w:rFonts w:ascii="Times New Roman" w:hAnsi="Times New Roman"/>
          <w:b/>
          <w:color w:val="000000"/>
          <w:sz w:val="20"/>
        </w:rPr>
        <w:t>467-1280</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12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12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12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June 9, 2026, Prelude Therapeutics Incorporated (the "Company") held its 2026 Annual Meeting of Stockholders (the "Annual Meeting") and the following proposals were approved by the Company's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three Class III Directors, Krishna Vaddi, Paul Scherer, and Katina Dorton, each to serve a three-year term, which will expire at the 2029 Annual Meeting of Stockholders and until such time as their respective successors have been duly elected and qualified or until such director’s earlier resignation or removal, based on the following votes:</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2206"/>
        <w:gridCol w:w="146"/>
        <w:gridCol w:w="1036"/>
        <w:gridCol w:w="146"/>
        <w:gridCol w:w="1291"/>
        <w:gridCol w:w="146"/>
        <w:gridCol w:w="147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Nominees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Withheld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Krishna Vaddi,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26,996,820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4,799,016</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Scherer,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25,532,267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1,520,490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4,799,016</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Katina Dorton, J.D., MBA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26,998,601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4,799,016</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Ratification of appointment of Ernst &amp; Young LLP as the independent registered public accounting firm of the Company for its fiscal year ending December 31, 2026, based on the following votes:</w:t>
      </w:r>
    </w:p>
    <w:p>
      <w:pPr>
        <w:pStyle w:val="TextBody"/>
        <w:bidi w:val="0"/>
        <w:jc w:val="both"/>
        <w:rPr/>
      </w:pPr>
      <w:r>
        <w:rPr/>
        <w:t> </w:t>
      </w:r>
    </w:p>
    <w:tbl>
      <w:tblPr>
        <w:tblW w:w="5557" w:type="dxa"/>
        <w:jc w:val="left"/>
        <w:tblInd w:w="0" w:type="dxa"/>
        <w:tblLayout w:type="fixed"/>
        <w:tblCellMar>
          <w:top w:w="28" w:type="dxa"/>
          <w:left w:w="28" w:type="dxa"/>
          <w:bottom w:w="28" w:type="dxa"/>
          <w:right w:w="28" w:type="dxa"/>
        </w:tblCellMar>
      </w:tblPr>
      <w:tblGrid>
        <w:gridCol w:w="1051"/>
        <w:gridCol w:w="146"/>
        <w:gridCol w:w="1186"/>
        <w:gridCol w:w="146"/>
        <w:gridCol w:w="1411"/>
        <w:gridCol w:w="1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Abstaining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31,841,080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Advisory vote to approve the 2025 compensation for the Company's named executive officers, based on the following votes:</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1051"/>
        <w:gridCol w:w="146"/>
        <w:gridCol w:w="1186"/>
        <w:gridCol w:w="146"/>
        <w:gridCol w:w="1411"/>
        <w:gridCol w:w="1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Abstaining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26,869,142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4,799,016</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Advisory vote on the frequency of advisory votes on the compensation for the Company's named executive officers, based on the following votes:</w:t>
      </w:r>
    </w:p>
    <w:p>
      <w:pPr>
        <w:pStyle w:val="TextBody"/>
        <w:bidi w:val="0"/>
        <w:jc w:val="left"/>
        <w:rPr/>
      </w:pPr>
      <w:r>
        <w:rPr/>
        <w:t> </w:t>
      </w:r>
    </w:p>
    <w:tbl>
      <w:tblPr>
        <w:tblW w:w="5224" w:type="dxa"/>
        <w:jc w:val="left"/>
        <w:tblInd w:w="0" w:type="dxa"/>
        <w:tblLayout w:type="fixed"/>
        <w:tblCellMar>
          <w:top w:w="28" w:type="dxa"/>
          <w:left w:w="28" w:type="dxa"/>
          <w:bottom w:w="28" w:type="dxa"/>
          <w:right w:w="28" w:type="dxa"/>
        </w:tblCellMar>
      </w:tblPr>
      <w:tblGrid>
        <w:gridCol w:w="1051"/>
        <w:gridCol w:w="146"/>
        <w:gridCol w:w="676"/>
        <w:gridCol w:w="146"/>
        <w:gridCol w:w="781"/>
        <w:gridCol w:w="146"/>
        <w:gridCol w:w="661"/>
        <w:gridCol w:w="146"/>
        <w:gridCol w:w="147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26,877,941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4,799,016</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7848" w:type="dxa"/>
        <w:jc w:val="left"/>
        <w:tblInd w:w="0" w:type="dxa"/>
        <w:tblLayout w:type="fixed"/>
        <w:tblCellMar>
          <w:top w:w="28" w:type="dxa"/>
          <w:left w:w="28" w:type="dxa"/>
          <w:bottom w:w="28" w:type="dxa"/>
          <w:right w:w="28" w:type="dxa"/>
        </w:tblCellMar>
      </w:tblPr>
      <w:tblGrid>
        <w:gridCol w:w="1741"/>
        <w:gridCol w:w="406"/>
        <w:gridCol w:w="570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107"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PRELUDE THERAPEUTICS INCORPORATED</w:t>
            </w:r>
          </w:p>
          <w:p>
            <w:pPr>
              <w:pStyle w:val="TableContents"/>
              <w:bidi w:val="0"/>
              <w:jc w:val="left"/>
              <w:rPr/>
            </w:pPr>
            <w:r>
              <w:rPr/>
              <w:t> </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10, 2026</w:t>
            </w:r>
          </w:p>
        </w:tc>
        <w:tc>
          <w:tcPr>
            <w:tcW w:w="406"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70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 Bryant Lim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Bryant Lim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Corporate Secretary, and Chief Financial Officer</w:t>
            </w:r>
          </w:p>
        </w:tc>
      </w:tr>
    </w:tbl>
    <w:p>
      <w:pPr>
        <w:pStyle w:val="TextBody"/>
        <w:bidi w:val="0"/>
        <w:spacing w:before="48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3359</Characters>
  <CharactersWithSpaces>3931</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