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65" w:lineRule="exact"/>
        <w:rPr>
          <w:sz w:val="24"/>
          <w:szCs w:val="24"/>
          <w:color w:val="auto"/>
        </w:rPr>
      </w:pPr>
    </w:p>
    <w:p>
      <w:pPr>
        <w:ind w:left="3880" w:right="1620" w:hanging="3859"/>
        <w:spacing w:after="0" w:line="232" w:lineRule="auto"/>
        <w:tabs>
          <w:tab w:leader="none" w:pos="475"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6"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001-39527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PRELUDE THERAPEUTICS INCORPORATED</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p>
      <w:pPr>
        <w:spacing w:after="0" w:line="20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13"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81-1384762</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14" w:lineRule="exact"/>
        <w:rPr>
          <w:sz w:val="24"/>
          <w:szCs w:val="24"/>
          <w:color w:val="auto"/>
        </w:rPr>
      </w:pPr>
    </w:p>
    <w:p>
      <w:pPr>
        <w:sectPr>
          <w:pgSz w:w="11900" w:h="16838" w:orient="portrait"/>
          <w:cols w:equalWidth="0" w:num="2">
            <w:col w:w="7220" w:space="720"/>
            <w:col w:w="3300"/>
          </w:cols>
          <w:pgMar w:left="320" w:top="974" w:right="339" w:bottom="1440" w:gutter="0" w:footer="0" w:header="0"/>
          <w:type w:val="continuous"/>
        </w:sectPr>
      </w:pPr>
    </w:p>
    <w:tbl>
      <w:tblPr>
        <w:tblLayout w:type="fixed"/>
        <w:tblInd w:w="1780" w:type="dxa"/>
        <w:tblCellMar>
          <w:top w:w="0" w:type="dxa"/>
          <w:left w:w="0" w:type="dxa"/>
          <w:bottom w:w="0" w:type="dxa"/>
          <w:right w:w="0" w:type="dxa"/>
        </w:tblCellMar>
      </w:tblPr>
      <w:tr>
        <w:trPr>
          <w:trHeight w:val="230"/>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w w:val="99"/>
              </w:rPr>
              <w:t>175 Innovation Boulevard</w:t>
            </w:r>
          </w:p>
        </w:tc>
        <w:tc>
          <w:tcPr>
            <w:tcW w:w="2720" w:type="dxa"/>
            <w:vAlign w:val="bottom"/>
          </w:tcPr>
          <w:p>
            <w:pPr>
              <w:spacing w:after="0"/>
              <w:rPr>
                <w:sz w:val="19"/>
                <w:szCs w:val="19"/>
                <w:color w:val="auto"/>
              </w:rPr>
            </w:pPr>
          </w:p>
        </w:tc>
      </w:tr>
      <w:tr>
        <w:trPr>
          <w:trHeight w:val="246"/>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w w:val="98"/>
              </w:rPr>
              <w:t>Wilmington, Delaware</w:t>
            </w:r>
          </w:p>
        </w:tc>
        <w:tc>
          <w:tcPr>
            <w:tcW w:w="2720" w:type="dxa"/>
            <w:vAlign w:val="bottom"/>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19805</w:t>
            </w:r>
          </w:p>
        </w:tc>
      </w:tr>
      <w:tr>
        <w:trPr>
          <w:trHeight w:val="179"/>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20" w:type="dxa"/>
            <w:vAlign w:val="bottom"/>
          </w:tcPr>
          <w:p>
            <w:pPr>
              <w:jc w:val="center"/>
              <w:ind w:left="206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6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 467-1280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PRLD</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86" w:lineRule="exact"/>
        <w:rPr>
          <w:sz w:val="24"/>
          <w:szCs w:val="24"/>
          <w:color w:val="auto"/>
        </w:rPr>
      </w:pPr>
    </w:p>
    <w:p>
      <w:pPr>
        <w:ind w:firstLine="478"/>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20" w:firstLine="478"/>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300" w:firstLine="47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100" w:firstLine="478"/>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4"/>
          <w:szCs w:val="24"/>
          <w:color w:val="auto"/>
        </w:rPr>
      </w:pPr>
    </w:p>
    <w:p>
      <w:pPr>
        <w:ind w:left="480"/>
        <w:spacing w:after="0" w:line="184" w:lineRule="exact"/>
        <w:tabs>
          <w:tab w:leader="none" w:pos="8020" w:val="left"/>
          <w:tab w:leader="none" w:pos="87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63"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As of August 7, 2024, the registrant had 55,024,470 shares of voting and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4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20" w:type="dxa"/>
            <w:vAlign w:val="bottom"/>
            <w:gridSpan w:val="2"/>
            <w:vMerge w:val="continue"/>
          </w:tcPr>
          <w:p>
            <w:pPr>
              <w:spacing w:after="0"/>
              <w:rPr>
                <w:sz w:val="14"/>
                <w:szCs w:val="14"/>
                <w:color w:val="auto"/>
              </w:rPr>
            </w:pPr>
          </w:p>
        </w:tc>
        <w:tc>
          <w:tcPr>
            <w:tcW w:w="9540" w:type="dxa"/>
            <w:vAlign w:val="bottom"/>
            <w:gridSpan w:val="21"/>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40" w:type="dxa"/>
            <w:vAlign w:val="bottom"/>
            <w:tcBorders>
              <w:top w:val="single" w:sz="8" w:color="0000FF"/>
              <w:bottom w:val="single" w:sz="8" w:color="0000EE"/>
            </w:tcBorders>
          </w:tcPr>
          <w:p>
            <w:pPr>
              <w:spacing w:after="0"/>
              <w:rPr>
                <w:sz w:val="18"/>
                <w:szCs w:val="18"/>
                <w:color w:val="auto"/>
              </w:rPr>
            </w:pPr>
          </w:p>
        </w:tc>
        <w:tc>
          <w:tcPr>
            <w:tcW w:w="700" w:type="dxa"/>
            <w:vAlign w:val="bottom"/>
            <w:tcBorders>
              <w:top w:val="single" w:sz="8" w:color="0000FF"/>
            </w:tcBorders>
            <w:gridSpan w:val="4"/>
          </w:tcPr>
          <w:p>
            <w:pPr>
              <w:spacing w:after="0"/>
              <w:rPr>
                <w:sz w:val="18"/>
                <w:szCs w:val="18"/>
                <w:color w:val="auto"/>
              </w:rPr>
            </w:pPr>
          </w:p>
        </w:tc>
        <w:tc>
          <w:tcPr>
            <w:tcW w:w="7300" w:type="dxa"/>
            <w:vAlign w:val="bottom"/>
            <w:gridSpan w:val="10"/>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Balance Sheets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Statements of Operations and Comprehensive Loss (Unaudited)</w:t>
            </w:r>
          </w:p>
        </w:tc>
        <w:tc>
          <w:tcPr>
            <w:tcW w:w="494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Statements of Changes in Stockholders’ Equity (Unaudited)</w:t>
            </w:r>
          </w:p>
        </w:tc>
        <w:tc>
          <w:tcPr>
            <w:tcW w:w="522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Statements of Cash Flows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Unaudited Interim Financial Statements</w:t>
            </w:r>
          </w:p>
        </w:tc>
        <w:tc>
          <w:tcPr>
            <w:tcW w:w="20" w:type="dxa"/>
            <w:vAlign w:val="bottom"/>
            <w:tcBorders>
              <w:bottom w:val="single" w:sz="8" w:color="0000EE"/>
            </w:tcBorders>
          </w:tcPr>
          <w:p>
            <w:pPr>
              <w:spacing w:after="0"/>
              <w:rPr>
                <w:sz w:val="18"/>
                <w:szCs w:val="18"/>
                <w:color w:val="auto"/>
              </w:rPr>
            </w:pPr>
          </w:p>
        </w:tc>
        <w:tc>
          <w:tcPr>
            <w:tcW w:w="6000" w:type="dxa"/>
            <w:vAlign w:val="bottom"/>
            <w:gridSpan w:val="6"/>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18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gridSpan w:val="2"/>
            <w:vMerge w:val="continue"/>
          </w:tcPr>
          <w:p>
            <w:pPr>
              <w:spacing w:after="0"/>
              <w:rPr>
                <w:sz w:val="18"/>
                <w:szCs w:val="18"/>
                <w:color w:val="auto"/>
              </w:rPr>
            </w:pPr>
          </w:p>
        </w:tc>
        <w:tc>
          <w:tcPr>
            <w:tcW w:w="18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660" w:type="dxa"/>
            <w:vAlign w:val="bottom"/>
            <w:gridSpan w:val="12"/>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8220" w:type="dxa"/>
            <w:vAlign w:val="bottom"/>
            <w:gridSpan w:val="16"/>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5"/>
          </w:tcPr>
          <w:p>
            <w:pPr>
              <w:spacing w:after="0"/>
              <w:rPr>
                <w:sz w:val="18"/>
                <w:szCs w:val="18"/>
                <w:color w:val="auto"/>
              </w:rPr>
            </w:pPr>
          </w:p>
        </w:tc>
        <w:tc>
          <w:tcPr>
            <w:tcW w:w="520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760" w:type="dxa"/>
            <w:vAlign w:val="bottom"/>
            <w:gridSpan w:val="1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40" w:type="dxa"/>
            <w:vAlign w:val="bottom"/>
            <w:gridSpan w:val="17"/>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center"/>
              <w:ind w:right="580"/>
              <w:spacing w:after="0"/>
              <w:rPr>
                <w:sz w:val="20"/>
                <w:szCs w:val="20"/>
                <w:color w:val="auto"/>
              </w:rPr>
            </w:pPr>
            <w:r>
              <w:rPr>
                <w:rFonts w:ascii="Times New Roman" w:cs="Times New Roman" w:eastAsia="Times New Roman" w:hAnsi="Times New Roman"/>
                <w:sz w:val="14"/>
                <w:szCs w:val="14"/>
                <w:color w:val="auto"/>
              </w:rPr>
              <w:t>(unaudited)</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27,828</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25,291</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152,016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207,644</w:t>
            </w:r>
          </w:p>
        </w:tc>
        <w:tc>
          <w:tcPr>
            <w:tcW w:w="10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182,714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235,589</w:t>
            </w: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29,574</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30,412</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0"/>
                <w:szCs w:val="20"/>
                <w:color w:val="auto"/>
              </w:rPr>
            </w:pPr>
          </w:p>
        </w:tc>
      </w:tr>
      <w:tr>
        <w:trPr>
          <w:trHeight w:val="277"/>
        </w:trPr>
        <w:tc>
          <w:tcPr>
            <w:tcW w:w="7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224,291</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277,665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11,426</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15,768</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liability</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23,335</w:t>
            </w:r>
          </w:p>
        </w:tc>
        <w:tc>
          <w:tcPr>
            <w:tcW w:w="3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21,829</w:t>
            </w:r>
          </w:p>
        </w:tc>
        <w:tc>
          <w:tcPr>
            <w:tcW w:w="100" w:type="dxa"/>
            <w:vAlign w:val="bottom"/>
            <w:shd w:val="clear" w:color="auto" w:fill="CFF0FC"/>
          </w:tcPr>
          <w:p>
            <w:pPr>
              <w:spacing w:after="0"/>
              <w:rPr>
                <w:sz w:val="20"/>
                <w:szCs w:val="20"/>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42,015</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40,575</w:t>
            </w:r>
          </w:p>
        </w:tc>
        <w:tc>
          <w:tcPr>
            <w:tcW w:w="100" w:type="dxa"/>
            <w:vAlign w:val="bottom"/>
          </w:tcPr>
          <w:p>
            <w:pPr>
              <w:spacing w:after="0"/>
              <w:rPr>
                <w:sz w:val="20"/>
                <w:szCs w:val="20"/>
                <w:color w:val="auto"/>
              </w:rPr>
            </w:pPr>
          </w:p>
        </w:tc>
      </w:tr>
      <w:tr>
        <w:trPr>
          <w:trHeight w:val="241"/>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(Note 8)</w:t>
            </w:r>
          </w:p>
        </w:tc>
        <w:tc>
          <w:tcPr>
            <w:tcW w:w="2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Voting common stock, $0.0001 par value: 487,149,741 shares authorized; 42,158,224 and</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42,063,995 shares issued and outstanding at June 30, 2024 and December 31, 2023, respectively</w:t>
            </w: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11"/>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Non-voting common stock, $0.0001 par value: 12,850,259 shares authorized; 12,850,259 shares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 and outstanding at both June 30, 2024 and December 31, 2023</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50"/>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705,122</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693,252</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8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(290 )</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0"/>
                <w:szCs w:val="20"/>
                <w:color w:val="auto"/>
              </w:rPr>
            </w:pPr>
          </w:p>
        </w:tc>
      </w:tr>
      <w:tr>
        <w:trPr>
          <w:trHeight w:val="243"/>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(522,561 )</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(456,390 )</w:t>
            </w:r>
          </w:p>
        </w:tc>
      </w:tr>
      <w:tr>
        <w:trPr>
          <w:trHeight w:val="237"/>
        </w:trPr>
        <w:tc>
          <w:tcPr>
            <w:tcW w:w="76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182,276</w:t>
            </w:r>
          </w:p>
        </w:tc>
        <w:tc>
          <w:tcPr>
            <w:tcW w:w="3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237,090</w:t>
            </w:r>
          </w:p>
        </w:tc>
        <w:tc>
          <w:tcPr>
            <w:tcW w:w="100" w:type="dxa"/>
            <w:vAlign w:val="bottom"/>
            <w:tcBorders>
              <w:top w:val="single" w:sz="8" w:color="CFF0FC"/>
            </w:tcBorders>
          </w:tcPr>
          <w:p>
            <w:pPr>
              <w:spacing w:after="0"/>
              <w:rPr>
                <w:sz w:val="20"/>
                <w:szCs w:val="20"/>
                <w:color w:val="auto"/>
              </w:rPr>
            </w:pPr>
          </w:p>
        </w:tc>
      </w:tr>
      <w:tr>
        <w:trPr>
          <w:trHeight w:val="276"/>
        </w:trPr>
        <w:tc>
          <w:tcPr>
            <w:tcW w:w="7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224,291</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277,665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-4396740</wp:posOffset>
            </wp:positionV>
            <wp:extent cx="768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-4396740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-3453765</wp:posOffset>
            </wp:positionV>
            <wp:extent cx="76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-3436620</wp:posOffset>
            </wp:positionV>
            <wp:extent cx="76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-3453765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-1876425</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-351155</wp:posOffset>
            </wp:positionV>
            <wp:extent cx="768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768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768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80" w:type="dxa"/>
            <w:vAlign w:val="bottom"/>
          </w:tcPr>
          <w:p>
            <w:pPr>
              <w:spacing w:after="0"/>
              <w:rPr>
                <w:sz w:val="16"/>
                <w:szCs w:val="16"/>
                <w:color w:val="auto"/>
              </w:rPr>
            </w:pPr>
          </w:p>
        </w:tc>
        <w:tc>
          <w:tcPr>
            <w:tcW w:w="278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5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360" w:type="dxa"/>
            <w:vAlign w:val="bottom"/>
            <w:vMerge w:val="continue"/>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29,509</w:t>
            </w:r>
          </w:p>
        </w:tc>
        <w:tc>
          <w:tcPr>
            <w:tcW w:w="2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24,966</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56,918</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7,655</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14,589</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37,164</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71,507</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(37,164 )</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(32,398 )</w:t>
            </w:r>
          </w:p>
        </w:tc>
        <w:tc>
          <w:tcPr>
            <w:tcW w:w="2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(71,507 )</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(61,513 )</w:t>
            </w:r>
          </w:p>
        </w:tc>
        <w:tc>
          <w:tcPr>
            <w:tcW w:w="0" w:type="dxa"/>
            <w:vAlign w:val="bottom"/>
          </w:tcPr>
          <w:p>
            <w:pPr>
              <w:spacing w:after="0"/>
              <w:rPr>
                <w:sz w:val="1"/>
                <w:szCs w:val="1"/>
                <w:color w:val="auto"/>
              </w:rPr>
            </w:pPr>
          </w:p>
        </w:tc>
      </w:tr>
      <w:tr>
        <w:trPr>
          <w:trHeight w:val="23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(34,740 )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(30,431 )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(66,171 )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(58,149 )</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Per share information:</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(0.46 )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(0.54 )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(0.87 )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196"/>
        </w:trPr>
        <w:tc>
          <w:tcPr>
            <w:tcW w:w="536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75,762,152</w:t>
            </w:r>
          </w:p>
        </w:tc>
        <w:tc>
          <w:tcPr>
            <w:tcW w:w="2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56,240,491</w:t>
            </w: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75,748,989</w:t>
            </w: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52,012,330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diluted</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(34,740 )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(30,431 )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(66,171 )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(58,149 )</w:t>
            </w:r>
          </w:p>
        </w:tc>
        <w:tc>
          <w:tcPr>
            <w:tcW w:w="0" w:type="dxa"/>
            <w:vAlign w:val="bottom"/>
          </w:tcPr>
          <w:p>
            <w:pPr>
              <w:spacing w:after="0"/>
              <w:rPr>
                <w:sz w:val="1"/>
                <w:szCs w:val="1"/>
                <w:color w:val="auto"/>
              </w:rPr>
            </w:pPr>
          </w:p>
        </w:tc>
      </w:tr>
      <w:tr>
        <w:trPr>
          <w:trHeight w:val="243"/>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gain on marketable securities, net of tax</w:t>
            </w:r>
          </w:p>
        </w:tc>
        <w:tc>
          <w:tcPr>
            <w:tcW w:w="2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(55 )</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(313 )</w:t>
            </w: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(513 )</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(34,795 )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(30,744 )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(66,684 )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(57,168 )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-1945005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-1945005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-1945005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-1302385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-1285240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-1302385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-1285240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-1302385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-1285240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-968375</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-950595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-968375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-950595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-968375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-950595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-968375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-187960</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-187960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0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3"/>
            <w:vMerge w:val="restart"/>
          </w:tcPr>
          <w:p>
            <w:pPr>
              <w:jc w:val="center"/>
              <w:ind w:left="134"/>
              <w:spacing w:after="0"/>
              <w:rPr>
                <w:sz w:val="20"/>
                <w:szCs w:val="20"/>
                <w:color w:val="auto"/>
              </w:rPr>
            </w:pPr>
            <w:r>
              <w:rPr>
                <w:rFonts w:ascii="Times New Roman" w:cs="Times New Roman" w:eastAsia="Times New Roman" w:hAnsi="Times New Roman"/>
                <w:sz w:val="14"/>
                <w:szCs w:val="14"/>
                <w:b w:val="1"/>
                <w:bCs w:val="1"/>
                <w:color w:val="auto"/>
              </w:rPr>
              <w:t>Non-voting common</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60" w:type="dxa"/>
            <w:vAlign w:val="bottom"/>
            <w:tcBorders>
              <w:top w:val="single" w:sz="8" w:color="auto"/>
            </w:tcBorders>
            <w:gridSpan w:val="3"/>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1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Voting common stock</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4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70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Borders>
              <w:bottom w:val="single" w:sz="8" w:color="auto"/>
            </w:tcBorders>
            <w:gridSpan w:val="2"/>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10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8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00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12,850,25</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(456,39</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0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42,063,995</w:t>
            </w:r>
          </w:p>
        </w:tc>
        <w:tc>
          <w:tcPr>
            <w:tcW w:w="6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$ 693,252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$ 237,090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 &amp; vesting of</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net of 4,285 shares withheld for</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taxes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(14 )</w:t>
            </w: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8"/>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securities, net of tax</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(458 )</w:t>
            </w: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(458 )</w:t>
            </w:r>
          </w:p>
        </w:tc>
        <w:tc>
          <w:tcPr>
            <w:tcW w:w="0" w:type="dxa"/>
            <w:vAlign w:val="bottom"/>
          </w:tcPr>
          <w:p>
            <w:pPr>
              <w:spacing w:after="0"/>
              <w:rPr>
                <w:sz w:val="1"/>
                <w:szCs w:val="1"/>
                <w:color w:val="auto"/>
              </w:rPr>
            </w:pPr>
          </w:p>
        </w:tc>
      </w:tr>
      <w:tr>
        <w:trPr>
          <w:trHeight w:val="23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9"/>
              </w:rPr>
              <w:t>(31,431 )</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(31,431 )</w:t>
            </w:r>
          </w:p>
        </w:tc>
        <w:tc>
          <w:tcPr>
            <w:tcW w:w="0" w:type="dxa"/>
            <w:vAlign w:val="bottom"/>
          </w:tcPr>
          <w:p>
            <w:pPr>
              <w:spacing w:after="0"/>
              <w:rPr>
                <w:sz w:val="1"/>
                <w:szCs w:val="1"/>
                <w:color w:val="auto"/>
              </w:rPr>
            </w:pPr>
          </w:p>
        </w:tc>
      </w:tr>
      <w:tr>
        <w:trPr>
          <w:trHeight w:val="209"/>
        </w:trPr>
        <w:tc>
          <w:tcPr>
            <w:tcW w:w="3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12,850,25</w:t>
            </w:r>
          </w:p>
        </w:tc>
        <w:tc>
          <w:tcPr>
            <w:tcW w:w="22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(487,82</w:t>
            </w:r>
          </w:p>
        </w:tc>
        <w:tc>
          <w:tcPr>
            <w:tcW w:w="200" w:type="dxa"/>
            <w:vAlign w:val="bottom"/>
            <w:tcBorders>
              <w:top w:val="single" w:sz="8" w:color="CFF0F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42,071,505</w:t>
            </w:r>
          </w:p>
        </w:tc>
        <w:tc>
          <w:tcPr>
            <w:tcW w:w="6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$ 698,785</w:t>
            </w:r>
          </w:p>
        </w:tc>
        <w:tc>
          <w:tcPr>
            <w:tcW w:w="220" w:type="dxa"/>
            <w:vAlign w:val="bottom"/>
          </w:tcPr>
          <w:p>
            <w:pPr>
              <w:spacing w:after="0"/>
              <w:rPr>
                <w:sz w:val="20"/>
                <w:szCs w:val="20"/>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$ 210,734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 &amp; vesting of</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net of 3,722 shares withheld for</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taxes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ESPP</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78,916</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securities, net of tax</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3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9"/>
              </w:rPr>
              <w:t>(34,740 )</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(34,740 )</w:t>
            </w:r>
          </w:p>
        </w:tc>
        <w:tc>
          <w:tcPr>
            <w:tcW w:w="0" w:type="dxa"/>
            <w:vAlign w:val="bottom"/>
          </w:tcPr>
          <w:p>
            <w:pPr>
              <w:spacing w:after="0"/>
              <w:rPr>
                <w:sz w:val="1"/>
                <w:szCs w:val="1"/>
                <w:color w:val="auto"/>
              </w:rPr>
            </w:pPr>
          </w:p>
        </w:tc>
      </w:tr>
      <w:tr>
        <w:trPr>
          <w:trHeight w:val="209"/>
        </w:trPr>
        <w:tc>
          <w:tcPr>
            <w:tcW w:w="3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12,850,25</w:t>
            </w:r>
          </w:p>
        </w:tc>
        <w:tc>
          <w:tcPr>
            <w:tcW w:w="22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(522,56</w:t>
            </w:r>
          </w:p>
        </w:tc>
        <w:tc>
          <w:tcPr>
            <w:tcW w:w="200" w:type="dxa"/>
            <w:vAlign w:val="bottom"/>
            <w:tcBorders>
              <w:top w:val="single" w:sz="8" w:color="CFF0F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42,158,224</w:t>
            </w:r>
          </w:p>
        </w:tc>
        <w:tc>
          <w:tcPr>
            <w:tcW w:w="6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$ 705,122</w:t>
            </w:r>
          </w:p>
        </w:tc>
        <w:tc>
          <w:tcPr>
            <w:tcW w:w="220" w:type="dxa"/>
            <w:vAlign w:val="bottom"/>
          </w:tcPr>
          <w:p>
            <w:pPr>
              <w:spacing w:after="0"/>
              <w:rPr>
                <w:sz w:val="20"/>
                <w:szCs w:val="20"/>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$ 182,276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-1953895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-1953895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-1953895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-1953895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-1953895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-1953895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-1953895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-325120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-325120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-325120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-325120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-325120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-325120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-325120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8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3"/>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920" w:type="dxa"/>
            <w:vAlign w:val="bottom"/>
            <w:gridSpan w:val="4"/>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Voting common stock</w:t>
            </w:r>
          </w:p>
        </w:tc>
        <w:tc>
          <w:tcPr>
            <w:tcW w:w="240" w:type="dxa"/>
            <w:vAlign w:val="bottom"/>
          </w:tcPr>
          <w:p>
            <w:pPr>
              <w:spacing w:after="0"/>
              <w:rPr>
                <w:sz w:val="12"/>
                <w:szCs w:val="12"/>
                <w:color w:val="auto"/>
              </w:rPr>
            </w:pPr>
          </w:p>
        </w:tc>
        <w:tc>
          <w:tcPr>
            <w:tcW w:w="1920" w:type="dxa"/>
            <w:vAlign w:val="bottom"/>
            <w:gridSpan w:val="4"/>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Non-voting common stock</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860" w:type="dxa"/>
            <w:vAlign w:val="bottom"/>
          </w:tcPr>
          <w:p>
            <w:pPr>
              <w:spacing w:after="0"/>
              <w:rPr>
                <w:sz w:val="15"/>
                <w:szCs w:val="15"/>
                <w:color w:val="auto"/>
              </w:rPr>
            </w:pPr>
          </w:p>
        </w:tc>
        <w:tc>
          <w:tcPr>
            <w:tcW w:w="1920" w:type="dxa"/>
            <w:vAlign w:val="bottom"/>
            <w:tcBorders>
              <w:bottom w:val="single" w:sz="8" w:color="auto"/>
            </w:tcBorders>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Borders>
              <w:bottom w:val="single" w:sz="8" w:color="auto"/>
            </w:tcBorders>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8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9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86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92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36,496,99</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11,402,03</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(334,55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8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$ 531,682</w:t>
            </w:r>
          </w:p>
        </w:tc>
        <w:tc>
          <w:tcPr>
            <w:tcW w:w="4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(1,692 )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 &amp; vesting</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RSUs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securities, net of tax</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(27,718 )</w:t>
            </w:r>
          </w:p>
        </w:tc>
        <w:tc>
          <w:tcPr>
            <w:tcW w:w="1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(27,718 )</w:t>
            </w:r>
          </w:p>
        </w:tc>
        <w:tc>
          <w:tcPr>
            <w:tcW w:w="0" w:type="dxa"/>
            <w:vAlign w:val="bottom"/>
          </w:tcPr>
          <w:p>
            <w:pPr>
              <w:spacing w:after="0"/>
              <w:rPr>
                <w:sz w:val="1"/>
                <w:szCs w:val="1"/>
                <w:color w:val="auto"/>
              </w:rPr>
            </w:pPr>
          </w:p>
        </w:tc>
      </w:tr>
      <w:tr>
        <w:trPr>
          <w:trHeight w:val="209"/>
        </w:trPr>
        <w:tc>
          <w:tcPr>
            <w:tcW w:w="2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36,514,21</w:t>
            </w: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11,402,03</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(362,27</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8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$ 537,966</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(398 )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and</w:t>
            </w: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prefunded warrants, net of issuance</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of $2.6 million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5,312,978</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1,448,222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110,423</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 &amp; vesting</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RSU's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90,799</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net of tax</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(313 )</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(313 )</w:t>
            </w:r>
          </w:p>
        </w:tc>
        <w:tc>
          <w:tcPr>
            <w:tcW w:w="0" w:type="dxa"/>
            <w:vAlign w:val="bottom"/>
          </w:tcPr>
          <w:p>
            <w:pPr>
              <w:spacing w:after="0"/>
              <w:rPr>
                <w:sz w:val="1"/>
                <w:szCs w:val="1"/>
                <w:color w:val="auto"/>
              </w:rPr>
            </w:pPr>
          </w:p>
        </w:tc>
      </w:tr>
      <w:tr>
        <w:trPr>
          <w:trHeight w:val="250"/>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(30,431 )</w:t>
            </w: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(30,431 )</w:t>
            </w:r>
          </w:p>
        </w:tc>
        <w:tc>
          <w:tcPr>
            <w:tcW w:w="0" w:type="dxa"/>
            <w:vAlign w:val="bottom"/>
          </w:tcPr>
          <w:p>
            <w:pPr>
              <w:spacing w:after="0"/>
              <w:rPr>
                <w:sz w:val="1"/>
                <w:szCs w:val="1"/>
                <w:color w:val="auto"/>
              </w:rPr>
            </w:pPr>
          </w:p>
        </w:tc>
      </w:tr>
      <w:tr>
        <w:trPr>
          <w:trHeight w:val="209"/>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41,958,45</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12,850,25</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(392,70</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8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$ 655,473</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(711 )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262,060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-2382520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-2382520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-2382520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-2382520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-2382520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-2382520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-2382520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-25400</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-8255</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-25400</wp:posOffset>
            </wp:positionV>
            <wp:extent cx="76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-8255</wp:posOffset>
            </wp:positionV>
            <wp:extent cx="76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-25400</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-8255</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-25400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-25400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316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7700" w:type="dxa"/>
            <w:vAlign w:val="bottom"/>
            <w:vMerge w:val="continue"/>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(66,171 )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(58,149 )</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premium and discount on marketable securities, net</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(2,873 )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(805 )</w:t>
            </w: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(216 )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(2,540 )</w:t>
            </w:r>
          </w:p>
        </w:tc>
        <w:tc>
          <w:tcPr>
            <w:tcW w:w="0" w:type="dxa"/>
            <w:vAlign w:val="bottom"/>
          </w:tcPr>
          <w:p>
            <w:pPr>
              <w:spacing w:after="0"/>
              <w:rPr>
                <w:sz w:val="1"/>
                <w:szCs w:val="1"/>
                <w:color w:val="auto"/>
              </w:rPr>
            </w:pP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(1,333 )</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(4,466 )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(4,493 )</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Long-term prepaid expenses and other long-term assets</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(4,010 )</w:t>
            </w:r>
          </w:p>
        </w:tc>
        <w:tc>
          <w:tcPr>
            <w:tcW w:w="0" w:type="dxa"/>
            <w:vAlign w:val="bottom"/>
          </w:tcPr>
          <w:p>
            <w:pPr>
              <w:spacing w:after="0"/>
              <w:rPr>
                <w:sz w:val="1"/>
                <w:szCs w:val="1"/>
                <w:color w:val="auto"/>
              </w:rPr>
            </w:pP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(894 )</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(54,848 )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(57,802 )</w:t>
            </w:r>
          </w:p>
        </w:tc>
        <w:tc>
          <w:tcPr>
            <w:tcW w:w="0" w:type="dxa"/>
            <w:vAlign w:val="bottom"/>
          </w:tcPr>
          <w:p>
            <w:pPr>
              <w:spacing w:after="0"/>
              <w:rPr>
                <w:sz w:val="1"/>
                <w:szCs w:val="1"/>
                <w:color w:val="auto"/>
              </w:rPr>
            </w:pPr>
          </w:p>
        </w:tc>
      </w:tr>
      <w:tr>
        <w:trPr>
          <w:trHeight w:val="237"/>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provided by investing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(13,372 )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(128,134 )</w:t>
            </w: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(648 )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(1,793 )</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(57,427 )</w:t>
            </w:r>
          </w:p>
        </w:tc>
        <w:tc>
          <w:tcPr>
            <w:tcW w:w="0" w:type="dxa"/>
            <w:vAlign w:val="bottom"/>
          </w:tcPr>
          <w:p>
            <w:pPr>
              <w:spacing w:after="0"/>
              <w:rPr>
                <w:sz w:val="1"/>
                <w:szCs w:val="1"/>
                <w:color w:val="auto"/>
              </w:rPr>
            </w:pPr>
          </w:p>
        </w:tc>
      </w:tr>
      <w:tr>
        <w:trPr>
          <w:trHeight w:val="24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3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(84 )</w:t>
            </w: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warrants, net of offering costs</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common stock under ESPP</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common stock in connection with the exercise of stock options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withholding taxes related to stock-based compensation to employees</w:t>
            </w:r>
          </w:p>
        </w:tc>
        <w:tc>
          <w:tcPr>
            <w:tcW w:w="3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(34 )</w:t>
            </w: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Principal payments on finance lease liabilities</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(96 )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111,070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(4,159 )</w:t>
            </w: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29,335</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31,872</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in accounts payable and accrued expenses and other current liabilities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Offering costs in accrued expenses and other current liabilities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7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Offering costs in accounts payable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(513 )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-3573780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-2948305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-1696720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-1053465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-1036320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-384810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-367665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INTERIM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w:t>
      </w:r>
    </w:p>
    <w:p>
      <w:pPr>
        <w:spacing w:after="0" w:line="229" w:lineRule="exact"/>
        <w:rPr>
          <w:sz w:val="20"/>
          <w:szCs w:val="20"/>
          <w:color w:val="auto"/>
        </w:rPr>
      </w:pPr>
    </w:p>
    <w:p>
      <w:pPr>
        <w:ind w:firstLine="478"/>
        <w:spacing w:after="0" w:line="261" w:lineRule="auto"/>
        <w:rPr>
          <w:sz w:val="20"/>
          <w:szCs w:val="20"/>
          <w:color w:val="auto"/>
        </w:rPr>
      </w:pPr>
      <w:r>
        <w:rPr>
          <w:rFonts w:ascii="Times New Roman" w:cs="Times New Roman" w:eastAsia="Times New Roman" w:hAnsi="Times New Roman"/>
          <w:sz w:val="18"/>
          <w:szCs w:val="18"/>
          <w:color w:val="auto"/>
        </w:rPr>
        <w:t>Prelude Therapeutics Incorporated (the “Company”) is a clinical-stage fully integrated oncology company built on a foundation of drug discovery excellence to deliver novel precision cancer medicines to underserved patients. Since beginning operations in 2016, the Company has devoted substantially all its efforts to research and development, conducting preclinical and clinical studies, recruiting management and technical staff, administration, and raising capital.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Risks and liquidity</w:t>
      </w:r>
    </w:p>
    <w:p>
      <w:pPr>
        <w:spacing w:after="0" w:line="229"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The Company faces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adequate protection for the Company’s technology will be obtained, any products developed will obtain necessary government regulatory approval, or any approved products will be commercially viable. The Company operates in an environment of rapid change in technology and substantial competition from pharmaceutical and biotechnology companies.</w:t>
      </w:r>
    </w:p>
    <w:p>
      <w:pPr>
        <w:spacing w:after="0" w:line="188"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Since its inception, the Company has incurred operating losses and had an accumulated deficit of $522.6 million at June 30, 2024. The Company has no product revenue to-date and devotes its efforts to research and development. The Company anticipates incurring additional losses until such time, if ever, that it can generate significant sales of its product candidates currently in development.</w:t>
      </w:r>
    </w:p>
    <w:p>
      <w:pPr>
        <w:spacing w:after="0" w:line="176" w:lineRule="exact"/>
        <w:rPr>
          <w:sz w:val="20"/>
          <w:szCs w:val="20"/>
          <w:color w:val="auto"/>
        </w:rPr>
      </w:pPr>
    </w:p>
    <w:p>
      <w:pPr>
        <w:ind w:right="80" w:firstLine="479"/>
        <w:spacing w:after="0" w:line="282" w:lineRule="auto"/>
        <w:rPr>
          <w:sz w:val="20"/>
          <w:szCs w:val="20"/>
          <w:color w:val="auto"/>
        </w:rPr>
      </w:pPr>
      <w:r>
        <w:rPr>
          <w:rFonts w:ascii="Times New Roman" w:cs="Times New Roman" w:eastAsia="Times New Roman" w:hAnsi="Times New Roman"/>
          <w:sz w:val="18"/>
          <w:szCs w:val="18"/>
          <w:color w:val="auto"/>
        </w:rPr>
        <w:t>The Company believes its cash, cash equivalents, and marketable securities as of June 30, 2024 will be sufficient to fund its operating expenses and capital expenditure requirements for at least the next twelve months from the filing date of this Quarterly Report on Form 10-Q.</w:t>
      </w:r>
    </w:p>
    <w:p>
      <w:pPr>
        <w:spacing w:after="0" w:line="162"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To fund its operating expenses and capital expenditure requirements after that date, the Company plans to seek additional funding through public or private equity offerings, debt financings,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it could be required to delay, reduce or eliminate research and development programs, product portfolio expansion or future commercialization efforts, which could adversely affect its business prospects.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9" w:lineRule="exact"/>
        <w:rPr>
          <w:sz w:val="20"/>
          <w:szCs w:val="20"/>
          <w:color w:val="auto"/>
        </w:rPr>
      </w:pPr>
    </w:p>
    <w:p>
      <w:pPr>
        <w:ind w:right="60" w:firstLine="479"/>
        <w:spacing w:after="0" w:line="266" w:lineRule="auto"/>
        <w:rPr>
          <w:sz w:val="20"/>
          <w:szCs w:val="20"/>
          <w:color w:val="auto"/>
        </w:rPr>
      </w:pPr>
      <w:r>
        <w:rPr>
          <w:rFonts w:ascii="Times New Roman" w:cs="Times New Roman" w:eastAsia="Times New Roman" w:hAnsi="Times New Roman"/>
          <w:sz w:val="18"/>
          <w:szCs w:val="18"/>
          <w:color w:val="auto"/>
        </w:rPr>
        <w:t>The complete summary of significant accounting policies included in the Company’s financial statements for the year ended December 31, 2023 can be found in “Note 3. Summary of significant accounting policies” of the Company’s Annual Report on Form 10-K filed with the Securities and Exchange Commission (the “SEC”) on February 15, 2024.</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00" w:firstLine="479"/>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financial statements have been prepared in accordance with generally accepted accounting principles (“GAAP”) for interim financial information, the instructions to Form 10-Q and Article 10 of Regulation S-X. They do not include all of the information and notes required by GAAP for complete financial statements. In the opinion of management, all adjustments (consisting of normal recurring accruals) considered necessary for a fair presentation have been included. Operating results for the three and six months ended June 30, 2024 are not necessarily indicative of the results that may be expected for the year ending December 31, 2024. The accompanying unaudited interim financial statements should be read in conjunction with the annual audited financial statements and related notes as of and for the year ended December 31, 2023 found in the Company's Annual Report on Form 10-K filed with the SEC on February 15, 2024. Any reference in these notes to applicable guidance is meant to refer to GAAP as found in the Accounting Standards Codification (“ASC”) and Accounting Standards Updates (“ASU”) of the Financial Accounting Standards Board (“FASB”).</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right="260" w:firstLine="478"/>
        <w:spacing w:after="0" w:line="266" w:lineRule="auto"/>
        <w:rPr>
          <w:sz w:val="20"/>
          <w:szCs w:val="20"/>
          <w:color w:val="auto"/>
        </w:rPr>
      </w:pPr>
      <w:r>
        <w:rPr>
          <w:rFonts w:ascii="Times New Roman" w:cs="Times New Roman" w:eastAsia="Times New Roman" w:hAnsi="Times New Roman"/>
          <w:sz w:val="18"/>
          <w:szCs w:val="18"/>
          <w:color w:val="auto"/>
        </w:rPr>
        <w:t>The preparation of the unaudited interim financial statements in conformity with GAAP requires management to make estimates and assumptions that affect the reported amounts of assets and liabilities and disclosure of contingent assets and contingent liabilities at the date of the unaudited interim financial statements and the reported amounts of expenses during the reporting period. Actual results could differ from those estimates.</w:t>
      </w:r>
    </w:p>
    <w:p>
      <w:pPr>
        <w:spacing w:after="0" w:line="176" w:lineRule="exact"/>
        <w:rPr>
          <w:sz w:val="20"/>
          <w:szCs w:val="20"/>
          <w:color w:val="auto"/>
        </w:rPr>
      </w:pPr>
    </w:p>
    <w:p>
      <w:pPr>
        <w:ind w:right="180" w:firstLine="479"/>
        <w:spacing w:after="0" w:line="282" w:lineRule="auto"/>
        <w:rPr>
          <w:sz w:val="20"/>
          <w:szCs w:val="20"/>
          <w:color w:val="auto"/>
        </w:rPr>
      </w:pPr>
      <w:r>
        <w:rPr>
          <w:rFonts w:ascii="Times New Roman" w:cs="Times New Roman" w:eastAsia="Times New Roman" w:hAnsi="Times New Roman"/>
          <w:sz w:val="18"/>
          <w:szCs w:val="18"/>
          <w:color w:val="auto"/>
        </w:rPr>
        <w:t>Estimates and assumptions are periodically reviewed, and the effects of the revisions are reflected in the accompanying unaudited interim financial statements in the period they are determined to be necessary. The most significant estimate relates to accrued clinical trial expenses.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Based upon the historical and anticipated future losses, management has determined that the deferred tax assets generated by net operating losses and research and development credits do not meet the more likely than not threshold for realizability. Accordingly, a full valuation allowance has been recorded against the Company’s net deferred tax assets as of June 30, 2024 and December 31, 2023.</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ind w:right="220" w:firstLine="479"/>
        <w:spacing w:after="0" w:line="282" w:lineRule="auto"/>
        <w:rPr>
          <w:sz w:val="20"/>
          <w:szCs w:val="20"/>
          <w:color w:val="auto"/>
        </w:rPr>
      </w:pPr>
      <w:r>
        <w:rPr>
          <w:rFonts w:ascii="Times New Roman" w:cs="Times New Roman" w:eastAsia="Times New Roman" w:hAnsi="Times New Roman"/>
          <w:sz w:val="18"/>
          <w:szCs w:val="18"/>
          <w:color w:val="auto"/>
        </w:rPr>
        <w:t>The Company’s cash equivalents include short-term highly liquid investments with an original maturity of 90 days or less when purchased and are carried at fair value in the accompanying balance sheets.</w:t>
      </w:r>
    </w:p>
    <w:p>
      <w:pPr>
        <w:spacing w:after="0" w:line="162" w:lineRule="exact"/>
        <w:rPr>
          <w:sz w:val="20"/>
          <w:szCs w:val="20"/>
          <w:color w:val="auto"/>
        </w:rPr>
      </w:pPr>
    </w:p>
    <w:p>
      <w:pPr>
        <w:ind w:right="340" w:firstLine="479"/>
        <w:spacing w:after="0" w:line="282" w:lineRule="auto"/>
        <w:rPr>
          <w:sz w:val="20"/>
          <w:szCs w:val="20"/>
          <w:color w:val="auto"/>
        </w:rPr>
      </w:pPr>
      <w:r>
        <w:rPr>
          <w:rFonts w:ascii="Times New Roman" w:cs="Times New Roman" w:eastAsia="Times New Roman" w:hAnsi="Times New Roman"/>
          <w:sz w:val="18"/>
          <w:szCs w:val="18"/>
          <w:color w:val="auto"/>
        </w:rPr>
        <w:t>Restricted cash consists of a letter of credit for the benefit of the landlord in connection with the Company’s Chestnut Run Lease. See Note 8 for further details.</w:t>
      </w:r>
    </w:p>
    <w:p>
      <w:pPr>
        <w:spacing w:after="0" w:line="162" w:lineRule="exact"/>
        <w:rPr>
          <w:sz w:val="20"/>
          <w:szCs w:val="20"/>
          <w:color w:val="auto"/>
        </w:rPr>
      </w:pPr>
    </w:p>
    <w:p>
      <w:pPr>
        <w:ind w:right="480" w:firstLine="47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balance sheet that total to the amounts shown in the statement of cash flows: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00" w:type="dxa"/>
            <w:vAlign w:val="bottom"/>
          </w:tcPr>
          <w:p>
            <w:pPr>
              <w:spacing w:after="0"/>
              <w:rPr>
                <w:sz w:val="16"/>
                <w:szCs w:val="16"/>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27,828</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25,291</w:t>
            </w: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Pr>
          <w:p>
            <w:pPr>
              <w:spacing w:after="0"/>
              <w:rPr>
                <w:sz w:val="20"/>
                <w:szCs w:val="20"/>
                <w:color w:val="auto"/>
              </w:rPr>
            </w:pPr>
          </w:p>
        </w:tc>
      </w:tr>
      <w:tr>
        <w:trPr>
          <w:trHeight w:val="27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statement of cash flows</w:t>
            </w:r>
          </w:p>
        </w:tc>
        <w:tc>
          <w:tcPr>
            <w:tcW w:w="10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31,872</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29,335</w:t>
            </w:r>
          </w:p>
        </w:tc>
        <w:tc>
          <w:tcPr>
            <w:tcW w:w="100" w:type="dxa"/>
            <w:vAlign w:val="bottom"/>
            <w:shd w:val="clear" w:color="auto" w:fill="CFF0FC"/>
          </w:tcPr>
          <w:p>
            <w:pPr>
              <w:spacing w:after="0"/>
              <w:rPr>
                <w:sz w:val="24"/>
                <w:szCs w:val="24"/>
                <w:color w:val="auto"/>
              </w:rPr>
            </w:pPr>
          </w:p>
        </w:tc>
      </w:tr>
      <w:tr>
        <w:trPr>
          <w:trHeight w:val="633"/>
        </w:trPr>
        <w:tc>
          <w:tcPr>
            <w:tcW w:w="7700" w:type="dxa"/>
            <w:vAlign w:val="bottom"/>
            <w:tcBorders>
              <w:top w:val="single" w:sz="8" w:color="CFF0FC"/>
            </w:tcBorders>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9"/>
        </w:trPr>
        <w:tc>
          <w:tcPr>
            <w:tcW w:w="77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-925195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-908050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 w:name="page10"/>
    <w:bookmarkEnd w:id="9"/>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100" w:firstLine="479"/>
        <w:spacing w:after="0" w:line="258" w:lineRule="auto"/>
        <w:rPr>
          <w:sz w:val="20"/>
          <w:szCs w:val="20"/>
          <w:color w:val="auto"/>
        </w:rPr>
      </w:pPr>
      <w:r>
        <w:rPr>
          <w:rFonts w:ascii="Times New Roman" w:cs="Times New Roman" w:eastAsia="Times New Roman" w:hAnsi="Times New Roman"/>
          <w:sz w:val="18"/>
          <w:szCs w:val="18"/>
          <w:color w:val="auto"/>
        </w:rPr>
        <w:t>The Company’s marketable securities consist of investments in corporate debt securities, United States (“U.S.”) government debt securities, and agency securities that are classified as available-for-sale. The securities are carried at fair value with the unrealized gains and losses, net of tax, included in accumulated other comprehensive loss, a component of stockholders’ equity. Realized gains and losses as well as credit losses, if any, on marketable securities are included in the Company’s statements of operations. The Company classifies marketable securities that are available for use in current operations as current assets on the balance sheets.</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40" w:firstLine="479"/>
        <w:spacing w:after="0" w:line="255" w:lineRule="auto"/>
        <w:rPr>
          <w:sz w:val="20"/>
          <w:szCs w:val="20"/>
          <w:color w:val="auto"/>
        </w:rPr>
      </w:pPr>
      <w:r>
        <w:rPr>
          <w:rFonts w:ascii="Times New Roman" w:cs="Times New Roman" w:eastAsia="Times New Roman" w:hAnsi="Times New Roman"/>
          <w:sz w:val="18"/>
          <w:szCs w:val="18"/>
          <w:color w:val="auto"/>
        </w:rPr>
        <w:t xml:space="preserve">In May 2024, the Company and Pathos AI, Inc. (“Pathos”) entered into a license agreement under which the Company granted to Pathos an exclusive, sublicensable, world-wide license to its selective, brain-penetrant PRMT5 inhibitor, PRT811 which is being accounted for under Accounting Standard Codification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Under ASC 606, the Company recognizes revenue when its customer obtains control of promised goods or services, in an amount that reflects the consideration which the Company expects to receive in exchange for those goods or services. The Company's revenue recognition analysis consists of the following steps: (i) identify the contract(s) with a customer; (ii) identify the performance obligations in the contract; (iii) determine the transaction price; (iv) allocate the transaction price to the performance obligations; and (v) recognition of revenue as we satisfy each performance obligation.</w:t>
      </w:r>
    </w:p>
    <w:p>
      <w:pPr>
        <w:spacing w:after="0" w:line="189"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The Company evaluates all promised goods and services within a customer contract and determines which goods and services are separate performance obligations. This evaluation includes an assessment of whether the good or service is capable of being distinct and whether the good or service is separable from other promises in the contract.</w:t>
      </w:r>
    </w:p>
    <w:p>
      <w:pPr>
        <w:spacing w:after="0" w:line="176" w:lineRule="exact"/>
        <w:rPr>
          <w:sz w:val="20"/>
          <w:szCs w:val="20"/>
          <w:color w:val="auto"/>
        </w:rPr>
      </w:pPr>
    </w:p>
    <w:p>
      <w:pPr>
        <w:ind w:right="180" w:firstLine="479"/>
        <w:spacing w:after="0" w:line="261" w:lineRule="auto"/>
        <w:rPr>
          <w:sz w:val="20"/>
          <w:szCs w:val="20"/>
          <w:color w:val="auto"/>
        </w:rPr>
      </w:pPr>
      <w:r>
        <w:rPr>
          <w:rFonts w:ascii="Times New Roman" w:cs="Times New Roman" w:eastAsia="Times New Roman" w:hAnsi="Times New Roman"/>
          <w:sz w:val="18"/>
          <w:szCs w:val="18"/>
          <w:color w:val="auto"/>
        </w:rPr>
        <w:t>The transaction price is determined based on the amount of consideration to which the Company expects to be entitled in exchange for transferring promised goods or services to a customer. The Company recognizes as revenue the amount of the transaction price that is allocated to the respective performance obligations when (or as) the performance obligations are satisfied. The Company recognizes a liability when the Company has received payment but has not yet satisfied the related performance obligations.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right="100" w:firstLine="479"/>
        <w:spacing w:after="0" w:line="253"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weighted-average number of shares of common stock outstanding during each period, including pre-funded warrants to purchase shares of common stock. The weighted-average number of shares of common stock outstanding used in the basic net loss per share calculation does not include unvested restricted stock awards as these instruments are considered contingently issuable shares until they vest. Diluted net loss per share of common stock includes the effect, if any, from the potential exercise of securities, such as stock options, and the effect from unvested restricted stock awards and restricted stock units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unvested restricted stock awards entitle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unvested restricted stock awards have no obligation to fund losses.</w:t>
      </w:r>
    </w:p>
    <w:p>
      <w:pPr>
        <w:spacing w:after="0" w:line="194" w:lineRule="exact"/>
        <w:rPr>
          <w:sz w:val="20"/>
          <w:szCs w:val="20"/>
          <w:color w:val="auto"/>
        </w:rPr>
      </w:pPr>
    </w:p>
    <w:p>
      <w:pPr>
        <w:ind w:right="680" w:firstLine="47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of common stock outstanding, as they would be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tcPr>
          <w:p>
            <w:pPr>
              <w:spacing w:after="0"/>
              <w:rPr>
                <w:sz w:val="16"/>
                <w:szCs w:val="16"/>
                <w:color w:val="auto"/>
              </w:rPr>
            </w:pPr>
          </w:p>
        </w:tc>
        <w:tc>
          <w:tcPr>
            <w:tcW w:w="2280" w:type="dxa"/>
            <w:vAlign w:val="bottom"/>
            <w:tcBorders>
              <w:bottom w:val="single" w:sz="8" w:color="auto"/>
            </w:tcBorders>
            <w:gridSpan w:val="3"/>
          </w:tcPr>
          <w:p>
            <w:pPr>
              <w:ind w:left="1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16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2280" w:type="dxa"/>
            <w:vAlign w:val="bottom"/>
            <w:gridSpan w:val="3"/>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81,044</w:t>
            </w:r>
          </w:p>
        </w:tc>
        <w:tc>
          <w:tcPr>
            <w:tcW w:w="100" w:type="dxa"/>
            <w:vAlign w:val="bottom"/>
            <w:shd w:val="clear" w:color="auto" w:fill="CFF0FC"/>
          </w:tcPr>
          <w:p>
            <w:pPr>
              <w:spacing w:after="0"/>
              <w:rPr>
                <w:sz w:val="20"/>
                <w:szCs w:val="20"/>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20"/>
                <w:szCs w:val="20"/>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15,180,727</w:t>
            </w:r>
          </w:p>
        </w:tc>
        <w:tc>
          <w:tcPr>
            <w:tcW w:w="240" w:type="dxa"/>
            <w:vAlign w:val="bottom"/>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12,083,788</w:t>
            </w:r>
          </w:p>
        </w:tc>
        <w:tc>
          <w:tcPr>
            <w:tcW w:w="100" w:type="dxa"/>
            <w:vAlign w:val="bottom"/>
            <w:shd w:val="clear" w:color="auto" w:fill="CFF0FC"/>
          </w:tcPr>
          <w:p>
            <w:pPr>
              <w:spacing w:after="0"/>
              <w:rPr>
                <w:sz w:val="21"/>
                <w:szCs w:val="21"/>
                <w:color w:val="auto"/>
              </w:rPr>
            </w:pPr>
          </w:p>
        </w:tc>
      </w:tr>
      <w:tr>
        <w:trPr>
          <w:trHeight w:val="236"/>
        </w:trPr>
        <w:tc>
          <w:tcPr>
            <w:tcW w:w="764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15,263,227</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12,289,832</w:t>
            </w:r>
          </w:p>
        </w:tc>
        <w:tc>
          <w:tcPr>
            <w:tcW w:w="10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Amounts in the above table reflect the common stock equivalents.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Emerging Growth Company Status</w:t>
      </w:r>
    </w:p>
    <w:p>
      <w:pPr>
        <w:spacing w:after="0" w:line="227" w:lineRule="exact"/>
        <w:rPr>
          <w:sz w:val="20"/>
          <w:szCs w:val="20"/>
          <w:color w:val="auto"/>
        </w:rPr>
      </w:pPr>
    </w:p>
    <w:p>
      <w:pPr>
        <w:ind w:right="180" w:firstLine="479"/>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unaudited interim financial statements may not be comparable to companies that comply with the new or revised accounting pronouncements as of public company effective dates.</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Accounting guidance not yet adopted</w:t>
      </w:r>
    </w:p>
    <w:p>
      <w:pPr>
        <w:spacing w:after="0" w:line="227" w:lineRule="exact"/>
        <w:rPr>
          <w:sz w:val="20"/>
          <w:szCs w:val="20"/>
          <w:color w:val="auto"/>
        </w:rPr>
      </w:pPr>
    </w:p>
    <w:p>
      <w:pPr>
        <w:ind w:right="60" w:firstLine="479"/>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 Improvements to Reportable Segment Disclosures. This ASU expands segment disclosures by requiring disclosure of significant segment expenses that are regularly provided to the chief operating decision maker and included within each reported measure of segment profit or loss, an amount for other segment items and a description of its composition, and interim disclosures of a reportable segment’s profit or loss and assets. The disclosures required under ASU 2023-07 are also required for public entities with a single reportable segment. The amendments in this ASU are effective for fiscal years beginning after December 15, 2023 and interim periods within fiscal years beginning after December 15, 2024. Early adoption is permitted. The Company is currently evaluating the impact of this standard but does not expect that it will have a material impact on the financial statements and related disclosures.</w:t>
      </w:r>
    </w:p>
    <w:p>
      <w:pPr>
        <w:spacing w:after="0" w:line="192" w:lineRule="exact"/>
        <w:rPr>
          <w:sz w:val="20"/>
          <w:szCs w:val="20"/>
          <w:color w:val="auto"/>
        </w:rPr>
      </w:pPr>
    </w:p>
    <w:p>
      <w:pPr>
        <w:ind w:right="240" w:firstLine="47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 Improvements to Income Tax Disclosures. ASU 2023-09 requires enhanced income tax disclosures related to the rate reconciliation and income taxes paid information. For public business entities, the amendments in this ASU are effective for annual periods beginning after December 15, 2024 with early adoption permitted. The Company is currently evaluating the impact of this standard but does not expect that it will have a material impact on the financial statements and related disclosures.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provides detail of the Company's marketable securities.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3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Gross unrealized loss</w:t>
            </w:r>
          </w:p>
        </w:tc>
        <w:tc>
          <w:tcPr>
            <w:tcW w:w="28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Agency securities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100" w:type="dxa"/>
            <w:vAlign w:val="bottom"/>
            <w:shd w:val="clear" w:color="auto" w:fill="CFF0FC"/>
          </w:tcPr>
          <w:p>
            <w:pPr>
              <w:spacing w:after="0"/>
              <w:rPr>
                <w:sz w:val="21"/>
                <w:szCs w:val="21"/>
                <w:color w:val="auto"/>
              </w:rPr>
            </w:pPr>
          </w:p>
        </w:tc>
      </w:tr>
      <w:tr>
        <w:trPr>
          <w:trHeight w:val="239"/>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56,665</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(141 )</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56,531</w:t>
            </w:r>
          </w:p>
        </w:tc>
        <w:tc>
          <w:tcPr>
            <w:tcW w:w="100" w:type="dxa"/>
            <w:vAlign w:val="bottom"/>
          </w:tcPr>
          <w:p>
            <w:pPr>
              <w:spacing w:after="0"/>
              <w:rPr>
                <w:sz w:val="20"/>
                <w:szCs w:val="20"/>
                <w:color w:val="auto"/>
              </w:rPr>
            </w:pPr>
          </w:p>
        </w:tc>
      </w:tr>
      <w:tr>
        <w:trPr>
          <w:trHeight w:val="243"/>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87,178</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(146 )</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87,032</w:t>
            </w:r>
          </w:p>
        </w:tc>
        <w:tc>
          <w:tcPr>
            <w:tcW w:w="100" w:type="dxa"/>
            <w:vAlign w:val="bottom"/>
            <w:shd w:val="clear" w:color="auto" w:fill="CFF0FC"/>
          </w:tcPr>
          <w:p>
            <w:pPr>
              <w:spacing w:after="0"/>
              <w:rPr>
                <w:sz w:val="21"/>
                <w:szCs w:val="21"/>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152,306</w:t>
            </w:r>
          </w:p>
        </w:tc>
        <w:tc>
          <w:tcPr>
            <w:tcW w:w="3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152,016</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3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Agency securities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w:t>
            </w:r>
          </w:p>
        </w:tc>
        <w:tc>
          <w:tcPr>
            <w:tcW w:w="100" w:type="dxa"/>
            <w:vAlign w:val="bottom"/>
          </w:tcPr>
          <w:p>
            <w:pPr>
              <w:spacing w:after="0"/>
              <w:rPr>
                <w:sz w:val="20"/>
                <w:szCs w:val="20"/>
                <w:color w:val="auto"/>
              </w:rPr>
            </w:pPr>
          </w:p>
        </w:tc>
      </w:tr>
      <w:tr>
        <w:trPr>
          <w:trHeight w:val="247"/>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67,806</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(20 )</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67,979</w:t>
            </w:r>
          </w:p>
        </w:tc>
        <w:tc>
          <w:tcPr>
            <w:tcW w:w="100" w:type="dxa"/>
            <w:vAlign w:val="bottom"/>
            <w:shd w:val="clear" w:color="auto" w:fill="CFF0FC"/>
          </w:tcPr>
          <w:p>
            <w:pPr>
              <w:spacing w:after="0"/>
              <w:rPr>
                <w:sz w:val="21"/>
                <w:szCs w:val="21"/>
                <w:color w:val="auto"/>
              </w:rPr>
            </w:pPr>
          </w:p>
        </w:tc>
      </w:tr>
      <w:tr>
        <w:trPr>
          <w:trHeight w:val="239"/>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129,184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(41 )</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129,215</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207,421</w:t>
            </w:r>
          </w:p>
        </w:tc>
        <w:tc>
          <w:tcPr>
            <w:tcW w:w="32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0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207,644</w:t>
            </w:r>
          </w:p>
        </w:tc>
        <w:tc>
          <w:tcPr>
            <w:tcW w:w="100" w:type="dxa"/>
            <w:vAlign w:val="bottom"/>
            <w:shd w:val="clear" w:color="auto" w:fill="CFF0FC"/>
          </w:tcPr>
          <w:p>
            <w:pPr>
              <w:spacing w:after="0"/>
              <w:rPr>
                <w:sz w:val="24"/>
                <w:szCs w:val="24"/>
                <w:color w:val="auto"/>
              </w:rPr>
            </w:pPr>
          </w:p>
        </w:tc>
      </w:tr>
      <w:tr>
        <w:trPr>
          <w:trHeight w:val="633"/>
        </w:trPr>
        <w:tc>
          <w:tcPr>
            <w:tcW w:w="37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9"/>
        </w:trPr>
        <w:tc>
          <w:tcPr>
            <w:tcW w:w="3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-2202180</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-2202180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-2202180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-2202180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-925195</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-908050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-925195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-908050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-925195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-908050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ind w:right="60" w:firstLine="479"/>
        <w:spacing w:after="0" w:line="258" w:lineRule="auto"/>
        <w:rPr>
          <w:sz w:val="20"/>
          <w:szCs w:val="20"/>
          <w:color w:val="auto"/>
        </w:rPr>
      </w:pPr>
      <w:r>
        <w:rPr>
          <w:rFonts w:ascii="Times New Roman" w:cs="Times New Roman" w:eastAsia="Times New Roman" w:hAnsi="Times New Roman"/>
          <w:sz w:val="18"/>
          <w:szCs w:val="18"/>
          <w:color w:val="auto"/>
        </w:rPr>
        <w:t>The Company’s marketable securities generally have contractual maturity dates of 19 months or less. As of June 30, 2024, the Company had 39 securities with a total fair market value of $144.8 million in an unrealized loss position. The Company believes any unrealized losses associated with the decline in value of its securities is temporary and is primarily related to market factors. Furthermore, the Company believes it is more likely than not that it will be able to hold its marketable securities to maturity. Therefore, the Company anticipates a full recovery of the amortized cost basis of its marketable securities at maturity and an allowance for credit losses was not recognized.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229"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 follows the provisions of ASC 820, Fair Value Measurement, for financial assets and liabilities measured on a recurring basis. The guidance requires fair value measurements be classified and disclosed in one of the following three categories:</w:t>
      </w:r>
    </w:p>
    <w:p>
      <w:pPr>
        <w:spacing w:after="0" w:line="77" w:lineRule="exact"/>
        <w:rPr>
          <w:sz w:val="20"/>
          <w:szCs w:val="20"/>
          <w:color w:val="auto"/>
        </w:rPr>
      </w:pPr>
    </w:p>
    <w:p>
      <w:pPr>
        <w:ind w:left="960" w:hanging="47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17" w:lineRule="exact"/>
        <w:rPr>
          <w:rFonts w:ascii="Times New Roman" w:cs="Times New Roman" w:eastAsia="Times New Roman" w:hAnsi="Times New Roman"/>
          <w:sz w:val="18"/>
          <w:szCs w:val="18"/>
          <w:color w:val="auto"/>
        </w:rPr>
      </w:pPr>
    </w:p>
    <w:p>
      <w:pPr>
        <w:ind w:left="960" w:hanging="473"/>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Quoted prices in markets that are not active, or inputs which are observable, either directly or indirectly, for substantially the full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asset or liabilities.</w:t>
      </w:r>
    </w:p>
    <w:p>
      <w:pPr>
        <w:spacing w:after="0" w:line="50" w:lineRule="exact"/>
        <w:rPr>
          <w:rFonts w:ascii="Times New Roman" w:cs="Times New Roman" w:eastAsia="Times New Roman" w:hAnsi="Times New Roman"/>
          <w:sz w:val="18"/>
          <w:szCs w:val="18"/>
          <w:color w:val="auto"/>
        </w:rPr>
      </w:pPr>
    </w:p>
    <w:p>
      <w:pPr>
        <w:ind w:left="960" w:right="500" w:hanging="473"/>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supported by little or no market activity).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2" w:name="page13"/>
    <w:bookmarkEnd w:id="12"/>
    <w:p>
      <w:pPr>
        <w:ind w:left="480"/>
        <w:spacing w:after="0"/>
        <w:rPr>
          <w:sz w:val="20"/>
          <w:szCs w:val="20"/>
          <w:color w:val="auto"/>
        </w:rPr>
      </w:pPr>
      <w:r>
        <w:rPr>
          <w:rFonts w:ascii="Times New Roman" w:cs="Times New Roman" w:eastAsia="Times New Roman" w:hAnsi="Times New Roman"/>
          <w:sz w:val="18"/>
          <w:szCs w:val="18"/>
          <w:color w:val="auto"/>
        </w:rPr>
        <w:t>The following fair value hierarchy table presents information about the Company’s assets and liabilities measured at fair value on a recurring basis: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60" w:type="dxa"/>
            <w:vAlign w:val="bottom"/>
            <w:gridSpan w:val="11"/>
          </w:tcPr>
          <w:p>
            <w:pPr>
              <w:ind w:left="62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9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16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4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21,383</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21,383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66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Agency securities</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56,531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87,032</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152,016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financial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4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173,399</w:t>
            </w: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60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24,369</w:t>
            </w:r>
          </w:p>
        </w:tc>
        <w:tc>
          <w:tcPr>
            <w:tcW w:w="4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Agency securities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10,450</w:t>
            </w: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67,979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129,215</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207,644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financial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24,369</w:t>
            </w:r>
          </w:p>
        </w:tc>
        <w:tc>
          <w:tcPr>
            <w:tcW w:w="4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207,644</w:t>
            </w: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8"/>
        </w:trPr>
        <w:tc>
          <w:tcPr>
            <w:tcW w:w="6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28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11,426</w:t>
            </w:r>
          </w:p>
        </w:tc>
        <w:tc>
          <w:tcPr>
            <w:tcW w:w="280" w:type="dxa"/>
            <w:vAlign w:val="bottom"/>
          </w:tcPr>
          <w:p>
            <w:pPr>
              <w:spacing w:after="0"/>
              <w:rPr>
                <w:sz w:val="20"/>
                <w:szCs w:val="20"/>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-5871210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-5871210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-5871210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-4928235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-4928235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-4928235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-4602480</wp:posOffset>
            </wp:positionV>
            <wp:extent cx="768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-4585335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-4602480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-4585335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-4602480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-4585335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-3034030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-3034030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-2708275</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-2691130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-2708275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-2691130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-1096645</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21"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The Company has two classes of common stock: “voting common stock” and “non-voting common stock.” 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 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that as a result of such conversion, such holder, together with its affiliates and any members of a Schedule 13(d) group with such holder, would not beneficially own in excess of 9.99% of the Company’s common stock immediately prior to and following such conversion, unless otherwise as expressly provided for in the Company’s restated certificate of incorporation. However, this ownership limitation may be increased (not to exceed 19.99%) or decreased to any other percentage designated by such holder of non-voting common stock upon 61 days’ notice to the Company.</w:t>
      </w:r>
    </w:p>
    <w:p>
      <w:pPr>
        <w:spacing w:after="0" w:line="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Statements</w:t>
      </w:r>
    </w:p>
    <w:p>
      <w:pPr>
        <w:spacing w:after="0" w:line="121"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In November 2021, the Company filed a shelf registration statement (the "2021 Shelf Registration Statement") which permits the offering of up to $400.0 million aggregate dollar amount of shares of our common stock or preferred stock, debt securities, warrants to purchase our common stock, preferred stock or debt securities, subscription rights to purchase our common stock, preferred stock or debt securities and/or units consisting of some or all of these securities, in one or more offerings and in any combination. The 2021 Shelf Registration Statement expiries in November 2024, and as of June 30, 2024, there was $187.0 million remaining under the 2021 Shelf Registration Statement.</w:t>
      </w:r>
    </w:p>
    <w:p>
      <w:pPr>
        <w:spacing w:after="0" w:line="75" w:lineRule="exact"/>
        <w:rPr>
          <w:sz w:val="20"/>
          <w:szCs w:val="20"/>
          <w:color w:val="auto"/>
        </w:rPr>
      </w:pPr>
    </w:p>
    <w:p>
      <w:pPr>
        <w:ind w:right="80" w:firstLine="479"/>
        <w:spacing w:after="0" w:line="261" w:lineRule="auto"/>
        <w:rPr>
          <w:sz w:val="20"/>
          <w:szCs w:val="20"/>
          <w:color w:val="auto"/>
        </w:rPr>
      </w:pPr>
      <w:r>
        <w:rPr>
          <w:rFonts w:ascii="Times New Roman" w:cs="Times New Roman" w:eastAsia="Times New Roman" w:hAnsi="Times New Roman"/>
          <w:sz w:val="18"/>
          <w:szCs w:val="18"/>
          <w:color w:val="auto"/>
        </w:rPr>
        <w:t>In May 2024, the Company filed a shelf registration statement (the "2024 Shelf Registration Statement") with the SEC for the issuance of common stock, preferred stock, debt securities, warrants, subscription rights and units up to an aggregate amount of $400 million. The 2024 Shelf Registration statement was declared effective on June 10, 2024. The 2024 Shelf Registration statement expiries in May 2027, and as of June 30, 2024, there was $400.0 million remaining under the 2024 Shelf Registration statement.</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Sales Agreement</w:t>
      </w:r>
    </w:p>
    <w:p>
      <w:pPr>
        <w:spacing w:after="0" w:line="121"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In March 2023, in connection with filing a prospectus supplement to its 2021 Shelf Registration Statement, the Company entered into an Open Market Sales Agreement (the "Sales Agreement") with Jefferies LLC, as the sales agent, pursuant to which the Company may offer and sell shares of its common stock having an aggregate offering amount of up to $75.0 million. The $75.0 million of common stock that may be issued and sold pursuant to the Sales Agreement is included in the $400.0 million of securities that may be issued and sold pursuant to the 2021 Shelf Registration Statement. The Company will pay Jefferies LLC a commission rate of up to 3.0% of the aggregate gross proceeds from the sale of any shares of common stock pursuant to the Sales Agreement. At June 30, 2024, there was $75.0 million remaining under the Sales Agreement.</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2023 Financings</w:t>
      </w:r>
    </w:p>
    <w:p>
      <w:pPr>
        <w:spacing w:after="0" w:line="121"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During the second quarter of 2023, the Company sold 6,761,200 shares of its common stock which comprised of (i) 5,312,978 shares of its voting common stock and (ii) 1,448,222 shares of its non-voting common stock at a price of $5.75 per share and to certain investors in lieu of common stock, the Company sold pre-funded warrants to purchase 12,895,256 shares of voting common stock at a price of $5.7499 per pre-funded warrant, resulting in gross proceeds to the Company of $113.0 million. Of the voting common stock issued, 2,264,456 shares were purchased by the Company’s underwriters in connection with a 30-day option at a price of $5.75 per share. Offering costs of $2.6 million, of which $0.3 million were previously paid and deferred, were recorded to additional paid-in capital in the accompanying balance sheets, resulting in net proceeds of $110.4 million.</w:t>
      </w:r>
    </w:p>
    <w:p>
      <w:pPr>
        <w:spacing w:after="0" w:line="79" w:lineRule="exact"/>
        <w:rPr>
          <w:sz w:val="20"/>
          <w:szCs w:val="20"/>
          <w:color w:val="auto"/>
        </w:rPr>
      </w:pPr>
    </w:p>
    <w:p>
      <w:pPr>
        <w:ind w:right="300" w:firstLine="479"/>
        <w:spacing w:after="0" w:line="282" w:lineRule="auto"/>
        <w:rPr>
          <w:sz w:val="20"/>
          <w:szCs w:val="20"/>
          <w:color w:val="auto"/>
        </w:rPr>
      </w:pPr>
      <w:r>
        <w:rPr>
          <w:rFonts w:ascii="Times New Roman" w:cs="Times New Roman" w:eastAsia="Times New Roman" w:hAnsi="Times New Roman"/>
          <w:sz w:val="18"/>
          <w:szCs w:val="18"/>
          <w:color w:val="auto"/>
        </w:rPr>
        <w:t>During the fourth quarter of 2023, the Company sold in a private placement pre-funded warrants to purchase 7,936,759 shares of voting common stock at a price of $3.1499 per pre-funded warrant, resulting in net proceeds of $24.8 million after deducting offering costs of $0.2 million.</w:t>
      </w:r>
    </w:p>
    <w:p>
      <w:pPr>
        <w:spacing w:after="0" w:line="54" w:lineRule="exact"/>
        <w:rPr>
          <w:sz w:val="20"/>
          <w:szCs w:val="20"/>
          <w:color w:val="auto"/>
        </w:rPr>
      </w:pPr>
    </w:p>
    <w:p>
      <w:pPr>
        <w:ind w:right="180" w:firstLine="479"/>
        <w:spacing w:after="0" w:line="282" w:lineRule="auto"/>
        <w:rPr>
          <w:sz w:val="20"/>
          <w:szCs w:val="20"/>
          <w:color w:val="auto"/>
        </w:rPr>
      </w:pPr>
      <w:r>
        <w:rPr>
          <w:rFonts w:ascii="Times New Roman" w:cs="Times New Roman" w:eastAsia="Times New Roman" w:hAnsi="Times New Roman"/>
          <w:sz w:val="18"/>
          <w:szCs w:val="18"/>
          <w:color w:val="auto"/>
        </w:rPr>
        <w:t>The purchase price per share of each pre-funded warrant represents the per share offering price for the common stock, minus the $0.0001 per share exercise price of such pre-funded warrant. As of June 30, 2024, no pre-funded warrants had been exercised.</w:t>
      </w:r>
    </w:p>
    <w:p>
      <w:pPr>
        <w:spacing w:after="0" w:line="54"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The pre-funded warrants were classified as a component of permanent stockholders’ equity within additional paid-in capital and were recorded at the issuance date using a relative fair value allocation method. The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did not conduct any financings during the first six months of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8. Commitments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60" w:firstLine="479"/>
        <w:spacing w:after="0" w:line="255" w:lineRule="auto"/>
        <w:rPr>
          <w:sz w:val="20"/>
          <w:szCs w:val="20"/>
          <w:color w:val="auto"/>
        </w:rPr>
      </w:pPr>
      <w:r>
        <w:rPr>
          <w:rFonts w:ascii="Times New Roman" w:cs="Times New Roman" w:eastAsia="Times New Roman" w:hAnsi="Times New Roman"/>
          <w:sz w:val="18"/>
          <w:szCs w:val="18"/>
          <w:color w:val="auto"/>
        </w:rPr>
        <w:t>The Company leases office and laboratory space in Wilmington, Delaware under a noncancelable lease (the “Chestnut Run Lease”). The premises include approximately 81,000 rentable square feet and has an initial term of 162 months with 3 five-year extension options and certain expansion rights. Neither the option to extend nor the expansion rights were recognized as part of the Company's measurement of the right-of-use ("ROU") asset and operating lease liability as of June 30, 2024. Under the terms of the Chestnut Run Lease, the landlord provided an allowance towards the cost of completing tenant improvements for the premises. The Company concluded that the improvements resulting from both the landlord's build-out and the tenant improvements are the landlord's assets for accounting purposes. Costs incurred by the Company related to tenant improvements in excess of the landlord's allowance were treated as prepaid rent and increased the right-of-use asset on the commencement date.</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April 2024, the Company entered into a 12 month finance lease for equipment.</w:t>
      </w:r>
    </w:p>
    <w:p>
      <w:pPr>
        <w:spacing w:after="0" w:line="225" w:lineRule="exact"/>
        <w:rPr>
          <w:sz w:val="20"/>
          <w:szCs w:val="20"/>
          <w:color w:val="auto"/>
        </w:rPr>
      </w:pPr>
    </w:p>
    <w:p>
      <w:pPr>
        <w:ind w:right="160" w:firstLine="479"/>
        <w:spacing w:after="0" w:line="266" w:lineRule="auto"/>
        <w:rPr>
          <w:sz w:val="20"/>
          <w:szCs w:val="20"/>
          <w:color w:val="auto"/>
        </w:rPr>
      </w:pPr>
      <w:r>
        <w:rPr>
          <w:rFonts w:ascii="Times New Roman" w:cs="Times New Roman" w:eastAsia="Times New Roman" w:hAnsi="Times New Roman"/>
          <w:sz w:val="18"/>
          <w:szCs w:val="18"/>
          <w:color w:val="auto"/>
        </w:rPr>
        <w:t>Our operating lease costs for the three and six months ended June 30, 2024 were $1.0 million and $2.1 million, respectively. Our operating lease costs for the three and six months ended June 30, 2023 were $0.4 million and $0.9 million, respectively. Supplemental balance sheet and other information related to our operating and finance leases as of June 30, 2024 and December 31, 2023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gridSpan w:val="3"/>
            <w:vMerge w:val="restart"/>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4"/>
        </w:trPr>
        <w:tc>
          <w:tcPr>
            <w:tcW w:w="3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1"/>
                <w:szCs w:val="21"/>
                <w:color w:val="auto"/>
              </w:rPr>
            </w:pPr>
          </w:p>
        </w:tc>
        <w:tc>
          <w:tcPr>
            <w:tcW w:w="31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17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24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700" w:type="dxa"/>
            <w:vAlign w:val="bottom"/>
            <w:gridSpan w:val="2"/>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29,574</w:t>
            </w:r>
          </w:p>
        </w:tc>
        <w:tc>
          <w:tcPr>
            <w:tcW w:w="3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240" w:type="dxa"/>
            <w:vAlign w:val="bottom"/>
            <w:tcBorders>
              <w:bottom w:val="single" w:sz="8" w:color="CFF0FC"/>
            </w:tcBorders>
            <w:shd w:val="clear" w:color="auto" w:fill="CFF0FC"/>
          </w:tcPr>
          <w:p>
            <w:pPr>
              <w:spacing w:after="0"/>
              <w:rPr>
                <w:sz w:val="21"/>
                <w:szCs w:val="21"/>
                <w:color w:val="auto"/>
              </w:rPr>
            </w:pPr>
          </w:p>
        </w:tc>
        <w:tc>
          <w:tcPr>
            <w:tcW w:w="3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3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leased assets</w:t>
            </w:r>
          </w:p>
        </w:tc>
        <w:tc>
          <w:tcPr>
            <w:tcW w:w="2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700" w:type="dxa"/>
            <w:vAlign w:val="bottom"/>
            <w:gridSpan w:val="2"/>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30,157</w:t>
            </w:r>
          </w:p>
        </w:tc>
        <w:tc>
          <w:tcPr>
            <w:tcW w:w="3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FF0FC"/>
          </w:tcPr>
          <w:p>
            <w:pPr>
              <w:spacing w:after="0"/>
              <w:rPr>
                <w:sz w:val="19"/>
                <w:szCs w:val="19"/>
                <w:color w:val="auto"/>
              </w:rPr>
            </w:pPr>
          </w:p>
        </w:tc>
        <w:tc>
          <w:tcPr>
            <w:tcW w:w="3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240" w:type="dxa"/>
            <w:vAlign w:val="bottom"/>
            <w:shd w:val="clear" w:color="auto" w:fill="CFF0FC"/>
          </w:tcPr>
          <w:p>
            <w:pPr>
              <w:spacing w:after="0"/>
              <w:rPr>
                <w:sz w:val="21"/>
                <w:szCs w:val="21"/>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 operating lease liability</w:t>
            </w:r>
          </w:p>
        </w:tc>
        <w:tc>
          <w:tcPr>
            <w:tcW w:w="1700" w:type="dxa"/>
            <w:vAlign w:val="bottom"/>
            <w:gridSpan w:val="2"/>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24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finance lease liability</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Non-Current:</w:t>
            </w:r>
          </w:p>
        </w:tc>
        <w:tc>
          <w:tcPr>
            <w:tcW w:w="240" w:type="dxa"/>
            <w:vAlign w:val="bottom"/>
            <w:shd w:val="clear" w:color="auto" w:fill="CFF0FC"/>
          </w:tcPr>
          <w:p>
            <w:pPr>
              <w:spacing w:after="0"/>
              <w:rPr>
                <w:sz w:val="21"/>
                <w:szCs w:val="21"/>
                <w:color w:val="auto"/>
              </w:rPr>
            </w:pPr>
          </w:p>
        </w:tc>
        <w:tc>
          <w:tcPr>
            <w:tcW w:w="3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24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shd w:val="clear" w:color="auto" w:fill="CFF0FC"/>
          </w:tcPr>
          <w:p>
            <w:pPr>
              <w:spacing w:after="0"/>
              <w:rPr>
                <w:sz w:val="24"/>
                <w:szCs w:val="24"/>
                <w:color w:val="auto"/>
              </w:rPr>
            </w:pPr>
          </w:p>
        </w:tc>
        <w:tc>
          <w:tcPr>
            <w:tcW w:w="3120" w:type="dxa"/>
            <w:vAlign w:val="bottom"/>
            <w:shd w:val="clear" w:color="auto" w:fill="CFF0FC"/>
          </w:tcPr>
          <w:p>
            <w:pPr>
              <w:spacing w:after="0"/>
              <w:rPr>
                <w:sz w:val="24"/>
                <w:szCs w:val="24"/>
                <w:color w:val="auto"/>
              </w:rPr>
            </w:pPr>
          </w:p>
        </w:tc>
        <w:tc>
          <w:tcPr>
            <w:tcW w:w="1700" w:type="dxa"/>
            <w:vAlign w:val="bottom"/>
            <w:gridSpan w:val="2"/>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18,204</w:t>
            </w:r>
          </w:p>
        </w:tc>
        <w:tc>
          <w:tcPr>
            <w:tcW w:w="34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16,888</w:t>
            </w:r>
          </w:p>
        </w:tc>
        <w:tc>
          <w:tcPr>
            <w:tcW w:w="100" w:type="dxa"/>
            <w:vAlign w:val="bottom"/>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4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12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40" w:type="dxa"/>
            <w:vAlign w:val="bottom"/>
            <w:shd w:val="clear" w:color="auto" w:fill="CFF0FC"/>
          </w:tcPr>
          <w:p>
            <w:pPr>
              <w:spacing w:after="0"/>
              <w:rPr>
                <w:sz w:val="21"/>
                <w:szCs w:val="21"/>
                <w:color w:val="auto"/>
              </w:rPr>
            </w:pPr>
          </w:p>
        </w:tc>
        <w:tc>
          <w:tcPr>
            <w:tcW w:w="3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w:t>
            </w:r>
          </w:p>
        </w:tc>
        <w:tc>
          <w:tcPr>
            <w:tcW w:w="2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15.0 %</w:t>
            </w:r>
          </w:p>
        </w:tc>
        <w:tc>
          <w:tcPr>
            <w:tcW w:w="30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47"/>
        </w:trPr>
        <w:tc>
          <w:tcPr>
            <w:tcW w:w="3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w:t>
            </w:r>
          </w:p>
        </w:tc>
        <w:tc>
          <w:tcPr>
            <w:tcW w:w="240" w:type="dxa"/>
            <w:vAlign w:val="bottom"/>
            <w:shd w:val="clear" w:color="auto" w:fill="CFF0FC"/>
          </w:tcPr>
          <w:p>
            <w:pPr>
              <w:spacing w:after="0"/>
              <w:rPr>
                <w:sz w:val="21"/>
                <w:szCs w:val="21"/>
                <w:color w:val="auto"/>
              </w:rPr>
            </w:pPr>
          </w:p>
        </w:tc>
        <w:tc>
          <w:tcPr>
            <w:tcW w:w="3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10.5 %</w:t>
            </w: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w:t>
            </w:r>
          </w:p>
        </w:tc>
        <w:tc>
          <w:tcPr>
            <w:tcW w:w="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term (years)</w:t>
            </w:r>
          </w:p>
        </w:tc>
        <w:tc>
          <w:tcPr>
            <w:tcW w:w="2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w:t>
            </w:r>
          </w:p>
        </w:tc>
        <w:tc>
          <w:tcPr>
            <w:tcW w:w="240" w:type="dxa"/>
            <w:vAlign w:val="bottom"/>
            <w:shd w:val="clear" w:color="auto" w:fill="CFF0FC"/>
          </w:tcPr>
          <w:p>
            <w:pPr>
              <w:spacing w:after="0"/>
              <w:rPr>
                <w:sz w:val="21"/>
                <w:szCs w:val="21"/>
                <w:color w:val="auto"/>
              </w:rPr>
            </w:pPr>
          </w:p>
        </w:tc>
        <w:tc>
          <w:tcPr>
            <w:tcW w:w="3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w:t>
            </w:r>
          </w:p>
        </w:tc>
        <w:tc>
          <w:tcPr>
            <w:tcW w:w="2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-2513965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-2513965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-1236980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-1219835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-1236980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-1219835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our leases for the six months ended June 30, 2024 and 2023 were as follows:</w:t>
      </w:r>
    </w:p>
    <w:p>
      <w:pPr>
        <w:spacing w:after="0" w:line="124"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w:t>
            </w:r>
          </w:p>
        </w:tc>
        <w:tc>
          <w:tcPr>
            <w:tcW w:w="2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20"/>
                <w:szCs w:val="20"/>
                <w:color w:val="auto"/>
              </w:rPr>
            </w:pPr>
          </w:p>
        </w:tc>
      </w:tr>
      <w:tr>
        <w:trPr>
          <w:trHeight w:val="247"/>
        </w:trPr>
        <w:tc>
          <w:tcPr>
            <w:tcW w:w="5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cash flows from finance lease</w:t>
            </w:r>
          </w:p>
        </w:tc>
        <w:tc>
          <w:tcPr>
            <w:tcW w:w="2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finance lease</w:t>
            </w:r>
          </w:p>
        </w:tc>
        <w:tc>
          <w:tcPr>
            <w:tcW w:w="2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transaction</w:t>
            </w:r>
          </w:p>
        </w:tc>
        <w:tc>
          <w:tcPr>
            <w:tcW w:w="2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 obtained in exchange for lease obligations:</w:t>
            </w:r>
          </w:p>
        </w:tc>
        <w:tc>
          <w:tcPr>
            <w:tcW w:w="2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w:t>
            </w:r>
          </w:p>
        </w:tc>
        <w:tc>
          <w:tcPr>
            <w:tcW w:w="2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5340" w:type="dxa"/>
            <w:vAlign w:val="bottom"/>
          </w:tcPr>
          <w:p>
            <w:pPr>
              <w:spacing w:after="0"/>
              <w:rPr>
                <w:sz w:val="24"/>
                <w:szCs w:val="24"/>
                <w:color w:val="auto"/>
              </w:rPr>
            </w:pPr>
          </w:p>
        </w:tc>
        <w:tc>
          <w:tcPr>
            <w:tcW w:w="218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6"/>
        </w:trPr>
        <w:tc>
          <w:tcPr>
            <w:tcW w:w="53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346" w:right="279" w:bottom="1440" w:gutter="0" w:footer="0" w:header="0"/>
        </w:sectPr>
      </w:pPr>
    </w:p>
    <w:bookmarkStart w:id="15" w:name="page16"/>
    <w:bookmarkEnd w:id="15"/>
    <w:p>
      <w:pPr>
        <w:ind w:left="480"/>
        <w:spacing w:after="0"/>
        <w:rPr>
          <w:sz w:val="20"/>
          <w:szCs w:val="20"/>
          <w:color w:val="auto"/>
        </w:rPr>
      </w:pPr>
      <w:r>
        <w:rPr>
          <w:rFonts w:ascii="Times New Roman" w:cs="Times New Roman" w:eastAsia="Times New Roman" w:hAnsi="Times New Roman"/>
          <w:sz w:val="18"/>
          <w:szCs w:val="18"/>
          <w:color w:val="auto"/>
        </w:rPr>
        <w:t>Future minimum annual lease payments for operating and finance lease at June 30, 2024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7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240" w:type="dxa"/>
            <w:vAlign w:val="bottom"/>
          </w:tcPr>
          <w:p>
            <w:pPr>
              <w:spacing w:after="0"/>
              <w:rPr>
                <w:sz w:val="16"/>
                <w:szCs w:val="16"/>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Finance lease</w:t>
            </w:r>
          </w:p>
        </w:tc>
      </w:tr>
      <w:tr>
        <w:trPr>
          <w:trHeight w:val="243"/>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0"/>
                <w:szCs w:val="20"/>
                <w:color w:val="auto"/>
              </w:rPr>
            </w:pP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26,427</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42,690</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20"/>
                <w:szCs w:val="20"/>
                <w:color w:val="auto"/>
              </w:rPr>
            </w:pPr>
          </w:p>
        </w:tc>
      </w:tr>
      <w:tr>
        <w:trPr>
          <w:trHeight w:val="23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(24,993 )</w:t>
            </w:r>
          </w:p>
        </w:tc>
        <w:tc>
          <w:tcPr>
            <w:tcW w:w="2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r>
      <w:tr>
        <w:trPr>
          <w:trHeight w:val="237"/>
        </w:trPr>
        <w:tc>
          <w:tcPr>
            <w:tcW w:w="7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17,697</w:t>
            </w:r>
          </w:p>
        </w:tc>
        <w:tc>
          <w:tcPr>
            <w:tcW w:w="32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top w:val="single" w:sz="8" w:color="CFF0FC"/>
            </w:tcBorders>
          </w:tcPr>
          <w:p>
            <w:pPr>
              <w:spacing w:after="0"/>
              <w:rPr>
                <w:sz w:val="20"/>
                <w:szCs w:val="20"/>
                <w:color w:val="auto"/>
              </w:rPr>
            </w:pPr>
          </w:p>
        </w:tc>
      </w:tr>
      <w:tr>
        <w:trPr>
          <w:trHeight w:val="20"/>
        </w:trPr>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-513715</wp:posOffset>
            </wp:positionV>
            <wp:extent cx="768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-187960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20" w:firstLine="479"/>
        <w:spacing w:after="0" w:line="266" w:lineRule="auto"/>
        <w:rPr>
          <w:sz w:val="20"/>
          <w:szCs w:val="20"/>
          <w:color w:val="auto"/>
        </w:rPr>
      </w:pPr>
      <w:r>
        <w:rPr>
          <w:rFonts w:ascii="Times New Roman" w:cs="Times New Roman" w:eastAsia="Times New Roman" w:hAnsi="Times New Roman"/>
          <w:sz w:val="18"/>
          <w:szCs w:val="18"/>
          <w:color w:val="auto"/>
        </w:rPr>
        <w:t>The Company paid a security deposit for the Chestnut Run Lease in the form of a letter of credit of $4.0 million, which is included in the accompanying balance sheet as restricted cash as of June 30, 2024. The security deposit may be reduced to $0.5 million over time in accordance with the terms of the Chestnut Run Lease.</w:t>
      </w:r>
    </w:p>
    <w:p>
      <w:pPr>
        <w:spacing w:after="0" w:line="176"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In connection with the Company’s expansion of operations in the State of Delaware, the Company was approved for a grant from the State of Delaware in 2021 that will provide up to $2.4 million in reimbursements over three years for the development of lab space and up to $3.1 million to increase jobs in Delaware to meet specific targeted levels through 2023, which was extended to 2026 during the second quarter of 2024. During the third quarter of 2022, the Company was approved for an additional grant from the State of Delaware for the development of lab space in the amount of $1.0 million. In 2022, the Company received cash grants of $3.4 million from the State of Delaware for the development of lab space. The Company has met the minimum requirements stated in the grant agreement in order to not be required to pay back any portion of the $3.4 million disbursed. The Company deferred the recognition of these grant funds as they relate to capitalized costs and has classified them as long-term liabilities in the accompanying balance sheet. The Company recognizes the grant funds in other income as grant income over the length of the lease term. Additionally, if the Company leaves the State of Delaware within five years of the disbursement, the Company is required to return an amount equal to the amount of grant funds disbursed on a pro-rated basis. As of June 30, 2024, the Company has received $0.5 million for increasing jobs which has been recorded in Other income.</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ind w:right="480" w:firstLine="479"/>
        <w:spacing w:after="0" w:line="282" w:lineRule="auto"/>
        <w:rPr>
          <w:sz w:val="20"/>
          <w:szCs w:val="20"/>
          <w:color w:val="auto"/>
        </w:rPr>
      </w:pPr>
      <w:r>
        <w:rPr>
          <w:rFonts w:ascii="Times New Roman" w:cs="Times New Roman" w:eastAsia="Times New Roman" w:hAnsi="Times New Roman"/>
          <w:sz w:val="18"/>
          <w:szCs w:val="18"/>
          <w:color w:val="auto"/>
        </w:rPr>
        <w:t>The Company entered into employment agreements with key personnel providing for compensation and severance in certain circumstances, as defined in the respective employment agreements.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401(k) Defined Contribution Plan</w:t>
      </w:r>
    </w:p>
    <w:p>
      <w:pPr>
        <w:spacing w:after="0" w:line="188" w:lineRule="exact"/>
        <w:rPr>
          <w:sz w:val="20"/>
          <w:szCs w:val="20"/>
          <w:color w:val="auto"/>
        </w:rPr>
      </w:pPr>
    </w:p>
    <w:p>
      <w:pPr>
        <w:ind w:right="460" w:firstLine="479"/>
        <w:spacing w:after="0" w:line="231" w:lineRule="exact"/>
        <w:rPr>
          <w:sz w:val="20"/>
          <w:szCs w:val="20"/>
          <w:color w:val="auto"/>
        </w:rPr>
      </w:pPr>
      <w:r>
        <w:rPr>
          <w:rFonts w:ascii="Times New Roman" w:cs="Times New Roman" w:eastAsia="Times New Roman" w:hAnsi="Times New Roman"/>
          <w:sz w:val="18"/>
          <w:szCs w:val="18"/>
          <w:color w:val="auto"/>
        </w:rPr>
        <w:t>The Company sponsors a 401(k) defined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contribution plan covering all employees. Participants are permitted to contribute up to 100% of their eligible annual pretax compensation up to an established federal limit on aggregate participant contributions. The Company provides a match of a maximum amount of 3% of the participant’s compensation. For both the three months ended June 30, 2024 and 2023, the Company made matching contributions of $0.2 million.</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Agreement</w:t>
      </w:r>
    </w:p>
    <w:p>
      <w:pPr>
        <w:spacing w:after="0" w:line="121"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In 2023, the Company entered into a multi-year, multi-program agreement with AbCellera Biologics Incorporated ("AbCellera") to jointly discover, develop, and commercialize novel oncology medicines for up to five programs. Under the terms of the agreement, AbCellera will lead manufacturing activities and the Company will lead clinical development and global commercialization, subject to AbCellera’s option to co-promote any resulting commercial products in the United States. If, at any point one party in the collaboration opts-out of future co-development cost sharing, that party will be entitled to a royalty from commercialization of the collaboration target, dependent on the proportion of their co-development contributions compared to the total development costs of a target as defined within the agreement. The Company concluded that the agreement with AbCellera will be accounted for under the scope of ASC 808, Collaborative Arrangements, as both parties will actively participate in joint operating activities and are exposed to significant risks and rewards. Under ASC 808, certain transactions between collaborative arrangement participants should follow the accounting for revenue under ASC 606, Revenue from Contracts with Customers, when the collaborative arrangement participant is a customer for a distinct good or service. The Company determined that co-development arrangement as defined in our agreement with AbCellera does not meet the definition of a customer as defined by ASC 606. As a result, these activities will be accounted for as research and development costs. Costs related to the AbCellera collaboration were not material for the three and six months ended June 30, 2024.</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229" w:lineRule="exact"/>
        <w:rPr>
          <w:sz w:val="20"/>
          <w:szCs w:val="20"/>
          <w:color w:val="auto"/>
        </w:rPr>
      </w:pPr>
    </w:p>
    <w:p>
      <w:pPr>
        <w:ind w:right="100" w:firstLine="479"/>
        <w:spacing w:after="0" w:line="255" w:lineRule="auto"/>
        <w:rPr>
          <w:sz w:val="20"/>
          <w:szCs w:val="20"/>
          <w:color w:val="auto"/>
        </w:rPr>
      </w:pPr>
      <w:r>
        <w:rPr>
          <w:rFonts w:ascii="Times New Roman" w:cs="Times New Roman" w:eastAsia="Times New Roman" w:hAnsi="Times New Roman"/>
          <w:sz w:val="18"/>
          <w:szCs w:val="18"/>
          <w:color w:val="auto"/>
        </w:rPr>
        <w:t>In May 2024, the Company and Pathos AI, Inc. ("Pathos") entered into a license agreement under which the Company granted to Pathos an exclusive, sublicensable, world-wide license to its selective, brain-penetrant PRMT5 inhibitor, PRT811. Under the terms of the license agreement, the Company received a $3.0 million upfront, non-refundable payment. The agreement also includes a near term $4.0 million payment upon the earlier of 180 days following the effective date of the license agreement or the execution of a quality agreement between the parties pursuant to which the Company will transfer title to certain quantities of Active Pharmaceutical Ingredient (“API”). In addition, the Company may receive potential developmental milestone payments up to $37.0 million, potential sales milestone payments up to $100 million and a range of high single-digit to low double-digit royalties on PRT811 global net sales.</w:t>
      </w:r>
    </w:p>
    <w:p>
      <w:pPr>
        <w:spacing w:after="0" w:line="187" w:lineRule="exact"/>
        <w:rPr>
          <w:sz w:val="20"/>
          <w:szCs w:val="20"/>
          <w:color w:val="auto"/>
        </w:rPr>
      </w:pPr>
    </w:p>
    <w:p>
      <w:pPr>
        <w:ind w:right="20" w:firstLine="524"/>
        <w:spacing w:after="0" w:line="254" w:lineRule="auto"/>
        <w:rPr>
          <w:sz w:val="20"/>
          <w:szCs w:val="20"/>
          <w:color w:val="auto"/>
        </w:rPr>
      </w:pPr>
      <w:r>
        <w:rPr>
          <w:rFonts w:ascii="Times New Roman" w:cs="Times New Roman" w:eastAsia="Times New Roman" w:hAnsi="Times New Roman"/>
          <w:sz w:val="18"/>
          <w:szCs w:val="18"/>
          <w:color w:val="auto"/>
        </w:rPr>
        <w:t xml:space="preserve">The Company assessed the license agreement with Pathos in accordance with ASC 606, </w:t>
      </w:r>
      <w:r>
        <w:rPr>
          <w:rFonts w:ascii="Times New Roman" w:cs="Times New Roman" w:eastAsia="Times New Roman" w:hAnsi="Times New Roman"/>
          <w:sz w:val="18"/>
          <w:szCs w:val="18"/>
          <w:i w:val="1"/>
          <w:iCs w:val="1"/>
          <w:color w:val="auto"/>
        </w:rPr>
        <w:t>Revenue from Contracts with Customer,</w:t>
      </w:r>
      <w:r>
        <w:rPr>
          <w:rFonts w:ascii="Times New Roman" w:cs="Times New Roman" w:eastAsia="Times New Roman" w:hAnsi="Times New Roman"/>
          <w:sz w:val="18"/>
          <w:szCs w:val="18"/>
          <w:color w:val="auto"/>
        </w:rPr>
        <w:t xml:space="preserve"> and concluded that Pathos is a customer. The license agreement with Pathos includes the transfer of the following goods or services: (i) exclusive license to PRT811, (ii) transfer of licensed know-how and materials (i.e. datasets, regulatory and manufacturing documents, etc.), (iii) participation in a Joint Communication Committee ("JCC"), and (iv) execution of a quality agreement pursuant to which the Company will transfer title to certain API. The Company evaluated all of the promised goods or services within the contract and determined which goods and services were separate performance obligations. The Company determined that Pathos could not benefit from the license separately from the related know-how and materials, accordingly they represent one combined performance obligation. The execution of a quality agreement pursuant to which the Company will transfer title to certain API was identified as a separate performance obligation. The Company also determined the participation in the JCC is immaterial in the context of the license agreement as the Company has no decision-making ability through its participation in the JCC.</w:t>
      </w:r>
    </w:p>
    <w:p>
      <w:pPr>
        <w:spacing w:after="0" w:line="190"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The transaction price is allocated to the performance obligation based upon relative standalone selling prices, which were estimated for (i) the exclusive license and know-how and materials using an adjusted market approach and (ii) execution of a quality agreement pursuant to which the Company will transfer title to certain API using a cost approach.</w:t>
      </w:r>
    </w:p>
    <w:p>
      <w:pPr>
        <w:spacing w:after="0" w:line="176"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With respect to the accounting principles identified above, each performance obligation will be recognized at a point in time. The Company determined that the performance obligation for the license and transfer of related know-how and materials would be fully satisfied when the license is granted and key know-how and materials are transferred to Pathos as that is the point at which Pathos can fully use and benefit from the license to PRT811. The performance obligation for the execution of a quality agreement pursuant to which the Company will transfer title to certain API will be satisfied when the legal title to the API is transferred. Neither performance obligation was met as of June 30, 2024 and the $3.0 million upfront payment is included within deferred revenue on the balance sheet as of June 30, 2024. The Company estimates both performance obligations will be completed in the second half of 2024.</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Other Research and Development Arrangements</w:t>
      </w:r>
    </w:p>
    <w:p>
      <w:pPr>
        <w:spacing w:after="0" w:line="229" w:lineRule="exact"/>
        <w:rPr>
          <w:sz w:val="20"/>
          <w:szCs w:val="20"/>
          <w:color w:val="auto"/>
        </w:rPr>
      </w:pPr>
    </w:p>
    <w:p>
      <w:pPr>
        <w:ind w:right="560" w:firstLine="479"/>
        <w:spacing w:after="0" w:line="282" w:lineRule="auto"/>
        <w:rPr>
          <w:sz w:val="20"/>
          <w:szCs w:val="20"/>
          <w:color w:val="auto"/>
        </w:rPr>
      </w:pPr>
      <w:r>
        <w:rPr>
          <w:rFonts w:ascii="Times New Roman" w:cs="Times New Roman" w:eastAsia="Times New Roman" w:hAnsi="Times New Roman"/>
          <w:sz w:val="18"/>
          <w:szCs w:val="18"/>
          <w:color w:val="auto"/>
        </w:rPr>
        <w:t>The Company enters into agreements with clinical research organizations ("CROs") to assist in the performance of research and development activities. Expenditures to CROs represent a significant cost in clinical development for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29"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The Company has two equity incentive plans: the 2016 Equity Incentive Plan, as amended, and the 2020 Equity Incentive Plan. New awards can only be granted under the 2020 Equity Incentive Plan (the “Plan”) and as of June 30, 2024, 4,460,925 shares were available for future grants. The number of shares of the Company’s common stock that may be issued pursuant to rights granted under the Plan shall automatically increase on January 1st of each year and continuing for ten years beginning on January 1, 2021, in an amount equal to five percent of the total number of shares of the Company’s common stock outstanding on December 31st of the preceding calendar year, subject to the discretion of the Company's board of directors or compensation committee to determine a lesser number of shares shall be added for such year. On January 1, 2024, 2,745,712 shares were added to the Plan. The Plan provides for the granting of common stock, incentive stock options, nonqualified stock options, restricted stock awards, restricted stock units and/or stock appreciation rights to employees, directors, and other persons, as determined by the Company’s board of directors. The Company’s stock options vest based on the terms in each award agreement, generally over four-year periods with 25% of options vesting after one year and then monthly thereafter, and have a term of ten years.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7" w:name="page18"/>
    <w:bookmarkEnd w:id="17"/>
    <w:p>
      <w:pPr>
        <w:ind w:right="160" w:firstLine="479"/>
        <w:spacing w:after="0" w:line="266" w:lineRule="auto"/>
        <w:rPr>
          <w:sz w:val="20"/>
          <w:szCs w:val="20"/>
          <w:color w:val="auto"/>
        </w:rPr>
      </w:pPr>
      <w:r>
        <w:rPr>
          <w:rFonts w:ascii="Times New Roman" w:cs="Times New Roman" w:eastAsia="Times New Roman" w:hAnsi="Times New Roman"/>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4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00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3,234</w:t>
            </w:r>
          </w:p>
        </w:tc>
        <w:tc>
          <w:tcPr>
            <w:tcW w:w="5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2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3,499</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780" w:type="dxa"/>
            <w:vAlign w:val="bottom"/>
            <w:shd w:val="clear" w:color="auto" w:fill="CFF0FC"/>
          </w:tcPr>
          <w:p>
            <w:pPr>
              <w:spacing w:after="0"/>
              <w:rPr>
                <w:sz w:val="24"/>
                <w:szCs w:val="24"/>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100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6,733</w:t>
            </w:r>
          </w:p>
        </w:tc>
        <w:tc>
          <w:tcPr>
            <w:tcW w:w="5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5780" w:type="dxa"/>
            <w:vAlign w:val="bottom"/>
            <w:tcBorders>
              <w:top w:val="single" w:sz="8" w:color="CFF0FC"/>
            </w:tcBorders>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4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periods indicated:</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5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4"/>
            <w:vMerge w:val="restart"/>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jc w:val="center"/>
              <w:ind w:right="50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4"/>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4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87"/>
        </w:trPr>
        <w:tc>
          <w:tcPr>
            <w:tcW w:w="5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4"/>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16"/>
                <w:szCs w:val="16"/>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0" w:type="dxa"/>
            <w:vAlign w:val="bottom"/>
          </w:tcPr>
          <w:p>
            <w:pPr>
              <w:spacing w:after="0"/>
              <w:rPr>
                <w:sz w:val="1"/>
                <w:szCs w:val="1"/>
                <w:color w:val="auto"/>
              </w:rPr>
            </w:pPr>
          </w:p>
        </w:tc>
      </w:tr>
      <w:tr>
        <w:trPr>
          <w:trHeight w:val="23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4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11,898,446</w:t>
            </w: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3,722,300</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4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(2,070 )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(437,949 )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4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15,180,727</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June 30, 2024</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7,698,104</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-2211070</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-2193925</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-2211070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-2193925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-2211070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-2193925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-205105</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-187960</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 June 30, 2024, the aggregate intrinsic value of outstanding options and exercisable options was $4.0 million and $3.9 million, respectively.</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June 30, 2024 under the Plan: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4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1"/>
                <w:szCs w:val="11"/>
                <w:color w:val="auto"/>
              </w:rPr>
            </w:pPr>
          </w:p>
        </w:tc>
        <w:tc>
          <w:tcPr>
            <w:tcW w:w="82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82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4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40" w:type="dxa"/>
            <w:vAlign w:val="bottom"/>
          </w:tcPr>
          <w:p>
            <w:pPr>
              <w:spacing w:after="0"/>
              <w:rPr>
                <w:sz w:val="12"/>
                <w:szCs w:val="12"/>
                <w:color w:val="auto"/>
              </w:rPr>
            </w:pPr>
          </w:p>
        </w:tc>
        <w:tc>
          <w:tcPr>
            <w:tcW w:w="8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87"/>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0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0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$0.31</w:t>
            </w:r>
          </w:p>
        </w:tc>
        <w:tc>
          <w:tcPr>
            <w:tcW w:w="4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$4.56</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2,935,802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1,978,919</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$4.57</w:t>
            </w: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$5.13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4,200,128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711,690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$5.14</w:t>
            </w:r>
          </w:p>
        </w:tc>
        <w:tc>
          <w:tcPr>
            <w:tcW w:w="4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$11.72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4,552,156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2,021,599</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$11.73 - $88.98</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3,492,641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22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2,985,896</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440" w:type="dxa"/>
            <w:vAlign w:val="bottom"/>
            <w:tcBorders>
              <w:bottom w:val="single" w:sz="8" w:color="CFF0FC"/>
            </w:tcBorders>
            <w:shd w:val="clear" w:color="auto" w:fill="CFF0FC"/>
          </w:tcPr>
          <w:p>
            <w:pPr>
              <w:spacing w:after="0"/>
              <w:rPr>
                <w:sz w:val="23"/>
                <w:szCs w:val="23"/>
                <w:color w:val="auto"/>
              </w:rPr>
            </w:pPr>
          </w:p>
        </w:tc>
        <w:tc>
          <w:tcPr>
            <w:tcW w:w="466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15,180,727</w:t>
            </w:r>
          </w:p>
        </w:tc>
        <w:tc>
          <w:tcPr>
            <w:tcW w:w="24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7,698,104</w:t>
            </w: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-25400</wp:posOffset>
            </wp:positionV>
            <wp:extent cx="768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-8255</wp:posOffset>
            </wp:positionV>
            <wp:extent cx="768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00" w:firstLine="479"/>
        <w:spacing w:after="0" w:line="258"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$3.29 and $5.04 per option for the six months ended June 30, 2024 and 2023, respectively. The Company recorded stock-based compensation expense of $6.0 million and $6.5 million for the three months ended June 30, 2024 and 2023, respectively, related to stock options. The Company recorded stock-based compensation expense of $11.3 million and $12.4 million for the six months ended June 30, 2024 and 2023, respectively, related to stock options. As of June 30, 2024, the total unrecognized compensation expense related to unvested stock option awards was $35.7 million, which the Company expects to recognize over a weighted-average period of 2.22 years.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fair value of each option was estimated on the date of grant using the weighted average assumptions in the table below:</w:t>
      </w:r>
    </w:p>
    <w:p>
      <w:pPr>
        <w:spacing w:after="0" w:line="259"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4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84.99 %</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83.51 %</w:t>
            </w:r>
          </w:p>
        </w:tc>
      </w:tr>
      <w:tr>
        <w:trPr>
          <w:trHeight w:val="245"/>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4.20 %</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3.80 %</w:t>
            </w:r>
          </w:p>
        </w:tc>
      </w:tr>
      <w:tr>
        <w:trPr>
          <w:trHeight w:val="250"/>
        </w:trPr>
        <w:tc>
          <w:tcPr>
            <w:tcW w:w="8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657"/>
        </w:trPr>
        <w:tc>
          <w:tcPr>
            <w:tcW w:w="76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16</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76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-1525270</wp:posOffset>
            </wp:positionV>
            <wp:extent cx="713232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201" w:right="279" w:bottom="1135" w:gutter="0" w:footer="0" w:header="0"/>
        </w:sectPr>
      </w:pPr>
    </w:p>
    <w:bookmarkStart w:id="18" w:name="page19"/>
    <w:bookmarkEnd w:id="18"/>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 and Units</w:t>
      </w:r>
    </w:p>
    <w:p>
      <w:pPr>
        <w:spacing w:after="0" w:line="229" w:lineRule="exact"/>
        <w:rPr>
          <w:sz w:val="20"/>
          <w:szCs w:val="20"/>
          <w:color w:val="auto"/>
        </w:rPr>
      </w:pPr>
    </w:p>
    <w:p>
      <w:pPr>
        <w:ind w:right="80" w:firstLine="479"/>
        <w:spacing w:after="0" w:line="266" w:lineRule="auto"/>
        <w:rPr>
          <w:sz w:val="20"/>
          <w:szCs w:val="20"/>
          <w:color w:val="auto"/>
        </w:rPr>
      </w:pPr>
      <w:r>
        <w:rPr>
          <w:rFonts w:ascii="Times New Roman" w:cs="Times New Roman" w:eastAsia="Times New Roman" w:hAnsi="Times New Roman"/>
          <w:sz w:val="18"/>
          <w:szCs w:val="18"/>
          <w:color w:val="auto"/>
        </w:rPr>
        <w:t>The Company issues restricted stock awards (“RSA”) to employees that generally vest over a four-year period with 25% of awards vesting after one year and then monthly thereafter. Any unvested shares will be forfeited upon termination of services. The fair value of an RSA is equal to the fair market value price of the Company’s common stock on the date of grant. RSA expense is recorded on a straight-line basis over the vesting period.</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activity related to RSA stock-based payment awards: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194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64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7"/>
        </w:trPr>
        <w:tc>
          <w:tcPr>
            <w:tcW w:w="7640" w:type="dxa"/>
            <w:vAlign w:val="bottom"/>
          </w:tcPr>
          <w:p>
            <w:pPr>
              <w:spacing w:after="0"/>
              <w:rPr>
                <w:sz w:val="16"/>
                <w:szCs w:val="16"/>
                <w:color w:val="auto"/>
              </w:rPr>
            </w:pPr>
          </w:p>
        </w:tc>
        <w:tc>
          <w:tcPr>
            <w:tcW w:w="194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January 1, 2024</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27,008</w:t>
            </w: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(27,008 )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76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June 30, 2024</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00" w:firstLine="47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of nil and $0.1 million for the three months ended June 30, 2024 and 2023, respectively, related to RSAs. The Company recorded stock-based compensation expense of $0.1 million and $0.3 million for the six months ended June 30, 2024 and 2023, respectively, related to RSAs. As of June 30, 2024, there was no unrecognized expense related to RSAs.</w:t>
      </w:r>
    </w:p>
    <w:p>
      <w:pPr>
        <w:spacing w:after="0" w:line="176" w:lineRule="exact"/>
        <w:rPr>
          <w:sz w:val="20"/>
          <w:szCs w:val="20"/>
          <w:color w:val="auto"/>
        </w:rPr>
      </w:pPr>
    </w:p>
    <w:p>
      <w:pPr>
        <w:ind w:right="140" w:firstLine="479"/>
        <w:spacing w:after="0" w:line="282" w:lineRule="auto"/>
        <w:rPr>
          <w:sz w:val="20"/>
          <w:szCs w:val="20"/>
          <w:color w:val="auto"/>
        </w:rPr>
      </w:pPr>
      <w:r>
        <w:rPr>
          <w:rFonts w:ascii="Times New Roman" w:cs="Times New Roman" w:eastAsia="Times New Roman" w:hAnsi="Times New Roman"/>
          <w:sz w:val="18"/>
          <w:szCs w:val="18"/>
          <w:color w:val="auto"/>
        </w:rPr>
        <w:t>The Company granted restricted stock units (“RSU”) to employees that generally vest over a four-year period with 25% of awards vesting after one year and then quarterly thereafter. Any unvested units will be forfeited upon termination of services.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activity related to RSU stock-based payment awards: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88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77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188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January 1, 2024</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103,750</w:t>
            </w: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(21,250 )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June 30, 2024</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recorded stock-based compensation expense of $0.1 million for both the six months ended June 30, 2024 and 2023, related to RSUs.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the total unrecognized expense related to the RSUs was $0.4 million, which the Company expects to recognize over 1.63 years.</w:t>
      </w:r>
    </w:p>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100" w:firstLine="479"/>
        <w:spacing w:after="0" w:line="256" w:lineRule="auto"/>
        <w:rPr>
          <w:sz w:val="20"/>
          <w:szCs w:val="20"/>
          <w:color w:val="auto"/>
        </w:rPr>
      </w:pPr>
      <w:r>
        <w:rPr>
          <w:rFonts w:ascii="Times New Roman" w:cs="Times New Roman" w:eastAsia="Times New Roman" w:hAnsi="Times New Roman"/>
          <w:sz w:val="18"/>
          <w:szCs w:val="18"/>
          <w:color w:val="auto"/>
        </w:rPr>
        <w:t>The Company has an Employee Stock Purchase Plan (the “ESPP”), which, as of June 30, 2024, had 2,089,518 shares of common stock reserved for future issuance. The number of shares of the Company’s common stock that may be issued pursuant to rights granted under the ESPP shall automatically increase on January 1st of each year and continuing for ten years beginning in 2021, in an amount equal to one percent of the total number of shares of all classes of the Company’s common stock outstanding on December 31st of the preceding calendar year, subject to the discretion of the Company's board of directors or compensation committee to determine a lesser number of shares shall be added for such year. On January 1, 2024, 549,142 shares were added to the ESPP.</w:t>
      </w:r>
    </w:p>
    <w:p>
      <w:pPr>
        <w:spacing w:after="0" w:line="187" w:lineRule="exact"/>
        <w:rPr>
          <w:sz w:val="20"/>
          <w:szCs w:val="20"/>
          <w:color w:val="auto"/>
        </w:rPr>
      </w:pPr>
    </w:p>
    <w:p>
      <w:pPr>
        <w:ind w:right="280" w:firstLine="479"/>
        <w:spacing w:after="0" w:line="258" w:lineRule="auto"/>
        <w:rPr>
          <w:sz w:val="20"/>
          <w:szCs w:val="20"/>
          <w:color w:val="auto"/>
        </w:rPr>
      </w:pPr>
      <w:r>
        <w:rPr>
          <w:rFonts w:ascii="Times New Roman" w:cs="Times New Roman" w:eastAsia="Times New Roman" w:hAnsi="Times New Roman"/>
          <w:sz w:val="18"/>
          <w:szCs w:val="18"/>
          <w:color w:val="auto"/>
        </w:rPr>
        <w:t>Under the ESPP, eligible employees can purchase the Company’s common stock through accumulated payroll deductions at such times as are established by the Company's compensation committee. Eligible employees may purchase the Company’s common stock at 85% of the lower of the fair market value of the Company’s common stock on the first day of the offering period or on the last day of the offering period. Eligible employees may contribute up to 15% of their eligible compensation. Under the ESPP, a participant may not accrue rights to purchase more than $25,000 worth of the Company’s common stock for each calendar year in which such right is outstanding.</w:t>
      </w:r>
    </w:p>
    <w:p>
      <w:pPr>
        <w:spacing w:after="0" w:line="183" w:lineRule="exact"/>
        <w:rPr>
          <w:sz w:val="20"/>
          <w:szCs w:val="20"/>
          <w:color w:val="auto"/>
        </w:rPr>
      </w:pPr>
    </w:p>
    <w:p>
      <w:pPr>
        <w:ind w:right="80" w:firstLine="479"/>
        <w:spacing w:after="0" w:line="261" w:lineRule="auto"/>
        <w:rPr>
          <w:sz w:val="20"/>
          <w:szCs w:val="20"/>
          <w:color w:val="auto"/>
        </w:rPr>
      </w:pPr>
      <w:r>
        <w:rPr>
          <w:rFonts w:ascii="Times New Roman" w:cs="Times New Roman" w:eastAsia="Times New Roman" w:hAnsi="Times New Roman"/>
          <w:sz w:val="18"/>
          <w:szCs w:val="18"/>
          <w:color w:val="auto"/>
        </w:rPr>
        <w:t>The ESPP is considered compensatory under the FASB stock compensation rules. Accordingly, share-based compensation expense is determined based on the option’s grant-date fair value as estimated by applying the Black Scholes option-pricing model and is recognized over the withholding period. The Company recognized share-based compensation expense of $0.1 million and $0.2 million for the six months ended June 30, 2024 and 2023, respectively, related to the ESPP.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478"/>
        <w:spacing w:after="0" w:line="269"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financial statements and the related notes and other financial information included elsewhere in this Quarterly Report on Form 10-Q. In addition to historical financial information, this discussion contains forward-looking statements based upon current expectations that involve risks and uncertainties, such as statements of our plans, objectives, expectations, intentions and belief. Our actual results could differ materially from those anticipated in these forward-looking statements as a result of various factors, including those set forth in the section titled “Risk Factors” under Part I, Item 1A of our Annual Report on Form 10-K filed with the SEC on February 15, 2024, or our 2023 Annual Report on Form 10-K. These forward-looking statements may include, but are not limited to, statements regarding our future results of operations and financial position, inflation and interest rate risk, a potential recession, a potential temporary federal government shutdown, business strategy, market size, potential growth opportunities, preclinical and clinical development activities, efficacy and safety profile of our product candidates, use of net proceeds from our offerings, our ability to maintain and recognize the benefits of certain designations received by product candidates, the timing and results of preclinical studies and clinical trials, commercial collaborations with third parties and the receipt and timing of potential regulatory designations, approvals and commercialization of product candidates. The words “believes,” “anticipates,” “estimates,” “plans,” “expects,” “intends,” “may,” “could,” “should,” “potential,” “likely,” “projects,” “continue,” “will,” “schedule,” and “would” and similar expressions are intended to identify forward-looking statements, although not all forward-looking statements contain these identifying words.</w:t>
      </w:r>
    </w:p>
    <w:p>
      <w:pPr>
        <w:spacing w:after="0" w:line="176" w:lineRule="exact"/>
        <w:rPr>
          <w:sz w:val="20"/>
          <w:szCs w:val="20"/>
          <w:color w:val="auto"/>
        </w:rPr>
      </w:pPr>
    </w:p>
    <w:p>
      <w:pPr>
        <w:ind w:right="360" w:firstLine="478"/>
        <w:spacing w:after="0" w:line="261" w:lineRule="auto"/>
        <w:rPr>
          <w:sz w:val="20"/>
          <w:szCs w:val="20"/>
          <w:color w:val="auto"/>
        </w:rPr>
      </w:pPr>
      <w:r>
        <w:rPr>
          <w:rFonts w:ascii="Times New Roman" w:cs="Times New Roman" w:eastAsia="Times New Roman" w:hAnsi="Times New Roman"/>
          <w:sz w:val="18"/>
          <w:szCs w:val="18"/>
          <w:i w:val="1"/>
          <w:iCs w:val="1"/>
          <w:color w:val="auto"/>
        </w:rPr>
        <w:t>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Prelude is a clinical-stage fully integrated oncology company built on a foundation of drug discovery excellence to deliver novel precision cancer medicines to underserved patients. By leveraging our core competencies in cancer biology and medicinal chemistry, combined with our clinical development capabilities, we have built an efficient, fully-integrated drug discovery engine and the development expertise necessary to identify compelling biological targets and create new chemical entities, or NCEs, that we advance into clinical trials. We believe our approach could result in better targeted cancer therapies. Our discovery excellence has been validated by our steady progress in creating a wholly-owned, internally developed pipeline. We also began work with our partner AbCellera on an early-stage discovery program involving potent degraders as payloads for novel antibodies targeting tumor specific antigens. Since our inception in 2016, we have received clearance from the U.S. Food and Drug Administration, or the FDA, for multiple investigational new drug applications, or INDs, and successfully advanced several programs into clinical trials. In addition, we have other differentiated proprietary programs in various stages of preclinical development.</w:t>
      </w:r>
    </w:p>
    <w:p>
      <w:pPr>
        <w:spacing w:after="0" w:line="80"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By focusing on developing molecules using broad mechanisms that have multiple links to oncogenic driver pathways in select patients, we have developed a diverse pipeline consisting of multiple distinct programs including kinases, targeted protein degraders, and precision antibody drug conjugates. Our pipeline is designed to serve patients with high unmet medical need, where there are limited or no treatment options. We believe we can best address these diseases by developing therapies that target primary and secondary resistance mechanisms.</w:t>
      </w:r>
    </w:p>
    <w:p>
      <w:pPr>
        <w:spacing w:after="0" w:line="72" w:lineRule="exact"/>
        <w:rPr>
          <w:sz w:val="20"/>
          <w:szCs w:val="20"/>
          <w:color w:val="auto"/>
        </w:rPr>
      </w:pPr>
    </w:p>
    <w:p>
      <w:pPr>
        <w:ind w:right="20" w:firstLine="479"/>
        <w:spacing w:after="0" w:line="261" w:lineRule="auto"/>
        <w:rPr>
          <w:sz w:val="20"/>
          <w:szCs w:val="20"/>
          <w:color w:val="auto"/>
        </w:rPr>
      </w:pPr>
      <w:r>
        <w:rPr>
          <w:rFonts w:ascii="Times New Roman" w:cs="Times New Roman" w:eastAsia="Times New Roman" w:hAnsi="Times New Roman"/>
          <w:sz w:val="18"/>
          <w:szCs w:val="18"/>
          <w:color w:val="auto"/>
        </w:rPr>
        <w:t>We have several drug candidates in clinical development and our objective is to generate proof-of-concept clinical data to guide our future regulatory pathways to approval. Our SMARCA2 molecule is a unique, first-in-class protein degrader, targeting specific patient populations. Our CDK9 inhibitor is selective and potent, with a potentially superior safety profile over first-generation CDK9 inhibitors. Our next generation CDK4/6 inhibitor is specifically designed to be brain and tissue penetrant.</w:t>
      </w:r>
    </w:p>
    <w:p>
      <w:pPr>
        <w:spacing w:after="0" w:line="72" w:lineRule="exact"/>
        <w:rPr>
          <w:sz w:val="20"/>
          <w:szCs w:val="20"/>
          <w:color w:val="auto"/>
        </w:rPr>
      </w:pPr>
    </w:p>
    <w:p>
      <w:pPr>
        <w:ind w:right="60" w:firstLine="479"/>
        <w:spacing w:after="0" w:line="258" w:lineRule="auto"/>
        <w:rPr>
          <w:sz w:val="20"/>
          <w:szCs w:val="20"/>
          <w:color w:val="auto"/>
        </w:rPr>
      </w:pPr>
      <w:r>
        <w:rPr>
          <w:rFonts w:ascii="Times New Roman" w:cs="Times New Roman" w:eastAsia="Times New Roman" w:hAnsi="Times New Roman"/>
          <w:sz w:val="18"/>
          <w:szCs w:val="18"/>
          <w:color w:val="auto"/>
        </w:rPr>
        <w:t>Our novel, first-in-class SMARCA2 degrader compounds and our potent, highly selective and potentially best-in-class CDK9 inhibitor represent our best opportunities for demonstrating clinical proof-of-concept in 2024 and advancing into potential Phase 2/3 registration studies. In 2023, we announced a global partnership with AbCellera Biologics Incorporated ("AbCellera") that will allow us to combine our small molecules and degraders expertise with their antibody expertise to develop precision antibody drug conjugates. We also intend to explore continued clinical development with external partners for our CDK4/6 inhibitor.</w:t>
      </w:r>
    </w:p>
    <w:p>
      <w:pPr>
        <w:spacing w:after="0" w:line="75" w:lineRule="exact"/>
        <w:rPr>
          <w:sz w:val="20"/>
          <w:szCs w:val="20"/>
          <w:color w:val="auto"/>
        </w:rPr>
      </w:pPr>
    </w:p>
    <w:p>
      <w:pPr>
        <w:ind w:right="260" w:firstLine="524"/>
        <w:spacing w:after="0" w:line="256" w:lineRule="auto"/>
        <w:rPr>
          <w:sz w:val="20"/>
          <w:szCs w:val="20"/>
          <w:color w:val="auto"/>
        </w:rPr>
      </w:pPr>
      <w:r>
        <w:rPr>
          <w:rFonts w:ascii="Times New Roman" w:cs="Times New Roman" w:eastAsia="Times New Roman" w:hAnsi="Times New Roman"/>
          <w:sz w:val="18"/>
          <w:szCs w:val="18"/>
          <w:color w:val="auto"/>
        </w:rPr>
        <w:t>PRT3789 is a first-in-class, highly selective degrader of SMARCA2 protein, which along with SMARCA4 controls gene regulation through chromatin remodeling. Cancer cells with SMARCA4 mutations are dependent on SMARCA2 for their growth and survival and selectively degrading SMARCA2 induces cell death in cancer cells while sparing normal cells in preclinical models. PRT3789 has been shown to be efficacious and well tolerated in multiple preclinical models of SMARCA4 deleted/mutated cancers as monotherapy and in combination with standards of care therapies. We believe a selective SMARCA2 degrader has the potential to be of benefit in up to 10% of non-small cell lung cancer, or NSCLC, patients in the United States including many other tumor types with the SMARCA4 mutation.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ind w:right="320" w:firstLine="479"/>
        <w:spacing w:after="0" w:line="266" w:lineRule="auto"/>
        <w:rPr>
          <w:sz w:val="20"/>
          <w:szCs w:val="20"/>
          <w:color w:val="auto"/>
        </w:rPr>
      </w:pPr>
      <w:r>
        <w:rPr>
          <w:rFonts w:ascii="Times New Roman" w:cs="Times New Roman" w:eastAsia="Times New Roman" w:hAnsi="Times New Roman"/>
          <w:sz w:val="18"/>
          <w:szCs w:val="18"/>
          <w:color w:val="auto"/>
        </w:rPr>
        <w:t>Patients with SMARCA4 mutations or deletions have a poor prognosis and as a result, this is an area of high unmet medical need. Therefore, mutated or deleted SMARCA4 cancers provide a potential biomarker to select those patients most likely to respond to treatment with a highly selective SMARCA2 degrader.</w:t>
      </w:r>
    </w:p>
    <w:p>
      <w:pPr>
        <w:spacing w:after="0" w:line="68"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PRT3789 is currently in Phase 1 clinical development in biomarker selected SMARCA4 mutant patients. To date, PRT3789 has demonstrated selective, potent and dose dependent degradation of SMARCA2 with an acceptable safety profile. Based on PK/PD and safety data to date, we expect to conclude monotherapy dose escalation in 2024 and identify a recommended Phase 2 dose. In addition, enrollment of patients into back-fill cohorts enriched for NSCLC and SMARCA4 loss-of-function mutations is ongoing, as is enrollment of combination with the docetaxel cohort. Objectives for this first Phase 1 clinical trial are to establish the safety and tolerability profile of PRT3789 as both monotherapy and in combination with docetaxel, evaluate activity, pharmacokinetics and pharmacodynamics and determine a dose and potential indications for advancement into a registrational clinical trial. We expect to present interim Phase 1 data at the European Society of Medical Oncology (ESMO) Congress 2024 on September 13, 2024 from patients currently enrolled in the Phase 1 trial.</w:t>
      </w:r>
    </w:p>
    <w:p>
      <w:pPr>
        <w:spacing w:after="0" w:line="96" w:lineRule="exact"/>
        <w:rPr>
          <w:sz w:val="20"/>
          <w:szCs w:val="20"/>
          <w:color w:val="auto"/>
        </w:rPr>
      </w:pPr>
    </w:p>
    <w:p>
      <w:pPr>
        <w:ind w:right="300" w:firstLine="479"/>
        <w:spacing w:after="0" w:line="235" w:lineRule="auto"/>
        <w:rPr>
          <w:sz w:val="20"/>
          <w:szCs w:val="20"/>
          <w:color w:val="auto"/>
        </w:rPr>
      </w:pPr>
      <w:r>
        <w:rPr>
          <w:rFonts w:ascii="Times New Roman" w:cs="Times New Roman" w:eastAsia="Times New Roman" w:hAnsi="Times New Roman"/>
          <w:sz w:val="18"/>
          <w:szCs w:val="18"/>
          <w:color w:val="auto"/>
        </w:rPr>
        <w:t>In July 2024, we signed an agreement with Merck for them to provide to us KEYTRUDA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(pembrolizumab), an anti-PD-1 monoclonal antibody (mAb), for further study in combination with PRT3789.</w:t>
      </w:r>
    </w:p>
    <w:p>
      <w:pPr>
        <w:spacing w:after="0" w:line="91" w:lineRule="exact"/>
        <w:rPr>
          <w:sz w:val="20"/>
          <w:szCs w:val="20"/>
          <w:color w:val="auto"/>
        </w:rPr>
      </w:pPr>
    </w:p>
    <w:p>
      <w:pPr>
        <w:ind w:right="700" w:firstLine="479"/>
        <w:spacing w:after="0" w:line="282" w:lineRule="auto"/>
        <w:rPr>
          <w:sz w:val="20"/>
          <w:szCs w:val="20"/>
          <w:color w:val="auto"/>
        </w:rPr>
      </w:pPr>
      <w:r>
        <w:rPr>
          <w:rFonts w:ascii="Times New Roman" w:cs="Times New Roman" w:eastAsia="Times New Roman" w:hAnsi="Times New Roman"/>
          <w:sz w:val="18"/>
          <w:szCs w:val="18"/>
          <w:color w:val="auto"/>
        </w:rPr>
        <w:t>Our discovery team has identified a series of highly selective and orally bioavailable SMARCA2 degraders. In July 2024, we received IND clearance for the lead oral molecule, PRT7732, which we believe is on track to enter Phase 1 clinical development in the second half of 2024.</w:t>
      </w:r>
    </w:p>
    <w:p>
      <w:pPr>
        <w:spacing w:after="0" w:line="54" w:lineRule="exact"/>
        <w:rPr>
          <w:sz w:val="20"/>
          <w:szCs w:val="20"/>
          <w:color w:val="auto"/>
        </w:rPr>
      </w:pPr>
    </w:p>
    <w:p>
      <w:pPr>
        <w:ind w:right="60" w:firstLine="479"/>
        <w:spacing w:after="0" w:line="260" w:lineRule="auto"/>
        <w:rPr>
          <w:sz w:val="20"/>
          <w:szCs w:val="20"/>
          <w:color w:val="auto"/>
        </w:rPr>
      </w:pPr>
      <w:r>
        <w:rPr>
          <w:rFonts w:ascii="Times New Roman" w:cs="Times New Roman" w:eastAsia="Times New Roman" w:hAnsi="Times New Roman"/>
          <w:sz w:val="18"/>
          <w:szCs w:val="18"/>
          <w:color w:val="auto"/>
        </w:rPr>
        <w:t>As one of our first precision ADC programs, we and our partner AbCellera began work on an early-stage discovery program involving potent degraders of the SMARCA family of proteins as payloads for novel antibodies targeting tumor specific antigens. Given the potent anti-tumor activity of these molecules in pre-clinical models of cancers beyond those targeted by our SMARCA2 selective degraders, we believe that these precision ADCs have the potential to extend the therapeutic utility of this class. The partnership includes up to five precision ADC targets. Under the terms of the agreement, we and AbCellera will jointly discover, develop, and commercialize products emerging from the collaboration. AbCellera will lead manufacturing activities and we will lead clinical development and global commercialization, subject to AbCellera’s option to co-promote any resulting commercial products in the United States.</w:t>
      </w:r>
    </w:p>
    <w:p>
      <w:pPr>
        <w:spacing w:after="0" w:line="77" w:lineRule="exact"/>
        <w:rPr>
          <w:sz w:val="20"/>
          <w:szCs w:val="20"/>
          <w:color w:val="auto"/>
        </w:rPr>
      </w:pPr>
    </w:p>
    <w:p>
      <w:pPr>
        <w:ind w:right="180" w:firstLine="479"/>
        <w:spacing w:after="0" w:line="282" w:lineRule="auto"/>
        <w:rPr>
          <w:sz w:val="20"/>
          <w:szCs w:val="20"/>
          <w:color w:val="auto"/>
        </w:rPr>
      </w:pPr>
      <w:r>
        <w:rPr>
          <w:rFonts w:ascii="Times New Roman" w:cs="Times New Roman" w:eastAsia="Times New Roman" w:hAnsi="Times New Roman"/>
          <w:sz w:val="18"/>
          <w:szCs w:val="18"/>
          <w:color w:val="auto"/>
        </w:rPr>
        <w:t>Our CDK9 candidate, PRT2527, is designed to be a potent and selective CDK9 inhibitor. We believe PRT2527 has the potential to avoid off-target toxicities, achieve substantial clinical activity and to become the best-in-class CDK9 inhibitor for hematologic malignancies.</w:t>
      </w:r>
    </w:p>
    <w:p>
      <w:pPr>
        <w:spacing w:after="0" w:line="54" w:lineRule="exact"/>
        <w:rPr>
          <w:sz w:val="20"/>
          <w:szCs w:val="20"/>
          <w:color w:val="auto"/>
        </w:rPr>
      </w:pPr>
    </w:p>
    <w:p>
      <w:pPr>
        <w:ind w:right="120" w:firstLine="524"/>
        <w:spacing w:after="0" w:line="256" w:lineRule="auto"/>
        <w:rPr>
          <w:sz w:val="20"/>
          <w:szCs w:val="20"/>
          <w:color w:val="auto"/>
        </w:rPr>
      </w:pPr>
      <w:r>
        <w:rPr>
          <w:rFonts w:ascii="Times New Roman" w:cs="Times New Roman" w:eastAsia="Times New Roman" w:hAnsi="Times New Roman"/>
          <w:sz w:val="18"/>
          <w:szCs w:val="18"/>
          <w:color w:val="auto"/>
        </w:rPr>
        <w:t>In preclinical studies, PRT2527 was shown to reduce MCL1 and MYC protein levels and was highly active in preclinical models at well-tolerated doses. Our preclinical studies suggest that PRT2527 demonstrates high kinase selectivity and potency, providing opportunity for a wider therapeutic index compared to less selective CDK9 inhibitors, allowing for rapid development in combinations. Preclinical data demonstrated that treatment with PRT2527 depleted oncogenic drivers with short half-lives, such as MYC and MCL1, and effectively induced apoptosis. PRT2527 treatment demonstrated robust efficacy in both hematological malignancies and solid tumor models with MYC dysregulation. Dose dependent increases in exposure and target engagement were observed as evidenced by MYC and MCL1 depletion to levels associated with tumor regression in preclinical models.</w:t>
      </w:r>
    </w:p>
    <w:p>
      <w:pPr>
        <w:spacing w:after="0" w:line="79" w:lineRule="exact"/>
        <w:rPr>
          <w:sz w:val="20"/>
          <w:szCs w:val="20"/>
          <w:color w:val="auto"/>
        </w:rPr>
      </w:pPr>
    </w:p>
    <w:p>
      <w:pPr>
        <w:ind w:right="140" w:firstLine="479"/>
        <w:spacing w:after="0" w:line="266" w:lineRule="auto"/>
        <w:rPr>
          <w:sz w:val="20"/>
          <w:szCs w:val="20"/>
          <w:color w:val="auto"/>
        </w:rPr>
      </w:pPr>
      <w:r>
        <w:rPr>
          <w:rFonts w:ascii="Times New Roman" w:cs="Times New Roman" w:eastAsia="Times New Roman" w:hAnsi="Times New Roman"/>
          <w:sz w:val="18"/>
          <w:szCs w:val="18"/>
          <w:color w:val="auto"/>
        </w:rPr>
        <w:t>PRT2527 has completed a Phase 1 multi-dose escalation study (NCT05159518) in patients with solid tumors. In this study, PRT2527 was shown to achieve high levels of target inhibition and the potential to be better tolerated than existing CDK9 inhibitors, specifically, managing neutropenia and an absence of meaningful gastrointestinal events or hepatotoxicity.</w:t>
      </w:r>
    </w:p>
    <w:p>
      <w:pPr>
        <w:spacing w:after="0" w:line="68" w:lineRule="exact"/>
        <w:rPr>
          <w:sz w:val="20"/>
          <w:szCs w:val="20"/>
          <w:color w:val="auto"/>
        </w:rPr>
      </w:pPr>
    </w:p>
    <w:p>
      <w:pPr>
        <w:ind w:right="100" w:firstLine="479"/>
        <w:spacing w:after="0" w:line="255" w:lineRule="auto"/>
        <w:rPr>
          <w:sz w:val="20"/>
          <w:szCs w:val="20"/>
          <w:color w:val="auto"/>
        </w:rPr>
      </w:pPr>
      <w:r>
        <w:rPr>
          <w:rFonts w:ascii="Times New Roman" w:cs="Times New Roman" w:eastAsia="Times New Roman" w:hAnsi="Times New Roman"/>
          <w:sz w:val="18"/>
          <w:szCs w:val="18"/>
          <w:color w:val="auto"/>
        </w:rPr>
        <w:t>The observed dose-dependent downregulation of MYC and MCL1 mRNA expression, CDK9 transcriptional targets, was consistent with the degree of target engagement required for preclinical efficacy. As predicted by the preclinical models, 12 mg/m2 QW dosing showed optimal target inhibition and has been selected as the optimal dose. The overall safety profile observed in this study supports further development of PRT2527 in hematologic malignancies (NCT05665530). In this study, PRT2527 is advancing as monotherapy in hematological indications, such as B-cell malignancies and acute myeloid leukemia (AML), and we have initiated the combination with zanubrutinib in B-cell malignancies. We expect to complete the monotherapy dose escalation in B-cell malignancies in 2024. Initiation of a second cohort of patients with AML occurred in the first half of 2024. Interim Phase 1 data is on track for presentation in the fourth quarter of 2024.</w:t>
      </w:r>
    </w:p>
    <w:p>
      <w:pPr>
        <w:spacing w:after="0" w:line="81" w:lineRule="exact"/>
        <w:rPr>
          <w:sz w:val="20"/>
          <w:szCs w:val="20"/>
          <w:color w:val="auto"/>
        </w:rPr>
      </w:pPr>
    </w:p>
    <w:p>
      <w:pPr>
        <w:ind w:right="780" w:firstLine="479"/>
        <w:spacing w:after="0" w:line="282" w:lineRule="auto"/>
        <w:rPr>
          <w:sz w:val="20"/>
          <w:szCs w:val="20"/>
          <w:color w:val="auto"/>
        </w:rPr>
      </w:pPr>
      <w:r>
        <w:rPr>
          <w:rFonts w:ascii="Times New Roman" w:cs="Times New Roman" w:eastAsia="Times New Roman" w:hAnsi="Times New Roman"/>
          <w:sz w:val="18"/>
          <w:szCs w:val="18"/>
          <w:color w:val="auto"/>
        </w:rPr>
        <w:t>As discussed in our 2023 Annual Report on Form 10-K, last fiscal year, after concluding Phase 1 development of PRT1419, we decided to discontinue development of PRT1419 in order to prioritize our CDK9 inhibitor, PRT2527.</w:t>
      </w:r>
    </w:p>
    <w:p>
      <w:pPr>
        <w:spacing w:after="0" w:line="54" w:lineRule="exact"/>
        <w:rPr>
          <w:sz w:val="20"/>
          <w:szCs w:val="20"/>
          <w:color w:val="auto"/>
        </w:rPr>
      </w:pPr>
    </w:p>
    <w:p>
      <w:pPr>
        <w:ind w:right="80" w:firstLine="479"/>
        <w:spacing w:after="0" w:line="258" w:lineRule="auto"/>
        <w:rPr>
          <w:sz w:val="20"/>
          <w:szCs w:val="20"/>
          <w:color w:val="auto"/>
        </w:rPr>
      </w:pPr>
      <w:r>
        <w:rPr>
          <w:rFonts w:ascii="Times New Roman" w:cs="Times New Roman" w:eastAsia="Times New Roman" w:hAnsi="Times New Roman"/>
          <w:sz w:val="18"/>
          <w:szCs w:val="18"/>
          <w:color w:val="auto"/>
        </w:rPr>
        <w:t>PRT3645 is a brain and tissue penetrant molecule that potently targets CDK4/6 with a biased selectivity for CDK4. A Phase 1 multi-dose escalation clinical trial of PRT3645 has been completed. At the 2023 AACR-NCI-EORTC International Conference on Molecular Targets and Cancer Therapeutics, we presented data, showing that treatment with PRT3645 was associated with a substantial decrease in pRb and Ki67 expression, indicating a high level of target engagement at the doses evaluated. Also, PRT3645 was generally well tolerated in the initial three dose cohorts of patients with no clinically meaningful gastrointestinal, hematologic or</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1" w:name="page22"/>
    <w:bookmarkEnd w:id="21"/>
    <w:p>
      <w:pPr>
        <w:ind w:right="20"/>
        <w:spacing w:after="0" w:line="282" w:lineRule="auto"/>
        <w:rPr>
          <w:sz w:val="20"/>
          <w:szCs w:val="20"/>
          <w:color w:val="auto"/>
        </w:rPr>
      </w:pPr>
      <w:r>
        <w:rPr>
          <w:rFonts w:ascii="Times New Roman" w:cs="Times New Roman" w:eastAsia="Times New Roman" w:hAnsi="Times New Roman"/>
          <w:sz w:val="18"/>
          <w:szCs w:val="18"/>
          <w:color w:val="auto"/>
        </w:rPr>
        <w:t>neurological events reported to date, leveraging its enhanced selectivity profile. Having completed the dose escalation portion of the Phase 1 clinical trial of PRT3645, we intend to explore continued clinical development with external partners.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9" w:lineRule="exact"/>
        <w:rPr>
          <w:sz w:val="20"/>
          <w:szCs w:val="20"/>
          <w:color w:val="auto"/>
        </w:rPr>
      </w:pPr>
    </w:p>
    <w:p>
      <w:pPr>
        <w:ind w:right="20" w:firstLine="494"/>
        <w:spacing w:after="0" w:line="253" w:lineRule="auto"/>
        <w:rPr>
          <w:sz w:val="20"/>
          <w:szCs w:val="20"/>
          <w:color w:val="auto"/>
        </w:rPr>
      </w:pPr>
      <w:r>
        <w:rPr>
          <w:rFonts w:ascii="Times New Roman" w:cs="Times New Roman" w:eastAsia="Times New Roman" w:hAnsi="Times New Roman"/>
          <w:sz w:val="18"/>
          <w:szCs w:val="18"/>
          <w:color w:val="auto"/>
        </w:rPr>
        <w:t>Since inception, we have devoted substantially all of our resources to developing product and technology rights, conducting research and development, organizing and staffing our company, business planning and raising capital. We have incurred recurring losses, the majority of which are attributable to research and development activities, and negative cash flows from operations. We have funded our operations primarily through the sale of convertible preferred stock, common stock and pre-funded warrants. Our net loss was $66.2 million and $58.1 million for the six months ended June 30, 2024 and 2023, respectively. As of June 30, 2024, we had an accumulated deficit of $522.6 million. Our primary use of cash is to fund operating expenses, which consist primarily of research and development expenditures, and to a lesser extent, general and administrative expenditures. Our ability to generate product revenue sufficient to achieve profitability will depend heavily on the successful development and eventual commercialization of one or more of our current or future product candidates. We expect to continue to incur significant expenses and operating losses for the foreseeable future as we advance our product candidates through all stages of development and clinical trials and, ultimately, seek regulatory approval. In addition, if we obtain marketing approval for any of our product candidates, we expect to incur significant commercialization expenses related to product manufacturing, marketing, sales and distribution. Our net losses may fluctuate significantly from quarter-to-quarter and year-to-year, depending on the timing of our clinical trials and our expenditures on other research and development activities.</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20" w:firstLine="479"/>
        <w:spacing w:after="0" w:line="261" w:lineRule="auto"/>
        <w:rPr>
          <w:sz w:val="20"/>
          <w:szCs w:val="20"/>
          <w:color w:val="auto"/>
        </w:rPr>
      </w:pPr>
      <w:r>
        <w:rPr>
          <w:rFonts w:ascii="Times New Roman" w:cs="Times New Roman" w:eastAsia="Times New Roman" w:hAnsi="Times New Roman"/>
          <w:sz w:val="18"/>
          <w:szCs w:val="18"/>
          <w:color w:val="auto"/>
        </w:rPr>
        <w:t>To-date, we have not recognized any revenue from product sales, and we do not expect to generate any revenue from the sale of products in the foreseeable future. We expect to recognize revenue from our license agreement as we satisfy remaining performance obligations.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our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expense research and development costs as incurred, including:</w:t>
      </w:r>
    </w:p>
    <w:p>
      <w:pPr>
        <w:spacing w:after="0" w:line="99" w:lineRule="exact"/>
        <w:rPr>
          <w:sz w:val="20"/>
          <w:szCs w:val="20"/>
          <w:color w:val="auto"/>
        </w:rPr>
      </w:pPr>
    </w:p>
    <w:p>
      <w:pPr>
        <w:ind w:left="960" w:right="20" w:hanging="47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discovery-stage laboratory work, preclinical studies and clinical trials required to obtain regulatory approval;</w:t>
      </w:r>
    </w:p>
    <w:p>
      <w:pPr>
        <w:spacing w:after="0" w:line="53" w:lineRule="exact"/>
        <w:rPr>
          <w:rFonts w:ascii="Times New Roman" w:cs="Times New Roman" w:eastAsia="Times New Roman" w:hAnsi="Times New Roman"/>
          <w:sz w:val="18"/>
          <w:szCs w:val="18"/>
          <w:color w:val="auto"/>
        </w:rPr>
      </w:pPr>
    </w:p>
    <w:p>
      <w:pPr>
        <w:ind w:left="960" w:right="860" w:hanging="47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including salaries, benefits and stock-based compensation expense for our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960" w:right="380" w:hanging="47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including pursuant to agreements with clinical research organizations, or CROs, that conduct our clinical trials, as well as investigative sites, consultants and CROs that conduct our preclinical and nonclinical studies;</w:t>
      </w:r>
    </w:p>
    <w:p>
      <w:pPr>
        <w:spacing w:after="0" w:line="53" w:lineRule="exact"/>
        <w:rPr>
          <w:rFonts w:ascii="Times New Roman" w:cs="Times New Roman" w:eastAsia="Times New Roman" w:hAnsi="Times New Roman"/>
          <w:sz w:val="18"/>
          <w:szCs w:val="18"/>
          <w:color w:val="auto"/>
        </w:rPr>
      </w:pPr>
    </w:p>
    <w:p>
      <w:pPr>
        <w:ind w:left="960" w:right="20" w:hanging="47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manufacturing organizations, or CMOs, including manufacturing scale-up expenses and the cost of acquiring and manufacturing preclinical study and clinical trial materials;</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who assist with research and development activities;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regulatory activities, including filing fees paid to regulatory agencies; and</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facility costs, including rent, utilities, depreciation and maintenance.</w:t>
      </w:r>
    </w:p>
    <w:p>
      <w:pPr>
        <w:spacing w:after="0" w:line="225" w:lineRule="exact"/>
        <w:rPr>
          <w:sz w:val="20"/>
          <w:szCs w:val="20"/>
          <w:color w:val="auto"/>
        </w:rPr>
      </w:pPr>
    </w:p>
    <w:p>
      <w:pPr>
        <w:ind w:firstLine="478"/>
        <w:spacing w:after="0" w:line="261" w:lineRule="auto"/>
        <w:rPr>
          <w:sz w:val="20"/>
          <w:szCs w:val="20"/>
          <w:color w:val="auto"/>
        </w:rPr>
      </w:pPr>
      <w:r>
        <w:rPr>
          <w:rFonts w:ascii="Times New Roman" w:cs="Times New Roman" w:eastAsia="Times New Roman" w:hAnsi="Times New Roman"/>
          <w:sz w:val="18"/>
          <w:szCs w:val="18"/>
          <w:color w:val="auto"/>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100" w:firstLine="478"/>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our clinical trials, including later-stage clinical trials, for current and future product candidates and prepare regulatory filings for our product candidates.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40" w:firstLine="478"/>
        <w:spacing w:after="0" w:line="281"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 also includes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spacing w:after="0" w:line="164" w:lineRule="exact"/>
        <w:rPr>
          <w:sz w:val="20"/>
          <w:szCs w:val="20"/>
          <w:color w:val="auto"/>
        </w:rPr>
      </w:pPr>
    </w:p>
    <w:p>
      <w:pPr>
        <w:ind w:right="200" w:firstLine="478"/>
        <w:spacing w:after="0" w:line="256" w:lineRule="auto"/>
        <w:rPr>
          <w:sz w:val="20"/>
          <w:szCs w:val="20"/>
          <w:color w:val="auto"/>
        </w:rPr>
      </w:pPr>
      <w:r>
        <w:rPr>
          <w:rFonts w:ascii="Times New Roman" w:cs="Times New Roman" w:eastAsia="Times New Roman" w:hAnsi="Times New Roman"/>
          <w:sz w:val="18"/>
          <w:szCs w:val="18"/>
          <w:color w:val="auto"/>
        </w:rPr>
        <w:t>We expect that our general and administrative expense will increase in the future to support our continued research and development activities and potential commercialization efforts. These increases will likely include increased costs related to the hiring of additional personnel and fees to outside consultants and legal support, among other expenses. The costs associated with being a public company include expenses related to services associated with maintaining compliance with the requirements of Nasdaq and the Securities and Exchange Commission, or SEC, insurance and investor relations costs. If any of our current or future product candidates obtains U.S. regulatory approval, we expect that we would incur significantly increased expenses associated with building a sales and marketing team.</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20" w:firstLine="478"/>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 earned on our cash equivalents and marketable securities and grant income received from the State of Delaware. We anticipate re-applying for grants from the State of Delaware from time to time as long as we maintain qualifying headcount levels.</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80" w:firstLine="478"/>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for the net operating losses, or NOLs, we have incurred or for our research and development tax credits, as we believe, based upon the weight of available evidence, that it is more likely than not that all of our NOLs and tax credits will not be realized.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and 2023</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82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00" w:type="dxa"/>
            <w:vAlign w:val="bottom"/>
            <w:vMerge w:val="continue"/>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29,509</w:t>
            </w:r>
          </w:p>
        </w:tc>
        <w:tc>
          <w:tcPr>
            <w:tcW w:w="3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24,966</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7,655</w:t>
            </w:r>
          </w:p>
        </w:tc>
        <w:tc>
          <w:tcPr>
            <w:tcW w:w="3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37,164</w:t>
            </w:r>
          </w:p>
        </w:tc>
        <w:tc>
          <w:tcPr>
            <w:tcW w:w="3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(37,164 )</w:t>
            </w:r>
          </w:p>
        </w:tc>
        <w:tc>
          <w:tcPr>
            <w:tcW w:w="5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(32,398 )</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(4,766 )</w:t>
            </w:r>
          </w:p>
        </w:tc>
        <w:tc>
          <w:tcPr>
            <w:tcW w:w="0" w:type="dxa"/>
            <w:vAlign w:val="bottom"/>
          </w:tcPr>
          <w:p>
            <w:pPr>
              <w:spacing w:after="0"/>
              <w:rPr>
                <w:sz w:val="1"/>
                <w:szCs w:val="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3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(34,740 )</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(30,431 )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(4,309 )</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-668020</wp:posOffset>
            </wp:positionV>
            <wp:extent cx="768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-668020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768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220" w:firstLine="47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from $25.0 million for the three months ended June 30, 2023 to $29.5 million for the three months ended June 30, 2024. Research and development expenses increased primarily due to an increase in our chemistry, manufacturing, and controls ("CMC") expense to support our pre-clinical and clinical research programs. Research and development expenses may fluctuate from period to period depending upon the stage of certain projects and the level of preclinical and clinical trial-related activities.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firstLine="47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by program are summarized in the table below. Expenses for programs that have been discontinued are included in Other.</w:t>
      </w:r>
    </w:p>
    <w:tbl>
      <w:tblPr>
        <w:tblLayout w:type="fixed"/>
        <w:tblInd w:w="0" w:type="dxa"/>
        <w:tblCellMar>
          <w:top w:w="0" w:type="dxa"/>
          <w:left w:w="0" w:type="dxa"/>
          <w:bottom w:w="0" w:type="dxa"/>
          <w:right w:w="0" w:type="dxa"/>
        </w:tblCellMar>
      </w:tblPr>
      <w:tr>
        <w:trPr>
          <w:trHeight w:val="137"/>
        </w:trPr>
        <w:tc>
          <w:tcPr>
            <w:tcW w:w="7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4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00" w:type="dxa"/>
            <w:vAlign w:val="bottom"/>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PRT3789</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30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PRT2527</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PRT3645</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Discovery programs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(136 )</w:t>
            </w: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costs, including personnel related</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13,852</w:t>
            </w:r>
          </w:p>
        </w:tc>
        <w:tc>
          <w:tcPr>
            <w:tcW w:w="3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7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29,509</w:t>
            </w:r>
          </w:p>
        </w:tc>
        <w:tc>
          <w:tcPr>
            <w:tcW w:w="30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60" w:firstLine="47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from $7.4 million for the three months ended June 30, 2023 to $7.7 million for the three months ended June 30, 2024. General and administrative expenses increased primarily due to an increase in professional fees incurred as we expand our operations to support our research and development efforts.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220" w:firstLine="478"/>
        <w:spacing w:after="0" w:line="282" w:lineRule="auto"/>
        <w:rPr>
          <w:sz w:val="20"/>
          <w:szCs w:val="20"/>
          <w:color w:val="auto"/>
        </w:rPr>
      </w:pPr>
      <w:r>
        <w:rPr>
          <w:rFonts w:ascii="Times New Roman" w:cs="Times New Roman" w:eastAsia="Times New Roman" w:hAnsi="Times New Roman"/>
          <w:sz w:val="18"/>
          <w:szCs w:val="18"/>
          <w:color w:val="auto"/>
        </w:rPr>
        <w:t>Other income, net increased from $2.0 million for the three months ended June 30, 2023, to $2.4 million for the three months ended June 30, 2024 primarily due to interest earned on the investment of our cash balance as a result of higher interest rates and higher investment balances.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76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00" w:type="dxa"/>
            <w:vAlign w:val="bottom"/>
            <w:vMerge w:val="continue"/>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56,918</w:t>
            </w:r>
          </w:p>
        </w:tc>
        <w:tc>
          <w:tcPr>
            <w:tcW w:w="3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46,800</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14,589</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37"/>
        </w:trPr>
        <w:tc>
          <w:tcPr>
            <w:tcW w:w="66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71,507</w:t>
            </w:r>
          </w:p>
        </w:tc>
        <w:tc>
          <w:tcPr>
            <w:tcW w:w="30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61,513</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(71,507 )</w:t>
            </w:r>
          </w:p>
        </w:tc>
        <w:tc>
          <w:tcPr>
            <w:tcW w:w="4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(61,513 )</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(9,994 )</w:t>
            </w:r>
          </w:p>
        </w:tc>
        <w:tc>
          <w:tcPr>
            <w:tcW w:w="0" w:type="dxa"/>
            <w:vAlign w:val="bottom"/>
          </w:tcPr>
          <w:p>
            <w:pPr>
              <w:spacing w:after="0"/>
              <w:rPr>
                <w:sz w:val="1"/>
                <w:szCs w:val="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(66,171 )</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(58,149 )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(8,022 )</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-668020</wp:posOffset>
            </wp:positionV>
            <wp:extent cx="768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-668020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768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80" w:firstLine="47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from $46.8 million for the six months ended June 30, 2023 to $56.9 million for the six months ended June 30, 2024. Research and development expenses increased primarily due to the timing of our clinical research programs as well as an increase in our CMC expense to support our pre-clinical and clinical research programs. Research and development expenses may fluctuate from period to period depending upon the stage of certain projects and the level of preclinical and clinical trial-related activities.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firstLine="47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by program are summarized in the table below. Expenses for programs that have been discontinued are included in Other.</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00" w:type="dxa"/>
            <w:vAlign w:val="bottom"/>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PRT3789</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30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PRT2527</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PRT3645</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Discovery programs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14,401</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(9 )</w:t>
            </w:r>
          </w:p>
        </w:tc>
        <w:tc>
          <w:tcPr>
            <w:tcW w:w="5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costs, including personnel related</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27,499</w:t>
            </w:r>
          </w:p>
        </w:tc>
        <w:tc>
          <w:tcPr>
            <w:tcW w:w="3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7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56,918</w:t>
            </w:r>
          </w:p>
        </w:tc>
        <w:tc>
          <w:tcPr>
            <w:tcW w:w="30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46,800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General and administrative expenses remained relatively flat between periods.</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520" w:firstLine="478"/>
        <w:spacing w:after="0" w:line="282" w:lineRule="auto"/>
        <w:rPr>
          <w:sz w:val="20"/>
          <w:szCs w:val="20"/>
          <w:color w:val="auto"/>
        </w:rPr>
      </w:pPr>
      <w:r>
        <w:rPr>
          <w:rFonts w:ascii="Times New Roman" w:cs="Times New Roman" w:eastAsia="Times New Roman" w:hAnsi="Times New Roman"/>
          <w:sz w:val="18"/>
          <w:szCs w:val="18"/>
          <w:color w:val="auto"/>
        </w:rPr>
        <w:t>Other income, net increased from $3.4 million for the six months ended June 30, 2023, to $5.3 million for the six months ended June 30, 2024 primarily due to interest earned on the investment of our cash balance as a result of higher interest rates and higher investment balances.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160" w:firstLine="479"/>
        <w:spacing w:after="0" w:line="282" w:lineRule="auto"/>
        <w:rPr>
          <w:sz w:val="20"/>
          <w:szCs w:val="20"/>
          <w:color w:val="auto"/>
        </w:rPr>
      </w:pPr>
      <w:r>
        <w:rPr>
          <w:rFonts w:ascii="Times New Roman" w:cs="Times New Roman" w:eastAsia="Times New Roman" w:hAnsi="Times New Roman"/>
          <w:sz w:val="18"/>
          <w:szCs w:val="18"/>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w:t>
      </w:r>
    </w:p>
    <w:p>
      <w:pPr>
        <w:spacing w:after="0" w:line="162" w:lineRule="exact"/>
        <w:rPr>
          <w:sz w:val="20"/>
          <w:szCs w:val="20"/>
          <w:color w:val="auto"/>
        </w:rPr>
      </w:pPr>
    </w:p>
    <w:p>
      <w:pPr>
        <w:ind w:right="40" w:firstLine="479"/>
        <w:spacing w:after="0" w:line="255" w:lineRule="auto"/>
        <w:rPr>
          <w:sz w:val="20"/>
          <w:szCs w:val="20"/>
          <w:color w:val="auto"/>
        </w:rPr>
      </w:pPr>
      <w:r>
        <w:rPr>
          <w:rFonts w:ascii="Times New Roman" w:cs="Times New Roman" w:eastAsia="Times New Roman" w:hAnsi="Times New Roman"/>
          <w:sz w:val="18"/>
          <w:szCs w:val="18"/>
          <w:color w:val="auto"/>
        </w:rPr>
        <w:t>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spacing w:after="0" w:line="189" w:lineRule="exact"/>
        <w:rPr>
          <w:sz w:val="20"/>
          <w:szCs w:val="20"/>
          <w:color w:val="auto"/>
        </w:rPr>
      </w:pPr>
    </w:p>
    <w:p>
      <w:pPr>
        <w:ind w:right="60" w:firstLine="479"/>
        <w:spacing w:after="0" w:line="266" w:lineRule="auto"/>
        <w:rPr>
          <w:sz w:val="20"/>
          <w:szCs w:val="20"/>
          <w:color w:val="auto"/>
        </w:rPr>
      </w:pPr>
      <w:r>
        <w:rPr>
          <w:rFonts w:ascii="Times New Roman" w:cs="Times New Roman" w:eastAsia="Times New Roman" w:hAnsi="Times New Roman"/>
          <w:sz w:val="18"/>
          <w:szCs w:val="18"/>
          <w:color w:val="auto"/>
        </w:rPr>
        <w:t>As of June 30, 2024, we had $179.8 million in cash, cash equivalents, and marketable securities. We believe that our cash, cash equivalents, and marketable securities as of June 30, 2024 will be sufficient to fund operating expenses and capital expenditure requirements into 2026. Since our inception, we have funded our operations through the sale of convertible preferred stock, common stock, and pre-funded warrants.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left="480"/>
        <w:spacing w:after="0"/>
        <w:rPr>
          <w:sz w:val="20"/>
          <w:szCs w:val="20"/>
          <w:color w:val="auto"/>
        </w:rPr>
      </w:pPr>
      <w:r>
        <w:rPr>
          <w:rFonts w:ascii="Times New Roman" w:cs="Times New Roman" w:eastAsia="Times New Roman" w:hAnsi="Times New Roman"/>
          <w:sz w:val="18"/>
          <w:szCs w:val="18"/>
          <w:color w:val="auto"/>
        </w:rPr>
        <w:t>During the second quarter of 2023, we sold 6,761,200 shares of common stock which comprised of (i) 5,312,978 shares of voting common stock and</w:t>
      </w:r>
    </w:p>
    <w:p>
      <w:pPr>
        <w:spacing w:after="0" w:line="27" w:lineRule="exact"/>
        <w:rPr>
          <w:sz w:val="20"/>
          <w:szCs w:val="20"/>
          <w:color w:val="auto"/>
        </w:rPr>
      </w:pPr>
    </w:p>
    <w:p>
      <w:pPr>
        <w:ind w:firstLine="8"/>
        <w:spacing w:after="0" w:line="252"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1,448,222 shares of non-voting common stock at a price of $5.75 per share and to certain investors in lieu of common stock, we sold pre-funded warrants to purchase 12,895,256 shares of voting common stock at a price of $5.7499 per pre-funded warrant, resulting in gross proceeds of $113.0 million. We incurred offering costs of $2.6 million, of which $0.3 million were previously paid and deferred, which resulted in net proceeds of $110.4 million. The purchase price per share of each pre-funded warrant represents the per share offering price for the common stock, minus the $0.0001 per share exercise price of such pre-funded warrant. Of the voting common stock sold, 2,264,456 were purchased by our underwriters in connection with a 30-day option at a price of $5.75 per share.</w:t>
      </w:r>
    </w:p>
    <w:p>
      <w:pPr>
        <w:spacing w:after="0" w:line="82" w:lineRule="exact"/>
        <w:rPr>
          <w:sz w:val="20"/>
          <w:szCs w:val="20"/>
          <w:color w:val="auto"/>
        </w:rPr>
      </w:pPr>
    </w:p>
    <w:p>
      <w:pPr>
        <w:ind w:right="300" w:firstLine="479"/>
        <w:spacing w:after="0" w:line="282" w:lineRule="auto"/>
        <w:rPr>
          <w:sz w:val="20"/>
          <w:szCs w:val="20"/>
          <w:color w:val="auto"/>
        </w:rPr>
      </w:pPr>
      <w:r>
        <w:rPr>
          <w:rFonts w:ascii="Times New Roman" w:cs="Times New Roman" w:eastAsia="Times New Roman" w:hAnsi="Times New Roman"/>
          <w:sz w:val="18"/>
          <w:szCs w:val="18"/>
          <w:color w:val="auto"/>
        </w:rPr>
        <w:t>During the fourth quarter of 2023, we sold in a private placement pre-funded warrants to purchase 7,936,759 shares of voting common stock at a price of $3.1499 per pre-funded warrant, resulting in net proceeds of $24.8 million after deducting offering costs of $0.2 million.</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did not issue any securities during the first or second quarter of 2024.</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right="240" w:firstLine="478"/>
        <w:spacing w:after="0" w:line="266" w:lineRule="auto"/>
        <w:rPr>
          <w:sz w:val="20"/>
          <w:szCs w:val="20"/>
          <w:color w:val="auto"/>
        </w:rPr>
      </w:pPr>
      <w:r>
        <w:rPr>
          <w:rFonts w:ascii="Times New Roman" w:cs="Times New Roman" w:eastAsia="Times New Roman" w:hAnsi="Times New Roman"/>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76" w:lineRule="exact"/>
        <w:rPr>
          <w:sz w:val="20"/>
          <w:szCs w:val="20"/>
          <w:color w:val="auto"/>
        </w:rPr>
      </w:pPr>
    </w:p>
    <w:p>
      <w:pPr>
        <w:ind w:right="20" w:firstLine="478"/>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68" w:lineRule="exact"/>
        <w:rPr>
          <w:sz w:val="20"/>
          <w:szCs w:val="20"/>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and results of discovery, preclinical development, laboratory testing and clinical trials for our product candidates;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 candidates for clinical trials and in preparation for marketing approval and commercialization;</w:t>
      </w:r>
    </w:p>
    <w:p>
      <w:pPr>
        <w:spacing w:after="0" w:line="117" w:lineRule="exact"/>
        <w:rPr>
          <w:rFonts w:ascii="Times New Roman" w:cs="Times New Roman" w:eastAsia="Times New Roman" w:hAnsi="Times New Roman"/>
          <w:sz w:val="18"/>
          <w:szCs w:val="18"/>
          <w:color w:val="auto"/>
        </w:rPr>
      </w:pPr>
    </w:p>
    <w:p>
      <w:pPr>
        <w:ind w:left="960" w:right="340" w:hanging="473"/>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enter into collaborations or other arrangements with additional third parties in order to further develop our product candidates;</w:t>
      </w:r>
    </w:p>
    <w:p>
      <w:pPr>
        <w:spacing w:after="0" w:line="53" w:lineRule="exact"/>
        <w:rPr>
          <w:rFonts w:ascii="Times New Roman" w:cs="Times New Roman" w:eastAsia="Times New Roman" w:hAnsi="Times New Roman"/>
          <w:sz w:val="18"/>
          <w:szCs w:val="18"/>
          <w:color w:val="auto"/>
        </w:rPr>
      </w:pPr>
    </w:p>
    <w:p>
      <w:pPr>
        <w:ind w:left="960" w:right="340" w:hanging="473"/>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the discovery, acquisition or in-license of additional product candidates or technologies;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needed to attract and retain skilled personnel;</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being a public company;</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required to scale up our clinical, regulatory and manufacturing capabilities;</w:t>
      </w:r>
    </w:p>
    <w:p>
      <w:pPr>
        <w:spacing w:after="0" w:line="117" w:lineRule="exact"/>
        <w:rPr>
          <w:rFonts w:ascii="Times New Roman" w:cs="Times New Roman" w:eastAsia="Times New Roman" w:hAnsi="Times New Roman"/>
          <w:sz w:val="18"/>
          <w:szCs w:val="18"/>
          <w:color w:val="auto"/>
        </w:rPr>
      </w:pPr>
    </w:p>
    <w:p>
      <w:pPr>
        <w:ind w:left="960" w:right="20" w:hanging="473"/>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if any, including establishing sales, marketing, manufacturing and distribution capabilities, for any of our product candidates for which we receive marketing approval; and</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sales of our product candidates, should any of our product candidates receive marketing approval.</w:t>
      </w:r>
    </w:p>
    <w:p>
      <w:pPr>
        <w:spacing w:after="0" w:line="225" w:lineRule="exact"/>
        <w:rPr>
          <w:sz w:val="20"/>
          <w:szCs w:val="20"/>
          <w:color w:val="auto"/>
        </w:rPr>
      </w:pPr>
    </w:p>
    <w:p>
      <w:pPr>
        <w:ind w:right="120" w:firstLine="479"/>
        <w:spacing w:after="0" w:line="261" w:lineRule="auto"/>
        <w:rPr>
          <w:sz w:val="20"/>
          <w:szCs w:val="20"/>
          <w:color w:val="auto"/>
        </w:rPr>
      </w:pPr>
      <w:r>
        <w:rPr>
          <w:rFonts w:ascii="Times New Roman" w:cs="Times New Roman" w:eastAsia="Times New Roman" w:hAnsi="Times New Roman"/>
          <w:sz w:val="18"/>
          <w:szCs w:val="18"/>
          <w:color w:val="auto"/>
        </w:rPr>
        <w:t>We will need additional funds to meet operational needs and capital requirements for clinical trials, other research and development expenditures, and business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72" w:lineRule="exact"/>
        <w:rPr>
          <w:sz w:val="20"/>
          <w:szCs w:val="20"/>
          <w:color w:val="auto"/>
        </w:rPr>
      </w:pPr>
    </w:p>
    <w:p>
      <w:pPr>
        <w:ind w:right="100" w:firstLine="479"/>
        <w:spacing w:after="0" w:line="261" w:lineRule="auto"/>
        <w:rPr>
          <w:sz w:val="20"/>
          <w:szCs w:val="20"/>
          <w:color w:val="auto"/>
        </w:rPr>
      </w:pPr>
      <w:r>
        <w:rPr>
          <w:rFonts w:ascii="Times New Roman" w:cs="Times New Roman" w:eastAsia="Times New Roman" w:hAnsi="Times New Roman"/>
          <w:sz w:val="18"/>
          <w:szCs w:val="18"/>
          <w:color w:val="auto"/>
        </w:rPr>
        <w:t>In May 2024, the Company filed a shelf registration statement (the "2024 Shelf Registration Statement") with the SEC for the issuance of common stock, preferred stock, debt securities, warrants, subscription rights and units up to an aggregate amount of $400 million. The 2024 Shelf Registration statement was declared effective on June 10, 2024. The 2024 Shelf Registration statement expiries in May 2027, and as of June 30, 2024 there was $400.0 million remaining under the 2024 Shelf Registration Statement.</w:t>
      </w:r>
    </w:p>
    <w:p>
      <w:pPr>
        <w:spacing w:after="0" w:line="72"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In March 2023, we filed a prospectus supplement to our existing shelf registration statement on Form S-3 (the "2021 Shelf Registration Statement"). The 2021 Shelf Registration Statement permits the offering of up to $400.0 million aggregate dollar amount of shares of our common stock or preferred stock, debt securities, warrants to purchase our common stock, preferred stock or debt securities, subscription rights to purchase our common stock, preferred stock or debt securities and/or units consisting of some or all 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6" w:name="page27"/>
    <w:bookmarkEnd w:id="26"/>
    <w:p>
      <w:pPr>
        <w:spacing w:after="0" w:line="255" w:lineRule="auto"/>
        <w:rPr>
          <w:sz w:val="20"/>
          <w:szCs w:val="20"/>
          <w:color w:val="auto"/>
        </w:rPr>
      </w:pPr>
      <w:r>
        <w:rPr>
          <w:rFonts w:ascii="Times New Roman" w:cs="Times New Roman" w:eastAsia="Times New Roman" w:hAnsi="Times New Roman"/>
          <w:sz w:val="18"/>
          <w:szCs w:val="18"/>
          <w:color w:val="auto"/>
        </w:rPr>
        <w:t>these securities, in one or more offerings and in any combination. The 2021 Shelf Registration Statement expires in November 2024, and as of June 30, 2024 there was $187.0 million remaining under the 2021 Shelf Registration Statement. In March 2023, in connection with filing a prospectus supplement to our 2021 Shelf Registration Statement, we entered into an Open Market Sales Agreement (the "Sales Agreement") with Jefferies LLC, as the sales agent, pursuant to which we may offer and sell shares of our common stock having an aggregate offering amount of up to $75.0 million. The $75.0 million of common stock that may be issued and sold pursuant to the Sales Agreement is included in the $400.0 million of securities that may be issued and sold pursuant to the 2021 Shelf Registration Statement. We will pay Jefferies LLC a commission rate of up to 3.0% of the aggregate gross proceeds from the sale of any shares of common stock pursuant to the Sales Agreement. We have $75.0 million remaining under the Sales Agreement as of June 30, 2024.</w:t>
      </w:r>
    </w:p>
    <w:p>
      <w:pPr>
        <w:spacing w:after="0" w:line="189"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00" w:type="dxa"/>
            <w:vAlign w:val="bottom"/>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(54,848 )</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(57,802 )</w:t>
            </w: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57,340</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(57,427 )</w:t>
            </w:r>
          </w:p>
        </w:tc>
        <w:tc>
          <w:tcPr>
            <w:tcW w:w="0" w:type="dxa"/>
            <w:vAlign w:val="bottom"/>
          </w:tcPr>
          <w:p>
            <w:pPr>
              <w:spacing w:after="0"/>
              <w:rPr>
                <w:sz w:val="1"/>
                <w:szCs w:val="1"/>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111,070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3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(4,159 )</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right="120" w:firstLine="47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we used $54.8 million of cash in operating activities. Cash used in operating activities reflected our net loss of $66.2 million offset by noncash charges of $10.5 million, which primarily consisted of stock-based compensation, and $0.9 million net decrease in our operating assets and liabilities. The primary use of cash was to fund our operations related to the development of our product candidates.</w:t>
      </w:r>
    </w:p>
    <w:p>
      <w:pPr>
        <w:spacing w:after="0" w:line="176" w:lineRule="exact"/>
        <w:rPr>
          <w:sz w:val="20"/>
          <w:szCs w:val="20"/>
          <w:color w:val="auto"/>
        </w:rPr>
      </w:pPr>
    </w:p>
    <w:p>
      <w:pPr>
        <w:ind w:right="120" w:firstLine="479"/>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2023, we used $57.8 million of cash in operating activities. Cash used in operating activities reflected our net loss of $58.1 million and a $13.3 million net increase in our operating assets and liabilities, offset by noncash charges of $13.6 million, which primarily consisted of $13.0 million in stock-based compensation. The primary use of cash was to fund our operations related to the development of our product candidates.</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40" w:firstLine="478"/>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net cash provided by investing activities of $57.3 million consisted primarily of $71.4 million in proceeds from maturities of marketable securities, partially offset by $13.4 million in purchases of marketable securities. During the six months ended June 30, 2023, net cash used in investing activities of $57.4 million consisted primarily of $128.1 million in purchases of marketable securities, partially offset by $72.5 million in proceeds from maturities of marketable securities.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left="4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20" w:firstLine="47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net cash provided by financing activities was primarily from proceeds received from the issuance of common stock under the employee stock purchase plan, offset by principal payments on our finance lease and the payment of offering costs related to the shelf registration statement. For the six months ended June 30, 2023, net cash provided by financing activities was $111.1 million which was primarily the result of $110.7 million in proceeds received from the sale of common stock and pre-funded warrants, net of issuance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100" w:firstLine="479"/>
        <w:spacing w:after="0" w:line="255" w:lineRule="auto"/>
        <w:rPr>
          <w:sz w:val="20"/>
          <w:szCs w:val="20"/>
          <w:color w:val="auto"/>
        </w:rPr>
      </w:pPr>
      <w:r>
        <w:rPr>
          <w:rFonts w:ascii="Times New Roman" w:cs="Times New Roman" w:eastAsia="Times New Roman" w:hAnsi="Times New Roman"/>
          <w:sz w:val="18"/>
          <w:szCs w:val="18"/>
          <w:color w:val="auto"/>
        </w:rPr>
        <w:t xml:space="preserve">In May 2024, the Company and Pathos AI, Inc. (“Pathos”) entered into a license agreement under which we granted to Pathos an exclusive, sublicensable, world-wide license to our selective, brain-penetrant PRMT5 inhibitor, PRT811, which is being accounted for under Accounting Standard Codification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Under ASC 606, we recognize revenue when our customer obtains control of promised goods or services, in an amount that reflects the consideration which we expect to receive in exchange for those goods or services. Our revenue recognition analysis consists of the following steps: (i) identify the contract(s) with a customer; (ii) identify the performance obligations in the contract; (iii) determine the transaction price; (iv) allocate the transaction price to the performance obligations; and (v) recognition of revenue as we satisfy each performance obligation.</w:t>
      </w:r>
    </w:p>
    <w:p>
      <w:pPr>
        <w:spacing w:after="0" w:line="189"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We apply significant judgment when we determine which goods and services are separate performance obligations, allocate the transaction price, and determine when a performance obligation has been satisfied. We recognize as revenue the amount of the transaction price that is allocated to the respective performance obligations when (or as) the performance obligations are satisfied. We recognize a liability when we have received payment but have not yet satisfied the related performance obligations.</w:t>
      </w:r>
    </w:p>
    <w:p>
      <w:pPr>
        <w:spacing w:after="0" w:line="180" w:lineRule="exact"/>
        <w:rPr>
          <w:sz w:val="20"/>
          <w:szCs w:val="20"/>
          <w:color w:val="auto"/>
        </w:rPr>
      </w:pPr>
    </w:p>
    <w:p>
      <w:pPr>
        <w:ind w:right="140" w:firstLine="479"/>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there were no other material changes to our critical accounting policies and estimates from those described under the heading “Management’s Discussion and Analysis of Financial Condition and Results of Operations-Critical Accounting Estimates” in our 2023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ind w:right="120" w:firstLine="479"/>
        <w:spacing w:after="0" w:line="274" w:lineRule="auto"/>
        <w:rPr>
          <w:sz w:val="20"/>
          <w:szCs w:val="20"/>
          <w:color w:val="auto"/>
        </w:rPr>
      </w:pPr>
      <w:r>
        <w:rPr>
          <w:rFonts w:ascii="Times New Roman" w:cs="Times New Roman" w:eastAsia="Times New Roman" w:hAnsi="Times New Roman"/>
          <w:sz w:val="17"/>
          <w:szCs w:val="17"/>
          <w:color w:val="auto"/>
        </w:rPr>
        <w:t>In April 2012,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73"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Subject to certain conditions, as an emerging growth company, we may rely on certain other exemptions and reduced reporting requirements, including without limitation, exemption to the requirements for providing an auditor’s attestation report on our system of internal controls over financial reporting pursuant to Section 404(b) of the Sarbanes-Oxley Act. We will remain an emerging growth company until the earlier to occur of (a) the last day of the fiscal year (i) following the fifth anniversary of the completion of our initial public offering (i.e. December 31, 2025), (ii) in which we have total annual gross revenues of at least $1.235 billion or (iii) in which we are deemed to be a “large accelerated filer” under the rules of the SEC, which means the market value of our common stock that is held by non-affiliates exceeds $700.0 million as of the prior June 30th, or (b) the date on which we have issued more than $1.0 billion in non-convertible debt during the prior three-year period.</w:t>
      </w:r>
    </w:p>
    <w:p>
      <w:pPr>
        <w:spacing w:after="0" w:line="189"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after if either (i) the market value of our stock held by non-affiliates is less than $250.0 million or (ii) our annual revenue is less than $100.0 million during the most recently completed fiscal year and the market value of our stock held by non-affiliates is less than $700.0 million. If we remain a smaller reporting company once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47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 with respect to the period ending June 30,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w:t>
      </w:r>
    </w:p>
    <w:p>
      <w:pPr>
        <w:spacing w:after="0" w:line="229"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As of June 30, 2024, management, with the participation of our Principal Executive Officer and Principal Financial and Accounting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June 30, 2024, the design and operation of our disclosure controls and procedures were effective at a reasonable assurance level.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60" w:firstLine="478"/>
        <w:spacing w:after="0" w:line="282" w:lineRule="auto"/>
        <w:rPr>
          <w:sz w:val="20"/>
          <w:szCs w:val="20"/>
          <w:color w:val="auto"/>
        </w:rPr>
      </w:pPr>
      <w:r>
        <w:rPr>
          <w:rFonts w:ascii="Times New Roman" w:cs="Times New Roman" w:eastAsia="Times New Roman" w:hAnsi="Times New Roman"/>
          <w:sz w:val="18"/>
          <w:szCs w:val="18"/>
          <w:color w:val="auto"/>
        </w:rPr>
        <w:t>Management determined that, as of June 30, 2024,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20" w:firstLine="479"/>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In addition, we may receive letters alleging infringement of patents or other intellectual property rights. We are not presently a party to any legal proceedings that, in the opinion of management, would have a material adverse effect on our business, operating results, cash flows or financial conditions should such litigation be resolved unfavorably. Regardless of outcome, litigation can have an adverse impact on us due to defense and settlement costs, diversion of management resources, negative publicity and reputational harm, and other factors.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300" w:firstLine="479"/>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making your decision to invest in shares of our common stock, you should carefully consider the risks and uncertainties described under Part I, Item 1A, “Risk Factors” in our 2023 Annual Report on Form 10-K filed with the Securities and Exchange Commission on February 15, 2024, in addition to the risk factors that appear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160" w:firstLine="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United States and China relations, as well as relations with other countries, and/or regulations may adversely impact our business, our operating results, our ability to raise capital and the market price of our shares.</w:t>
      </w:r>
    </w:p>
    <w:p>
      <w:pPr>
        <w:spacing w:after="0" w:line="51"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The U.S. government, including the SEC, has made statements and taken certain actions that led to changes to United States and international relations, and will impact companies with connections to the United States or China, including imposing several rounds of tariffs affecting certain products manufactured in China, imposing certain sanctions and restrictions in relation to China and issuing statements indicating enhanced review of companies with significant China-based operations. It is unknown whether and to what extent new legislation, executive orders, tariffs, laws or regulations will be adopted, or the effect that any such actions would have on companies with significant connections to the U.S. or to China, our industry or on us. Any unfavorable government policies on cross-border relations and/or international trade, including increased scrutiny on companies with significant China-based operations and escalation of tensions between China and Taiwan, such as recent step up of military exercises around Taiwan by China, capital controls or tariffs, may affect our ability to raise capital and the market price of our shares.</w:t>
      </w:r>
    </w:p>
    <w:p>
      <w:pPr>
        <w:spacing w:after="0" w:line="84" w:lineRule="exact"/>
        <w:rPr>
          <w:sz w:val="20"/>
          <w:szCs w:val="20"/>
          <w:color w:val="auto"/>
        </w:rPr>
      </w:pPr>
    </w:p>
    <w:p>
      <w:pPr>
        <w:ind w:right="80" w:firstLine="479"/>
        <w:spacing w:after="0" w:line="258" w:lineRule="auto"/>
        <w:rPr>
          <w:sz w:val="20"/>
          <w:szCs w:val="20"/>
          <w:color w:val="auto"/>
        </w:rPr>
      </w:pPr>
      <w:r>
        <w:rPr>
          <w:rFonts w:ascii="Times New Roman" w:cs="Times New Roman" w:eastAsia="Times New Roman" w:hAnsi="Times New Roman"/>
          <w:sz w:val="18"/>
          <w:szCs w:val="18"/>
          <w:color w:val="auto"/>
        </w:rPr>
        <w:t>There have been Congressional legislative proposals, such as the recent bill titled the Biosecure Act, to discourage contracting with Chinese companies on the development or manufacturing of pharmaceutical products. If any new legislation, executive orders, tariffs, laws and/or regulations are implemented, if existing trade agreements are renegotiated or if the U.S. or Chinese governments take retaliatory actions due to the recent U.S.-China tension, such changes could have an adverse effect on our business, financial condition and results of operations, our ability to raise capital and the market price of our shares.</w:t>
      </w:r>
    </w:p>
    <w:p>
      <w:pPr>
        <w:spacing w:after="0" w:line="71" w:lineRule="exact"/>
        <w:rPr>
          <w:sz w:val="20"/>
          <w:szCs w:val="20"/>
          <w:color w:val="auto"/>
        </w:rPr>
      </w:pPr>
    </w:p>
    <w:p>
      <w:pPr>
        <w:ind w:right="240" w:firstLine="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 longer developing our PRMT5 inhibitor, PRT811, and are dependent on our license agreement with Pathos AI, Inc. to develop and commercialize the asset.</w:t>
      </w:r>
    </w:p>
    <w:p>
      <w:pPr>
        <w:spacing w:after="0" w:line="51"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Pursuant to the terms of the license agreement with Pathos (the “Pathos License Agreement”), we granted an exclusive, world-wide license for our selective, brain-penetrant PRMT5 inhibitor, PRT811. Consequently, the commercial success of PRT811 will depend in significant part on the efforts of Pathos. Pathos will pay us milestone payments upon the achievement of specified development and sales milestone events, as well as royalties on sales of the licensed products. If Pathos is unable to commercialize PRT811, or determines not to pursue development or commercialization of PRT811, we will not receive any sales milestones or royalty payments under the Pathos License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exposed to liabilities under the U.S. Foreign Corrupt Practices Act (“FCPA”) and Chinese anti-corruption law.</w:t>
      </w:r>
    </w:p>
    <w:p>
      <w:pPr>
        <w:spacing w:after="0" w:line="121" w:lineRule="exact"/>
        <w:rPr>
          <w:sz w:val="20"/>
          <w:szCs w:val="20"/>
          <w:color w:val="auto"/>
        </w:rPr>
      </w:pPr>
    </w:p>
    <w:p>
      <w:pPr>
        <w:ind w:right="260" w:firstLine="479"/>
        <w:spacing w:after="0" w:line="258" w:lineRule="auto"/>
        <w:rPr>
          <w:sz w:val="20"/>
          <w:szCs w:val="20"/>
          <w:color w:val="auto"/>
        </w:rPr>
      </w:pPr>
      <w:r>
        <w:rPr>
          <w:rFonts w:ascii="Times New Roman" w:cs="Times New Roman" w:eastAsia="Times New Roman" w:hAnsi="Times New Roman"/>
          <w:sz w:val="18"/>
          <w:szCs w:val="18"/>
          <w:color w:val="auto"/>
        </w:rPr>
        <w:t>The Company is subject to the FCPA, and other laws that prohibit improper payments or offers of payments to foreign governments, foreign government officials and political parties by U.S. persons as defined by the statute for purposes of obtaining or retaining businesses. The Company may have agreements with third parties who may make sales in mainland China and the U.S., during the process of which the Company may be exposed to corruption. Activities in Taiwan create the risk of unauthorized payments or offers of payments by an employee, consultant or agent of the Company, because these parties are not always subject to the Company’s control.</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0" w:name="page31"/>
    <w:bookmarkEnd w:id="30"/>
    <w:p>
      <w:pPr>
        <w:ind w:firstLine="479"/>
        <w:spacing w:after="0" w:line="256" w:lineRule="auto"/>
        <w:rPr>
          <w:sz w:val="20"/>
          <w:szCs w:val="20"/>
          <w:color w:val="auto"/>
        </w:rPr>
      </w:pPr>
      <w:r>
        <w:rPr>
          <w:rFonts w:ascii="Times New Roman" w:cs="Times New Roman" w:eastAsia="Times New Roman" w:hAnsi="Times New Roman"/>
          <w:sz w:val="18"/>
          <w:szCs w:val="18"/>
          <w:color w:val="auto"/>
        </w:rPr>
        <w:t>Although the Company believes to date it has complied in all material aspects with the provisions of the FCPA and Chinese anti-corruption law, the existing safeguards and any future improvements may prove to be less than effective and any of the Company’s employees, consultants or agents may engage in corruptive conduct for which the Company might be held responsible. Violations of the FCPA or Chinese anti-corruption law may result in severe criminal or civil sanctions against the Company and individuals and therefore could negatively affect the Company’s business, operating results and financial condition. In addition, the Taiwanese government may seek to hold the Company liable as a successor for FCPA violations committed by companies in which the Company invests or acquires.</w:t>
      </w:r>
    </w:p>
    <w:p>
      <w:pPr>
        <w:spacing w:after="0" w:line="75" w:lineRule="exact"/>
        <w:rPr>
          <w:sz w:val="20"/>
          <w:szCs w:val="20"/>
          <w:color w:val="auto"/>
        </w:rPr>
      </w:pPr>
    </w:p>
    <w:p>
      <w:pPr>
        <w:ind w:right="760" w:firstLine="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51" w:lineRule="exact"/>
        <w:rPr>
          <w:sz w:val="20"/>
          <w:szCs w:val="20"/>
          <w:color w:val="auto"/>
        </w:rPr>
      </w:pPr>
    </w:p>
    <w:p>
      <w:pPr>
        <w:ind w:right="80" w:firstLine="479"/>
        <w:spacing w:after="0" w:line="253" w:lineRule="auto"/>
        <w:rPr>
          <w:sz w:val="20"/>
          <w:szCs w:val="20"/>
          <w:color w:val="auto"/>
        </w:rPr>
      </w:pPr>
      <w:r>
        <w:rPr>
          <w:rFonts w:ascii="Times New Roman" w:cs="Times New Roman" w:eastAsia="Times New Roman" w:hAnsi="Times New Roman"/>
          <w:sz w:val="18"/>
          <w:szCs w:val="18"/>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Furnish the exhibits required by Item 601 of Regulation S-K (§ 229.601 of this chapter).</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20" w:type="dxa"/>
            <w:vAlign w:val="bottom"/>
            <w:gridSpan w:val="8"/>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  Exhibit Filing</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87"/>
        </w:trPr>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gridSpan w:val="8"/>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83"/>
        </w:trPr>
        <w:tc>
          <w:tcPr>
            <w:tcW w:w="8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20" w:type="dxa"/>
            <w:vAlign w:val="bottom"/>
            <w:tcBorders>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w:t>
            </w:r>
          </w:p>
        </w:tc>
        <w:tc>
          <w:tcPr>
            <w:tcW w:w="22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36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w:t>
            </w: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15d-14(a) under the Securities Exchange Act of 1934, as Adopted Pursuant</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2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24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3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w:t>
            </w:r>
          </w:p>
        </w:tc>
        <w:tc>
          <w:tcPr>
            <w:tcW w:w="140" w:type="dxa"/>
            <w:vAlign w:val="bottom"/>
            <w:gridSpan w:val="2"/>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24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3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w:t>
            </w: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 the Interactive Data File as its XBRL tags are embedded within the</w:t>
            </w: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Documents</w:t>
            </w: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 Exhibit 101)</w:t>
            </w: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certifications furnished in Exhibits 32.1 and 32.2 hereto are deemed to accompany this Form 10-Q and are not deemed “filed” for purposes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Section 18 of the Exchange Act, or otherwise subject to the liability of that section, nor shall they be deemed incorporated by reference into any filing under the Securities Act or the Exchange Act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47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Prelude Therapeutics Incorporated</w:t>
            </w:r>
          </w:p>
        </w:tc>
      </w:tr>
      <w:tr>
        <w:trPr>
          <w:trHeight w:val="47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2024</w:t>
            </w:r>
          </w:p>
        </w:tc>
        <w:tc>
          <w:tcPr>
            <w:tcW w:w="21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Krishna Vaddi</w:t>
            </w:r>
          </w:p>
        </w:tc>
      </w:tr>
      <w:tr>
        <w:trPr>
          <w:trHeight w:val="201"/>
        </w:trPr>
        <w:tc>
          <w:tcPr>
            <w:tcW w:w="3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5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Krishna Vaddi, PhD</w:t>
            </w:r>
          </w:p>
        </w:tc>
      </w:tr>
      <w:tr>
        <w:trPr>
          <w:trHeight w:val="229"/>
        </w:trPr>
        <w:tc>
          <w:tcPr>
            <w:tcW w:w="34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4"/>
        </w:trPr>
        <w:tc>
          <w:tcPr>
            <w:tcW w:w="34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24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2024</w:t>
            </w:r>
          </w:p>
        </w:tc>
        <w:tc>
          <w:tcPr>
            <w:tcW w:w="21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Bryant Lim</w:t>
            </w:r>
          </w:p>
        </w:tc>
      </w:tr>
      <w:tr>
        <w:trPr>
          <w:trHeight w:val="201"/>
        </w:trPr>
        <w:tc>
          <w:tcPr>
            <w:tcW w:w="3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5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Bryant Lim</w:t>
            </w:r>
          </w:p>
        </w:tc>
      </w:tr>
      <w:tr>
        <w:trPr>
          <w:trHeight w:val="238"/>
        </w:trPr>
        <w:tc>
          <w:tcPr>
            <w:tcW w:w="34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tc>
      </w:tr>
    </w:tbl>
    <w:p>
      <w:pPr>
        <w:ind w:left="6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Krishna Vaddi, certify that:</w:t>
      </w:r>
    </w:p>
    <w:p>
      <w:pPr>
        <w:spacing w:after="0" w:line="225"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Prelude Therapeutics Incorporated;</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12, 2024</w:t>
            </w:r>
          </w:p>
        </w:tc>
        <w:tc>
          <w:tcPr>
            <w:tcW w:w="23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Krishna Vaddi</w:t>
            </w:r>
          </w:p>
        </w:tc>
      </w:tr>
      <w:tr>
        <w:trPr>
          <w:trHeight w:val="203"/>
        </w:trPr>
        <w:tc>
          <w:tcPr>
            <w:tcW w:w="36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Krishna Vaddi, PhD</w:t>
            </w:r>
          </w:p>
        </w:tc>
      </w:tr>
      <w:tr>
        <w:trPr>
          <w:trHeight w:val="216"/>
        </w:trPr>
        <w:tc>
          <w:tcPr>
            <w:tcW w:w="3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6"/>
        </w:trPr>
        <w:tc>
          <w:tcPr>
            <w:tcW w:w="36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992"/>
        </w:trPr>
        <w:tc>
          <w:tcPr>
            <w:tcW w:w="36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Bryant Lim, certify that:</w:t>
      </w:r>
    </w:p>
    <w:p>
      <w:pPr>
        <w:spacing w:after="0" w:line="225"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Prelude Therapeutics Incorporated;</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12, 2024</w:t>
            </w:r>
          </w:p>
        </w:tc>
        <w:tc>
          <w:tcPr>
            <w:tcW w:w="23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Bryant Lim</w:t>
            </w:r>
          </w:p>
        </w:tc>
      </w:tr>
      <w:tr>
        <w:trPr>
          <w:trHeight w:val="203"/>
        </w:trPr>
        <w:tc>
          <w:tcPr>
            <w:tcW w:w="37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Bryant Lim</w:t>
            </w:r>
          </w:p>
        </w:tc>
      </w:tr>
      <w:tr>
        <w:trPr>
          <w:trHeight w:val="216"/>
        </w:trPr>
        <w:tc>
          <w:tcPr>
            <w:tcW w:w="37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Interim Chief Financial Officer</w:t>
            </w:r>
          </w:p>
        </w:tc>
      </w:tr>
      <w:tr>
        <w:trPr>
          <w:trHeight w:val="236"/>
        </w:trPr>
        <w:tc>
          <w:tcPr>
            <w:tcW w:w="37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r>
      <w:tr>
        <w:trPr>
          <w:trHeight w:val="992"/>
        </w:trPr>
        <w:tc>
          <w:tcPr>
            <w:tcW w:w="37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 Krishna Vaddi, Chief Executive Officer of Prelude Therapeutics Incorporated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1020" w:right="6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June 30, 2024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12, 2024</w:t>
            </w:r>
          </w:p>
        </w:tc>
        <w:tc>
          <w:tcPr>
            <w:tcW w:w="23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Krishna Vaddi</w:t>
            </w:r>
          </w:p>
        </w:tc>
      </w:tr>
      <w:tr>
        <w:trPr>
          <w:trHeight w:val="203"/>
        </w:trPr>
        <w:tc>
          <w:tcPr>
            <w:tcW w:w="36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3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Krishna Vaddi, PhD</w:t>
            </w:r>
          </w:p>
        </w:tc>
      </w:tr>
      <w:tr>
        <w:trPr>
          <w:trHeight w:val="216"/>
        </w:trPr>
        <w:tc>
          <w:tcPr>
            <w:tcW w:w="36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6"/>
        </w:trPr>
        <w:tc>
          <w:tcPr>
            <w:tcW w:w="36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992"/>
        </w:trPr>
        <w:tc>
          <w:tcPr>
            <w:tcW w:w="36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firstLine="554"/>
        <w:spacing w:after="0" w:line="282" w:lineRule="auto"/>
        <w:rPr>
          <w:sz w:val="20"/>
          <w:szCs w:val="20"/>
          <w:color w:val="auto"/>
        </w:rPr>
      </w:pPr>
      <w:r>
        <w:rPr>
          <w:rFonts w:ascii="Times New Roman" w:cs="Times New Roman" w:eastAsia="Times New Roman" w:hAnsi="Times New Roman"/>
          <w:sz w:val="18"/>
          <w:szCs w:val="18"/>
          <w:color w:val="auto"/>
        </w:rPr>
        <w:t>I, Bryant Lim, Chief Financial Officer of Prelude Therapeutics Incorporated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1020" w:right="6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June 30, 2024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12, 2024</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Bryant Lim</w:t>
            </w:r>
          </w:p>
        </w:tc>
      </w:tr>
      <w:tr>
        <w:trPr>
          <w:trHeight w:val="203"/>
        </w:trPr>
        <w:tc>
          <w:tcPr>
            <w:tcW w:w="36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4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Bryant Lim</w:t>
            </w:r>
          </w:p>
        </w:tc>
      </w:tr>
      <w:tr>
        <w:trPr>
          <w:trHeight w:val="216"/>
        </w:trPr>
        <w:tc>
          <w:tcPr>
            <w:tcW w:w="36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Interim Chief Financial Officer</w:t>
            </w:r>
          </w:p>
        </w:tc>
      </w:tr>
      <w:tr>
        <w:trPr>
          <w:trHeight w:val="236"/>
        </w:trPr>
        <w:tc>
          <w:tcPr>
            <w:tcW w:w="36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r>
      <w:tr>
        <w:trPr>
          <w:trHeight w:val="992"/>
        </w:trPr>
        <w:tc>
          <w:tcPr>
            <w:tcW w:w="36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lowerRoman"/>
      <w:start w:val="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2024-08-12T06:24:31Z</dcterms:created>
  <dcterms:modified xsi:type="dcterms:W3CDTF">2024-08-12T06:24:31Z</dcterms:modified>
</cp:coreProperties>
</file>