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3820" w:right="1580" w:hanging="3799"/>
        <w:spacing w:after="0" w:line="226" w:lineRule="auto"/>
        <w:tabs>
          <w:tab w:leader="none" w:pos="490"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PRELUDE THERAPEUTICS INCORPORATED</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p>
      <w:pPr>
        <w:spacing w:after="0" w:line="18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87" w:lineRule="exact"/>
        <w:rPr>
          <w:sz w:val="24"/>
          <w:szCs w:val="24"/>
          <w:color w:val="auto"/>
        </w:rPr>
      </w:pPr>
    </w:p>
    <w:p>
      <w:pPr>
        <w:sectPr>
          <w:pgSz w:w="11900" w:h="16838" w:orient="portrait"/>
          <w:cols w:equalWidth="0" w:num="2">
            <w:col w:w="7220" w:space="720"/>
            <w:col w:w="3300"/>
          </w:cols>
          <w:pgMar w:left="320" w:top="974" w:right="339" w:bottom="1440" w:gutter="0" w:footer="0" w:header="0"/>
          <w:type w:val="continuous"/>
        </w:sectPr>
      </w:pPr>
    </w:p>
    <w:tbl>
      <w:tblPr>
        <w:tblLayout w:type="fixed"/>
        <w:tblInd w:w="1760" w:type="dxa"/>
        <w:tblCellMar>
          <w:top w:w="0" w:type="dxa"/>
          <w:left w:w="0" w:type="dxa"/>
          <w:bottom w:w="0" w:type="dxa"/>
          <w:right w:w="0" w:type="dxa"/>
        </w:tblCellMar>
      </w:tblPr>
      <w:tr>
        <w:trPr>
          <w:trHeight w:val="230"/>
        </w:trPr>
        <w:tc>
          <w:tcPr>
            <w:tcW w:w="424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175 Innovation Boulevard</w:t>
            </w:r>
          </w:p>
        </w:tc>
        <w:tc>
          <w:tcPr>
            <w:tcW w:w="2720" w:type="dxa"/>
            <w:vAlign w:val="bottom"/>
          </w:tcPr>
          <w:p>
            <w:pPr>
              <w:spacing w:after="0"/>
              <w:rPr>
                <w:sz w:val="19"/>
                <w:szCs w:val="19"/>
                <w:color w:val="auto"/>
              </w:rPr>
            </w:pPr>
          </w:p>
        </w:tc>
      </w:tr>
      <w:tr>
        <w:trPr>
          <w:trHeight w:val="232"/>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72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19805</w:t>
            </w:r>
          </w:p>
        </w:tc>
      </w:tr>
      <w:tr>
        <w:trPr>
          <w:trHeight w:val="166"/>
        </w:trPr>
        <w:tc>
          <w:tcPr>
            <w:tcW w:w="424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firstLine="47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26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jc w:val="both"/>
        <w:ind w:right="10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480"/>
        <w:spacing w:after="0" w:line="184" w:lineRule="exact"/>
        <w:tabs>
          <w:tab w:leader="none" w:pos="8020" w:val="left"/>
          <w:tab w:leader="none" w:pos="87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May 7, 2026, the registrant had 79,645,307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560" w:type="dxa"/>
            <w:vAlign w:val="bottom"/>
            <w:gridSpan w:val="17"/>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Balance Sheets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 and Comprehensive Loss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Changes in Stockholders’ Equity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Interim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2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8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center"/>
              <w:ind w:right="460"/>
              <w:spacing w:after="0"/>
              <w:rPr>
                <w:sz w:val="20"/>
                <w:szCs w:val="20"/>
                <w:color w:val="auto"/>
              </w:rPr>
            </w:pPr>
            <w:r>
              <w:rPr>
                <w:rFonts w:ascii="Times New Roman" w:cs="Times New Roman" w:eastAsia="Times New Roman" w:hAnsi="Times New Roman"/>
                <w:sz w:val="14"/>
                <w:szCs w:val="14"/>
                <w:color w:val="auto"/>
              </w:rPr>
              <w:t>(unaudited)</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21,756</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35,256</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67,958</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105,692</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r>
      <w:tr>
        <w:trPr>
          <w:trHeight w:val="249"/>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119,642</w:t>
            </w:r>
          </w:p>
        </w:tc>
        <w:tc>
          <w:tcPr>
            <w:tcW w:w="1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141,315</w:t>
            </w:r>
          </w:p>
        </w:tc>
        <w:tc>
          <w:tcPr>
            <w:tcW w:w="100" w:type="dxa"/>
            <w:vAlign w:val="bottom"/>
            <w:shd w:val="clear" w:color="auto" w:fill="CFF0FC"/>
          </w:tcPr>
          <w:p>
            <w:pPr>
              <w:spacing w:after="0"/>
              <w:rPr>
                <w:sz w:val="21"/>
                <w:szCs w:val="21"/>
                <w:color w:val="auto"/>
              </w:rPr>
            </w:pPr>
          </w:p>
        </w:tc>
      </w:tr>
      <w:tr>
        <w:trPr>
          <w:trHeight w:val="197"/>
        </w:trPr>
        <w:tc>
          <w:tcPr>
            <w:tcW w:w="7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8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12,533</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52,994</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72,678</w:t>
            </w:r>
          </w:p>
        </w:tc>
        <w:tc>
          <w:tcPr>
            <w:tcW w:w="100" w:type="dxa"/>
            <w:vAlign w:val="bottom"/>
          </w:tcPr>
          <w:p>
            <w:pPr>
              <w:spacing w:after="0"/>
              <w:rPr>
                <w:sz w:val="18"/>
                <w:szCs w:val="18"/>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(Note 8)</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Voting common stock, $0.0001 par value: 487,149,741 shares authorized; 48,290,087 and</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48,225,493 shares issued and outstanding at March 31, 2026 and December 31, 2025, respectively</w:t>
            </w: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198"/>
        </w:trPr>
        <w:tc>
          <w:tcPr>
            <w:tcW w:w="76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112,850,259 shares authorized; 14,728,135 shares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at both March 31, 2026 and December 31, 2025</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753,664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751,684</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(693,446)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(683,061)</w:t>
            </w:r>
          </w:p>
        </w:tc>
      </w:tr>
      <w:tr>
        <w:trPr>
          <w:trHeight w:val="210"/>
        </w:trPr>
        <w:tc>
          <w:tcPr>
            <w:tcW w:w="76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60,183</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68,637</w:t>
            </w:r>
          </w:p>
        </w:tc>
        <w:tc>
          <w:tcPr>
            <w:tcW w:w="100" w:type="dxa"/>
            <w:vAlign w:val="bottom"/>
            <w:tcBorders>
              <w:top w:val="single" w:sz="8" w:color="CFF0FC"/>
            </w:tcBorders>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119,642</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-3950970</wp:posOffset>
            </wp:positionV>
            <wp:extent cx="768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-3110865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-3093720</wp:posOffset>
            </wp:positionV>
            <wp:extent cx="7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-2262505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-1704975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-316865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20" w:type="dxa"/>
            <w:vAlign w:val="bottom"/>
          </w:tcPr>
          <w:p>
            <w:pPr>
              <w:spacing w:after="0"/>
              <w:rPr>
                <w:sz w:val="15"/>
                <w:szCs w:val="15"/>
                <w:color w:val="auto"/>
              </w:rPr>
            </w:pPr>
          </w:p>
        </w:tc>
        <w:tc>
          <w:tcPr>
            <w:tcW w:w="356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260" w:type="dxa"/>
            <w:vAlign w:val="bottom"/>
            <w:vMerge w:val="continue"/>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(14,177)</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(34,606)</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(10,385)</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197"/>
        </w:trPr>
        <w:tc>
          <w:tcPr>
            <w:tcW w:w="72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Per share information:</w:t>
            </w: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(0.13)</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178"/>
        </w:trPr>
        <w:tc>
          <w:tcPr>
            <w:tcW w:w="72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82,519,981</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75,986,281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2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(10,385)</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(10,434)</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(32,108)</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-1757045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-1182370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-1165225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-882650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-864870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Non-voting common</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Borders>
              <w:top w:val="single" w:sz="8" w:color="auto"/>
            </w:tcBorders>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4"/>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780" w:type="dxa"/>
            <w:vAlign w:val="bottom"/>
            <w:shd w:val="clear" w:color="auto" w:fill="CFF0FC"/>
          </w:tcPr>
          <w:p>
            <w:pPr>
              <w:spacing w:after="0"/>
              <w:rPr>
                <w:sz w:val="16"/>
                <w:szCs w:val="16"/>
                <w:color w:val="auto"/>
              </w:rPr>
            </w:pPr>
          </w:p>
        </w:tc>
        <w:tc>
          <w:tcPr>
            <w:tcW w:w="34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6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040" w:type="dxa"/>
            <w:vAlign w:val="bottom"/>
            <w:gridSpan w:val="3"/>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14,728,13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(683,06</w:t>
            </w: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48,225,493</w:t>
            </w:r>
          </w:p>
        </w:tc>
        <w:tc>
          <w:tcPr>
            <w:tcW w:w="660" w:type="dxa"/>
            <w:vAlign w:val="bottom"/>
            <w:tcBorders>
              <w:right w:val="single" w:sz="8" w:color="CFF0FC"/>
            </w:tcBorders>
            <w:gridSpan w:val="2"/>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$ 751,684</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RSUs, net of 21,426 shares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64,594</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780" w:type="dxa"/>
            <w:vAlign w:val="bottom"/>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(10,385)</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(10,385)</w:t>
            </w:r>
          </w:p>
        </w:tc>
        <w:tc>
          <w:tcPr>
            <w:tcW w:w="0" w:type="dxa"/>
            <w:vAlign w:val="bottom"/>
          </w:tcPr>
          <w:p>
            <w:pPr>
              <w:spacing w:after="0"/>
              <w:rPr>
                <w:sz w:val="1"/>
                <w:szCs w:val="1"/>
                <w:color w:val="auto"/>
              </w:rPr>
            </w:pPr>
          </w:p>
        </w:tc>
      </w:tr>
      <w:tr>
        <w:trPr>
          <w:trHeight w:val="191"/>
        </w:trPr>
        <w:tc>
          <w:tcPr>
            <w:tcW w:w="3000" w:type="dxa"/>
            <w:vAlign w:val="bottom"/>
            <w:tcBorders>
              <w:top w:val="single" w:sz="8" w:color="CFF0FC"/>
            </w:tcBorders>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86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14,728,13</w:t>
            </w: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(693,44</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48,290,087</w:t>
            </w:r>
          </w:p>
        </w:tc>
        <w:tc>
          <w:tcPr>
            <w:tcW w:w="660" w:type="dxa"/>
            <w:vAlign w:val="bottom"/>
            <w:gridSpan w:val="2"/>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$ 753,664</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1260" w:type="dxa"/>
            <w:vAlign w:val="bottom"/>
            <w:gridSpan w:val="3"/>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Accumulate</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4"/>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Pr>
          <w:p>
            <w:pPr>
              <w:spacing w:after="0"/>
              <w:rPr>
                <w:sz w:val="12"/>
                <w:szCs w:val="12"/>
                <w:color w:val="auto"/>
              </w:rPr>
            </w:pPr>
          </w:p>
        </w:tc>
        <w:tc>
          <w:tcPr>
            <w:tcW w:w="1920" w:type="dxa"/>
            <w:vAlign w:val="bottom"/>
            <w:gridSpan w:val="7"/>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tcBorders>
              <w:bottom w:val="single" w:sz="8" w:color="auto"/>
            </w:tcBorders>
            <w:gridSpan w:val="7"/>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126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8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7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42,298,85</w:t>
            </w:r>
          </w:p>
        </w:tc>
        <w:tc>
          <w:tcPr>
            <w:tcW w:w="34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6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CFF0FC"/>
            </w:tcBorders>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$ 714,982</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right w:val="single" w:sz="8" w:color="CFF0FC"/>
            </w:tcBorders>
            <w:shd w:val="clear" w:color="auto" w:fill="CFF0FC"/>
          </w:tcPr>
          <w:p>
            <w:pPr>
              <w:spacing w:after="0"/>
              <w:rPr>
                <w:sz w:val="20"/>
                <w:szCs w:val="20"/>
                <w:color w:val="auto"/>
              </w:rPr>
            </w:pPr>
          </w:p>
        </w:tc>
        <w:tc>
          <w:tcPr>
            <w:tcW w:w="9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 (583,563)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RSUs, net of 3,859 shares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78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tcBorders>
              <w:right w:val="single" w:sz="8" w:color="CFF0FC"/>
            </w:tcBorders>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1,299,827</w:t>
            </w:r>
          </w:p>
        </w:tc>
        <w:tc>
          <w:tcPr>
            <w:tcW w:w="3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 marketable</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(32,085)</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43,604,20</w:t>
            </w:r>
          </w:p>
        </w:tc>
        <w:tc>
          <w:tcPr>
            <w:tcW w:w="34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920" w:type="dxa"/>
            <w:vAlign w:val="bottom"/>
            <w:tcBorders>
              <w:top w:val="single" w:sz="8" w:color="auto"/>
            </w:tcBorders>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12,850,25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tcBorders>
              <w:top w:val="single" w:sz="8" w:color="auto"/>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right w:val="single" w:sz="8" w:color="CFF0FC"/>
            </w:tcBorders>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8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CFF0FC"/>
            </w:tcBorders>
            <w:shd w:val="clear" w:color="auto" w:fill="CFF0FC"/>
          </w:tcPr>
          <w:p>
            <w:pPr>
              <w:spacing w:after="0"/>
              <w:rPr>
                <w:sz w:val="22"/>
                <w:szCs w:val="22"/>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$ 718,809</w:t>
            </w:r>
          </w:p>
        </w:tc>
        <w:tc>
          <w:tcPr>
            <w:tcW w:w="12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CFF0FC"/>
            </w:tcBorders>
            <w:shd w:val="clear" w:color="auto" w:fill="CFF0FC"/>
          </w:tcPr>
          <w:p>
            <w:pPr>
              <w:spacing w:after="0"/>
              <w:rPr>
                <w:sz w:val="22"/>
                <w:szCs w:val="22"/>
                <w:color w:val="auto"/>
              </w:rPr>
            </w:pPr>
          </w:p>
        </w:tc>
        <w:tc>
          <w:tcPr>
            <w:tcW w:w="9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 xml:space="preserve"> (615,648)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103,178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-2887980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-2887980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-2887980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-2887980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-2887980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-2887980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-2887980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-25400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-8255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-25400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-8255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31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(34,231)</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(9,463)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the exercise of stock options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24,991</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in accounts payable and accrued expenses and other current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Unrealized loss on marketable securities</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Offering costs in accounts payable and accrued expenses and other current liabilities</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-2905125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-2905125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-2056765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-1216660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-933450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-350520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-334010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right="160" w:firstLine="478"/>
        <w:spacing w:after="0" w:line="266" w:lineRule="auto"/>
        <w:rPr>
          <w:sz w:val="20"/>
          <w:szCs w:val="20"/>
          <w:color w:val="auto"/>
        </w:rPr>
      </w:pPr>
      <w:r>
        <w:rPr>
          <w:rFonts w:ascii="Times New Roman" w:cs="Times New Roman" w:eastAsia="Times New Roman" w:hAnsi="Times New Roman"/>
          <w:sz w:val="18"/>
          <w:szCs w:val="18"/>
          <w:color w:val="auto"/>
        </w:rPr>
        <w:t>Prelude Therapeutics Incorporated (the “Company”) is a precision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w:t>
      </w:r>
    </w:p>
    <w:p>
      <w:pPr>
        <w:spacing w:after="0" w:line="188" w:lineRule="exact"/>
        <w:rPr>
          <w:sz w:val="20"/>
          <w:szCs w:val="20"/>
          <w:color w:val="auto"/>
        </w:rPr>
      </w:pPr>
    </w:p>
    <w:p>
      <w:pPr>
        <w:ind w:right="300" w:firstLine="479"/>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had an accumulated deficit of $693.4 million as of March 31, 2026. The Company has no product revenue to date and devotes its efforts to research and development. The Company anticipates incurring additional losses until such time, if ever, that it can generate significant sales of its product candidates currently in development.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March 31, 2026, the Company had cash, cash equivalents, restricted cash and marketable securities totaling $84.8 million.</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Subsequent to March 31, 2026, the Company sold 16,611,014 shares of its voting common stock at a price of $4.44 per share and pre-funded warrants to purchase up to 3,659,252 shares of its common stock at a price of $4.4399 per pre-funded warrant, resulting in gross proceeds of approximately $90.0 million (the "April Offering"). See Note 13 - Subsequent Events for additional information. Based on preliminary estimates, the Company believes these funds will be sufficient to fund its operating expenses and capital expenditure requirements for at least the next twelve months from the filing date of this Quarterly Report on Form 10-Q.</w:t>
      </w:r>
    </w:p>
    <w:p>
      <w:pPr>
        <w:spacing w:after="0" w:line="187"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The complete summary of significant accounting policies included in the Company’s financial statements for the year ended December 31, 2025 can be found in “Note 3. Summary of significant accounting policies” of the Company’s Annual Report on Form 10-K filed with the Securities and Exchange Commission (the “SEC”) on March 10,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months ended March 31, 2026 are not necessarily indicative of the results that may be expected for the year ending December 31, 2026. The accompanying unaudited interim financial statements should be read in conjunction with the annual audited financial statements and related notes as of and for the year ended December 31, 2025 found in the Company's Annual Report on Form 10-K filed with the SEC on March 10, 2026. Any reference in these notes to applicable guidance is meant to refer to GAAP as found in the Accounting Standards Codification (“ASC”) and Accounting Standards Updates (“ASU”) of the Financial Accounting Standards Board (“FASB”).</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March 31, 2026 and December 31, 2025.</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operating decision maker ("CODM") is its Chief Executive Officer. The Company views and manages its operations as a single operating segment.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62"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consists of a letter of credit for the benefit of the landlord in connection with the Company’s Chestnut Run Lease. See Note 8 - Commitments for further details.</w:t>
      </w:r>
    </w:p>
    <w:p>
      <w:pPr>
        <w:spacing w:after="0" w:line="162"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21,756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35,256</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3,235</w:t>
            </w:r>
          </w:p>
        </w:tc>
      </w:tr>
      <w:tr>
        <w:trPr>
          <w:trHeight w:val="20"/>
        </w:trPr>
        <w:tc>
          <w:tcPr>
            <w:tcW w:w="7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24,991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38,491</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United States (“U.S.”) government debt securities that are classified as available-for-sale. The securities are carried at fair value with the unrealized gains and losses, net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of tax, included in accumulated other comprehensive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revenue when its customer obtains control of promised goods or services, in an amount that reflects the consideration which the Company expects to receive in exchange for those goods or services. The Company's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185"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Company evaluates all promised goods and services within a customer contract and determines which goods and services are separate performance obligations. This evaluation includes an assessment of whether the good or service is capable of being distinct and whether the good or service is separable from other promises in the contract.</w:t>
      </w:r>
    </w:p>
    <w:p>
      <w:pPr>
        <w:spacing w:after="0" w:line="176"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The transaction price is determined based on the amount of consideration to which the Company expects to be entitled in exchange for transferring promised goods or services to a customer. The Company recognizes as revenue the amount of the transaction price that is allocated to the respective performance obligations when (or as) the performance obligations are satisfied. The Company recognizes a liability when the Company has received payment but has not yet satisfied the related performance obligations. See Note 9 - Exclusive Option Agreement and Collaboration Agreements for a full discussion of the Company's revenue contracts. The following table summarizes the changes in deferred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28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14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2700" w:type="dxa"/>
            <w:vAlign w:val="bottom"/>
            <w:tcBorders>
              <w:top w:val="single" w:sz="8" w:color="auto"/>
              <w:bottom w:val="single" w:sz="8" w:color="auto"/>
            </w:tcBorders>
          </w:tcPr>
          <w:p>
            <w:pPr>
              <w:jc w:val="right"/>
              <w:ind w:right="12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Deferral of revenue</w:t>
            </w:r>
          </w:p>
        </w:tc>
        <w:tc>
          <w:tcPr>
            <w:tcW w:w="30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300" w:type="dxa"/>
            <w:vAlign w:val="bottom"/>
            <w:shd w:val="clear" w:color="auto" w:fill="CFF0FC"/>
          </w:tcPr>
          <w:p>
            <w:pPr>
              <w:spacing w:after="0"/>
              <w:rPr>
                <w:sz w:val="18"/>
                <w:szCs w:val="18"/>
                <w:color w:val="auto"/>
              </w:rPr>
            </w:pPr>
          </w:p>
        </w:tc>
        <w:tc>
          <w:tcPr>
            <w:tcW w:w="2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10"/>
        </w:trPr>
        <w:tc>
          <w:tcPr>
            <w:tcW w:w="8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Diluted net loss per share of common stock includes the effect, if any, from the potential exercise of securities, such as stock options, and the effect from unvested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w:t>
      </w:r>
    </w:p>
    <w:p>
      <w:pPr>
        <w:spacing w:after="0" w:line="183"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28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660" w:type="dxa"/>
            <w:vAlign w:val="bottom"/>
          </w:tcPr>
          <w:p>
            <w:pPr>
              <w:spacing w:after="0"/>
              <w:rPr>
                <w:sz w:val="12"/>
                <w:szCs w:val="12"/>
                <w:color w:val="auto"/>
              </w:rPr>
            </w:pPr>
          </w:p>
        </w:tc>
        <w:tc>
          <w:tcPr>
            <w:tcW w:w="160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439,080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384,875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17,687,713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16,639,068</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34,144</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18,160,937</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17,273,513</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117" w:lineRule="exact"/>
        <w:rPr>
          <w:sz w:val="20"/>
          <w:szCs w:val="20"/>
          <w:color w:val="auto"/>
        </w:rPr>
      </w:pPr>
    </w:p>
    <w:p>
      <w:pPr>
        <w:ind w:right="260" w:firstLine="479"/>
        <w:spacing w:after="0" w:line="284" w:lineRule="auto"/>
        <w:rPr>
          <w:sz w:val="20"/>
          <w:szCs w:val="20"/>
          <w:color w:val="auto"/>
        </w:rPr>
      </w:pPr>
      <w:r>
        <w:rPr>
          <w:rFonts w:ascii="Times New Roman" w:cs="Times New Roman" w:eastAsia="Times New Roman" w:hAnsi="Times New Roman"/>
          <w:sz w:val="18"/>
          <w:szCs w:val="18"/>
          <w:color w:val="auto"/>
        </w:rPr>
        <w:t xml:space="preserve">In November 2024, the FASB issued ASU Update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2024-03 requires disclosure, in the notes to the financial statements, of specified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about certain costs and expenses. The amendments in this ASU Update are effective for annual reporting periods beginning after December 15, 2026, and interim reporting periods within annual reporting periods beginning after December 15, 2027. Early adoption is permitted. The Company is currently evaluating the impact of this standard but does not expect that it will have a material impact on the financial statements and related disclosures.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provides detail of the Company's marketable securities.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27,569</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59,839</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59,798</w:t>
            </w:r>
          </w:p>
        </w:tc>
        <w:tc>
          <w:tcPr>
            <w:tcW w:w="100" w:type="dxa"/>
            <w:vAlign w:val="bottom"/>
            <w:shd w:val="clear" w:color="auto" w:fill="CFF0FC"/>
          </w:tcPr>
          <w:p>
            <w:pPr>
              <w:spacing w:after="0"/>
              <w:rPr>
                <w:sz w:val="21"/>
                <w:szCs w:val="21"/>
                <w:color w:val="auto"/>
              </w:rPr>
            </w:pPr>
          </w:p>
        </w:tc>
      </w:tr>
      <w:tr>
        <w:trPr>
          <w:trHeight w:val="196"/>
        </w:trPr>
        <w:tc>
          <w:tcPr>
            <w:tcW w:w="38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100" w:type="dxa"/>
            <w:vAlign w:val="bottom"/>
          </w:tcPr>
          <w:p>
            <w:pPr>
              <w:spacing w:after="0"/>
              <w:rPr>
                <w:sz w:val="18"/>
                <w:szCs w:val="18"/>
                <w:color w:val="auto"/>
              </w:rPr>
            </w:pPr>
          </w:p>
        </w:tc>
      </w:tr>
      <w:tr>
        <w:trPr>
          <w:trHeight w:val="216"/>
        </w:trPr>
        <w:tc>
          <w:tcPr>
            <w:tcW w:w="38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w w:val="88"/>
              </w:rPr>
              <w:t>23</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8"/>
              </w:rPr>
              <w:t>23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67,958</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-1019175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-1002030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-1019175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-1002030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-1019175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-1002030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10 months or less. As of March 31, 2026, the Company had 22 securities with a total fair market value of $52.3 million in an unrealized loss position. The Company believes any unrealized losses associated with the decline in value of its securities is temporary and is primarily related to market factors. Furthermore, the Company believes it is more likely than not that it will be able to hold its marketable securities to maturity. Therefore, the Company anticipates a full recovery of the amortized cost basis of its marketable securities at maturity and an allowance for credit losses was not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w:t>
      </w:r>
      <w:r>
        <w:rPr>
          <w:rFonts w:ascii="Times New Roman" w:cs="Times New Roman" w:eastAsia="Times New Roman" w:hAnsi="Times New Roman"/>
          <w:sz w:val="18"/>
          <w:szCs w:val="18"/>
          <w:i w:val="1"/>
          <w:iCs w:val="1"/>
          <w:color w:val="auto"/>
        </w:rPr>
        <w:t>Fair Value Measuremen</w:t>
      </w:r>
      <w:r>
        <w:rPr>
          <w:rFonts w:ascii="Times New Roman" w:cs="Times New Roman" w:eastAsia="Times New Roman" w:hAnsi="Times New Roman"/>
          <w:sz w:val="18"/>
          <w:szCs w:val="18"/>
          <w:color w:val="auto"/>
        </w:rPr>
        <w:t>t,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7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2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60" w:type="dxa"/>
            <w:vAlign w:val="bottom"/>
            <w:gridSpan w:val="1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6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9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32,229</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59,798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59,798</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66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36,931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67,958</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80,419</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6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24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12,533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-3556635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-3556635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-3556635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-3265170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-3248025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-3265170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-3248025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-3265170</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-3248025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-1859280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-1859280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-1859280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19.99%) or decreased to any other percentage designated by such holder of non-voting common stock upon 61 days’ notice to the Company.</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preferred stock, debt securities, warrants, subscription rights and units up to an aggregate amount of $400 million. The 2024 Shelf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was declared effective on June 10, 2024. The 2024 Shelf Registration Statement expires in May 2027, and as of March 31, 2026, there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 million remaining under the 2024 Shelf Registration Statement. See Note 13 - Subsequent Events for additional information on the April Offering.</w:t>
      </w:r>
    </w:p>
    <w:p>
      <w:pPr>
        <w:spacing w:after="0" w:line="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220" w:firstLine="479"/>
        <w:spacing w:after="0" w:line="261" w:lineRule="auto"/>
        <w:rPr>
          <w:sz w:val="20"/>
          <w:szCs w:val="20"/>
          <w:color w:val="auto"/>
        </w:rPr>
      </w:pPr>
      <w:r>
        <w:rPr>
          <w:rFonts w:ascii="Times New Roman" w:cs="Times New Roman" w:eastAsia="Times New Roman" w:hAnsi="Times New Roman"/>
          <w:sz w:val="18"/>
          <w:szCs w:val="18"/>
          <w:color w:val="auto"/>
        </w:rPr>
        <w:t>In March 2023, the Company entered into an Open Market Sales Agreement (the "Sales Agreement") with Jefferies LLC, as the sales agent, pursuant to which the Company may offer and sell shares of its common stock. In accordance with the terms of the Sales Agreement on March 12, 2026, the Company filed a prospectus supplement under its 2024 Shelf Registration Statement, pursuant to which the Company may offer and sell shares of its common stock having an aggregate offering price of up to $25.0 million from time to time through Jefferies acting as sales agent.</w:t>
      </w:r>
    </w:p>
    <w:p>
      <w:pPr>
        <w:spacing w:after="0" w:line="7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Company will pay Jefferies LLC a commission rate of up to 3.0% of the aggregate gross proceeds from the sale of any shares of common stock pursuant to the Sales Agreement. At March 31, 2026, there was $25.0 million remaining under the Sales Agreement.</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right="180" w:firstLine="479"/>
        <w:spacing w:after="0" w:line="266" w:lineRule="auto"/>
        <w:rPr>
          <w:sz w:val="20"/>
          <w:szCs w:val="20"/>
          <w:color w:val="auto"/>
        </w:rPr>
      </w:pPr>
      <w:r>
        <w:rPr>
          <w:rFonts w:ascii="Times New Roman" w:cs="Times New Roman" w:eastAsia="Times New Roman" w:hAnsi="Times New Roman"/>
          <w:sz w:val="18"/>
          <w:szCs w:val="18"/>
          <w:color w:val="auto"/>
        </w:rPr>
        <w:t>There were no pre-funded warrants exercised during the three months ended March 31, 2026 and 1,300,000 pre-funded warrants exercised during the three months ended March 31, 2025. As of March 31, 2026 there were 19,532,188 pre-funded warrants outstanding. See Note 13 - Subsequent Events for additional information on the April Offering.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“Chestnut Run Lease”). The premises include approximately 81,000 rentable square feet and expires in May 2037, subject to the Company's option to extend the term of the lease by up to 3 five-year terms and certain expansion rights. Neither the option to extend nor the expansion rights were recognized as part of the Company's measurement of the right-of-use ("ROU") asset and operating lease liability as of March 31, 2026. Under the terms of the Chestnut Run Lease, the landlord provided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tenant improvements in excess of the landlord's allowance were treated as prepaid rent and increased the right-of-use asset on the commencement date.</w:t>
      </w:r>
    </w:p>
    <w:p>
      <w:pPr>
        <w:spacing w:after="0" w:line="81"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In November 2025, the Company entered into a sublease agreement with a counterparty to sublease approximately 20,000 square feet of the Chestnut Run Lease. The sublease began in December 2025 and continues through November 2027. The sublessee has three options to extend the sublease for one year each.</w:t>
      </w:r>
    </w:p>
    <w:p>
      <w:pPr>
        <w:spacing w:after="0" w:line="66"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 xml:space="preserve">The Company analyzed the sublease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and concluded the sublease is a separate lease, as the Company was not relieved of the primary obligation under the Chestnut Run Lease. The Company will continue to account for the Chestnut Run Lease as a lessee and in the same manner as prior to the execution of the sublease agreement. The Company accounted for the sublease agreement as the lessor, and concluded the sublease qualified as an operating lease, as it did not meet the criteria of a sales-type or direct financing lease. The Company's sublease income was $143 thousand for three months ended March 31, 2026.</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operating lease costs for each of the three months ended March 31, 2026 and 2025 was $1.1 million.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120" w:firstLine="479"/>
        <w:spacing w:after="0" w:line="282" w:lineRule="auto"/>
        <w:rPr>
          <w:sz w:val="20"/>
          <w:szCs w:val="20"/>
          <w:color w:val="auto"/>
        </w:rPr>
      </w:pPr>
      <w:r>
        <w:rPr>
          <w:rFonts w:ascii="Times New Roman" w:cs="Times New Roman" w:eastAsia="Times New Roman" w:hAnsi="Times New Roman"/>
          <w:sz w:val="18"/>
          <w:szCs w:val="18"/>
          <w:color w:val="auto"/>
        </w:rPr>
        <w:t>Supplemental balance sheet and other information related to our operating and finance leases as of March 31, 2026 and December 31, 2025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restart"/>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3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26,778</w:t>
            </w:r>
          </w:p>
        </w:tc>
        <w:tc>
          <w:tcPr>
            <w:tcW w:w="2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Current liabilities, operating lease</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FF0FC"/>
          </w:tcPr>
          <w:p>
            <w:pPr>
              <w:spacing w:after="0"/>
              <w:rPr>
                <w:sz w:val="20"/>
                <w:szCs w:val="20"/>
                <w:color w:val="auto"/>
              </w:rPr>
            </w:pPr>
          </w:p>
        </w:tc>
        <w:tc>
          <w:tcPr>
            <w:tcW w:w="31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liability</w:t>
            </w:r>
          </w:p>
        </w:tc>
        <w:tc>
          <w:tcPr>
            <w:tcW w:w="116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w:t>
            </w:r>
          </w:p>
        </w:tc>
        <w:tc>
          <w:tcPr>
            <w:tcW w:w="31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14,960</w:t>
            </w: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17,721</w:t>
            </w:r>
          </w:p>
        </w:tc>
        <w:tc>
          <w:tcPr>
            <w:tcW w:w="20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4"/>
        </w:trPr>
        <w:tc>
          <w:tcPr>
            <w:tcW w:w="32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520" w:type="dxa"/>
            <w:vAlign w:val="bottom"/>
            <w:gridSpan w:val="13"/>
          </w:tcPr>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for the three months ended March 31, 2026 and 2025 were as follows: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7"/>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7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Pr>
          <w:p>
            <w:pPr>
              <w:spacing w:after="0"/>
              <w:rPr>
                <w:sz w:val="18"/>
                <w:szCs w:val="18"/>
                <w:color w:val="auto"/>
              </w:rPr>
            </w:pPr>
          </w:p>
        </w:tc>
        <w:tc>
          <w:tcPr>
            <w:tcW w:w="118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00" w:type="dxa"/>
            <w:vAlign w:val="bottom"/>
            <w:gridSpan w:val="6"/>
          </w:tcPr>
          <w:p>
            <w:pPr>
              <w:ind w:left="480"/>
              <w:spacing w:after="0"/>
              <w:rPr>
                <w:sz w:val="20"/>
                <w:szCs w:val="20"/>
                <w:color w:val="auto"/>
              </w:rPr>
            </w:pPr>
            <w:r>
              <w:rPr>
                <w:rFonts w:ascii="Times New Roman" w:cs="Times New Roman" w:eastAsia="Times New Roman" w:hAnsi="Times New Roman"/>
                <w:sz w:val="18"/>
                <w:szCs w:val="18"/>
                <w:color w:val="auto"/>
                <w:w w:val="99"/>
              </w:rPr>
              <w:t>Future minimum annual lease payments for operating and finance lease at March 31, 2026 are as follows: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FF0FC"/>
            </w:tcBorders>
            <w:shd w:val="clear" w:color="auto" w:fill="CFF0FC"/>
          </w:tcPr>
          <w:p>
            <w:pPr>
              <w:spacing w:after="0"/>
              <w:rPr>
                <w:sz w:val="18"/>
                <w:szCs w:val="18"/>
                <w:color w:val="auto"/>
              </w:rPr>
            </w:pPr>
          </w:p>
        </w:tc>
        <w:tc>
          <w:tcPr>
            <w:tcW w:w="3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shd w:val="clear" w:color="auto" w:fill="CFF0FC"/>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(20,267)</w:t>
            </w: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-4019550</wp:posOffset>
            </wp:positionV>
            <wp:extent cx="111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-4019550</wp:posOffset>
            </wp:positionV>
            <wp:extent cx="1117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the balance of which is $3.2 million as of March 31, 2026 and is included in the accompanying balance sheet as restricted cash. The security deposit may be reduced to $0.5 million over time in accordance with the terms of the Chestnut Run Lease.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Company has employment agreements with key personnel providing for compensation and severance in certain circumstances, as defined in the respective employment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88" w:lineRule="exact"/>
        <w:rPr>
          <w:sz w:val="20"/>
          <w:szCs w:val="20"/>
          <w:color w:val="auto"/>
        </w:rPr>
      </w:pPr>
    </w:p>
    <w:p>
      <w:pPr>
        <w:ind w:right="160" w:firstLine="479"/>
        <w:spacing w:after="0" w:line="231"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each of the three months ended March 31, 2026 and 2025, the Company made matching contributions of $0.1 million and $0.2 million, respectively.</w:t>
      </w:r>
    </w:p>
    <w:p>
      <w:pPr>
        <w:spacing w:after="0" w:line="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121" w:lineRule="exact"/>
        <w:rPr>
          <w:sz w:val="20"/>
          <w:szCs w:val="20"/>
          <w:color w:val="auto"/>
        </w:rPr>
      </w:pPr>
    </w:p>
    <w:p>
      <w:pPr>
        <w:ind w:right="240" w:firstLine="478"/>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CROs to assist in the performance of research and development activities. Expenditures to CROs will represent a significant cost in clinical development for the Company.</w:t>
      </w:r>
    </w:p>
    <w:p>
      <w:pPr>
        <w:spacing w:after="0" w:line="200" w:lineRule="exact"/>
        <w:rPr>
          <w:sz w:val="20"/>
          <w:szCs w:val="20"/>
          <w:color w:val="auto"/>
        </w:rPr>
      </w:pPr>
    </w:p>
    <w:p>
      <w:pPr>
        <w:spacing w:after="0" w:line="390" w:lineRule="exact"/>
        <w:rPr>
          <w:sz w:val="20"/>
          <w:szCs w:val="20"/>
          <w:color w:val="auto"/>
        </w:rPr>
      </w:pPr>
    </w:p>
    <w:p>
      <w:pPr>
        <w:ind w:left="480" w:right="6320" w:hanging="472"/>
        <w:spacing w:after="0" w:line="503" w:lineRule="auto"/>
        <w:tabs>
          <w:tab w:leader="none" w:pos="18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Exclusive Option Agreement and Collaboration Agreements </w:t>
      </w:r>
      <w:r>
        <w:rPr>
          <w:rFonts w:ascii="Times New Roman" w:cs="Times New Roman" w:eastAsia="Times New Roman" w:hAnsi="Times New Roman"/>
          <w:sz w:val="18"/>
          <w:szCs w:val="18"/>
          <w:b w:val="1"/>
          <w:bCs w:val="1"/>
          <w:i w:val="1"/>
          <w:iCs w:val="1"/>
          <w:color w:val="auto"/>
        </w:rPr>
        <w:t>Exclusive Option Agreement</w:t>
      </w:r>
    </w:p>
    <w:p>
      <w:pPr>
        <w:ind w:right="40" w:firstLine="479"/>
        <w:spacing w:after="0" w:line="282" w:lineRule="auto"/>
        <w:rPr>
          <w:sz w:val="20"/>
          <w:szCs w:val="20"/>
          <w:color w:val="auto"/>
        </w:rPr>
      </w:pPr>
      <w:r>
        <w:rPr>
          <w:rFonts w:ascii="Times New Roman" w:cs="Times New Roman" w:eastAsia="Times New Roman" w:hAnsi="Times New Roman"/>
          <w:sz w:val="18"/>
          <w:szCs w:val="18"/>
          <w:color w:val="auto"/>
        </w:rPr>
        <w:t>On November 3, 2025, the Company entered into an Exclusive Option Agreement (the “Option Agreement”) with Incyte to acquire the Company’s mutative selective Janus Kinase 2 ("JAK2") V617F JH2 inhibitor program (the “Program”) for patients with myeloproliferative neoplasms.</w:t>
      </w:r>
    </w:p>
    <w:p>
      <w:pPr>
        <w:spacing w:after="0" w:line="162"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Under the Option Agreement, Incyte received an exclusive option to acquire the Company’s entire right, title, and interest in and to certain assets, properties, and rights related to the Program, including the Company’s library of preclinical candidates (collectively, the “Transferred Assets”) by way of an Asset Purchase Agreement (the "APA"). The Company is continuing to advance the Program. At any time commencing on the effective date of the Option Agreement until the later of (a) 30 days after the Company’s delivery of the investigational new drug ("IND") ready data package or (b) 15 months after the effective date of the Option Agreement (which 15 month period shall automatically toll for the Company to deliver the IND-ready package but such tolling will not exceed 3 months unless otherwise agreed by the parties) (the “Option Period”), Incyte may elect to exercise its exclusive option to acquire the Program and associated assets from the Company pursuant to the APA for $100 million. The Company received an initial upfront payment of $35 million in cash from the Option Agreement. Under the APA, the Company would be eligible to receive up to $775 million in additional clinical and regulatory milestones, and single digit royalties on global net sales. Combined, total potential cash payments from the transaction could reach up to $910 million.</w:t>
      </w:r>
    </w:p>
    <w:p>
      <w:pPr>
        <w:spacing w:after="0" w:line="194"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8"/>
          <w:szCs w:val="18"/>
          <w:color w:val="auto"/>
        </w:rPr>
        <w:t>Concurrently with the Option Agreement, the Company entered into a securities purchase agreement with Incyte (the “Securities Purchase Agreement”), pursuant to which Incyte purchased 6,250,000 shares (the “Shares”) of the Company’s non-voting common stock at a price of $4.00 per share for gross proceeds of $25.0 million. Pursuant to the Company’s amended and restated certificate of incorporation and subject to the non-voting common stock beneficial ownership limitation, Incyte may elect to convert the Shares into voting shares and in December 2025, Incyte converted 4,372,124 of the Shares into voting shares, making them a related party under Securities and Exchange Commission regulations. Because the Option Agreement and Securities Purchase Agreement were entered into at the same time and negotiated as single commercial package, the Company accounted for the agreements as a single contract under ASC 606. Based on this exercise, the consideration in the Option Agreement plus any excess consideration paid over the fair value of the equity issued to Incyte is a component of transaction price. In determining the fair value of the common stock issued to Incyte, the Company considered the closing price of the common stock on the date of the transaction, which was $3.98 per share, which resulted in a premium paid by Incyte of $0.02 per share, or $0.1 million (“Equity Premium”). The remaining $24.9 million was recorded as an issuance of common stock in stockholders’ equity.</w:t>
      </w:r>
    </w:p>
    <w:p>
      <w:pPr>
        <w:spacing w:after="0" w:line="192"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The Company will continue to own and develop all Transferred Assets. If the option is exercised during the Option Period and the parties enter into and close the transaction set forth in the APA, Incyte will own all Transferred Assets subject to the Company’s right, in its sole discretion and cost, to continue to conduct development activities during the Option Period to nominate and select development candidate(s) for the Program. If Incyte elects to not exercise its option to acquire the Program, all Transferred Assets would remain in the sole ownership and control of the Company.</w:t>
      </w:r>
    </w:p>
    <w:p>
      <w:pPr>
        <w:spacing w:after="0" w:line="72" w:lineRule="exact"/>
        <w:rPr>
          <w:sz w:val="20"/>
          <w:szCs w:val="20"/>
          <w:color w:val="auto"/>
        </w:rPr>
      </w:pPr>
    </w:p>
    <w:p>
      <w:pPr>
        <w:ind w:firstLine="524"/>
        <w:spacing w:after="0" w:line="219" w:lineRule="exact"/>
        <w:rPr>
          <w:sz w:val="20"/>
          <w:szCs w:val="20"/>
          <w:color w:val="auto"/>
        </w:rPr>
      </w:pPr>
      <w:r>
        <w:rPr>
          <w:rFonts w:ascii="Times New Roman" w:cs="Times New Roman" w:eastAsia="Times New Roman" w:hAnsi="Times New Roman"/>
          <w:sz w:val="18"/>
          <w:szCs w:val="18"/>
          <w:color w:val="auto"/>
        </w:rPr>
        <w:t xml:space="preserve">The Company first evaluated whether the arrangement meets the definition of a derivative or contains any embedded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Although the arrangement includes underlying IP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value, it qualifies for the scope exception as prescribed by ASC 815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10-15-59(b). The Company next evaluated whether the arrangement represents a funded research and development arrangement under ASC 730, Research and Development. The payments received by the Company are non-refundable, and there is no contractual requirement, guarantee, or other provision that would require the Company to repay any of the funds received from Incyte. The Company also concluded that any presumption that there is an obligation to repay the funds received due to the subsequent related party relationship with Incyte is overcome, and therefore the agreements are not within the scope of ASC</w:t>
      </w: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14" w:name="page15"/>
    <w:bookmarkEnd w:id="14"/>
    <w:p>
      <w:pPr>
        <w:jc w:val="both"/>
        <w:ind w:right="140"/>
        <w:spacing w:after="0" w:line="273" w:lineRule="auto"/>
        <w:rPr>
          <w:sz w:val="20"/>
          <w:szCs w:val="20"/>
          <w:color w:val="auto"/>
        </w:rPr>
      </w:pPr>
      <w:r>
        <w:rPr>
          <w:rFonts w:ascii="Times New Roman" w:cs="Times New Roman" w:eastAsia="Times New Roman" w:hAnsi="Times New Roman"/>
          <w:sz w:val="17"/>
          <w:szCs w:val="17"/>
          <w:color w:val="auto"/>
        </w:rPr>
        <w:t xml:space="preserve">730-20. The Company also concluded that the agreements are not within the scope of ASC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("ASC 808"). The Company assessed the Option Agreement in accordance with ASC 606 and concluded that Incyte is a customer in the context of the Option Agreement. The Option Agreement includes the transfer of the following goods or services: (i) the right to conduct research and development activities related to the Program and</w:t>
      </w:r>
    </w:p>
    <w:p>
      <w:pPr>
        <w:spacing w:after="0" w:line="1" w:lineRule="exact"/>
        <w:rPr>
          <w:sz w:val="20"/>
          <w:szCs w:val="20"/>
          <w:color w:val="auto"/>
        </w:rPr>
      </w:pPr>
    </w:p>
    <w:p>
      <w:pPr>
        <w:ind w:right="180" w:firstLine="8"/>
        <w:spacing w:after="0" w:line="260"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Incyte's exclusive option to acquire the Company’s entire right, title, and interest in and to certain assets, properties, and rights related to the Program. The Company determined that the exclusive option granted was not a material right and, thus, not a performance obligation.</w:t>
      </w:r>
    </w:p>
    <w:p>
      <w:pPr>
        <w:spacing w:after="0" w:line="73"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The Company determined that the transaction price totaled $35.1 million, which includes the $35 million upfront cash payment received and the Equity Premium. The Company allocated $35.1 million to its performance obligations to conduct research and development activities related to the Program. The Company recognizes revenue related to the Option Agreement over time as the performance obligations are satisfied using an inputs approach, by applying actual expenses against total budgeted costs. As of March 31, 2026, $28.0 million of the upfront payment was included in deferred revenue within the balance sheets which the Company estimates will be recognized within ten months from period-end. The Company recognized $4.6 million in revenue related to the Option Agreement during the three months ended March 31, 2026.</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In 2023, the Company entered into a multi-year, multi-program agreement with AbCellera Biologics Incorporated ("AbCellera") to jointly discover, develop, and commercialize novel degrader antibody conjugates (“DACs”) for up to five programs (the "Collaboration Agreement"). Under the terms of the agreement, AbCellera will lead manufacturing activities and the Company will lead clinical development and global commercialization, subject to AbCellera’s option to co-promote any resulting commercial products in the United States.</w:t>
      </w:r>
    </w:p>
    <w:p>
      <w:pPr>
        <w:spacing w:after="0" w:line="72"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In August 2025 the Company amended its collaboration with AbCellera (the "Amended Agreement"), and in October 2025, the Company further expanded the collaboration ("the Expanded License Agreement"). The Amended Agreement and Expanded License Agreement provided AbCellera a non-exclusive license to use certain of the Company’s degrader payloads to independently discover, develop and commercialize a select number of DACs against undisclosed antibody targets. The agreements also entailed other changes to overall resource allocation and collaboration governance. For the newly licensed DAC programs, AbCellera received world-wide rights to lead and fully control the licensed programs at its sole cost and expense and the Company is not responsible for any additional financial responsibilities or go forward development costs associated with those programs. The Company received an upfront non-refundable payment from AbCellera of $6.5 million upon signing the Amended Agreement and an upfront non-refundable payment of $6.0 million upon signing of the Expanded License Agreement in October 2025. For the additional licensed DACs, the Company is also eligible to receive customary downstream milestones and single digit royalties on future product sales. The original Collaboration Agreement, whereunder the companies can jointly discover, develop, and commercialize novel DACs for up to five programs remains in effect.</w:t>
      </w:r>
    </w:p>
    <w:p>
      <w:pPr>
        <w:spacing w:after="0" w:line="86"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The Company assessed the Amended Agreement and Expanded License Agreement in accordance with ASC 606 and concluded that AbCellera is a customer. The Amended Agreement required the Company to transfer certain intellectual property and related know-how to AbCellera which represented the only performance obligation in the Amended Agreement and was satisfied at a point in time, when the intellectual property and related know-how were transferred to AbCellera during the third quarter of 2025.</w:t>
      </w:r>
    </w:p>
    <w:p>
      <w:pPr>
        <w:spacing w:after="0" w:line="72"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Under the Expanded License Agreement, the Company determined the promised goods and services included discovering degrader payloads and granting the licenses to the payloads to AbCellera for them to use to research, develop, and commercialize products related to each of the initial targets mutually agreed upon. Each of these licenses is distinct, as AbCellera can derive benefit from each license independent of any other payload. Accordingly, the license to each of the payloads selected by AbCellera represents a separate performance obligation. The delivery of the licenses were the only performance obligations identified in the Expanded Agreement. The transaction price was determined to consist of the upfront payment of $6.0 million. The Company allocated the transaction price equally across the licenses, as the estimated standalone selling price of each license was equal. Each performance obligation will be fully satisfied at the point in time when the license is transferred to AbCellera. For the three months ended March 31, 2026, the Company did not recognize any revenue in the statement of operations related to the Expanded License Agreement. As of March 31, 2026, the remaining $3.0 million of the upfront payment was included in deferred revenue within the balance sheets. The Company estimates the remaining performance obligations will be completed in the second half of 2026.</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right="22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The Company assessed the license agreement in accordance with ASC 606 and determined that it satisfied its performance obligations in 2024. During the first quarter of 2026, Pathos notified the Company that it will no longer be continuing development on the program.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5" w:name="page16"/>
    <w:bookmarkEnd w:id="1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Segments</w:t>
      </w:r>
    </w:p>
    <w:p>
      <w:pPr>
        <w:spacing w:after="0" w:line="229" w:lineRule="exact"/>
        <w:rPr>
          <w:sz w:val="20"/>
          <w:szCs w:val="20"/>
          <w:color w:val="auto"/>
        </w:rPr>
      </w:pPr>
    </w:p>
    <w:p>
      <w:pPr>
        <w:jc w:val="both"/>
        <w:ind w:right="320" w:firstLine="479"/>
        <w:spacing w:after="0" w:line="266" w:lineRule="auto"/>
        <w:rPr>
          <w:sz w:val="20"/>
          <w:szCs w:val="20"/>
          <w:color w:val="auto"/>
        </w:rPr>
      </w:pPr>
      <w:r>
        <w:rPr>
          <w:rFonts w:ascii="Times New Roman" w:cs="Times New Roman" w:eastAsia="Times New Roman" w:hAnsi="Times New Roman"/>
          <w:sz w:val="18"/>
          <w:szCs w:val="18"/>
          <w:color w:val="auto"/>
        </w:rPr>
        <w:t>The Company currently operates as one operating business segment focused on developing innovative medicines in areas of high unmet need for cancer patients. The Company's determination that it operates as a single segment is consistent with the financial information regularly reviewed by the CODM for purposes of evaluating performance, allocating resources, and planning and forecasting for future periods.</w:t>
      </w:r>
    </w:p>
    <w:p>
      <w:pPr>
        <w:spacing w:after="0" w:line="176" w:lineRule="exact"/>
        <w:rPr>
          <w:sz w:val="20"/>
          <w:szCs w:val="20"/>
          <w:color w:val="auto"/>
        </w:rPr>
      </w:pPr>
    </w:p>
    <w:p>
      <w:pPr>
        <w:ind w:right="440" w:firstLine="479"/>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for the segment based on net loss, which is reported on the statement of operations and comprehensive loss as net loss. The measure of segment assets is reported on the balance sheet as total assets.</w:t>
      </w:r>
    </w:p>
    <w:p>
      <w:pPr>
        <w:spacing w:after="0" w:line="176"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To date, the Company has not recognized any revenue from product sales, and the Company does not expect to generate any revenue in the foreseeable future. Net loss is used to monitor budget versus actual results. Monitoring budgeted versus actual results is used in assessing performance of the segment and to make decisions about the allocation of resources, along with cash forecast models.</w:t>
      </w:r>
    </w:p>
    <w:p>
      <w:pPr>
        <w:spacing w:after="0" w:line="176"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 xml:space="preserve">During the fourth quarter of 2025, the Company announced that it decided to pause the clinical development of its SMARCA2 degrader program which is comprised of PRT3789 and PRT7732 and prioritize allocation of resources to advancing the JAK2 V617F and K(lysine) acetyltransferase 6A (KAT6A) selective degrader programs. The expense included in other are programs that the Company has paused or discontinued, including the previously mentioned SMARCA2 degrader programs. </w:t>
      </w:r>
      <w:r>
        <w:rPr>
          <w:rFonts w:ascii="Times New Roman" w:cs="Times New Roman" w:eastAsia="Times New Roman" w:hAnsi="Times New Roman"/>
          <w:sz w:val="18"/>
          <w:szCs w:val="18"/>
          <w:color w:val="212529"/>
        </w:rPr>
        <w:t>Corresponding segment expense for earlier periods have been recast.</w:t>
      </w:r>
      <w:r>
        <w:rPr>
          <w:rFonts w:ascii="Times New Roman" w:cs="Times New Roman" w:eastAsia="Times New Roman" w:hAnsi="Times New Roman"/>
          <w:sz w:val="18"/>
          <w:szCs w:val="18"/>
          <w:color w:val="auto"/>
        </w:rPr>
        <w:t xml:space="preserve"> The following table summarizes the significant expense categories regularly reviewed by the CODM for the three months ended March 31, 2026 and 2025.</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360" w:type="dxa"/>
            <w:vAlign w:val="bottom"/>
            <w:tcBorders>
              <w:bottom w:val="single" w:sz="8" w:color="auto"/>
            </w:tcBorders>
            <w:vMerge w:val="continue"/>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7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JAK2 V617F</w:t>
            </w:r>
          </w:p>
        </w:tc>
        <w:tc>
          <w:tcPr>
            <w:tcW w:w="3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KAT6A</w:t>
            </w: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Discovery programs</w:t>
            </w:r>
          </w:p>
        </w:tc>
        <w:tc>
          <w:tcPr>
            <w:tcW w:w="3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costs, including personnel related</w:t>
            </w:r>
          </w:p>
        </w:tc>
        <w:tc>
          <w:tcPr>
            <w:tcW w:w="3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7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(14,177)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(34,606)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7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(10,385)</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628"/>
        </w:trPr>
        <w:tc>
          <w:tcPr>
            <w:tcW w:w="436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-1799590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-1508125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-933450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-916305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right="1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Company's board of directors or compensation committee to determine a lesser number of shares shall be added for such year. On January 1, 2026, 3,147,681 shares were added to the Plan. As of March 31, 2026, 7,332,525 shares were available for future grants.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94"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56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5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3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14,727,692</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3,570,250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(26,463)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(583,766)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17,687,713</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38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10,101,993</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9.34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-2091055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-2073910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-2091055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-187960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March 31, 2026, the aggregate intrinsic value of outstanding options and exercisable options was $14.0 million and $4.7 million, respectively.</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March 31, 2026 under the Plan: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$0.31</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$2.09</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4,864,197</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2,558,956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4,277,350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432,778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$4.44</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$7.50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4,714,930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3,280,908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$7.51</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$74.45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3,831,236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3,829,351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 w:type="dxa"/>
            <w:vAlign w:val="bottom"/>
            <w:shd w:val="clear" w:color="auto" w:fill="CFF0FC"/>
          </w:tcPr>
          <w:p>
            <w:pPr>
              <w:spacing w:after="0"/>
              <w:rPr>
                <w:sz w:val="21"/>
                <w:szCs w:val="21"/>
                <w:color w:val="auto"/>
              </w:rPr>
            </w:pPr>
          </w:p>
        </w:tc>
        <w:tc>
          <w:tcPr>
            <w:tcW w:w="4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17,687,713</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10,101,993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40" w:type="dxa"/>
            <w:vAlign w:val="bottom"/>
            <w:tcBorders>
              <w:top w:val="single" w:sz="8" w:color="CFF0FC"/>
            </w:tcBorders>
          </w:tcPr>
          <w:p>
            <w:pPr>
              <w:spacing w:after="0"/>
              <w:rPr>
                <w:sz w:val="24"/>
                <w:szCs w:val="24"/>
                <w:color w:val="auto"/>
              </w:rPr>
            </w:pPr>
          </w:p>
        </w:tc>
        <w:tc>
          <w:tcPr>
            <w:tcW w:w="454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-933450</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-916305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-933450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-916305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$1.97 and $1.11 per option for the three months ended March 31, 2026 and 2025, respectively. The Company recorded stock-based compensation expense of $1.9 million and $3.7 million for the three months ended March 31, 2026 and 2025, respectively, related to stock options. As of March 31, 2026, the total unrecognized compensation expense related to unvested stock option awards was $14.5 million, which the Company expects to recognize over a weighted-average period of 2.60 years.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46"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09"/>
        </w:trPr>
        <w:tc>
          <w:tcPr>
            <w:tcW w:w="8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114.01%</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86.50%</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8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FF0FC"/>
          </w:tcPr>
          <w:p>
            <w:pPr>
              <w:spacing w:after="0"/>
              <w:rPr>
                <w:sz w:val="18"/>
                <w:szCs w:val="18"/>
                <w:color w:val="auto"/>
              </w:rPr>
            </w:pP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(“RSUs”) to employees that generally vest over a four-year period with 25% of awards vesting after one year and then quarterly thereafter. Any unvested units will be forfeited upon termination of services.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8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6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292,325</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(59,557)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balance at March 31, 2026</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439,080</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$0.1 million for both the three months ended March 31, 2026 and 2025, related to RSUs. At March 31, 2026, the total unrecognized expense related to the RSUs was $0.8 million, which the Company expects to recognize over a weighted-average period 3.64 years.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4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On January 1, 2026, 629,536 shares were added to the ESPP and as of March 31, 2026, the ESPP had 2,936,805 shares of common stock reserved for future issuance.</w:t>
      </w:r>
    </w:p>
    <w:p>
      <w:pPr>
        <w:spacing w:after="0" w:line="187"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3"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$40 thousand for each of the three months ended March 31, 2026 and 2025, related to the ESPP.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12. Workforce Reduction</w:t>
      </w:r>
    </w:p>
    <w:p>
      <w:pPr>
        <w:spacing w:after="0" w:line="229"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During 2025, the Company reduced its workforce by approximately 27% of full-time employees to align its resources with its ongoing clinical and preclinical programs. There was no expense related to the workforce reduction incurred during the three months ended March 31, 2026 or 2025.</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accrued liabilities activity recorded in connection with the reduction in workforce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3"/>
                <w:szCs w:val="13"/>
                <w:color w:val="auto"/>
              </w:rPr>
            </w:pPr>
          </w:p>
        </w:tc>
        <w:tc>
          <w:tcPr>
            <w:tcW w:w="14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Amount accrued at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00" w:type="dxa"/>
            <w:vAlign w:val="bottom"/>
            <w:vMerge w:val="restart"/>
          </w:tcPr>
          <w:p>
            <w:pPr>
              <w:spacing w:after="0"/>
              <w:rPr>
                <w:sz w:val="13"/>
                <w:szCs w:val="13"/>
                <w:color w:val="auto"/>
              </w:rPr>
            </w:pPr>
          </w:p>
        </w:tc>
        <w:tc>
          <w:tcPr>
            <w:tcW w:w="260" w:type="dxa"/>
            <w:vAlign w:val="bottom"/>
            <w:vMerge w:val="restart"/>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vMerge w:val="restart"/>
          </w:tcPr>
          <w:p>
            <w:pPr>
              <w:spacing w:after="0"/>
              <w:rPr>
                <w:sz w:val="13"/>
                <w:szCs w:val="13"/>
                <w:color w:val="auto"/>
              </w:rPr>
            </w:pPr>
          </w:p>
        </w:tc>
        <w:tc>
          <w:tcPr>
            <w:tcW w:w="240" w:type="dxa"/>
            <w:vAlign w:val="bottom"/>
            <w:vMerge w:val="restart"/>
          </w:tcPr>
          <w:p>
            <w:pPr>
              <w:spacing w:after="0"/>
              <w:rPr>
                <w:sz w:val="13"/>
                <w:szCs w:val="13"/>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accrued at</w:t>
            </w:r>
          </w:p>
        </w:tc>
        <w:tc>
          <w:tcPr>
            <w:tcW w:w="0" w:type="dxa"/>
            <w:vAlign w:val="bottom"/>
          </w:tcPr>
          <w:p>
            <w:pPr>
              <w:spacing w:after="0"/>
              <w:rPr>
                <w:sz w:val="1"/>
                <w:szCs w:val="1"/>
                <w:color w:val="auto"/>
              </w:rPr>
            </w:pPr>
          </w:p>
        </w:tc>
      </w:tr>
      <w:tr>
        <w:trPr>
          <w:trHeight w:val="173"/>
        </w:trPr>
        <w:tc>
          <w:tcPr>
            <w:tcW w:w="24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ind w:right="20" w:firstLine="479"/>
        <w:spacing w:after="0" w:line="266" w:lineRule="auto"/>
        <w:rPr>
          <w:sz w:val="20"/>
          <w:szCs w:val="20"/>
          <w:color w:val="auto"/>
        </w:rPr>
      </w:pPr>
      <w:r>
        <w:rPr>
          <w:rFonts w:ascii="Times New Roman" w:cs="Times New Roman" w:eastAsia="Times New Roman" w:hAnsi="Times New Roman"/>
          <w:sz w:val="18"/>
          <w:szCs w:val="18"/>
          <w:color w:val="auto"/>
        </w:rPr>
        <w:t>In April 2026, the Company sold an aggregate of (a) 16,611,014 shares of its voting common stock, par value $0.0001 per share (the “Common Stock”), at a price of $4.44 per share, and (b) pre-funded warrants to purchase up to 3,659,252 shares of its Common Stock (the “Pre-Funded Warrants”), at a price of $4.4399 per warrant with an exercise price of $0.0001 per share (the “Offering”).</w:t>
      </w:r>
    </w:p>
    <w:p>
      <w:pPr>
        <w:spacing w:after="0" w:line="108"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The Company estimates that the net proceeds from the Offering will be approximately $85.5 million, after deducting underwriting discounts and commissions and estimated offering expenses.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 Item 1A of our Annual Report on Form 10-K filed with the SEC on March 10, 2026, or our 2025 Annual Report on Form 10-K. These forward-looking statements may include, but are not limited to, statements regarding our future results of operations and financial position, our ability to develop our clinical candidates, inflation and interest rate risk, recessionary concerns, the effect of continued federal government shutdown,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w:t>
      </w:r>
    </w:p>
    <w:p>
      <w:pPr>
        <w:spacing w:after="0" w:line="185" w:lineRule="exact"/>
        <w:rPr>
          <w:sz w:val="20"/>
          <w:szCs w:val="20"/>
          <w:color w:val="auto"/>
        </w:rPr>
      </w:pPr>
    </w:p>
    <w:p>
      <w:pPr>
        <w:ind w:right="32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Prelude is a precision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supported by our steady progress in advancing a pipeline of novel precision oncology development candidates, alone and with partners. We are working with our partner AbCellera Biologics, Inc.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80" w:lineRule="exact"/>
        <w:rPr>
          <w:sz w:val="20"/>
          <w:szCs w:val="20"/>
          <w:color w:val="auto"/>
        </w:rPr>
      </w:pPr>
    </w:p>
    <w:p>
      <w:pPr>
        <w:ind w:right="40" w:firstLine="478"/>
        <w:spacing w:after="0" w:line="258"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degrader antibody conjugates ("DAC"). Our pipeline is designed to serve patients with high unmet medical need, where there are limited or no treatment options. We believe we can best address these diseases by harnessing advances in new therapeutic modalities such as targeted protein degradation to develop highly potent and specific agents against clinically validated targets in areas of high unmet need.</w:t>
      </w:r>
    </w:p>
    <w:p>
      <w:pPr>
        <w:spacing w:after="0" w:line="75" w:lineRule="exact"/>
        <w:rPr>
          <w:sz w:val="20"/>
          <w:szCs w:val="20"/>
          <w:color w:val="auto"/>
        </w:rPr>
      </w:pPr>
    </w:p>
    <w:p>
      <w:pPr>
        <w:jc w:val="both"/>
        <w:ind w:right="40" w:firstLine="478"/>
        <w:spacing w:after="0" w:line="261" w:lineRule="auto"/>
        <w:rPr>
          <w:sz w:val="20"/>
          <w:szCs w:val="20"/>
          <w:color w:val="auto"/>
        </w:rPr>
      </w:pPr>
      <w:r>
        <w:rPr>
          <w:rFonts w:ascii="Times New Roman" w:cs="Times New Roman" w:eastAsia="Times New Roman" w:hAnsi="Times New Roman"/>
          <w:sz w:val="18"/>
          <w:szCs w:val="18"/>
          <w:color w:val="auto"/>
        </w:rPr>
        <w:t>Myeloproliferative neoplasms ("MPN") are hematopoietic disorders arising from clonal expansion of hematopoietic stem cells ("HSC") in the bone marrow. Current treatment options for MPN patients offer symptomatic benefit but fail to eliminate disease-initiating clones leading to treatment resistance and progression to secondary acute myeloid leukemia. Therapeutic approaches that can selectively eliminate disease-initiating HSCs and induce molecular remission are an unmet medical need.</w:t>
      </w:r>
    </w:p>
    <w:p>
      <w:pPr>
        <w:spacing w:after="0" w:line="72" w:lineRule="exact"/>
        <w:rPr>
          <w:sz w:val="20"/>
          <w:szCs w:val="20"/>
          <w:color w:val="auto"/>
        </w:rPr>
      </w:pPr>
    </w:p>
    <w:p>
      <w:pPr>
        <w:ind w:right="260" w:firstLine="478"/>
        <w:spacing w:after="0" w:line="266" w:lineRule="auto"/>
        <w:rPr>
          <w:sz w:val="20"/>
          <w:szCs w:val="20"/>
          <w:color w:val="auto"/>
        </w:rPr>
      </w:pPr>
      <w:r>
        <w:rPr>
          <w:rFonts w:ascii="Times New Roman" w:cs="Times New Roman" w:eastAsia="Times New Roman" w:hAnsi="Times New Roman"/>
          <w:sz w:val="18"/>
          <w:szCs w:val="18"/>
          <w:color w:val="auto"/>
        </w:rPr>
        <w:t>Mutations in Janus Kinase 2 ("JAK2"), calreticulin ("CALR") and MPL are phenotypic drivers of disease in over 90% of MPN cases. CALR mutations are the second most common driver alteration in MPN, accounting for 20-30% of all cases. Selective expression of mutant CALR on diseased cells but not on normal cells makes CALR a high value target for antibody-directed therapies in MPN.</w:t>
      </w:r>
    </w:p>
    <w:p>
      <w:pPr>
        <w:spacing w:after="0" w:line="68" w:lineRule="exact"/>
        <w:rPr>
          <w:sz w:val="20"/>
          <w:szCs w:val="20"/>
          <w:color w:val="auto"/>
        </w:rPr>
      </w:pPr>
    </w:p>
    <w:p>
      <w:pPr>
        <w:ind w:right="240" w:firstLine="478"/>
        <w:spacing w:after="0" w:line="261" w:lineRule="auto"/>
        <w:rPr>
          <w:sz w:val="20"/>
          <w:szCs w:val="20"/>
          <w:color w:val="auto"/>
        </w:rPr>
      </w:pPr>
      <w:r>
        <w:rPr>
          <w:rFonts w:ascii="Times New Roman" w:cs="Times New Roman" w:eastAsia="Times New Roman" w:hAnsi="Times New Roman"/>
          <w:sz w:val="18"/>
          <w:szCs w:val="18"/>
          <w:color w:val="auto"/>
        </w:rPr>
        <w:t>JAK2V617F is the primary driver mutation responsible for disease progression in the majority of patients living with MPNs. We have discovered novel allosteric inhibitors that bind into the JAK2 JH2 “deep pocket” where the V617F mutation resides. These candidates demonstrate mutant specific inhibition in multiple preclinical models of MPNs. We believe this approach may have the potential to reduce mutant allele burden, slow or even reverse disease progression, and transform treatment outcomes for MPN patients.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140" w:firstLine="478"/>
        <w:spacing w:after="0" w:line="261" w:lineRule="auto"/>
        <w:rPr>
          <w:sz w:val="20"/>
          <w:szCs w:val="20"/>
          <w:color w:val="auto"/>
        </w:rPr>
      </w:pPr>
      <w:r>
        <w:rPr>
          <w:rFonts w:ascii="Times New Roman" w:cs="Times New Roman" w:eastAsia="Times New Roman" w:hAnsi="Times New Roman"/>
          <w:sz w:val="18"/>
          <w:szCs w:val="18"/>
          <w:color w:val="auto"/>
        </w:rPr>
        <w:t>PRT12396 our lead, mutant-selective JAK2V617F inhibitor received IND clearance from the U.S. FDA, as announced in February 2026, and recently we initiated and commenced enrollment into a Phase 1 study of PRT12396 in patients with polycythemia vera (PV) and myelofibrosis (MF). The Phase 1 study of PRT12396 is an open-label, multi-center, safety and efficacy study. The primary endpoints of the study include safety, efficacy and PK profile.</w:t>
      </w:r>
    </w:p>
    <w:p>
      <w:pPr>
        <w:spacing w:after="0" w:line="180"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As previously announced on November 4, 2025, we entered into an exclusive option agreement (the "Exclusive Option Agreement") with Incyte Corporation ("Incyte") to acquire our mutative selective JAK2V617F inhibitor program (the “Program”) for patients with myeloproliferative neoplasms. Under the Option Agreement, Incyte received an exclusive option to acquire our entire right, title, and interest in and to certain assets, properties, and rights related to the JAK2V617F inhibitor program, including our library of preclinical candidates (collectively, the “Transferred Assets”). We expect to advance the JAK2V617F program to pre-defined milestones. Incyte may elect to exercise its exclusive option during the option period to acquire the program and associated assets from us for $100 million. As the JAK2V617F program candidates advance in the clinic, we would be eligible to receive up to $775 million in additional clinical and regulatory milestones, and single digit royalties on global net sales. Combined, total potential cash payments from the transaction, excluding royalties, could reach up to $910 million.</w:t>
      </w:r>
    </w:p>
    <w:p>
      <w:pPr>
        <w:spacing w:after="0" w:line="192" w:lineRule="exact"/>
        <w:rPr>
          <w:sz w:val="20"/>
          <w:szCs w:val="20"/>
          <w:color w:val="auto"/>
        </w:rPr>
      </w:pPr>
    </w:p>
    <w:p>
      <w:pPr>
        <w:ind w:right="260" w:firstLine="479"/>
        <w:spacing w:after="0" w:line="266" w:lineRule="auto"/>
        <w:rPr>
          <w:sz w:val="20"/>
          <w:szCs w:val="20"/>
          <w:color w:val="auto"/>
        </w:rPr>
      </w:pPr>
      <w:r>
        <w:rPr>
          <w:rFonts w:ascii="Times New Roman" w:cs="Times New Roman" w:eastAsia="Times New Roman" w:hAnsi="Times New Roman"/>
          <w:sz w:val="18"/>
          <w:szCs w:val="18"/>
          <w:color w:val="auto"/>
        </w:rPr>
        <w:t>We have discovered and are developing a series of selective and orally bioavailable K(lysine) acetyltransferase 6A (KAT6A) selective degraders. We believe that selectively degrading KAT6A has the potential for improved efficacy, tolerability and combinability with other agents relative to non-selective inhibitors of KAT6A/B.</w:t>
      </w:r>
    </w:p>
    <w:p>
      <w:pPr>
        <w:spacing w:after="0" w:line="176"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We presented preclinical data from our lead development candidate, PRT13722, at the American Association for Cancer Research Annual Meeting 2026 on April 20, 2026. PRT13722 is being developed for the treatment of hormone receptor positive (HR+)/human epidermal growth factor receptor 2 (HER2-) breast cancer (BC). Based on preclinical data, we believe PRT13722 is a highly differentiated, first-in-class, orally bioavailable, potent and highly selective KAT6A degrader. PRT13722 is on track for an investigational new drug (IND) filing in mid-2026, and, pending IND clearance, initiation of a Phase 1 study is anticipated in the second half of 2026.</w:t>
      </w:r>
    </w:p>
    <w:p>
      <w:pPr>
        <w:spacing w:after="0" w:line="183"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Drawing on our expertise in targeted protein degradation, we have discovered and optimized a series of proprietary degrader payloads for use in discovering and developing DACs. We disclosed first data at the 36th EORTC-NCI-AACR Symposium describing preclinical proof-of-concept using a novel, potent SMARCA2/4 dual degrader as a degrader payload conjugated to multiple antibodies. Prelude’s SMARCA2/4 dual degraders have shown picomolar potency with potential for increased efficacy, selectivity and improved therapeutic index. DACs have potential to expand the reach of SMARCA degrader technology to cancers without SMARCA4 mutations.</w:t>
      </w:r>
    </w:p>
    <w:p>
      <w:pPr>
        <w:spacing w:after="0" w:line="183" w:lineRule="exact"/>
        <w:rPr>
          <w:sz w:val="20"/>
          <w:szCs w:val="20"/>
          <w:color w:val="auto"/>
        </w:rPr>
      </w:pPr>
    </w:p>
    <w:p>
      <w:pPr>
        <w:ind w:right="360" w:firstLine="479"/>
        <w:spacing w:after="0" w:line="266" w:lineRule="auto"/>
        <w:rPr>
          <w:sz w:val="20"/>
          <w:szCs w:val="20"/>
          <w:color w:val="auto"/>
        </w:rPr>
      </w:pPr>
      <w:r>
        <w:rPr>
          <w:rFonts w:ascii="Times New Roman" w:cs="Times New Roman" w:eastAsia="Times New Roman" w:hAnsi="Times New Roman"/>
          <w:sz w:val="18"/>
          <w:szCs w:val="18"/>
          <w:color w:val="auto"/>
        </w:rPr>
        <w:t>During the second half of 2025, we restructured aspects of our collaboration agreement with AbCellera to allow AbCellera to independently discover, develop and commercialize select undisclosed DACs by providing a non-exclusive license to the Company’s degrader payloads among other changes to overall resource allocation, governance, and operational aspects of the collaboration.</w:t>
      </w:r>
    </w:p>
    <w:p>
      <w:pPr>
        <w:spacing w:after="0" w:line="176"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In June 2025, at the European Hematology Association, we delivered an oral presentation about our mutated calreticulin ("mCALR") discovery efforts, including the first-in-class CALR-targeted DACs that selectively target mutant CALR expressing cells, with the potential to achieve responses by eliminating MPN clones. These data demonstrate that a CALRxSMARCA2/4 degrader antibody conjugate can selectively degrade SMARCA2/4 in CALR mutant cells and robustly inhibit CALR-mutant cell growth in vitro and in vivo.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21" w:lineRule="exact"/>
        <w:rPr>
          <w:sz w:val="20"/>
          <w:szCs w:val="20"/>
          <w:color w:val="auto"/>
        </w:rPr>
      </w:pPr>
    </w:p>
    <w:p>
      <w:pPr>
        <w:ind w:right="40" w:firstLine="479"/>
        <w:spacing w:after="0" w:line="253"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$10.4 million and $32.1 million for the three months ended March 31, 2026 and 2025, respectively. As of March 31, 2026, we had an accumulated deficit of $693.4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940"/>
        <w:spacing w:after="0" w:line="282" w:lineRule="auto"/>
        <w:rPr>
          <w:sz w:val="20"/>
          <w:szCs w:val="20"/>
          <w:color w:val="auto"/>
        </w:rPr>
      </w:pPr>
      <w:r>
        <w:rPr>
          <w:rFonts w:ascii="Times New Roman" w:cs="Times New Roman" w:eastAsia="Times New Roman" w:hAnsi="Times New Roman"/>
          <w:sz w:val="18"/>
          <w:szCs w:val="18"/>
          <w:color w:val="auto"/>
        </w:rPr>
        <w:t>significantly from quarter-to-quarter and year-to-year, depending on the timing of our clinical trials and our expenditures on other research and development activities.</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foreseeable future. During the three months ended March 31, 2026, we recognized revenue from our Exclusive Option Agreement with Incyte. If our development efforts for our product candidates are successful and result in regulatory approval, or license agreements with third parties, we may generate revenue in the future in the form of milestone payments, royalties, or product sales. However, there can be no assurance as to when we will generate such revenue, if at all.</w:t>
      </w: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right="2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6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8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research and development expenses over the next several years related to personnel costs, including stock-based compensation, clinical trials, including later-stage clinical trials, for current and future product candidates and preparing regulatory filings for our product candidates.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160" w:firstLine="478"/>
        <w:spacing w:after="0" w:line="261" w:lineRule="auto"/>
        <w:rPr>
          <w:sz w:val="20"/>
          <w:szCs w:val="20"/>
          <w:color w:val="auto"/>
        </w:rPr>
      </w:pPr>
      <w:r>
        <w:rPr>
          <w:rFonts w:ascii="Times New Roman" w:cs="Times New Roman" w:eastAsia="Times New Roman" w:hAnsi="Times New Roman"/>
          <w:sz w:val="18"/>
          <w:szCs w:val="18"/>
          <w:color w:val="auto"/>
        </w:rPr>
        <w:t>We expect to continue to incur general and administrative expense in the future to support our continued research and development activities and potential commercialization efforts. These expenses will likely include costs related to personnel and fees to outside consultants and legal support, among other expenses. The costs associated with being a public company include expenses related to services associated with maintaining compliance with the requirements of Nasdaq and the Securities and Exchange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120"/>
        <w:spacing w:after="0" w:line="282" w:lineRule="auto"/>
        <w:rPr>
          <w:sz w:val="20"/>
          <w:szCs w:val="20"/>
          <w:color w:val="auto"/>
        </w:rPr>
      </w:pPr>
      <w:r>
        <w:rPr>
          <w:rFonts w:ascii="Times New Roman" w:cs="Times New Roman" w:eastAsia="Times New Roman" w:hAnsi="Times New Roman"/>
          <w:sz w:val="18"/>
          <w:szCs w:val="18"/>
          <w:color w:val="auto"/>
        </w:rPr>
        <w:t>Commission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1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research and development tax credits, and grant income received from the State of Delaware.</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7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(15,215)</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(15,849)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(14,177)</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(34,606)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(10,385)</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(32,085)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-599440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-599440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Revenue for the three months ended March 31, 2026 was related to our Exclusive Option Agreement with Incyte.</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100" w:firstLine="479"/>
        <w:spacing w:after="0" w:line="272" w:lineRule="auto"/>
        <w:rPr>
          <w:sz w:val="20"/>
          <w:szCs w:val="20"/>
          <w:color w:val="auto"/>
        </w:rPr>
      </w:pPr>
      <w:r>
        <w:rPr>
          <w:rFonts w:ascii="Times New Roman" w:cs="Times New Roman" w:eastAsia="Times New Roman" w:hAnsi="Times New Roman"/>
          <w:sz w:val="17"/>
          <w:szCs w:val="17"/>
          <w:color w:val="auto"/>
        </w:rPr>
        <w:t>Research and development expenses decreased from $28.8 million for the three months ended March 31, 2025 to $13.6 million for the three months ended March 31, 2026. Included in research and development expenses for the three months ended March 31, 2026, was $1.1 million of non-cash expense related to stock-based compensation expense, including employee stock options, compared to $2.3 million for the three months ended March 31, 2025.</w:t>
      </w:r>
    </w:p>
    <w:p>
      <w:pPr>
        <w:spacing w:after="0" w:line="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primarily due to a decrease in expense related to our SMARCA2 clinical trials which we paused in 2025. Research and development expenses may fluctuate from period to period depending upon the stage of certain projects and the level of preclinical and clinical trial-related activities.</w:t>
      </w:r>
    </w:p>
    <w:p>
      <w:pPr>
        <w:spacing w:after="0" w:line="186"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During the fourth quarter of 2025, the Company announced that it decided to pause the clinical development of its SMARCA2 degrader program which is comprised of PRT3789 and PRT7732 and prioritize allocation of resources to advancing the JAK2 V617F and K(lysine) acetyltransferase 6A (KAT6A) selective degrader programs. The expense included in other are programs that the Company has paused or discontinued,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including the previously mentioned SMARCA2 degrader programs. </w:t>
      </w:r>
      <w:r>
        <w:rPr>
          <w:rFonts w:ascii="Times New Roman" w:cs="Times New Roman" w:eastAsia="Times New Roman" w:hAnsi="Times New Roman"/>
          <w:sz w:val="18"/>
          <w:szCs w:val="18"/>
          <w:color w:val="212529"/>
        </w:rPr>
        <w:t>Corresponding program expense for earlier periods have been recast.</w:t>
      </w:r>
      <w:r>
        <w:rPr>
          <w:rFonts w:ascii="Times New Roman" w:cs="Times New Roman" w:eastAsia="Times New Roman" w:hAnsi="Times New Roman"/>
          <w:sz w:val="18"/>
          <w:szCs w:val="18"/>
          <w:color w:val="auto"/>
        </w:rPr>
        <w:t xml:space="preserve"> The following table summarizes the significant expense categories for three months ended March 31, 2026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JAK2 V617F</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KAT6A</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13,601</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from $5.8 million for the three months ended March 31, 2025 to $5.2 million for the three months ended March 31, 2026. The decrease was primarily driven by a decrease in non-cash expense related to stock-based compensation expense. Included in general and administrative expenses for the three months ended March 31, 2026, was $0.9 million of non-cash expense related to stock-based compensation expense compared to $1.6 million for the three months ended March 31, 2025.</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340" w:firstLine="478"/>
        <w:spacing w:after="0" w:line="282" w:lineRule="auto"/>
        <w:rPr>
          <w:sz w:val="20"/>
          <w:szCs w:val="20"/>
          <w:color w:val="auto"/>
        </w:rPr>
      </w:pPr>
      <w:r>
        <w:rPr>
          <w:rFonts w:ascii="Times New Roman" w:cs="Times New Roman" w:eastAsia="Times New Roman" w:hAnsi="Times New Roman"/>
          <w:sz w:val="18"/>
          <w:szCs w:val="18"/>
          <w:color w:val="auto"/>
        </w:rPr>
        <w:t>Other income, net increased from $2.5 million for the three months ended March 31, 2025, to $3.8 million for the three months ended March 31, 2026 primarily due to the receipt and recognition of research and development tax credits.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Since our inception, we have not recognized any product revenue and have incurred operating losses and negative cash flows from our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yet commercialized any product and we do not expect to generate revenue from sales of any products for several years, if at all.</w:t>
      </w:r>
    </w:p>
    <w:p>
      <w:pPr>
        <w:spacing w:after="0" w:line="207" w:lineRule="exact"/>
        <w:rPr>
          <w:sz w:val="20"/>
          <w:szCs w:val="20"/>
          <w:color w:val="auto"/>
        </w:rPr>
      </w:pPr>
    </w:p>
    <w:p>
      <w:pPr>
        <w:ind w:right="200" w:firstLine="479"/>
        <w:spacing w:after="0" w:line="258" w:lineRule="auto"/>
        <w:rPr>
          <w:sz w:val="20"/>
          <w:szCs w:val="20"/>
          <w:color w:val="auto"/>
        </w:rPr>
      </w:pPr>
      <w:r>
        <w:rPr>
          <w:rFonts w:ascii="Times New Roman" w:cs="Times New Roman" w:eastAsia="Times New Roman" w:hAnsi="Times New Roman"/>
          <w:sz w:val="18"/>
          <w:szCs w:val="18"/>
          <w:color w:val="auto"/>
        </w:rPr>
        <w:t>At March 31, 2026 the Company had cash, cash equivalents, restricted cash and marketable securities totaling $84.8 million. Subsequent to March 31, 2026, the Company sold 16,611,014 shares of its voting common stock at a price of $4.44 per share and pre-funded warrants to purchase up to 3,659,252 shares of its common stock at a price of $4.4399 per pre-funded warrant, resulting in gross proceeds of approximately $90.0 million. See Note 13 - Subsequent Events for additional information. Based on preliminary estimates, the Company believes these funds will be sufficient to fund its operating expenses and capital expenditure requirements for at least the next twelve months from the filing date of this Quarterly Report on Form 10-Q.</w:t>
      </w:r>
    </w:p>
    <w:p>
      <w:pPr>
        <w:spacing w:after="0" w:line="183"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through the sale of convertible preferred stock, common stock, and pre-funded warrants. 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6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72"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In May 2024, we filed a shelf registration statement (the "2024 Shelf Registration Statement") with the Securities and Exchange Commission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and as of March 31, 2026, there was $400 million remaining under the 2024 Shelf Registration Statement. Subsequent to March 31, 2026, the Company sold 16,611,014 shares of its voting common stock at a price of $4.44 per share and pre-funded warrants to purchase up to 3,659,252 shares of its common stock at a price of $4.4399 per pre-funded warrant, resulting in gross proceeds of approximately $90.0 million under the 2024 Shelf Registration Statement.</w:t>
      </w:r>
    </w:p>
    <w:p>
      <w:pPr>
        <w:spacing w:after="0" w:line="79"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In March 2023, we entered into an Open Market Sales Agreement (the "Sales Agreement") with Jefferies LLC, as the sales agent, pursuant to which we may offer and sell shares of our common stock. In accordance with the terms of the Sales Agreement on March 12, 2026, we filed a prospectus supplement under our 2024 Shelf Registration Statement, pursuant to which we may offer and sell shares of our common stock having an aggregate offering price of up to $25.0 million from time to time through Jefferies acting as sales agent.</w:t>
      </w:r>
    </w:p>
    <w:p>
      <w:pPr>
        <w:spacing w:after="0" w:line="72"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(21,685)</w:t>
            </w: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(34,231)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8,499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62,186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(13,500)</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27,795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100" w:firstLine="479"/>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2026, we used $21.7 million of cash in operating activities. Cash used in operating activities reflected our net loss of $10.4 million and a $13.7 million net decrease in our operating assets and liabilities offset by noncash charges of $2.4 million, which primarily consisted of stock-based compensation. The primary use of cash was to fund our operations related to the development of our product candidates.</w:t>
      </w:r>
    </w:p>
    <w:p>
      <w:pPr>
        <w:spacing w:after="0" w:line="158" w:lineRule="exact"/>
        <w:rPr>
          <w:sz w:val="20"/>
          <w:szCs w:val="20"/>
          <w:color w:val="auto"/>
        </w:rPr>
      </w:pPr>
    </w:p>
    <w:p>
      <w:pPr>
        <w:ind w:right="100" w:firstLine="479"/>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2025, we used $34.2 million of cash in operating activities. Cash used in operating activities reflected our net loss of $32.1 million and a $6.9 million net increase in our operating assets and liabilities offset by noncash charges of $4.7 million, which primarily consisted of stock-based compensation. The primary use of cash was to fund our operations related to the development of our product candidates.</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80" w:firstLine="47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investing activities of $8.5 million consisted of proceeds from maturities of marketable securities. During the three months ended March 31, 2025, net cash used in investing activities of $62.2 million consisted primarily of $71.7 million in proceeds from maturities of marketable securities, partially offset by $9.5 million in purchases of marketable securities.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financing activities primarily related to payments of offering costs. During the three months ended March 31, 2025 net cash used in financing activities was primarily for principal payments on our finance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other material changes to our critical accounting policies and estimates from those described under the heading “Management’s Discussion and Analysis of Financial Condition and Results of Operations-Critical Accounting Estimates” in our 2025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405 under the Securities Act.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Specifically, as a smaller reporting company we may choose to present only the two most recent fiscal years of audited financial statements in our Annual Report on Form 10-K and smaller reporting companies have scaled disclosure obligations regarding executive compensation.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 with respect to the period ending March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As of March 31, 2026,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March 31, 2026,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March 31, 2026,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60" w:firstLine="479"/>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your decision to invest in shares of our common stock, you should carefully consider the risks and uncertainties described under Part I, Item 1A, “Risk Factors” in our 2025 Annual Report on Form 10-K filed with the Securities and Exchange Commission on March 10, 2026.</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did not issue or sell any unregistered securities not previously disclosed in a Quarterly Report on Form 10-Q or in a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gridSpan w:val="9"/>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 Filing</w:t>
            </w:r>
          </w:p>
        </w:tc>
        <w:tc>
          <w:tcPr>
            <w:tcW w:w="12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8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5"/>
                <w:szCs w:val="15"/>
                <w:color w:val="auto"/>
              </w:rPr>
            </w:pPr>
          </w:p>
        </w:tc>
        <w:tc>
          <w:tcPr>
            <w:tcW w:w="2080" w:type="dxa"/>
            <w:vAlign w:val="bottom"/>
            <w:tcBorders>
              <w:bottom w:val="single" w:sz="8" w:color="0000FF"/>
            </w:tcBorders>
            <w:gridSpan w:val="2"/>
          </w:tcPr>
          <w:p>
            <w:pPr>
              <w:spacing w:after="0" w:line="182" w:lineRule="exact"/>
              <w:rPr>
                <w:rFonts w:ascii="Times New Roman" w:cs="Times New Roman" w:eastAsia="Times New Roman" w:hAnsi="Times New Roman"/>
                <w:sz w:val="18"/>
                <w:szCs w:val="18"/>
                <w:color w:val="0000FF"/>
                <w:w w:val="97"/>
              </w:rPr>
            </w:pPr>
            <w:hyperlink r:id="rId185">
              <w:r>
                <w:rPr>
                  <w:rFonts w:ascii="Times New Roman" w:cs="Times New Roman" w:eastAsia="Times New Roman" w:hAnsi="Times New Roman"/>
                  <w:sz w:val="18"/>
                  <w:szCs w:val="18"/>
                  <w:color w:val="0000FF"/>
                  <w:w w:val="97"/>
                </w:rPr>
                <w:t>Form of Pre-Funded Warrant</w:t>
              </w:r>
            </w:hyperlink>
          </w:p>
        </w:tc>
        <w:tc>
          <w:tcPr>
            <w:tcW w:w="3360" w:type="dxa"/>
            <w:vAlign w:val="bottom"/>
            <w:gridSpan w:val="10"/>
          </w:tcPr>
          <w:p>
            <w:pPr>
              <w:spacing w:after="0"/>
              <w:rPr>
                <w:sz w:val="15"/>
                <w:szCs w:val="15"/>
                <w:color w:val="auto"/>
              </w:rPr>
            </w:pPr>
          </w:p>
        </w:tc>
        <w:tc>
          <w:tcPr>
            <w:tcW w:w="5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001-39527</w:t>
            </w:r>
          </w:p>
        </w:tc>
        <w:tc>
          <w:tcPr>
            <w:tcW w:w="960" w:type="dxa"/>
            <w:vAlign w:val="bottom"/>
          </w:tcPr>
          <w:p>
            <w:pPr>
              <w:jc w:val="right"/>
              <w:ind w:right="556"/>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April 21,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0"/>
                <w:szCs w:val="20"/>
                <w:color w:val="auto"/>
              </w:rPr>
            </w:pPr>
          </w:p>
        </w:tc>
        <w:tc>
          <w:tcPr>
            <w:tcW w:w="54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rPr>
              <w:t>Executive Employment Agreement, dated April 14, 2026, by and between</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440" w:type="dxa"/>
            <w:vAlign w:val="bottom"/>
            <w:gridSpan w:val="12"/>
            <w:vMerge w:val="continue"/>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Prelude Therapeutics Incorporated and Charles Morris</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Employment Agreement, dated April 5, 2024, by and between</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Prelude Therapeutics Incorporated and Sean Brusky</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vMerge w:val="restart"/>
          </w:tcPr>
          <w:p>
            <w:pPr>
              <w:jc w:val="right"/>
              <w:ind w:right="556"/>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5440" w:type="dxa"/>
            <w:vAlign w:val="bottom"/>
            <w:gridSpan w:val="1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Underwriting Agreement, dated April 20, 2026, by and between Prelude</w:t>
              </w:r>
            </w:hyperlink>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001-39527</w:t>
            </w:r>
          </w:p>
        </w:tc>
        <w:tc>
          <w:tcPr>
            <w:tcW w:w="960" w:type="dxa"/>
            <w:vAlign w:val="bottom"/>
            <w:vMerge w:val="continue"/>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21,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Therapeutics Incorporated and Goldman Sachs &amp; Co. LLC and Evercore</w:t>
              </w:r>
            </w:hyperlink>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2026</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Group L.L.C. as representative.</w:t>
              </w:r>
            </w:hyperlink>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EE"/>
            </w:tcBorders>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gridSpan w:val="3"/>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FF"/>
            </w:tcBorders>
            <w:gridSpan w:val="3"/>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40" w:type="dxa"/>
            <w:vAlign w:val="bottom"/>
            <w:tcBorders>
              <w:right w:val="single" w:sz="8" w:color="0000EE"/>
            </w:tcBorders>
            <w:gridSpan w:val="3"/>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gridSpan w:val="8"/>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gridSpan w:val="11"/>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0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0"/>
                <w:szCs w:val="20"/>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 the Interactive Data File as its XBRL tags are embedded within the</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2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7"/>
        </w:trPr>
        <w:tc>
          <w:tcPr>
            <w:tcW w:w="3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20"/>
        </w:trPr>
        <w:tc>
          <w:tcPr>
            <w:tcW w:w="33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2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187"/>
        </w:trPr>
        <w:tc>
          <w:tcPr>
            <w:tcW w:w="33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Bryant Lim</w:t>
            </w:r>
          </w:p>
        </w:tc>
      </w:tr>
      <w:tr>
        <w:trPr>
          <w:trHeight w:val="238"/>
        </w:trPr>
        <w:tc>
          <w:tcPr>
            <w:tcW w:w="3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193" w:lineRule="exact"/>
        <w:rPr>
          <w:sz w:val="20"/>
          <w:szCs w:val="20"/>
          <w:color w:val="auto"/>
        </w:rPr>
      </w:pPr>
    </w:p>
    <w:p>
      <w:pPr>
        <w:jc w:val="both"/>
        <w:ind w:left="740" w:right="360" w:firstLine="749"/>
        <w:spacing w:after="0" w:line="246"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made between Prelude Therapeutics Incorporated,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Charles Morris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collectively with the Company,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is entered into as of the last signed party (the “Effective Date”).</w:t>
      </w:r>
    </w:p>
    <w:p>
      <w:pPr>
        <w:spacing w:after="0" w:line="16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to employ Executive as the Company’s Chief Medical Officer.</w:t>
      </w:r>
    </w:p>
    <w:p>
      <w:pPr>
        <w:spacing w:after="0" w:line="193" w:lineRule="exact"/>
        <w:rPr>
          <w:sz w:val="20"/>
          <w:szCs w:val="20"/>
          <w:color w:val="auto"/>
        </w:rPr>
      </w:pPr>
    </w:p>
    <w:p>
      <w:pPr>
        <w:jc w:val="both"/>
        <w:ind w:left="740" w:right="3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mutual promises and covenants contained herein and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and sufficiency of which is hereby acknowledged, the Parties hereto agree as follows:</w:t>
      </w:r>
    </w:p>
    <w:p>
      <w:pPr>
        <w:spacing w:after="0" w:line="167" w:lineRule="exact"/>
        <w:rPr>
          <w:sz w:val="20"/>
          <w:szCs w:val="20"/>
          <w:color w:val="auto"/>
        </w:rPr>
      </w:pPr>
    </w:p>
    <w:p>
      <w:pPr>
        <w:ind w:left="2240" w:hanging="1503"/>
        <w:spacing w:after="0"/>
        <w:tabs>
          <w:tab w:leader="none" w:pos="224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by the Company.</w:t>
      </w:r>
    </w:p>
    <w:p>
      <w:pPr>
        <w:spacing w:after="0" w:line="193" w:lineRule="exact"/>
        <w:rPr>
          <w:sz w:val="20"/>
          <w:szCs w:val="20"/>
          <w:color w:val="auto"/>
        </w:rPr>
      </w:pPr>
    </w:p>
    <w:p>
      <w:pPr>
        <w:jc w:val="both"/>
        <w:ind w:left="740" w:right="36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1.1Employment. </w:t>
      </w:r>
      <w:r>
        <w:rPr>
          <w:rFonts w:ascii="Times New Roman" w:cs="Times New Roman" w:eastAsia="Times New Roman" w:hAnsi="Times New Roman"/>
          <w:sz w:val="22"/>
          <w:szCs w:val="22"/>
          <w:color w:val="auto"/>
        </w:rPr>
        <w:t>This Agreement shall govern the terms of Executive’s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which shall commence as of April 20, 2026 or such other date as mutually determined by Executive and the Company (such date,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left="740" w:right="36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1.2Position. </w:t>
      </w:r>
      <w:r>
        <w:rPr>
          <w:rFonts w:ascii="Times New Roman" w:cs="Times New Roman" w:eastAsia="Times New Roman" w:hAnsi="Times New Roman"/>
          <w:sz w:val="22"/>
          <w:szCs w:val="22"/>
          <w:color w:val="auto"/>
        </w:rPr>
        <w:t>Executive shall serve as the Company’s Chief Medical Officer. During the term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with the Company hereunder, Executive will devote Executive’s best efforts and substantially all of Executive’s business time and attention to the business of the Company, except as otherwise set forth in Section 11.1.</w:t>
      </w:r>
    </w:p>
    <w:p>
      <w:pPr>
        <w:spacing w:after="0" w:line="172" w:lineRule="exact"/>
        <w:rPr>
          <w:sz w:val="20"/>
          <w:szCs w:val="20"/>
          <w:color w:val="auto"/>
        </w:rPr>
      </w:pPr>
    </w:p>
    <w:p>
      <w:pPr>
        <w:jc w:val="both"/>
        <w:ind w:left="740" w:right="36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1.3Duties and Location. </w:t>
      </w:r>
      <w:r>
        <w:rPr>
          <w:rFonts w:ascii="Times New Roman" w:cs="Times New Roman" w:eastAsia="Times New Roman" w:hAnsi="Times New Roman"/>
          <w:sz w:val="22"/>
          <w:szCs w:val="22"/>
          <w:color w:val="auto"/>
        </w:rPr>
        <w:t>Executive shall perform such duties as are typically performed by a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Medical Officer. Executive will initially report to the Company’s Chief Executive Officer. Executive’s primary office location shall be the Company’s office located in Wilmington, Delaware.</w:t>
      </w:r>
    </w:p>
    <w:p>
      <w:pPr>
        <w:spacing w:after="0" w:line="167" w:lineRule="exact"/>
        <w:rPr>
          <w:sz w:val="20"/>
          <w:szCs w:val="20"/>
          <w:color w:val="auto"/>
        </w:rPr>
      </w:pPr>
    </w:p>
    <w:p>
      <w:pPr>
        <w:jc w:val="both"/>
        <w:ind w:left="740" w:right="38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1.4Policies and Procedures. </w:t>
      </w:r>
      <w:r>
        <w:rPr>
          <w:rFonts w:ascii="Times New Roman" w:cs="Times New Roman" w:eastAsia="Times New Roman" w:hAnsi="Times New Roman"/>
          <w:sz w:val="22"/>
          <w:szCs w:val="22"/>
          <w:color w:val="auto"/>
        </w:rPr>
        <w:t>The employment relationship between the Parties shall be governed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general employment policies and practices of the Company, except that when the terms of this Agreement differ from or are in conflict with the Company’s general employment policies or practices, this Agreement shall control.</w:t>
      </w:r>
    </w:p>
    <w:p>
      <w:pPr>
        <w:spacing w:after="0" w:line="172" w:lineRule="exact"/>
        <w:rPr>
          <w:sz w:val="20"/>
          <w:szCs w:val="20"/>
          <w:color w:val="auto"/>
        </w:rPr>
      </w:pPr>
    </w:p>
    <w:p>
      <w:pPr>
        <w:ind w:left="2240" w:hanging="1503"/>
        <w:spacing w:after="0"/>
        <w:tabs>
          <w:tab w:leader="none" w:pos="224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06" w:lineRule="exact"/>
        <w:rPr>
          <w:sz w:val="20"/>
          <w:szCs w:val="20"/>
          <w:color w:val="auto"/>
        </w:rPr>
      </w:pPr>
    </w:p>
    <w:p>
      <w:pPr>
        <w:jc w:val="both"/>
        <w:ind w:left="740" w:right="36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2.1Salary. </w:t>
      </w:r>
      <w:r>
        <w:rPr>
          <w:rFonts w:ascii="Times New Roman" w:cs="Times New Roman" w:eastAsia="Times New Roman" w:hAnsi="Times New Roman"/>
          <w:sz w:val="22"/>
          <w:szCs w:val="22"/>
          <w:color w:val="auto"/>
        </w:rPr>
        <w:t>For services to be rendered hereunder, Executive shall receive a base salary at the 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five hundred thirty five thousand U.S. Dollars ($535,000) per year (such base salary, as in effect from time to time,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subject to standard payroll deductions and withholdings and payable in accordance with the Company’s regular payroll schedule.</w:t>
      </w:r>
    </w:p>
    <w:p>
      <w:pPr>
        <w:spacing w:after="0" w:line="172" w:lineRule="exact"/>
        <w:rPr>
          <w:sz w:val="20"/>
          <w:szCs w:val="20"/>
          <w:color w:val="auto"/>
        </w:rPr>
      </w:pPr>
    </w:p>
    <w:p>
      <w:pPr>
        <w:jc w:val="both"/>
        <w:ind w:left="740" w:right="36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2.2Annual Bonus; Sign-On Bonus. </w:t>
      </w:r>
      <w:r>
        <w:rPr>
          <w:rFonts w:ascii="Times New Roman" w:cs="Times New Roman" w:eastAsia="Times New Roman" w:hAnsi="Times New Roman"/>
          <w:sz w:val="22"/>
          <w:szCs w:val="22"/>
          <w:color w:val="auto"/>
        </w:rPr>
        <w:t>Executive will be eligible for an annual discretionary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a target amount equal to 40% of Executive’s Base Salary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xml:space="preserve">), which shall be prorated for Executive’s initial year of employment. Whether Executive receives an Annual Bonus for any given year, and the amount of any such Annual Bonus, will be determined by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the compensation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740" w:right="360"/>
        <w:spacing w:after="0" w:line="238" w:lineRule="auto"/>
        <w:rPr>
          <w:sz w:val="20"/>
          <w:szCs w:val="20"/>
          <w:color w:val="auto"/>
        </w:rPr>
      </w:pPr>
      <w:r>
        <w:rPr>
          <w:rFonts w:ascii="Times New Roman" w:cs="Times New Roman" w:eastAsia="Times New Roman" w:hAnsi="Times New Roman"/>
          <w:sz w:val="22"/>
          <w:szCs w:val="22"/>
          <w:color w:val="auto"/>
        </w:rPr>
        <w:t>committee thereof in its sole discretion based upon the Company’s achievement of objectives and milestones to be determined at the beginning of each year and mutually agreed upon by Executive and the Company’s Chief Executive Officer and approved by the compensation committee of the Board. Executive will not be eligible for, and will not earn, any Annual Bonus (including a prorated bonus) if Executive’s employment terminates for any reason before any Annual Bonus is paid.</w:t>
      </w:r>
    </w:p>
    <w:p>
      <w:pPr>
        <w:spacing w:after="0" w:line="159" w:lineRule="exact"/>
        <w:rPr>
          <w:sz w:val="20"/>
          <w:szCs w:val="20"/>
          <w:color w:val="auto"/>
        </w:rPr>
      </w:pPr>
    </w:p>
    <w:p>
      <w:pPr>
        <w:jc w:val="both"/>
        <w:ind w:left="740" w:right="360" w:firstLine="1497"/>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2.3Equity. </w:t>
      </w:r>
      <w:r>
        <w:rPr>
          <w:rFonts w:ascii="Times New Roman" w:cs="Times New Roman" w:eastAsia="Times New Roman" w:hAnsi="Times New Roman"/>
          <w:sz w:val="22"/>
          <w:szCs w:val="22"/>
          <w:color w:val="auto"/>
        </w:rPr>
        <w:t>Subject to approval by the Board or the compensation committee thereof,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grant Executive an option to purchase four hundred fifty thousand (450,000) shares of the Company’s common stock, with a per share exercise price equal to the fair market value of a share of the Company’s common stock on the date of grant, as determined by the Board or the compensation committee thereof in accordance with the Company’s customary stock option granting practices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Subject to approval by the Board, the Option will be granted on the first business day of the month following the Start Date.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shares underlying the Option will vest and become exercisable on the one-year anniversary of the Start Date, and 1/48</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shares underlying the Option will vest and become exercisable on a monthly basis thereafter, such that 100% of the shares underlying the Option shall be vested and exercisable as of the four-year anniversary of the Start Date, in each case so long as Executive remains employed by the Company through each applicable vesting date. If the applicable vesting schedule results in a fractional share, such fractional share shall not vest until the immediately following vesting date. The Option will be subject to the terms and conditions consistent with those provided in the Company’s 2020 Equity Incentive Plan, and will be governed in all respects by the terms of the applicable stock option agreement to be entered into between Executive and the Company, except as specifically provided herein. Further details regarding the Option will be provided to the Executive upon approval of such grant by the Board. Executive may be considered for future grants of equity awards in the discretion of the Board or the compensation committee thereof pursuant to its regular review process.</w:t>
      </w:r>
    </w:p>
    <w:p>
      <w:pPr>
        <w:spacing w:after="0" w:line="203" w:lineRule="exact"/>
        <w:rPr>
          <w:sz w:val="20"/>
          <w:szCs w:val="20"/>
          <w:color w:val="auto"/>
        </w:rPr>
      </w:pPr>
    </w:p>
    <w:p>
      <w:pPr>
        <w:jc w:val="both"/>
        <w:ind w:left="740" w:right="380" w:hanging="3"/>
        <w:spacing w:after="0" w:line="246" w:lineRule="auto"/>
        <w:tabs>
          <w:tab w:leader="none" w:pos="100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Standard Company Benefits. </w:t>
      </w:r>
      <w:r>
        <w:rPr>
          <w:rFonts w:ascii="Times New Roman" w:cs="Times New Roman" w:eastAsia="Times New Roman" w:hAnsi="Times New Roman"/>
          <w:sz w:val="22"/>
          <w:szCs w:val="22"/>
          <w:color w:val="auto"/>
        </w:rPr>
        <w:t>Executive shall be entitled to accrue four weeks of paid time off per annum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participate in all other employee benefit programs for which Executive is eligible under the terms and conditions of the benefit plans that may be in effect from time to time and provided by the Company to its employees.</w:t>
      </w:r>
    </w:p>
    <w:p>
      <w:pPr>
        <w:spacing w:after="0" w:line="153" w:lineRule="exact"/>
        <w:rPr>
          <w:rFonts w:ascii="Times New Roman" w:cs="Times New Roman" w:eastAsia="Times New Roman" w:hAnsi="Times New Roman"/>
          <w:sz w:val="22"/>
          <w:szCs w:val="22"/>
          <w:b w:val="1"/>
          <w:bCs w:val="1"/>
          <w:color w:val="auto"/>
        </w:rPr>
      </w:pPr>
    </w:p>
    <w:p>
      <w:pPr>
        <w:jc w:val="both"/>
        <w:ind w:left="740" w:right="380" w:hanging="3"/>
        <w:spacing w:after="0" w:line="246" w:lineRule="auto"/>
        <w:tabs>
          <w:tab w:leader="none" w:pos="100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Expenses. </w:t>
      </w:r>
      <w:r>
        <w:rPr>
          <w:rFonts w:ascii="Times New Roman" w:cs="Times New Roman" w:eastAsia="Times New Roman" w:hAnsi="Times New Roman"/>
          <w:sz w:val="22"/>
          <w:szCs w:val="22"/>
          <w:color w:val="auto"/>
        </w:rPr>
        <w:t>The Company will reimburse Executive for reasonable travel, entertainment or other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by Executive in furtherance or in connection with the performance of Executive’s duties hereunder, in accordance with the Company’s expense reimbursement policy as in effect from time to time.</w:t>
      </w:r>
    </w:p>
    <w:p>
      <w:pPr>
        <w:spacing w:after="0" w:line="167" w:lineRule="exact"/>
        <w:rPr>
          <w:rFonts w:ascii="Times New Roman" w:cs="Times New Roman" w:eastAsia="Times New Roman" w:hAnsi="Times New Roman"/>
          <w:sz w:val="22"/>
          <w:szCs w:val="22"/>
          <w:b w:val="1"/>
          <w:bCs w:val="1"/>
          <w:color w:val="auto"/>
        </w:rPr>
      </w:pPr>
    </w:p>
    <w:p>
      <w:pPr>
        <w:ind w:left="1480" w:hanging="743"/>
        <w:spacing w:after="0"/>
        <w:tabs>
          <w:tab w:leader="none" w:pos="148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Severance.</w:t>
      </w:r>
    </w:p>
    <w:p>
      <w:pPr>
        <w:spacing w:after="0" w:line="193" w:lineRule="exact"/>
        <w:rPr>
          <w:sz w:val="20"/>
          <w:szCs w:val="20"/>
          <w:color w:val="auto"/>
        </w:rPr>
      </w:pPr>
    </w:p>
    <w:p>
      <w:pPr>
        <w:jc w:val="both"/>
        <w:ind w:left="740" w:right="36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5.1At-Will Employment. </w:t>
      </w:r>
      <w:r>
        <w:rPr>
          <w:rFonts w:ascii="Times New Roman" w:cs="Times New Roman" w:eastAsia="Times New Roman" w:hAnsi="Times New Roman"/>
          <w:sz w:val="22"/>
          <w:szCs w:val="22"/>
          <w:color w:val="auto"/>
        </w:rPr>
        <w:t>Executive’s employment relationship is at-will. Either Executive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terminate the employment relationship at any time, with or without Cause (as defined below) or advance notice. In the event Executive’s employment relationship is terminated for any reason, Executive shall be entitled to receive Executive’s earned but unpaid Base Salary, unreimbursed business expenses properly incurred by Executive pursuant to Section 4 and any other compensation or benefit earned by or owed to (but not yet paid to) Executive through and including the date of termination, payable in a lump sum on the next regularly scheduled payroll date following the date on which Executive’s employment terminated,</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or at such other date as shall be specified under the terms of the employee benefit plan pursuant to</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655955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740" w:right="380"/>
        <w:spacing w:after="0" w:line="244" w:lineRule="auto"/>
        <w:rPr>
          <w:sz w:val="20"/>
          <w:szCs w:val="20"/>
          <w:color w:val="auto"/>
        </w:rPr>
      </w:pPr>
      <w:r>
        <w:rPr>
          <w:rFonts w:ascii="Times New Roman" w:cs="Times New Roman" w:eastAsia="Times New Roman" w:hAnsi="Times New Roman"/>
          <w:sz w:val="22"/>
          <w:szCs w:val="22"/>
          <w:color w:val="auto"/>
        </w:rPr>
        <w:t>which such compensation or benefit is payable. Executive shall also resign from all positions and terminate any relationships as an employee, advisor, officer or director with the Company and any of its affiliates, each effective on the date of termination.</w:t>
      </w:r>
    </w:p>
    <w:p>
      <w:pPr>
        <w:spacing w:after="0" w:line="169" w:lineRule="exact"/>
        <w:rPr>
          <w:sz w:val="20"/>
          <w:szCs w:val="20"/>
          <w:color w:val="auto"/>
        </w:rPr>
      </w:pPr>
    </w:p>
    <w:p>
      <w:pPr>
        <w:jc w:val="both"/>
        <w:ind w:left="740" w:right="36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5.2Severance Benefits for Termination Without Cause Unrelated to a Change of Control</w:t>
      </w:r>
      <w:r>
        <w:rPr>
          <w:rFonts w:ascii="Times New Roman" w:cs="Times New Roman" w:eastAsia="Times New Roman" w:hAnsi="Times New Roman"/>
          <w:sz w:val="22"/>
          <w:szCs w:val="22"/>
          <w:color w:val="auto"/>
        </w:rPr>
        <w: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event Executive’s employment with the Company is terminated by the Company without Cause prior to a Change of Control (as defined below) or more than twelve (12) months following a Change of Control, the Company shall provide Executive with the following payments and benefits, provided that Executive remains in compliance with the terms of this Agreement and the Restrictive Covenant Agreement (as defined below) and subject to Section 6 below:</w:t>
      </w:r>
    </w:p>
    <w:p>
      <w:pPr>
        <w:spacing w:after="0" w:line="166" w:lineRule="exact"/>
        <w:rPr>
          <w:sz w:val="20"/>
          <w:szCs w:val="20"/>
          <w:color w:val="auto"/>
        </w:rPr>
      </w:pPr>
    </w:p>
    <w:p>
      <w:pPr>
        <w:jc w:val="both"/>
        <w:ind w:left="740" w:right="360" w:firstLine="2243"/>
        <w:spacing w:after="0" w:line="238" w:lineRule="auto"/>
        <w:tabs>
          <w:tab w:leader="none" w:pos="35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as severance, the equivalent of nine (9) months of Executive’s Base Salary as in effect as of the date of Executive’s employment termination. This severance will be paid in the form of salary continuation, payable on the Company’s regular payroll dates, subject to standard payroll deductions and withholdings, starting on the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after Executive’s termination date, with the first payment to include those payments that would have occurred earlier but for the 60-day delay.</w:t>
      </w:r>
    </w:p>
    <w:p>
      <w:pPr>
        <w:spacing w:after="0" w:line="159" w:lineRule="exact"/>
        <w:rPr>
          <w:sz w:val="20"/>
          <w:szCs w:val="20"/>
          <w:color w:val="auto"/>
        </w:rPr>
      </w:pPr>
    </w:p>
    <w:p>
      <w:pPr>
        <w:jc w:val="both"/>
        <w:ind w:left="740" w:right="360" w:firstLine="1497"/>
        <w:spacing w:after="0" w:line="245" w:lineRule="auto"/>
        <w:rPr>
          <w:sz w:val="20"/>
          <w:szCs w:val="20"/>
          <w:color w:val="auto"/>
        </w:rPr>
      </w:pPr>
      <w:r>
        <w:rPr>
          <w:rFonts w:ascii="Times New Roman" w:cs="Times New Roman" w:eastAsia="Times New Roman" w:hAnsi="Times New Roman"/>
          <w:sz w:val="21"/>
          <w:szCs w:val="21"/>
          <w:b w:val="1"/>
          <w:bCs w:val="1"/>
          <w:color w:val="auto"/>
        </w:rPr>
        <w:t>5.3</w:t>
      </w:r>
      <w:r>
        <w:rPr>
          <w:rFonts w:ascii="Times New Roman" w:cs="Times New Roman" w:eastAsia="Times New Roman" w:hAnsi="Times New Roman"/>
          <w:sz w:val="21"/>
          <w:szCs w:val="21"/>
          <w:color w:val="auto"/>
        </w:rPr>
        <w:t>Provided that Executive is then eligible for and timely elects continued coverage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nine (9)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84" w:lineRule="exact"/>
        <w:rPr>
          <w:sz w:val="20"/>
          <w:szCs w:val="20"/>
          <w:color w:val="auto"/>
        </w:rPr>
      </w:pPr>
    </w:p>
    <w:p>
      <w:pPr>
        <w:jc w:val="both"/>
        <w:ind w:left="740" w:right="36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5.4</w:t>
      </w:r>
      <w:r>
        <w:rPr>
          <w:rFonts w:ascii="Times New Roman" w:cs="Times New Roman" w:eastAsia="Times New Roman" w:hAnsi="Times New Roman"/>
          <w:sz w:val="22"/>
          <w:szCs w:val="22"/>
          <w:color w:val="auto"/>
        </w:rPr>
        <w:t>Severance Benefits for Termination Without Cause or Resignation with Good Reason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Change of Control. In the event Executive’s employment with the Company is terminated by the Company without Cause or Executive resigns for Good Reason in each case during the twelve (12) month period immediately following a Change of Control, the Company shall provide Executive with the following payments and benefits, provided that Executive remains in compliance with the terms of this Agreement and the Restrictive Covenant Agreement and subject to Section 6 below:</w:t>
      </w:r>
    </w:p>
    <w:p>
      <w:pPr>
        <w:spacing w:after="0" w:line="179" w:lineRule="exact"/>
        <w:rPr>
          <w:sz w:val="20"/>
          <w:szCs w:val="20"/>
          <w:color w:val="auto"/>
        </w:rPr>
      </w:pPr>
    </w:p>
    <w:p>
      <w:pPr>
        <w:jc w:val="both"/>
        <w:ind w:left="740" w:right="360" w:firstLine="2243"/>
        <w:spacing w:after="0" w:line="244" w:lineRule="auto"/>
        <w:tabs>
          <w:tab w:leader="none" w:pos="35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as severance, the equivalent of twelve (12) months of Executive’s Base Salary as in effect as of the date of Executive’s employment termination (disregarding any change to Executive’s Base Salary giving rise to Good</w:t>
      </w:r>
    </w:p>
    <w:p>
      <w:pPr>
        <w:spacing w:after="0" w:line="25" w:lineRule="exact"/>
        <w:rPr>
          <w:sz w:val="20"/>
          <w:szCs w:val="20"/>
          <w:color w:val="auto"/>
        </w:rPr>
      </w:pPr>
    </w:p>
    <w:p>
      <w:pPr>
        <w:ind w:left="740" w:right="380"/>
        <w:spacing w:after="0" w:line="290" w:lineRule="auto"/>
        <w:rPr>
          <w:sz w:val="20"/>
          <w:szCs w:val="20"/>
          <w:color w:val="auto"/>
        </w:rPr>
      </w:pPr>
      <w:r>
        <w:rPr>
          <w:rFonts w:ascii="Times New Roman" w:cs="Times New Roman" w:eastAsia="Times New Roman" w:hAnsi="Times New Roman"/>
          <w:sz w:val="22"/>
          <w:szCs w:val="22"/>
          <w:color w:val="auto"/>
        </w:rPr>
        <w:t>Reason). This severance will be paid in the form of salary continuation, payable on the Company’s regular payroll dates, subject to standard payroll deductions and withholdings, starting on the 60</w:t>
      </w:r>
      <w:r>
        <w:rPr>
          <w:rFonts w:ascii="Times New Roman" w:cs="Times New Roman" w:eastAsia="Times New Roman" w:hAnsi="Times New Roman"/>
          <w:sz w:val="28"/>
          <w:szCs w:val="28"/>
          <w:color w:val="auto"/>
          <w:vertAlign w:val="superscript"/>
        </w:rPr>
        <w:t>th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40" w:right="380" w:firstLine="66"/>
        <w:spacing w:after="0" w:line="258" w:lineRule="auto"/>
        <w:rPr>
          <w:sz w:val="20"/>
          <w:szCs w:val="20"/>
          <w:color w:val="auto"/>
        </w:rPr>
      </w:pPr>
      <w:r>
        <w:rPr>
          <w:rFonts w:ascii="Times New Roman" w:cs="Times New Roman" w:eastAsia="Times New Roman" w:hAnsi="Times New Roman"/>
          <w:sz w:val="22"/>
          <w:szCs w:val="22"/>
          <w:color w:val="auto"/>
        </w:rPr>
        <w:t>day after Executive’s termination date, with the first payment to include those payments that would have occurred earlier but for the 60-day delay.</w:t>
      </w:r>
    </w:p>
    <w:p>
      <w:pPr>
        <w:spacing w:after="0" w:line="158" w:lineRule="exact"/>
        <w:rPr>
          <w:sz w:val="20"/>
          <w:szCs w:val="20"/>
          <w:color w:val="auto"/>
        </w:rPr>
      </w:pPr>
    </w:p>
    <w:p>
      <w:pPr>
        <w:jc w:val="both"/>
        <w:ind w:left="740" w:right="380" w:firstLine="2243"/>
        <w:spacing w:after="0" w:line="236" w:lineRule="auto"/>
        <w:tabs>
          <w:tab w:leader="none" w:pos="3535"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Company shall pay Executive, as severance, an amount equal to one hundred percent (100%) of Executive’s target annual bonus as in effect as of the date of Executive’s employment termination (disregarding any change to Executive’s Base Salary giving rise to Good Reason), payable in a lump sum, less deductions and withholdings, at the same time as the first severance payment described in Section 5.3(i) above. For the avoidance of doubt, the amount payable pursuant to this Section 5.3(ii) shall not be subject to proration based on the portion of the year elapsed as of the date of termination.</w:t>
      </w:r>
    </w:p>
    <w:p>
      <w:pPr>
        <w:spacing w:after="0" w:line="167" w:lineRule="exact"/>
        <w:rPr>
          <w:rFonts w:ascii="Times New Roman" w:cs="Times New Roman" w:eastAsia="Times New Roman" w:hAnsi="Times New Roman"/>
          <w:sz w:val="22"/>
          <w:szCs w:val="22"/>
          <w:color w:val="auto"/>
        </w:rPr>
      </w:pPr>
    </w:p>
    <w:p>
      <w:pPr>
        <w:jc w:val="both"/>
        <w:ind w:left="740" w:right="360" w:firstLine="2243"/>
        <w:spacing w:after="0" w:line="236" w:lineRule="auto"/>
        <w:tabs>
          <w:tab w:leader="none" w:pos="353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twelve (12) months following Executive’s termination date; (b) the date Executive becomes eligible for group health insurance coverage through a new employer; or</w:t>
      </w:r>
    </w:p>
    <w:p>
      <w:pPr>
        <w:spacing w:after="0" w:line="2" w:lineRule="exact"/>
        <w:rPr>
          <w:rFonts w:ascii="Times New Roman" w:cs="Times New Roman" w:eastAsia="Times New Roman" w:hAnsi="Times New Roman"/>
          <w:sz w:val="22"/>
          <w:szCs w:val="22"/>
          <w:color w:val="auto"/>
        </w:rPr>
      </w:pPr>
    </w:p>
    <w:p>
      <w:pPr>
        <w:jc w:val="both"/>
        <w:ind w:left="740" w:right="360" w:hanging="3"/>
        <w:spacing w:after="0" w:line="232" w:lineRule="auto"/>
        <w:tabs>
          <w:tab w:leader="none" w:pos="107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79" w:lineRule="exact"/>
        <w:rPr>
          <w:rFonts w:ascii="Times New Roman" w:cs="Times New Roman" w:eastAsia="Times New Roman" w:hAnsi="Times New Roman"/>
          <w:sz w:val="22"/>
          <w:szCs w:val="22"/>
          <w:color w:val="auto"/>
        </w:rPr>
      </w:pPr>
    </w:p>
    <w:p>
      <w:pPr>
        <w:jc w:val="both"/>
        <w:ind w:left="740" w:right="360" w:firstLine="2243"/>
        <w:spacing w:after="0" w:line="249" w:lineRule="auto"/>
        <w:tabs>
          <w:tab w:leader="none" w:pos="353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vesting of all unvested equity-based incentive compensation awards outstanding as of the date of such Change in Control and held by Executive as of the date of such termination shall be accelerated such that 100% of the shares underlying such awards shall be deemed immediately vested and, in the case of stock options, exercisable;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167" w:lineRule="exact"/>
        <w:rPr>
          <w:sz w:val="20"/>
          <w:szCs w:val="20"/>
          <w:color w:val="auto"/>
        </w:rPr>
      </w:pPr>
    </w:p>
    <w:p>
      <w:pPr>
        <w:ind w:left="2240"/>
        <w:spacing w:after="0"/>
        <w:tabs>
          <w:tab w:leader="none" w:pos="296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Termination for Cause; Resignation Without Good Reason; Death or</w:t>
      </w:r>
    </w:p>
    <w:p>
      <w:pPr>
        <w:spacing w:after="0" w:line="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b w:val="1"/>
          <w:bCs w:val="1"/>
          <w:color w:val="auto"/>
        </w:rPr>
        <w:t>Disability.</w:t>
      </w:r>
    </w:p>
    <w:p>
      <w:pPr>
        <w:spacing w:after="0" w:line="182" w:lineRule="exact"/>
        <w:rPr>
          <w:sz w:val="20"/>
          <w:szCs w:val="20"/>
          <w:color w:val="auto"/>
        </w:rPr>
      </w:pPr>
    </w:p>
    <w:p>
      <w:pPr>
        <w:ind w:left="3740" w:hanging="757"/>
        <w:spacing w:after="0"/>
        <w:tabs>
          <w:tab w:leader="none" w:pos="37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resigns for any reason prior to or more than twelve (12)</w:t>
      </w:r>
    </w:p>
    <w:p>
      <w:pPr>
        <w:spacing w:after="0" w:line="14" w:lineRule="exact"/>
        <w:rPr>
          <w:sz w:val="20"/>
          <w:szCs w:val="20"/>
          <w:color w:val="auto"/>
        </w:rPr>
      </w:pPr>
    </w:p>
    <w:p>
      <w:pPr>
        <w:jc w:val="both"/>
        <w:ind w:left="740" w:right="360"/>
        <w:spacing w:after="0" w:line="235" w:lineRule="auto"/>
        <w:rPr>
          <w:sz w:val="20"/>
          <w:szCs w:val="20"/>
          <w:color w:val="auto"/>
        </w:rPr>
      </w:pPr>
      <w:r>
        <w:rPr>
          <w:rFonts w:ascii="Times New Roman" w:cs="Times New Roman" w:eastAsia="Times New Roman" w:hAnsi="Times New Roman"/>
          <w:sz w:val="22"/>
          <w:szCs w:val="22"/>
          <w:color w:val="auto"/>
        </w:rPr>
        <w:t>months following a Change in Control, resigns without Good Reason within the twelve (12) months following a Change in Control, or the Company terminates Executive’s employment for Cause, Executive shall not be entitled to receive any payments or benefits under this Agreement, other than as set forth in Section 5.1.</w:t>
      </w:r>
    </w:p>
    <w:p>
      <w:pPr>
        <w:spacing w:after="0" w:line="29" w:lineRule="exact"/>
        <w:rPr>
          <w:sz w:val="20"/>
          <w:szCs w:val="20"/>
          <w:color w:val="auto"/>
        </w:rPr>
      </w:pPr>
    </w:p>
    <w:p>
      <w:pPr>
        <w:jc w:val="both"/>
        <w:ind w:left="740" w:right="360" w:firstLine="2243"/>
        <w:spacing w:after="0" w:line="239" w:lineRule="auto"/>
        <w:tabs>
          <w:tab w:leader="none" w:pos="35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shall terminate automatically upon Executive’s death or Total Disability. “</w:t>
      </w:r>
      <w:r>
        <w:rPr>
          <w:rFonts w:ascii="Times New Roman" w:cs="Times New Roman" w:eastAsia="Times New Roman" w:hAnsi="Times New Roman"/>
          <w:sz w:val="22"/>
          <w:szCs w:val="22"/>
          <w:b w:val="1"/>
          <w:bCs w:val="1"/>
          <w:color w:val="auto"/>
        </w:rPr>
        <w:t>Total Disability</w:t>
      </w:r>
      <w:r>
        <w:rPr>
          <w:rFonts w:ascii="Times New Roman" w:cs="Times New Roman" w:eastAsia="Times New Roman" w:hAnsi="Times New Roman"/>
          <w:sz w:val="22"/>
          <w:szCs w:val="22"/>
          <w:color w:val="auto"/>
        </w:rPr>
        <w:t>” shall mean Executive’s inability, with reasonable accommodation, to perform the duties of Executive’s position for a period or periods aggregating ninety (90) calendar days in any period of one hundred eighty days (180) consecutive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740" w:right="360"/>
        <w:spacing w:after="0" w:line="235" w:lineRule="auto"/>
        <w:rPr>
          <w:sz w:val="20"/>
          <w:szCs w:val="20"/>
          <w:color w:val="auto"/>
        </w:rPr>
      </w:pPr>
      <w:r>
        <w:rPr>
          <w:rFonts w:ascii="Times New Roman" w:cs="Times New Roman" w:eastAsia="Times New Roman" w:hAnsi="Times New Roman"/>
          <w:sz w:val="22"/>
          <w:szCs w:val="22"/>
          <w:color w:val="auto"/>
        </w:rPr>
        <w:t>days as a result of physical or mental illness, loss of legal capacity or any other cause beyond Executive’s control. Executive and the Company hereby acknowledge that Executive’s ability to perform the duties specified in Section 1 is the essence of this Agreement. Termination hereunder shall be deemed to be effective (a) at the end of the calendar month in which Executive’s death occurs or (b) immediately upon a determination by the Board or the compensation committee thereof of Executive’s Total Disability. In the case of termination of employment under this Section 5.4(ii), Executive shall not be entitled to receive any payments or benefits under this Agreement, other than as set forth in Section 5.1.</w:t>
      </w:r>
    </w:p>
    <w:p>
      <w:pPr>
        <w:spacing w:after="0" w:line="179" w:lineRule="exact"/>
        <w:rPr>
          <w:sz w:val="20"/>
          <w:szCs w:val="20"/>
          <w:color w:val="auto"/>
        </w:rPr>
      </w:pPr>
    </w:p>
    <w:p>
      <w:pPr>
        <w:jc w:val="both"/>
        <w:ind w:left="740" w:right="360" w:hanging="3"/>
        <w:spacing w:after="0" w:line="233" w:lineRule="auto"/>
        <w:tabs>
          <w:tab w:leader="none" w:pos="100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Conditions to Receipt of Severance Benefits. </w:t>
      </w:r>
      <w:r>
        <w:rPr>
          <w:rFonts w:ascii="Times New Roman" w:cs="Times New Roman" w:eastAsia="Times New Roman" w:hAnsi="Times New Roman"/>
          <w:sz w:val="22"/>
          <w:szCs w:val="22"/>
          <w:color w:val="auto"/>
        </w:rPr>
        <w:t>As a condition to receiving the payments and benefits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5.2 and Section 5.3, (i) Executive must execute and deliver to the Company a release of claims in a form reasonably acceptable to the Company and such release must have become effective and the revocation period provided therein must have expired without Executive having revoked such release within the 60-day period following the date of termination, and (ii) Executive must not have revoked or breached the provisions of such release or breached the provisions of the Restrictive Covenant Agreement. In the event that Executive does not execute and deliver such release, such release does not become effective and irrevocable within such period or Executive revokes or breaches the provisions of the release or breaches the provisions of the Restrictive Covenant Agreement, Executive (A) will be deemed to have voluntarily resigned Executive’s employment hereunder without Good Reason, (B) will not be entitled to the payments, benefits or accelerated vesting described in Section 5.2 or Section 5.3 and (C) will be required to reimburse the Company, in cash within five business days after written demand is made by the Company therefore, for an amount equal to the value of any payments or benefits Executive received pursuant to Section 5.2 or Section 5.3.</w:t>
      </w:r>
    </w:p>
    <w:p>
      <w:pPr>
        <w:spacing w:after="0" w:line="182" w:lineRule="exact"/>
        <w:rPr>
          <w:rFonts w:ascii="Times New Roman" w:cs="Times New Roman" w:eastAsia="Times New Roman" w:hAnsi="Times New Roman"/>
          <w:sz w:val="22"/>
          <w:szCs w:val="22"/>
          <w:b w:val="1"/>
          <w:bCs w:val="1"/>
          <w:color w:val="auto"/>
        </w:rPr>
      </w:pPr>
    </w:p>
    <w:p>
      <w:pPr>
        <w:jc w:val="both"/>
        <w:ind w:left="740" w:right="360" w:hanging="3"/>
        <w:spacing w:after="0" w:line="244" w:lineRule="auto"/>
        <w:tabs>
          <w:tab w:leader="none" w:pos="100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It is intended that all of the severance benefits and other payments payable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satisfy, to the greatest extent possible, the exemptions from the application of Section 409A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All payments and benefits that are payable upon a termination of employment hereunder shall be paid or provided only upon Executive’s “separation from service” from the Company (within the meaning of Section 409A). For purposes of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termination to be a “specified employee” for purposes of Section 409A(a)(2)(B)(i), and if any of the payments upon termination set forth herein and/or under any other agreement with the Company are deemed to be “deferred compensation”, then to</w:t>
      </w:r>
    </w:p>
    <w:p>
      <w:pPr>
        <w:spacing w:after="0" w:line="34" w:lineRule="exact"/>
        <w:rPr>
          <w:sz w:val="20"/>
          <w:szCs w:val="20"/>
          <w:color w:val="auto"/>
        </w:rPr>
      </w:pPr>
    </w:p>
    <w:p>
      <w:pPr>
        <w:jc w:val="both"/>
        <w:ind w:left="740" w:right="360"/>
        <w:spacing w:after="0" w:line="239" w:lineRule="auto"/>
        <w:rPr>
          <w:sz w:val="20"/>
          <w:szCs w:val="20"/>
          <w:color w:val="auto"/>
        </w:rPr>
      </w:pPr>
      <w:r>
        <w:rPr>
          <w:rFonts w:ascii="Times New Roman" w:cs="Times New Roman" w:eastAsia="Times New Roman" w:hAnsi="Times New Roman"/>
          <w:sz w:val="22"/>
          <w:szCs w:val="22"/>
          <w:color w:val="auto"/>
        </w:rPr>
        <w:t>the extent delayed commencement of any portion of such payments is required in order to avoid a prohibited distribution under Section 409A(a)(2)(B)(i) and the related adverse taxation under Section 409A, such payments shall not be provided to Executive prior to the earliest of (i) the expiration of the six-month period measured from the date of Executive’s termination with the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760" w:right="360"/>
        <w:spacing w:after="0" w:line="238" w:lineRule="auto"/>
        <w:rPr>
          <w:sz w:val="20"/>
          <w:szCs w:val="20"/>
          <w:color w:val="auto"/>
        </w:rPr>
      </w:pPr>
      <w:r>
        <w:rPr>
          <w:rFonts w:ascii="Times New Roman" w:cs="Times New Roman" w:eastAsia="Times New Roman" w:hAnsi="Times New Roman"/>
          <w:sz w:val="22"/>
          <w:szCs w:val="22"/>
          <w:color w:val="auto"/>
        </w:rPr>
        <w:t>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7 shall be paid in a lump sum to Executive, and any remaining payments due shall be paid as otherwise provided herein or in the applicable agreement. No interest shall be due on any amounts so deferred.</w:t>
      </w:r>
    </w:p>
    <w:p>
      <w:pPr>
        <w:spacing w:after="0" w:line="173" w:lineRule="exact"/>
        <w:rPr>
          <w:sz w:val="20"/>
          <w:szCs w:val="20"/>
          <w:color w:val="auto"/>
        </w:rPr>
      </w:pPr>
    </w:p>
    <w:p>
      <w:pPr>
        <w:jc w:val="both"/>
        <w:ind w:left="760" w:right="360"/>
        <w:spacing w:after="0" w:line="243" w:lineRule="auto"/>
        <w:rPr>
          <w:sz w:val="20"/>
          <w:szCs w:val="20"/>
          <w:color w:val="auto"/>
        </w:rPr>
      </w:pPr>
      <w:r>
        <w:rPr>
          <w:rFonts w:ascii="Times New Roman" w:cs="Times New Roman" w:eastAsia="Times New Roman" w:hAnsi="Times New Roman"/>
          <w:sz w:val="21"/>
          <w:szCs w:val="21"/>
          <w:b w:val="1"/>
          <w:bCs w:val="1"/>
          <w:color w:val="auto"/>
        </w:rPr>
        <w:t>8. Section 280G. In the event that the severance and other benefits provided for in this Agreement or otherwise payable to Executive (i) constitute “parachute payments” within the meaning of Section 280G of the Code and (ii) but for this Section 8, would be subject to the excise tax imposed by Section 4999 of the Code, then,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Executive. Unless the Company and Executive otherwise agree in writing, any determination required under this Section 8 shall be made in writing by the Company’s independent public accountants (the “Accountants”), whose determination shall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 Section 8. The Company shall bear all costs the Accountants may reasonably incur in connection with any calculations contemplated by this Section 8.</w:t>
      </w:r>
    </w:p>
    <w:p>
      <w:pPr>
        <w:spacing w:after="0" w:line="185"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jc w:val="both"/>
        <w:ind w:left="760" w:right="36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9.1Cause.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“Cause” </w:t>
      </w:r>
      <w:r>
        <w:rPr>
          <w:rFonts w:ascii="Times New Roman" w:cs="Times New Roman" w:eastAsia="Times New Roman" w:hAnsi="Times New Roman"/>
          <w:sz w:val="22"/>
          <w:szCs w:val="22"/>
          <w:color w:val="auto"/>
        </w:rPr>
        <w:t>for termination will mean: (i) a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breach of any of Executive’s obligations or duties pursuant to this Agreement or the Restrictive Covenant Agreement, which remains uncured seven days after Executive becomes aware of the breach by formal written notification by the Company; (ii) gross negligence, willful misconduct or breach of fiduciary duty in the course of employment; (iii) any action or activity that is contrary to applicable insider trading rules or any other applicable securities rules or legislation; (iv) a material act or omission involving substantial dishonesty or fraud that harms or would reasonably be expected to harm the Company; or (v) commission of, conviction or</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indictment for, or plea of no contest to, any felony (or state law equivalent) or any crime involving moral turpitude.</w:t>
      </w:r>
    </w:p>
    <w:p>
      <w:pPr>
        <w:spacing w:after="0" w:line="202" w:lineRule="exact"/>
        <w:rPr>
          <w:sz w:val="20"/>
          <w:szCs w:val="20"/>
          <w:color w:val="auto"/>
        </w:rPr>
      </w:pPr>
    </w:p>
    <w:p>
      <w:pPr>
        <w:jc w:val="both"/>
        <w:ind w:left="760" w:right="36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9.2Good Reason.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will mean any of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actions taken by the Company without Executive’s prior written consent: (i) a material adverse change in Executive’s position, title, office or duties or assignment of any</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740" w:right="360"/>
        <w:spacing w:after="0" w:line="238" w:lineRule="auto"/>
        <w:rPr>
          <w:sz w:val="20"/>
          <w:szCs w:val="20"/>
          <w:color w:val="auto"/>
        </w:rPr>
      </w:pPr>
      <w:r>
        <w:rPr>
          <w:rFonts w:ascii="Times New Roman" w:cs="Times New Roman" w:eastAsia="Times New Roman" w:hAnsi="Times New Roman"/>
          <w:sz w:val="22"/>
          <w:szCs w:val="22"/>
          <w:color w:val="auto"/>
        </w:rPr>
        <w:t>significant duties to Executive that are materially inconsistent with the position or offices held by Executive; (ii) Executive no longer serving as a Section 16 officer or, if the Company’s ultimate parent following a Change in Control is not a public company, not reporting to the Chief Executive Officer of the Company’s ultimate parent);</w:t>
      </w:r>
    </w:p>
    <w:p>
      <w:pPr>
        <w:jc w:val="both"/>
        <w:ind w:left="740" w:right="360" w:hanging="3"/>
        <w:spacing w:after="0" w:line="244" w:lineRule="auto"/>
        <w:tabs>
          <w:tab w:leader="none" w:pos="112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decrease in Executive’s base salary by more than 10% (other than in connection with a broad-based reduction in the base salaries of all other officers of the Company); or (iv) a relocation that increases Executive’s one-way commute by more than 25 miles. In order to resign for Good Reason, Executive must provide written notice to the Company’s Chief Executive Officer within 60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such cure period.</w:t>
      </w:r>
    </w:p>
    <w:p>
      <w:pPr>
        <w:spacing w:after="0" w:line="170" w:lineRule="exact"/>
        <w:rPr>
          <w:sz w:val="20"/>
          <w:szCs w:val="20"/>
          <w:color w:val="auto"/>
        </w:rPr>
      </w:pPr>
    </w:p>
    <w:p>
      <w:pPr>
        <w:jc w:val="both"/>
        <w:ind w:left="740" w:right="380" w:firstLine="1497"/>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9.3Change of Control.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“Change of Control” </w:t>
      </w:r>
      <w:r>
        <w:rPr>
          <w:rFonts w:ascii="Times New Roman" w:cs="Times New Roman" w:eastAsia="Times New Roman" w:hAnsi="Times New Roman"/>
          <w:sz w:val="22"/>
          <w:szCs w:val="22"/>
          <w:color w:val="auto"/>
        </w:rPr>
        <w:t>means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occurrence of one or more of the following: (a) a merger, a consolidation, a reorganization or an arrangement that results in a transfer of more than fifty percent (50%) of the total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(b) a direct or indirect sale or other transfer of beneficial ownership of securities of the Company possessing more than fifty percent (50%) of the total combined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(c) a direct or indirect sale or other transfer of the right to appoint more than fifty percent (50%) of the directors of the Board or otherwise directly or indirectly control the management, affairs and business of the Company to a person or a group of persons different from a person or a group of persons holding this right immediately prior to such transaction (other than the Company or a person that directly or indirectly controls, is controlled by, or is under common control with, the Company); (d) a direct or indirect sale or other transfer of all or substantially all of the assets of the Company to a person or a group of persons different from a person or a group of persons holding those assets immediately prior to such transaction (other than the Company or a person that directly or indirectly controls, is controlled by, or is under common control with, the Company); or (e) a complete liquidation, dissolution or winding-up of the Company;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Change in Control will not be deemed to have occurred if such Change in Control results solely from the issuance, in connection with a bona fide financing or series of financings by the Company, of voting securities of the Company or any rights to acquire voting securities of the Company which are convertible into voting securities.</w:t>
      </w:r>
    </w:p>
    <w:p>
      <w:pPr>
        <w:spacing w:after="0" w:line="34" w:lineRule="exact"/>
        <w:rPr>
          <w:sz w:val="20"/>
          <w:szCs w:val="20"/>
          <w:color w:val="auto"/>
        </w:rPr>
      </w:pPr>
    </w:p>
    <w:p>
      <w:pPr>
        <w:jc w:val="both"/>
        <w:ind w:left="740" w:right="36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10.Proprietary Information Obligations. </w:t>
      </w:r>
      <w:r>
        <w:rPr>
          <w:rFonts w:ascii="Times New Roman" w:cs="Times New Roman" w:eastAsia="Times New Roman" w:hAnsi="Times New Roman"/>
          <w:sz w:val="22"/>
          <w:szCs w:val="22"/>
          <w:color w:val="auto"/>
        </w:rPr>
        <w:t>As an employee of the Company, Executive will have access to certain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confidential information of the Company and Executive may, during the course of Executive’s employment develop certain information or inventions that will be the property of the Company. To protect the Company’s interests, as a condition of employment, Executive must execute and abide by the Employee Proprietary Information, Restrictive Covenant and Invention Assignment Agreement attached here 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“Restrictive Covenant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80" w:hanging="743"/>
        <w:spacing w:after="0"/>
        <w:tabs>
          <w:tab w:leader="none" w:pos="148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Outside Activities During Employment.</w:t>
      </w:r>
    </w:p>
    <w:p>
      <w:pPr>
        <w:spacing w:after="0" w:line="206" w:lineRule="exact"/>
        <w:rPr>
          <w:sz w:val="20"/>
          <w:szCs w:val="20"/>
          <w:color w:val="auto"/>
        </w:rPr>
      </w:pPr>
    </w:p>
    <w:p>
      <w:pPr>
        <w:jc w:val="both"/>
        <w:ind w:left="740" w:right="38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11.1Non-Company Business. </w:t>
      </w:r>
      <w:r>
        <w:rPr>
          <w:rFonts w:ascii="Times New Roman" w:cs="Times New Roman" w:eastAsia="Times New Roman" w:hAnsi="Times New Roman"/>
          <w:sz w:val="22"/>
          <w:szCs w:val="22"/>
          <w:color w:val="auto"/>
        </w:rPr>
        <w:t>Except with the prior written consent of the Board, Executive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during the term of Executive’s employment with the Company undertake or engage in any other employment, occupation or business enterprise, other than ones in which Executive is a passive investor, provided that they do not violate the Restrictive Covenant Agreement. Executive may engage in civic and not-for-profit activities so long as such activities do not materially interfere with the performance of Executive’s duties hereunder.</w:t>
      </w:r>
    </w:p>
    <w:p>
      <w:pPr>
        <w:spacing w:after="0" w:line="177" w:lineRule="exact"/>
        <w:rPr>
          <w:sz w:val="20"/>
          <w:szCs w:val="20"/>
          <w:color w:val="auto"/>
        </w:rPr>
      </w:pPr>
    </w:p>
    <w:p>
      <w:pPr>
        <w:jc w:val="both"/>
        <w:ind w:left="740" w:right="38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11.2No Adverse Interests. </w:t>
      </w:r>
      <w:r>
        <w:rPr>
          <w:rFonts w:ascii="Times New Roman" w:cs="Times New Roman" w:eastAsia="Times New Roman" w:hAnsi="Times New Roman"/>
          <w:sz w:val="22"/>
          <w:szCs w:val="22"/>
          <w:color w:val="auto"/>
        </w:rPr>
        <w:t>Executive agrees not to acquire, assume or participate in,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indirectly, any position, investment or interest known to be adverse or antagonistic to the Company, its business or prospects, financial or otherwise.</w:t>
      </w:r>
    </w:p>
    <w:p>
      <w:pPr>
        <w:spacing w:after="0" w:line="167" w:lineRule="exact"/>
        <w:rPr>
          <w:sz w:val="20"/>
          <w:szCs w:val="20"/>
          <w:color w:val="auto"/>
        </w:rPr>
      </w:pPr>
    </w:p>
    <w:p>
      <w:pPr>
        <w:jc w:val="both"/>
        <w:ind w:left="740" w:right="380"/>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12.Dispute Resolution. </w:t>
      </w:r>
      <w:r>
        <w:rPr>
          <w:rFonts w:ascii="Times New Roman" w:cs="Times New Roman" w:eastAsia="Times New Roman" w:hAnsi="Times New Roman"/>
          <w:sz w:val="21"/>
          <w:szCs w:val="21"/>
          <w:color w:val="auto"/>
        </w:rPr>
        <w:t>To ensure the timely and economical resolution of disputes that may arise in connection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Executive’s employment with the Company, Executive and the 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 resolved to the fullest extent permitted by law by final, binding and confidential arbitration, by a single arbitrator, in Wilmington, Delaware conducted by JAMS, Inc. (“</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under the then applicable JAMS rules or by another arbitration company if mutually agreed upon by Executive and Board.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w:t>
      </w:r>
    </w:p>
    <w:p>
      <w:pPr>
        <w:spacing w:after="0" w:line="3" w:lineRule="exact"/>
        <w:rPr>
          <w:sz w:val="20"/>
          <w:szCs w:val="20"/>
          <w:color w:val="auto"/>
        </w:rPr>
      </w:pPr>
    </w:p>
    <w:p>
      <w:pPr>
        <w:jc w:val="both"/>
        <w:ind w:left="740" w:right="380" w:hanging="3"/>
        <w:spacing w:after="0" w:line="232" w:lineRule="auto"/>
        <w:tabs>
          <w:tab w:leader="none" w:pos="105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26" w:lineRule="exact"/>
        <w:rPr>
          <w:sz w:val="20"/>
          <w:szCs w:val="20"/>
          <w:color w:val="auto"/>
        </w:rPr>
      </w:pPr>
    </w:p>
    <w:p>
      <w:pPr>
        <w:ind w:left="1480" w:hanging="743"/>
        <w:spacing w:after="0"/>
        <w:tabs>
          <w:tab w:leader="none" w:pos="148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06" w:lineRule="exact"/>
        <w:rPr>
          <w:sz w:val="20"/>
          <w:szCs w:val="20"/>
          <w:color w:val="auto"/>
        </w:rPr>
      </w:pPr>
    </w:p>
    <w:p>
      <w:pPr>
        <w:jc w:val="both"/>
        <w:ind w:left="740" w:right="38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13.1Notices. </w:t>
      </w:r>
      <w:r>
        <w:rPr>
          <w:rFonts w:ascii="Times New Roman" w:cs="Times New Roman" w:eastAsia="Times New Roman" w:hAnsi="Times New Roman"/>
          <w:sz w:val="22"/>
          <w:szCs w:val="22"/>
          <w:color w:val="auto"/>
        </w:rPr>
        <w:t>Any notices provided must be in writing and will be deemed effective upon the earlier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personal delivery (including personal delivery by fax) or the next day after sending by overnight carrier, to the Company at its primary office location and to Executive at the address as listed on the Company payroll.</w:t>
      </w:r>
    </w:p>
    <w:p>
      <w:pPr>
        <w:spacing w:after="0" w:line="154" w:lineRule="exact"/>
        <w:rPr>
          <w:sz w:val="20"/>
          <w:szCs w:val="20"/>
          <w:color w:val="auto"/>
        </w:rPr>
      </w:pPr>
    </w:p>
    <w:p>
      <w:pPr>
        <w:jc w:val="both"/>
        <w:ind w:left="740" w:right="380" w:firstLine="149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13.2Severability. </w:t>
      </w:r>
      <w:r>
        <w:rPr>
          <w:rFonts w:ascii="Times New Roman" w:cs="Times New Roman" w:eastAsia="Times New Roman" w:hAnsi="Times New Roman"/>
          <w:sz w:val="21"/>
          <w:szCs w:val="21"/>
          <w:color w:val="auto"/>
        </w:rPr>
        <w:t>Whenever possible, each provision of this Agreement will be interpreted in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740" w:right="38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13.3Waiver. </w:t>
      </w:r>
      <w:r>
        <w:rPr>
          <w:rFonts w:ascii="Times New Roman" w:cs="Times New Roman" w:eastAsia="Times New Roman" w:hAnsi="Times New Roman"/>
          <w:sz w:val="22"/>
          <w:szCs w:val="22"/>
          <w:color w:val="auto"/>
        </w:rPr>
        <w:t>Any waiver of any breach of any provisions of this Agreement must be in writing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effective, and it shall not thereby be deemed to have waived any preceding or succeeding breach of the same or any other provision of this Agreement.</w:t>
      </w:r>
    </w:p>
    <w:p>
      <w:pPr>
        <w:spacing w:after="0" w:line="167" w:lineRule="exact"/>
        <w:rPr>
          <w:sz w:val="20"/>
          <w:szCs w:val="20"/>
          <w:color w:val="auto"/>
        </w:rPr>
      </w:pPr>
    </w:p>
    <w:p>
      <w:pPr>
        <w:jc w:val="both"/>
        <w:ind w:left="740" w:right="380"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13.4Complete Agreement. </w:t>
      </w:r>
      <w:r>
        <w:rPr>
          <w:rFonts w:ascii="Times New Roman" w:cs="Times New Roman" w:eastAsia="Times New Roman" w:hAnsi="Times New Roman"/>
          <w:sz w:val="22"/>
          <w:szCs w:val="22"/>
          <w:color w:val="auto"/>
        </w:rPr>
        <w:t>This Agreement, together with the Restrictive Covenant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the entire agreement between Executive and the Company with regard to this subject matter and is the complete, final, and exclusive embodiment of the Parties’ agreement with regard to this subject matter, and supersedes all prior or contemporaneous offers, negotiations and agreements, whether written or oral, relating to such subject matter.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74" w:lineRule="exact"/>
        <w:rPr>
          <w:sz w:val="20"/>
          <w:szCs w:val="20"/>
          <w:color w:val="auto"/>
        </w:rPr>
      </w:pPr>
    </w:p>
    <w:p>
      <w:pPr>
        <w:jc w:val="both"/>
        <w:ind w:left="740" w:right="38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13.5Counterparts. </w:t>
      </w:r>
      <w:r>
        <w:rPr>
          <w:rFonts w:ascii="Times New Roman" w:cs="Times New Roman" w:eastAsia="Times New Roman" w:hAnsi="Times New Roman"/>
          <w:sz w:val="22"/>
          <w:szCs w:val="22"/>
          <w:color w:val="auto"/>
        </w:rPr>
        <w:t>This Agreement may be executed in separate counterparts, any one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need not contain signatures of more than one party, but all of which taken together will constitute one and the same Agreement.</w:t>
      </w:r>
    </w:p>
    <w:p>
      <w:pPr>
        <w:spacing w:after="0" w:line="154" w:lineRule="exact"/>
        <w:rPr>
          <w:sz w:val="20"/>
          <w:szCs w:val="20"/>
          <w:color w:val="auto"/>
        </w:rPr>
      </w:pPr>
    </w:p>
    <w:p>
      <w:pPr>
        <w:jc w:val="both"/>
        <w:ind w:left="740" w:right="38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13.6Headings. </w:t>
      </w:r>
      <w:r>
        <w:rPr>
          <w:rFonts w:ascii="Times New Roman" w:cs="Times New Roman" w:eastAsia="Times New Roman" w:hAnsi="Times New Roman"/>
          <w:sz w:val="22"/>
          <w:szCs w:val="22"/>
          <w:color w:val="auto"/>
        </w:rPr>
        <w:t>The headings of the paragraphs hereof are inserted for convenience only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deemed to constitute a part hereof nor to affect the meaning thereof.</w:t>
      </w:r>
    </w:p>
    <w:p>
      <w:pPr>
        <w:spacing w:after="0" w:line="150" w:lineRule="exact"/>
        <w:rPr>
          <w:sz w:val="20"/>
          <w:szCs w:val="20"/>
          <w:color w:val="auto"/>
        </w:rPr>
      </w:pPr>
    </w:p>
    <w:p>
      <w:pPr>
        <w:jc w:val="both"/>
        <w:ind w:left="740" w:right="38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13.7Successors and Assigns. </w:t>
      </w:r>
      <w:r>
        <w:rPr>
          <w:rFonts w:ascii="Times New Roman" w:cs="Times New Roman" w:eastAsia="Times New Roman" w:hAnsi="Times New Roman"/>
          <w:sz w:val="22"/>
          <w:szCs w:val="22"/>
          <w:color w:val="auto"/>
        </w:rPr>
        <w:t>This Agreement is intended to bind and inure to the benefit of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w:t>
      </w:r>
    </w:p>
    <w:p>
      <w:pPr>
        <w:spacing w:after="0" w:line="172" w:lineRule="exact"/>
        <w:rPr>
          <w:sz w:val="20"/>
          <w:szCs w:val="20"/>
          <w:color w:val="auto"/>
        </w:rPr>
      </w:pPr>
    </w:p>
    <w:p>
      <w:pPr>
        <w:jc w:val="both"/>
        <w:ind w:left="740" w:right="380" w:firstLine="149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13.8Tax Withholding and Indemnification. </w:t>
      </w:r>
      <w:r>
        <w:rPr>
          <w:rFonts w:ascii="Times New Roman" w:cs="Times New Roman" w:eastAsia="Times New Roman" w:hAnsi="Times New Roman"/>
          <w:sz w:val="21"/>
          <w:szCs w:val="21"/>
          <w:color w:val="auto"/>
        </w:rPr>
        <w:t>All payments and awards contemplated or made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w:t>
      </w:r>
    </w:p>
    <w:p>
      <w:pPr>
        <w:spacing w:after="0" w:line="13" w:lineRule="exact"/>
        <w:rPr>
          <w:sz w:val="20"/>
          <w:szCs w:val="20"/>
          <w:color w:val="auto"/>
        </w:rPr>
      </w:pPr>
    </w:p>
    <w:p>
      <w:pPr>
        <w:jc w:val="both"/>
        <w:ind w:left="740" w:right="380"/>
        <w:spacing w:after="0" w:line="244" w:lineRule="auto"/>
        <w:rPr>
          <w:sz w:val="20"/>
          <w:szCs w:val="20"/>
          <w:color w:val="auto"/>
        </w:rPr>
      </w:pPr>
      <w:r>
        <w:rPr>
          <w:rFonts w:ascii="Times New Roman" w:cs="Times New Roman" w:eastAsia="Times New Roman" w:hAnsi="Times New Roman"/>
          <w:sz w:val="22"/>
          <w:szCs w:val="22"/>
          <w:color w:val="auto"/>
        </w:rPr>
        <w:t>contemplated by or made pursuant to this Agreement. Executive has had the opportunity to retain a tax and financial advisor and fully understands the tax and economic consequences of all payments and awards made pursuant to the Agreement.</w:t>
      </w:r>
    </w:p>
    <w:p>
      <w:pPr>
        <w:spacing w:after="0" w:line="156" w:lineRule="exact"/>
        <w:rPr>
          <w:sz w:val="20"/>
          <w:szCs w:val="20"/>
          <w:color w:val="auto"/>
        </w:rPr>
      </w:pPr>
    </w:p>
    <w:p>
      <w:pPr>
        <w:ind w:left="740" w:right="6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13.9Choice of Law. </w:t>
      </w:r>
      <w:r>
        <w:rPr>
          <w:rFonts w:ascii="Times New Roman" w:cs="Times New Roman" w:eastAsia="Times New Roman" w:hAnsi="Times New Roman"/>
          <w:sz w:val="22"/>
          <w:szCs w:val="22"/>
          <w:color w:val="auto"/>
        </w:rPr>
        <w:t>All questions concerning the construction, validity and interpretation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governed by the laws of the State of Delaware.</w:t>
      </w:r>
    </w:p>
    <w:p>
      <w:pPr>
        <w:spacing w:after="0" w:line="15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655955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this Agreement on the day and year first written</w:t>
      </w:r>
    </w:p>
    <w:p>
      <w:pPr>
        <w:spacing w:after="0" w:line="1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relude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ncorporated</w:t>
      </w: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By: /s/ Michele Porreca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-4445</wp:posOffset>
            </wp:positionV>
            <wp:extent cx="10598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 xml:space="preserve">Title: </w:t>
      </w:r>
      <w:r>
        <w:rPr>
          <w:rFonts w:ascii="Arial" w:cs="Arial" w:eastAsia="Arial" w:hAnsi="Arial"/>
          <w:sz w:val="16"/>
          <w:szCs w:val="16"/>
          <w:color w:val="auto"/>
        </w:rPr>
        <w:t>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-10160</wp:posOffset>
            </wp:positionV>
            <wp:extent cx="11487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14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harles</w:t>
      </w:r>
      <w:r>
        <w:rPr>
          <w:rFonts w:ascii="Times New Roman" w:cs="Times New Roman" w:eastAsia="Times New Roman" w:hAnsi="Times New Roman"/>
          <w:sz w:val="22"/>
          <w:szCs w:val="22"/>
          <w:b w:val="1"/>
          <w:bCs w:val="1"/>
          <w:color w:val="auto"/>
        </w:rPr>
        <w:t xml:space="preserve"> M</w:t>
      </w:r>
      <w:r>
        <w:rPr>
          <w:rFonts w:ascii="Times New Roman" w:cs="Times New Roman" w:eastAsia="Times New Roman" w:hAnsi="Times New Roman"/>
          <w:sz w:val="14"/>
          <w:szCs w:val="14"/>
          <w:b w:val="1"/>
          <w:bCs w:val="1"/>
          <w:color w:val="auto"/>
        </w:rPr>
        <w:t>orris</w:t>
      </w:r>
    </w:p>
    <w:p>
      <w:pPr>
        <w:spacing w:after="0" w:line="2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u w:val="single" w:color="auto"/>
          <w:color w:val="auto"/>
        </w:rPr>
        <w:t>/s/ Charles Morris</w:t>
      </w:r>
    </w:p>
    <w:p>
      <w:pPr>
        <w:spacing w:after="0" w:line="11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03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Employee Proprietary Information, Restrictive Covenant and Invention Assignment Agreement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4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made between Prelude Therapeutics Incorporated,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Sean Brusky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collectively with the Company,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230" w:lineRule="auto"/>
        <w:rPr>
          <w:sz w:val="20"/>
          <w:szCs w:val="20"/>
          <w:color w:val="auto"/>
        </w:rPr>
      </w:pPr>
      <w:r>
        <w:rPr>
          <w:rFonts w:ascii="Times New Roman" w:cs="Times New Roman" w:eastAsia="Times New Roman" w:hAnsi="Times New Roman"/>
          <w:sz w:val="22"/>
          <w:szCs w:val="22"/>
          <w:color w:val="auto"/>
        </w:rPr>
        <w:t>is entered into as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5, 2024.</w:t>
      </w:r>
    </w:p>
    <w:p>
      <w:pPr>
        <w:spacing w:after="0" w:line="205" w:lineRule="exact"/>
        <w:rPr>
          <w:sz w:val="20"/>
          <w:szCs w:val="20"/>
          <w:color w:val="auto"/>
        </w:rPr>
      </w:pPr>
    </w:p>
    <w:p>
      <w:pPr>
        <w:jc w:val="both"/>
        <w:ind w:right="380"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to employ Executive as the Company’s Chief Business Officer, and the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desires to accept such employment, on the terms and conditions set forth in this Agreement;</w:t>
      </w:r>
    </w:p>
    <w:p>
      <w:pPr>
        <w:spacing w:after="0" w:line="150" w:lineRule="exact"/>
        <w:rPr>
          <w:sz w:val="20"/>
          <w:szCs w:val="20"/>
          <w:color w:val="auto"/>
        </w:rPr>
      </w:pPr>
    </w:p>
    <w:p>
      <w:pPr>
        <w:jc w:val="both"/>
        <w:ind w:right="380"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2"/>
          <w:szCs w:val="22"/>
          <w:color w:val="auto"/>
        </w:rPr>
        <w:t>, in consideration of the mutual promises and covenants contained herein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hereto agree as follows:</w:t>
      </w:r>
    </w:p>
    <w:p>
      <w:pPr>
        <w:spacing w:after="0" w:line="150" w:lineRule="exact"/>
        <w:rPr>
          <w:sz w:val="20"/>
          <w:szCs w:val="20"/>
          <w:color w:val="auto"/>
        </w:rPr>
      </w:pPr>
    </w:p>
    <w:p>
      <w:pPr>
        <w:ind w:left="1500" w:hanging="743"/>
        <w:spacing w:after="0"/>
        <w:tabs>
          <w:tab w:leader="none" w:pos="150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by the Company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80" w:firstLine="1872"/>
        <w:spacing w:after="0" w:line="246" w:lineRule="auto"/>
        <w:rPr>
          <w:sz w:val="20"/>
          <w:szCs w:val="20"/>
          <w:color w:val="auto"/>
        </w:rPr>
      </w:pPr>
      <w:r>
        <w:rPr>
          <w:rFonts w:ascii="Times New Roman" w:cs="Times New Roman" w:eastAsia="Times New Roman" w:hAnsi="Times New Roman"/>
          <w:sz w:val="22"/>
          <w:szCs w:val="22"/>
          <w:b w:val="1"/>
          <w:bCs w:val="1"/>
          <w:color w:val="auto"/>
        </w:rPr>
        <w:t>1.1Employment</w:t>
      </w:r>
      <w:r>
        <w:rPr>
          <w:rFonts w:ascii="Times New Roman" w:cs="Times New Roman" w:eastAsia="Times New Roman" w:hAnsi="Times New Roman"/>
          <w:sz w:val="22"/>
          <w:szCs w:val="22"/>
          <w:color w:val="auto"/>
        </w:rPr>
        <w:t>. This Agreement shall govern the terms of Executive’s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which shall commence as of April 8, 2024, or such other date as mutually determined by Executive and the Company (such date,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right="380" w:firstLine="1872"/>
        <w:spacing w:after="0" w:line="241" w:lineRule="auto"/>
        <w:rPr>
          <w:sz w:val="20"/>
          <w:szCs w:val="20"/>
          <w:color w:val="auto"/>
        </w:rPr>
      </w:pPr>
      <w:r>
        <w:rPr>
          <w:rFonts w:ascii="Times New Roman" w:cs="Times New Roman" w:eastAsia="Times New Roman" w:hAnsi="Times New Roman"/>
          <w:sz w:val="22"/>
          <w:szCs w:val="22"/>
          <w:b w:val="1"/>
          <w:bCs w:val="1"/>
          <w:color w:val="auto"/>
        </w:rPr>
        <w:t>1.2Position</w:t>
      </w:r>
      <w:r>
        <w:rPr>
          <w:rFonts w:ascii="Times New Roman" w:cs="Times New Roman" w:eastAsia="Times New Roman" w:hAnsi="Times New Roman"/>
          <w:sz w:val="22"/>
          <w:szCs w:val="22"/>
          <w:color w:val="auto"/>
        </w:rPr>
        <w:t>. Executive shall serve as the Company’s Chief Business Officer. This is an exempt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and during the term of Executive’s employment with the Company hereunder, Executive will devote Executive’s best efforts and substantially all of Executive’s business time and attention to the business of the Company, except as otherwise set forth in Section 12.1.</w:t>
      </w:r>
    </w:p>
    <w:p>
      <w:pPr>
        <w:spacing w:after="0" w:line="172" w:lineRule="exact"/>
        <w:rPr>
          <w:sz w:val="20"/>
          <w:szCs w:val="20"/>
          <w:color w:val="auto"/>
        </w:rPr>
      </w:pPr>
    </w:p>
    <w:p>
      <w:pPr>
        <w:jc w:val="both"/>
        <w:ind w:right="380" w:firstLine="1872"/>
        <w:spacing w:after="0" w:line="235" w:lineRule="auto"/>
        <w:rPr>
          <w:sz w:val="20"/>
          <w:szCs w:val="20"/>
          <w:color w:val="auto"/>
        </w:rPr>
      </w:pPr>
      <w:r>
        <w:rPr>
          <w:rFonts w:ascii="Times New Roman" w:cs="Times New Roman" w:eastAsia="Times New Roman" w:hAnsi="Times New Roman"/>
          <w:sz w:val="22"/>
          <w:szCs w:val="22"/>
          <w:b w:val="1"/>
          <w:bCs w:val="1"/>
          <w:color w:val="auto"/>
        </w:rPr>
        <w:t>1.3Duties and Location</w:t>
      </w:r>
      <w:r>
        <w:rPr>
          <w:rFonts w:ascii="Times New Roman" w:cs="Times New Roman" w:eastAsia="Times New Roman" w:hAnsi="Times New Roman"/>
          <w:sz w:val="22"/>
          <w:szCs w:val="22"/>
          <w:color w:val="auto"/>
        </w:rPr>
        <w:t>. Executive shall perform such duties as are typically performed by a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Officer. Executive will initially report to the Company’s Chief Executive Officer. The Company shall permit Executive to work remotely from his home office in California (the “</w:t>
      </w:r>
      <w:r>
        <w:rPr>
          <w:rFonts w:ascii="Times New Roman" w:cs="Times New Roman" w:eastAsia="Times New Roman" w:hAnsi="Times New Roman"/>
          <w:sz w:val="22"/>
          <w:szCs w:val="22"/>
          <w:b w:val="1"/>
          <w:bCs w:val="1"/>
          <w:color w:val="auto"/>
        </w:rPr>
        <w:t>Remote Work Location</w:t>
      </w:r>
      <w:r>
        <w:rPr>
          <w:rFonts w:ascii="Times New Roman" w:cs="Times New Roman" w:eastAsia="Times New Roman" w:hAnsi="Times New Roman"/>
          <w:sz w:val="22"/>
          <w:szCs w:val="22"/>
          <w:color w:val="auto"/>
        </w:rPr>
        <w:t>”) provided that he dutifully performs his job duties and abides by all other Company policies. The Company reserves the right to require Executive to perform Executive’s duties at places other than Executive’s primary office location on occasion from time to time, and to require reasonable business travel to the Company’s primary office in Wilmington, Delaware, and other locations. The Company may modify Executive’s job title and duties as it deems necessary and appropriate in light of the Company’s needs and interests from time to time. Executive agrees to notify the Company in writing if he intends to change the Remote Work Location.</w:t>
      </w:r>
    </w:p>
    <w:p>
      <w:pPr>
        <w:spacing w:after="0" w:line="174" w:lineRule="exact"/>
        <w:rPr>
          <w:sz w:val="20"/>
          <w:szCs w:val="20"/>
          <w:color w:val="auto"/>
        </w:rPr>
      </w:pPr>
    </w:p>
    <w:p>
      <w:pPr>
        <w:jc w:val="both"/>
        <w:ind w:right="380" w:firstLine="1872"/>
        <w:spacing w:after="0" w:line="246" w:lineRule="auto"/>
        <w:rPr>
          <w:sz w:val="20"/>
          <w:szCs w:val="20"/>
          <w:color w:val="auto"/>
        </w:rPr>
      </w:pPr>
      <w:r>
        <w:rPr>
          <w:rFonts w:ascii="Times New Roman" w:cs="Times New Roman" w:eastAsia="Times New Roman" w:hAnsi="Times New Roman"/>
          <w:sz w:val="22"/>
          <w:szCs w:val="22"/>
          <w:b w:val="1"/>
          <w:bCs w:val="1"/>
          <w:color w:val="auto"/>
        </w:rPr>
        <w:t>1.4Policies and Procedures</w:t>
      </w:r>
      <w:r>
        <w:rPr>
          <w:rFonts w:ascii="Times New Roman" w:cs="Times New Roman" w:eastAsia="Times New Roman" w:hAnsi="Times New Roman"/>
          <w:sz w:val="22"/>
          <w:szCs w:val="22"/>
          <w:color w:val="auto"/>
        </w:rPr>
        <w:t>. The employment relationship between the Parties shall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employment policies and practices of the Company, except that when the terms of this Agreement differ from or are in conflict with the Company’s general employment policies or practices, this Agreement shall control.</w:t>
      </w:r>
    </w:p>
    <w:p>
      <w:pPr>
        <w:spacing w:after="0" w:line="167" w:lineRule="exact"/>
        <w:rPr>
          <w:sz w:val="20"/>
          <w:szCs w:val="20"/>
          <w:color w:val="auto"/>
        </w:rPr>
      </w:pPr>
    </w:p>
    <w:p>
      <w:pPr>
        <w:jc w:val="both"/>
        <w:ind w:right="380" w:firstLine="1872"/>
        <w:spacing w:after="0" w:line="241" w:lineRule="auto"/>
        <w:rPr>
          <w:sz w:val="20"/>
          <w:szCs w:val="20"/>
          <w:color w:val="auto"/>
        </w:rPr>
      </w:pPr>
      <w:r>
        <w:rPr>
          <w:rFonts w:ascii="Times New Roman" w:cs="Times New Roman" w:eastAsia="Times New Roman" w:hAnsi="Times New Roman"/>
          <w:sz w:val="22"/>
          <w:szCs w:val="22"/>
          <w:b w:val="1"/>
          <w:bCs w:val="1"/>
          <w:color w:val="auto"/>
        </w:rPr>
        <w:t>1.5Uniqueness of Executive’s Services</w:t>
      </w:r>
      <w:r>
        <w:rPr>
          <w:rFonts w:ascii="Times New Roman" w:cs="Times New Roman" w:eastAsia="Times New Roman" w:hAnsi="Times New Roman"/>
          <w:sz w:val="22"/>
          <w:szCs w:val="22"/>
          <w:color w:val="auto"/>
        </w:rPr>
        <w:t>. The Executive hereby represents and agrees that the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performed under the terms of this Agreement are of a special, unique, unusual, extraordinary, and intellectual character that gives them a unique value, the loss of which cannot be adequately compensated in damages in an action at law as described in Labor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 Section 2855(a) and for purposes thereof. The Executive, therefore, expressly agrees that the</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Company, in addition to any other rights or remedies that the Company may possess, shall be entitled to injunctive and other equitable relief to prevent or remedy the breach of this Agreement by the Executive.</w:t>
      </w:r>
    </w:p>
    <w:p>
      <w:pPr>
        <w:spacing w:after="0" w:line="154" w:lineRule="exact"/>
        <w:rPr>
          <w:sz w:val="20"/>
          <w:szCs w:val="20"/>
          <w:color w:val="auto"/>
        </w:rPr>
      </w:pPr>
    </w:p>
    <w:p>
      <w:pPr>
        <w:ind w:left="1500" w:hanging="743"/>
        <w:spacing w:after="0"/>
        <w:tabs>
          <w:tab w:leader="none" w:pos="15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80" w:firstLine="1872"/>
        <w:spacing w:after="0" w:line="241" w:lineRule="auto"/>
        <w:rPr>
          <w:sz w:val="20"/>
          <w:szCs w:val="20"/>
          <w:color w:val="auto"/>
        </w:rPr>
      </w:pPr>
      <w:r>
        <w:rPr>
          <w:rFonts w:ascii="Times New Roman" w:cs="Times New Roman" w:eastAsia="Times New Roman" w:hAnsi="Times New Roman"/>
          <w:sz w:val="22"/>
          <w:szCs w:val="22"/>
          <w:b w:val="1"/>
          <w:bCs w:val="1"/>
          <w:color w:val="auto"/>
        </w:rPr>
        <w:t>2.1Base Salary</w:t>
      </w:r>
      <w:r>
        <w:rPr>
          <w:rFonts w:ascii="Times New Roman" w:cs="Times New Roman" w:eastAsia="Times New Roman" w:hAnsi="Times New Roman"/>
          <w:sz w:val="22"/>
          <w:szCs w:val="22"/>
          <w:color w:val="auto"/>
        </w:rPr>
        <w:t>. For services to be rendered hereunder, the Company agrees to pay the Executive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 salary at an annual rate of not less than Four Hundred Fifteen Thousand U.S. Dollars ($415,000)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subject to standard payroll deductions and withholdings and payable in accordance with the Company’s regular payroll schedule.</w:t>
      </w:r>
    </w:p>
    <w:p>
      <w:pPr>
        <w:spacing w:after="0" w:line="172" w:lineRule="exact"/>
        <w:rPr>
          <w:sz w:val="20"/>
          <w:szCs w:val="20"/>
          <w:color w:val="auto"/>
        </w:rPr>
      </w:pPr>
    </w:p>
    <w:p>
      <w:pPr>
        <w:jc w:val="both"/>
        <w:ind w:right="380" w:firstLine="1872"/>
        <w:spacing w:after="0" w:line="235" w:lineRule="auto"/>
        <w:rPr>
          <w:sz w:val="20"/>
          <w:szCs w:val="20"/>
          <w:color w:val="auto"/>
        </w:rPr>
      </w:pPr>
      <w:r>
        <w:rPr>
          <w:rFonts w:ascii="Times New Roman" w:cs="Times New Roman" w:eastAsia="Times New Roman" w:hAnsi="Times New Roman"/>
          <w:sz w:val="22"/>
          <w:szCs w:val="22"/>
          <w:b w:val="1"/>
          <w:bCs w:val="1"/>
          <w:color w:val="auto"/>
        </w:rPr>
        <w:t>2.2Annual Bonus; Sign-On Bonus</w:t>
      </w:r>
      <w:r>
        <w:rPr>
          <w:rFonts w:ascii="Times New Roman" w:cs="Times New Roman" w:eastAsia="Times New Roman" w:hAnsi="Times New Roman"/>
          <w:sz w:val="22"/>
          <w:szCs w:val="22"/>
          <w:color w:val="auto"/>
        </w:rPr>
        <w:t>. Executive will be eligible for an annual discretionary bonus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target amount equal to 40% of Executive’s Base Salary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which shall be prorated for Executive’s initial year of employment. Whether Executive receives an Annual Bonus for any given year, and the amount of any such Annual Bonus, will be determined by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or the compensation committee thereof in its sole discretion based upon the Company’s achievement of objectives and milestones to be determined at the beginning of each year and mutually agreed upon by Executive and the Company’s Chief Executive Officer and approved by the compensation committee of the Board. Executive will not be eligible for, and will not earn, any Annual Bonus (including a prorated bonus) if Executive’s employment terminates for any reason before any Annual Bonus is paid.</w:t>
      </w:r>
    </w:p>
    <w:p>
      <w:pPr>
        <w:spacing w:after="0" w:line="178" w:lineRule="exact"/>
        <w:rPr>
          <w:sz w:val="20"/>
          <w:szCs w:val="20"/>
          <w:color w:val="auto"/>
        </w:rPr>
      </w:pPr>
    </w:p>
    <w:p>
      <w:pPr>
        <w:jc w:val="both"/>
        <w:ind w:right="380" w:firstLine="1872"/>
        <w:spacing w:after="0" w:line="233" w:lineRule="auto"/>
        <w:rPr>
          <w:sz w:val="20"/>
          <w:szCs w:val="20"/>
          <w:color w:val="auto"/>
        </w:rPr>
      </w:pPr>
      <w:r>
        <w:rPr>
          <w:rFonts w:ascii="Times New Roman" w:cs="Times New Roman" w:eastAsia="Times New Roman" w:hAnsi="Times New Roman"/>
          <w:sz w:val="22"/>
          <w:szCs w:val="22"/>
          <w:b w:val="1"/>
          <w:bCs w:val="1"/>
          <w:color w:val="auto"/>
        </w:rPr>
        <w:t>2.3Equity</w:t>
      </w:r>
      <w:r>
        <w:rPr>
          <w:rFonts w:ascii="Times New Roman" w:cs="Times New Roman" w:eastAsia="Times New Roman" w:hAnsi="Times New Roman"/>
          <w:sz w:val="22"/>
          <w:szCs w:val="22"/>
          <w:color w:val="auto"/>
        </w:rPr>
        <w:t>. Subject to approval by the Board or the compensation committee thereof,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Executive an option to purchase Three Hundred Thousand (300,000) shares of the Company’s common stock, with a per share exercise price equal to the fair market value of a share of the Company’s common stock on the date of grant, as determined by the Board or the compensation committee thereof in accordance with the Company’s customary stock option granting practices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Subject to approval by the Board, the Option will be granted on the first business day of the month following the Start Date. One-fourth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of the shares underlying the Option will vest and become exercisable on the one-year anniversary of the Start Date, and one-forty-eighth (1/48</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shares underlying the Option will vest and become exercisable on a monthly basis thereafter, such that 100% of the shares underlying the Option shall be vested and exercisable as of the four-year anniversary of the Start Date, in each case so long as Executive remains employed by the Company through each applicable vesting date. If the applicable vesting schedule results in a fractional share, such fractional share shall not vest until the next vesting date. The Option will be subject to the terms and conditions consistent with those provided in the Company’s 2020 Equity Incentive Plan, and will be governed in all respects by the terms of the applicable stock option agreement to be entered into between Executive and the Company, except as specifically provided herein. Further details regarding the Option will be provided to the Executive upon approval of such grant by the Board. Executive may be considered for future grants of equity awards in the discretion of the Board or the compensation committee thereof pursuant to its regular review process commencing in the first fiscal quarter of 2022.</w:t>
      </w:r>
    </w:p>
    <w:p>
      <w:pPr>
        <w:spacing w:after="0" w:line="26" w:lineRule="exact"/>
        <w:rPr>
          <w:sz w:val="20"/>
          <w:szCs w:val="20"/>
          <w:color w:val="auto"/>
        </w:rPr>
      </w:pPr>
    </w:p>
    <w:p>
      <w:pPr>
        <w:jc w:val="both"/>
        <w:ind w:right="380" w:firstLine="1872"/>
        <w:spacing w:after="0" w:line="238" w:lineRule="auto"/>
        <w:rPr>
          <w:sz w:val="20"/>
          <w:szCs w:val="20"/>
          <w:color w:val="auto"/>
        </w:rPr>
      </w:pPr>
      <w:r>
        <w:rPr>
          <w:rFonts w:ascii="Times New Roman" w:cs="Times New Roman" w:eastAsia="Times New Roman" w:hAnsi="Times New Roman"/>
          <w:sz w:val="22"/>
          <w:szCs w:val="22"/>
          <w:b w:val="1"/>
          <w:bCs w:val="1"/>
          <w:color w:val="auto"/>
        </w:rPr>
        <w:t>2.4Clawback</w:t>
      </w:r>
      <w:r>
        <w:rPr>
          <w:rFonts w:ascii="Times New Roman" w:cs="Times New Roman" w:eastAsia="Times New Roman" w:hAnsi="Times New Roman"/>
          <w:sz w:val="22"/>
          <w:szCs w:val="22"/>
          <w:color w:val="auto"/>
        </w:rPr>
        <w:t>. Notwithstanding any other provisions in this Agreement to the contrary, any incentive-based compensation, and any other compensation, paid or payable to the Executive pursuant to this Agreement or any other agreement or arrangement with the Company which is subject to recovery under any law, government regulation, order or stock exchange listing requirement, will be subject to such deductions and clawback (recovery) as may be required to be made pursuant to law, government regulation, order, stock exchange listing requirement as it</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relates specifically to the Frank-Dodd Act. The Executive specifically authorizes the Company to withhold from his future wages any amounts that may become due under this provision. This Section will survive the termination of this Agreement for a period of three (3) years.</w:t>
      </w:r>
    </w:p>
    <w:p>
      <w:pPr>
        <w:spacing w:after="0" w:line="169" w:lineRule="exact"/>
        <w:rPr>
          <w:sz w:val="20"/>
          <w:szCs w:val="20"/>
          <w:color w:val="auto"/>
        </w:rPr>
      </w:pPr>
    </w:p>
    <w:p>
      <w:pPr>
        <w:jc w:val="both"/>
        <w:ind w:right="380" w:firstLine="757"/>
        <w:spacing w:after="0" w:line="241" w:lineRule="auto"/>
        <w:tabs>
          <w:tab w:leader="none" w:pos="1009"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Standard Company Benefits</w:t>
      </w:r>
      <w:r>
        <w:rPr>
          <w:rFonts w:ascii="Times New Roman" w:cs="Times New Roman" w:eastAsia="Times New Roman" w:hAnsi="Times New Roman"/>
          <w:sz w:val="22"/>
          <w:szCs w:val="22"/>
          <w:color w:val="auto"/>
        </w:rPr>
        <w:t>. Executive shall be eligible to participate in all other employee benefit programs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which Executive is eligible under the terms and conditions of the benefit plans that may be in effect from time to time and provided by the Company to its employees. The Company may, in its sole discretion and from time to time, amend, eliminate or establish additional benefit programs, as it deems appropriate.</w:t>
      </w:r>
    </w:p>
    <w:p>
      <w:pPr>
        <w:spacing w:after="0" w:line="171" w:lineRule="exact"/>
        <w:rPr>
          <w:rFonts w:ascii="Times New Roman" w:cs="Times New Roman" w:eastAsia="Times New Roman" w:hAnsi="Times New Roman"/>
          <w:sz w:val="22"/>
          <w:szCs w:val="22"/>
          <w:b w:val="1"/>
          <w:bCs w:val="1"/>
          <w:color w:val="auto"/>
        </w:rPr>
      </w:pPr>
    </w:p>
    <w:p>
      <w:pPr>
        <w:jc w:val="both"/>
        <w:ind w:right="380" w:firstLine="757"/>
        <w:spacing w:after="0" w:line="241" w:lineRule="auto"/>
        <w:tabs>
          <w:tab w:leader="none" w:pos="1009"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Paid and Unpaid Leave</w:t>
      </w:r>
      <w:r>
        <w:rPr>
          <w:rFonts w:ascii="Times New Roman" w:cs="Times New Roman" w:eastAsia="Times New Roman" w:hAnsi="Times New Roman"/>
          <w:sz w:val="22"/>
          <w:szCs w:val="22"/>
          <w:color w:val="auto"/>
        </w:rPr>
        <w:t>. Executive will be eligible for paid and/or unpaid leave (including but not limited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vacation and sick leave) in accordance with the Company’s Employee Handbook. The Company’s leave policies may be amended from time to time by the Company in its sole discretion (or a committee thereof). Notwithstanding the provisions of the aforementioned policies, Executive shall be entitled to accrue four (4) weeks of paid time off per annum.</w:t>
      </w:r>
    </w:p>
    <w:p>
      <w:pPr>
        <w:spacing w:after="0" w:line="171" w:lineRule="exact"/>
        <w:rPr>
          <w:rFonts w:ascii="Times New Roman" w:cs="Times New Roman" w:eastAsia="Times New Roman" w:hAnsi="Times New Roman"/>
          <w:sz w:val="22"/>
          <w:szCs w:val="22"/>
          <w:b w:val="1"/>
          <w:bCs w:val="1"/>
          <w:color w:val="auto"/>
        </w:rPr>
      </w:pPr>
    </w:p>
    <w:p>
      <w:pPr>
        <w:jc w:val="both"/>
        <w:ind w:right="380" w:firstLine="757"/>
        <w:spacing w:after="0" w:line="246" w:lineRule="auto"/>
        <w:tabs>
          <w:tab w:leader="none" w:pos="1009"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The Company shall reimburse Executive for Executive’s necessary and reasonable business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by Executive in furtherance of or in connection with the performance of Executive’s duties hereunder, in accordance with the Company’s expense reimbursement policy as in effect from time to time.</w:t>
      </w:r>
    </w:p>
    <w:p>
      <w:pPr>
        <w:spacing w:after="0" w:line="167" w:lineRule="exact"/>
        <w:rPr>
          <w:rFonts w:ascii="Times New Roman" w:cs="Times New Roman" w:eastAsia="Times New Roman" w:hAnsi="Times New Roman"/>
          <w:sz w:val="22"/>
          <w:szCs w:val="22"/>
          <w:b w:val="1"/>
          <w:bCs w:val="1"/>
          <w:color w:val="auto"/>
        </w:rPr>
      </w:pPr>
    </w:p>
    <w:p>
      <w:pPr>
        <w:ind w:left="1500" w:hanging="743"/>
        <w:spacing w:after="0"/>
        <w:tabs>
          <w:tab w:leader="none" w:pos="150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Conflicts and Confidentiality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80" w:firstLine="1872"/>
        <w:spacing w:after="0" w:line="233" w:lineRule="auto"/>
        <w:rPr>
          <w:sz w:val="20"/>
          <w:szCs w:val="20"/>
          <w:color w:val="auto"/>
        </w:rPr>
      </w:pPr>
      <w:r>
        <w:rPr>
          <w:rFonts w:ascii="Times New Roman" w:cs="Times New Roman" w:eastAsia="Times New Roman" w:hAnsi="Times New Roman"/>
          <w:sz w:val="22"/>
          <w:szCs w:val="22"/>
          <w:b w:val="1"/>
          <w:bCs w:val="1"/>
          <w:color w:val="auto"/>
        </w:rPr>
        <w:t>6.1Non-Disclosure of Prior Employers’ Confidential Information and No Conflicting Obligation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executing this Agreement, Executive agrees and represents that Executive will not disclose to the Company or induce the Company to use any confidential or proprietary information belonging to any former employer of Executive or any other third party. Executive also represents and warrants that Executive has not taken or retained, and is not in possession of, any business materials or documents belonging to any former employer or third party. Executive hereby acknowledge that the Company has advised Executive that Executive is strictly prohibited from bringing such materials or documents onto the Company’s premises, providing such materials or documents to Company personnel, or using them in connection with Executive’s employment with the Company. Further, Executive represents and warrants to the Company that the performance of Executive’s job duties for the Company will not violate, cause the breach of, or conflict with any prior agreement, contract, or understanding between Executive and any third party or otherwise violate any confidence of another. Executive represents and warrants that Executive is not subject to any post-employment restrictions that would prohibit or limit Executive’s employment by the Company.</w:t>
      </w:r>
    </w:p>
    <w:p>
      <w:pPr>
        <w:spacing w:after="0" w:line="50" w:lineRule="exact"/>
        <w:rPr>
          <w:sz w:val="20"/>
          <w:szCs w:val="20"/>
          <w:color w:val="auto"/>
        </w:rPr>
      </w:pPr>
    </w:p>
    <w:p>
      <w:pPr>
        <w:jc w:val="both"/>
        <w:ind w:right="380" w:firstLine="1872"/>
        <w:spacing w:after="0" w:line="241" w:lineRule="auto"/>
        <w:rPr>
          <w:sz w:val="20"/>
          <w:szCs w:val="20"/>
          <w:color w:val="auto"/>
        </w:rPr>
      </w:pPr>
      <w:r>
        <w:rPr>
          <w:rFonts w:ascii="Times New Roman" w:cs="Times New Roman" w:eastAsia="Times New Roman" w:hAnsi="Times New Roman"/>
          <w:sz w:val="22"/>
          <w:szCs w:val="22"/>
          <w:b w:val="1"/>
          <w:bCs w:val="1"/>
          <w:color w:val="auto"/>
        </w:rPr>
        <w:t>6.2Employee Invention Assignment and Restrictive Covenant Agreement</w:t>
      </w:r>
      <w:r>
        <w:rPr>
          <w:rFonts w:ascii="Times New Roman" w:cs="Times New Roman" w:eastAsia="Times New Roman" w:hAnsi="Times New Roman"/>
          <w:sz w:val="22"/>
          <w:szCs w:val="22"/>
          <w:color w:val="auto"/>
        </w:rPr>
        <w:t>. Executive agrees,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 of employment with the Company and as a material part of the consideration for the Company’s commitment to the terms of this Agreement, to sign the Employee Invention Assignment, Confidentiality, and Restrictive Covenant Agreement attached hereto as Exhibit “A” (the “Restrictive Covenant Agreement”).</w:t>
      </w:r>
    </w:p>
    <w:p>
      <w:pPr>
        <w:spacing w:after="0" w:line="158" w:lineRule="exact"/>
        <w:rPr>
          <w:sz w:val="20"/>
          <w:szCs w:val="20"/>
          <w:color w:val="auto"/>
        </w:rPr>
      </w:pPr>
    </w:p>
    <w:p>
      <w:pPr>
        <w:jc w:val="both"/>
        <w:ind w:right="380" w:firstLine="1872"/>
        <w:spacing w:after="0" w:line="262" w:lineRule="auto"/>
        <w:rPr>
          <w:sz w:val="20"/>
          <w:szCs w:val="20"/>
          <w:color w:val="auto"/>
        </w:rPr>
      </w:pPr>
      <w:r>
        <w:rPr>
          <w:rFonts w:ascii="Times New Roman" w:cs="Times New Roman" w:eastAsia="Times New Roman" w:hAnsi="Times New Roman"/>
          <w:sz w:val="22"/>
          <w:szCs w:val="22"/>
          <w:b w:val="1"/>
          <w:bCs w:val="1"/>
          <w:color w:val="auto"/>
        </w:rPr>
        <w:t>6.3Non-Disclosure and Use of Trade Secrets</w:t>
      </w:r>
      <w:r>
        <w:rPr>
          <w:rFonts w:ascii="Times New Roman" w:cs="Times New Roman" w:eastAsia="Times New Roman" w:hAnsi="Times New Roman"/>
          <w:sz w:val="22"/>
          <w:szCs w:val="22"/>
          <w:color w:val="auto"/>
        </w:rPr>
        <w:t>. During the Period of Employment and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Executive shall not:</w:t>
      </w:r>
    </w:p>
    <w:p>
      <w:pPr>
        <w:spacing w:after="0" w:line="154" w:lineRule="exact"/>
        <w:rPr>
          <w:sz w:val="20"/>
          <w:szCs w:val="20"/>
          <w:color w:val="auto"/>
        </w:rPr>
      </w:pPr>
    </w:p>
    <w:p>
      <w:pPr>
        <w:ind w:right="380" w:firstLine="2254"/>
        <w:spacing w:after="0" w:line="258" w:lineRule="auto"/>
        <w:tabs>
          <w:tab w:leader="none" w:pos="25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or disclose the Company’s trade secret information, to, directly or indirectly, through any other individual or entity, induce or attempt to induce any employee or</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21"/>
          <w:szCs w:val="21"/>
          <w:color w:val="auto"/>
        </w:rPr>
        <w:t>independent contractor of the Company to leave the employment or service of the Company, or in any way interfere with the relationship between the Company, on the one hand, and any employee or independent contractor thereof, on the other hand;</w:t>
      </w:r>
    </w:p>
    <w:p>
      <w:pPr>
        <w:spacing w:after="0" w:line="135" w:lineRule="exact"/>
        <w:rPr>
          <w:sz w:val="20"/>
          <w:szCs w:val="20"/>
          <w:color w:val="auto"/>
        </w:rPr>
      </w:pPr>
    </w:p>
    <w:p>
      <w:pPr>
        <w:jc w:val="both"/>
        <w:ind w:right="380" w:firstLine="2246"/>
        <w:spacing w:after="0" w:line="244" w:lineRule="auto"/>
        <w:rPr>
          <w:sz w:val="20"/>
          <w:szCs w:val="20"/>
          <w:color w:val="auto"/>
        </w:rPr>
      </w:pPr>
      <w:r>
        <w:rPr>
          <w:rFonts w:ascii="Times New Roman" w:cs="Times New Roman" w:eastAsia="Times New Roman" w:hAnsi="Times New Roman"/>
          <w:sz w:val="22"/>
          <w:szCs w:val="22"/>
          <w:color w:val="auto"/>
        </w:rPr>
        <w:t>(ii)solicit Confidential Information (as defined in the Restrictive Covenant Agreement), including trade secrets, from any employee of the Company which Executive knows or has reason to know is likely to have access to such information; or</w:t>
      </w:r>
    </w:p>
    <w:p>
      <w:pPr>
        <w:spacing w:after="0" w:line="173" w:lineRule="exact"/>
        <w:rPr>
          <w:sz w:val="20"/>
          <w:szCs w:val="20"/>
          <w:color w:val="auto"/>
        </w:rPr>
      </w:pPr>
    </w:p>
    <w:p>
      <w:pPr>
        <w:jc w:val="both"/>
        <w:ind w:right="380" w:firstLine="2246"/>
        <w:spacing w:after="0" w:line="236" w:lineRule="auto"/>
        <w:rPr>
          <w:sz w:val="20"/>
          <w:szCs w:val="20"/>
          <w:color w:val="auto"/>
        </w:rPr>
      </w:pPr>
      <w:r>
        <w:rPr>
          <w:rFonts w:ascii="Times New Roman" w:cs="Times New Roman" w:eastAsia="Times New Roman" w:hAnsi="Times New Roman"/>
          <w:sz w:val="22"/>
          <w:szCs w:val="22"/>
          <w:color w:val="auto"/>
        </w:rPr>
        <w:t>(iii)use or disclose the Company’s trade secret information to identify existing or prospective customers, to facilitate (directly or indirectly) the solicitation of such existing and prospective customers or to influence customers, vendors, suppliers, licensors, lessors, joint venturers, associates, consultants, agents, or partners of the Company to divert their business away from the Company. Further, Executive will not use the Company’s trade secret information to otherwise interfere with, disrupt or attempt to disrupt the business relationships, contractual or otherwise, of the Company or to otherwise unfairly compete with the Company.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b w:val="1"/>
          <w:bCs w:val="1"/>
          <w:color w:val="auto"/>
        </w:rPr>
        <w:t>trade secrets</w:t>
      </w:r>
      <w:r>
        <w:rPr>
          <w:rFonts w:ascii="Times New Roman" w:cs="Times New Roman" w:eastAsia="Times New Roman" w:hAnsi="Times New Roman"/>
          <w:sz w:val="22"/>
          <w:szCs w:val="22"/>
          <w:color w:val="auto"/>
        </w:rPr>
        <w:t>” means, without limitation, Confidential Information that</w:t>
      </w:r>
    </w:p>
    <w:p>
      <w:pPr>
        <w:spacing w:after="0" w:line="18" w:lineRule="exact"/>
        <w:rPr>
          <w:sz w:val="20"/>
          <w:szCs w:val="20"/>
          <w:color w:val="auto"/>
        </w:rPr>
      </w:pPr>
    </w:p>
    <w:p>
      <w:pPr>
        <w:jc w:val="both"/>
        <w:ind w:right="380" w:firstLine="8"/>
        <w:spacing w:after="0" w:line="232" w:lineRule="auto"/>
        <w:tabs>
          <w:tab w:leader="none" w:pos="29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derives independent economic value, actual or potential, from not being generally known to the public or to other persons who can obtain economic value from its disclosure or use, and (b) is subject to efforts that are reasonable under the circumstances to maintain its secrecy. The Executive hereby represents that the Executive has no intention of competing against the Company at any time by using the Company’s trade secrets and understands that the Company is entering into this Agreement in reliance upon such representation. Examples of trade secrets include, but are not limited to, technical, business and other information related to the Company’s manufacturing and production processes and techniques, product formulations, research and development, inventions and discoveries that have not yet been patented, technology, drawings, specifications, designs, plans, proposals, pricing and cost information, business and marketing plans, financial information, customer and supplier lists and information, and all rights in any jurisdiction to limit the use or disclosure thereof.</w:t>
      </w:r>
    </w:p>
    <w:p>
      <w:pPr>
        <w:spacing w:after="0" w:line="174" w:lineRule="exact"/>
        <w:rPr>
          <w:sz w:val="20"/>
          <w:szCs w:val="20"/>
          <w:color w:val="auto"/>
        </w:rPr>
      </w:pPr>
    </w:p>
    <w:p>
      <w:pPr>
        <w:jc w:val="both"/>
        <w:ind w:right="380" w:firstLine="1872"/>
        <w:spacing w:after="0" w:line="238" w:lineRule="auto"/>
        <w:rPr>
          <w:sz w:val="20"/>
          <w:szCs w:val="20"/>
          <w:color w:val="auto"/>
        </w:rPr>
      </w:pPr>
      <w:r>
        <w:rPr>
          <w:rFonts w:ascii="Times New Roman" w:cs="Times New Roman" w:eastAsia="Times New Roman" w:hAnsi="Times New Roman"/>
          <w:sz w:val="22"/>
          <w:szCs w:val="22"/>
          <w:b w:val="1"/>
          <w:bCs w:val="1"/>
          <w:color w:val="auto"/>
        </w:rPr>
        <w:t>6.4Injunctive Relief</w:t>
      </w:r>
      <w:r>
        <w:rPr>
          <w:rFonts w:ascii="Times New Roman" w:cs="Times New Roman" w:eastAsia="Times New Roman" w:hAnsi="Times New Roman"/>
          <w:sz w:val="22"/>
          <w:szCs w:val="22"/>
          <w:color w:val="auto"/>
        </w:rPr>
        <w:t>. Executive acknowledges that Executive’s failure to carry out any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(including but not limited to those listed on Exhibit A), or a breach by Executive of any provision herein, therein or the Restrictive Covenant Agreement, will constitute immediate and irreparable damage to the Company, which cannot be fully and adequately compensated in money damages and which will warrant preliminary and other injunctive relief, an order for specific performance, and other equitable relief. Executive further</w:t>
      </w:r>
    </w:p>
    <w:p>
      <w:pPr>
        <w:spacing w:after="0" w:line="46"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agrees that no bond or other security shall be required in obtaining such equitable relief and the Executive hereby consents to the issuance of such injunction and to the ordering of specific performance. Executive understands that other action may be taken and remedies enforced against the Executive by the Company.</w:t>
      </w:r>
    </w:p>
    <w:p>
      <w:pPr>
        <w:spacing w:after="0" w:line="169" w:lineRule="exact"/>
        <w:rPr>
          <w:sz w:val="20"/>
          <w:szCs w:val="20"/>
          <w:color w:val="auto"/>
        </w:rPr>
      </w:pPr>
    </w:p>
    <w:p>
      <w:pPr>
        <w:ind w:left="1500" w:hanging="743"/>
        <w:spacing w:after="0"/>
        <w:tabs>
          <w:tab w:leader="none" w:pos="150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Severance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60" w:firstLine="1872"/>
        <w:spacing w:after="0" w:line="238" w:lineRule="auto"/>
        <w:rPr>
          <w:sz w:val="20"/>
          <w:szCs w:val="20"/>
          <w:color w:val="auto"/>
        </w:rPr>
      </w:pPr>
      <w:r>
        <w:rPr>
          <w:rFonts w:ascii="Times New Roman" w:cs="Times New Roman" w:eastAsia="Times New Roman" w:hAnsi="Times New Roman"/>
          <w:sz w:val="22"/>
          <w:szCs w:val="22"/>
          <w:b w:val="1"/>
          <w:bCs w:val="1"/>
          <w:color w:val="auto"/>
        </w:rPr>
        <w:t>7.1At-Will Employment</w:t>
      </w:r>
      <w:r>
        <w:rPr>
          <w:rFonts w:ascii="Times New Roman" w:cs="Times New Roman" w:eastAsia="Times New Roman" w:hAnsi="Times New Roman"/>
          <w:sz w:val="22"/>
          <w:szCs w:val="22"/>
          <w:color w:val="auto"/>
        </w:rPr>
        <w:t>. Executive’s employment relationship is at-will. Either Executive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may terminate the employment relationship at any time, with or without Cause (as defined below) or advance notice. In the event Executive’s employment relationship is terminated for any reason, Executive shall be entitled to receive Executive’s earned but unpaid Base Salary, unreimbursed business expenses properly incurred by Executive pursuant to Section 4 and any other compensation or benefit earned by or owed to (but not yet paid to)</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60"/>
        <w:spacing w:after="0" w:line="238" w:lineRule="auto"/>
        <w:rPr>
          <w:sz w:val="20"/>
          <w:szCs w:val="20"/>
          <w:color w:val="auto"/>
        </w:rPr>
      </w:pPr>
      <w:r>
        <w:rPr>
          <w:rFonts w:ascii="Times New Roman" w:cs="Times New Roman" w:eastAsia="Times New Roman" w:hAnsi="Times New Roman"/>
          <w:sz w:val="22"/>
          <w:szCs w:val="22"/>
          <w:color w:val="auto"/>
        </w:rPr>
        <w:t>Executive through and including the date of termination, payable in a lump sum on the next regularly scheduled payroll date following the date on which Executive’s employment terminated, or at such other date as shall be specified under the terms of the employee benefit plan pursuant to which such compensation or benefit is payable. Executive shall also resign from all positions and terminate any relationships as an employee, advisor, officer or director with the Company and any of its affiliates, each effective on the date of termination.</w:t>
      </w:r>
    </w:p>
    <w:p>
      <w:pPr>
        <w:spacing w:after="0" w:line="186" w:lineRule="exact"/>
        <w:rPr>
          <w:sz w:val="20"/>
          <w:szCs w:val="20"/>
          <w:color w:val="auto"/>
        </w:rPr>
      </w:pPr>
    </w:p>
    <w:p>
      <w:pPr>
        <w:jc w:val="both"/>
        <w:ind w:right="380" w:firstLine="1872"/>
        <w:spacing w:after="0" w:line="238" w:lineRule="auto"/>
        <w:rPr>
          <w:sz w:val="20"/>
          <w:szCs w:val="20"/>
          <w:color w:val="auto"/>
        </w:rPr>
      </w:pPr>
      <w:r>
        <w:rPr>
          <w:rFonts w:ascii="Times New Roman" w:cs="Times New Roman" w:eastAsia="Times New Roman" w:hAnsi="Times New Roman"/>
          <w:sz w:val="22"/>
          <w:szCs w:val="22"/>
          <w:b w:val="1"/>
          <w:bCs w:val="1"/>
          <w:color w:val="auto"/>
        </w:rPr>
        <w:t>7.2Severance Benefits for Termination Without Cause Unrelated to a Change of Control</w:t>
      </w:r>
      <w:r>
        <w:rPr>
          <w:rFonts w:ascii="Times New Roman" w:cs="Times New Roman" w:eastAsia="Times New Roman" w:hAnsi="Times New Roman"/>
          <w:sz w:val="22"/>
          <w:szCs w:val="22"/>
          <w:color w:val="auto"/>
        </w:rPr>
        <w: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Executive’s employment with the Company is terminated by the Company without Cause prior to a Change of Control (as defined below) or more than twelve (12) months following a Change of Control, the Company shall provide Executive with the following payments and benefits, provided that Executive remains in compliance with the terms of this Agreement and the Restrictive Covenant Agreement and subject to Section 8 below:</w:t>
      </w:r>
    </w:p>
    <w:p>
      <w:pPr>
        <w:spacing w:after="0" w:line="167" w:lineRule="exact"/>
        <w:rPr>
          <w:sz w:val="20"/>
          <w:szCs w:val="20"/>
          <w:color w:val="auto"/>
        </w:rPr>
      </w:pPr>
    </w:p>
    <w:p>
      <w:pPr>
        <w:jc w:val="both"/>
        <w:ind w:right="380" w:firstLine="2254"/>
        <w:spacing w:after="0" w:line="238" w:lineRule="auto"/>
        <w:tabs>
          <w:tab w:leader="none" w:pos="253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as severance, the equivalent of nine (9) months of Executive’s Base Salary as in effect as of the date of Executive’s employment termination. This severance will be paid in the form of salary continuation, payable on the Company’s regular payroll dates, subject to standard payroll deductions and withholdings, starting on the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after Executive’s termination date, with the first payment to include those payments that would have occurred earlier but for the 60-day delay.</w:t>
      </w:r>
    </w:p>
    <w:p>
      <w:pPr>
        <w:spacing w:after="0" w:line="177" w:lineRule="exact"/>
        <w:rPr>
          <w:sz w:val="20"/>
          <w:szCs w:val="20"/>
          <w:color w:val="auto"/>
        </w:rPr>
      </w:pPr>
    </w:p>
    <w:p>
      <w:pPr>
        <w:jc w:val="both"/>
        <w:ind w:right="380" w:firstLine="2246"/>
        <w:spacing w:after="0" w:line="233" w:lineRule="auto"/>
        <w:rPr>
          <w:sz w:val="20"/>
          <w:szCs w:val="20"/>
          <w:color w:val="auto"/>
        </w:rPr>
      </w:pPr>
      <w:r>
        <w:rPr>
          <w:rFonts w:ascii="Times New Roman" w:cs="Times New Roman" w:eastAsia="Times New Roman" w:hAnsi="Times New Roman"/>
          <w:sz w:val="22"/>
          <w:szCs w:val="22"/>
          <w:color w:val="auto"/>
        </w:rPr>
        <w:t>(ii)Provided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nine (9) months following Executive’s termination date; (b) the date Executive becomes eligible for group health insurance coverage through a new employer; or (c) 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premiums for that month, subject to applicable tax withholdings, for the remainder of the COBRA premium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may, but is not obligated to, use such payments toward the cost of COBRA premiums.</w:t>
      </w:r>
    </w:p>
    <w:p>
      <w:pPr>
        <w:spacing w:after="0" w:line="178" w:lineRule="exact"/>
        <w:rPr>
          <w:sz w:val="20"/>
          <w:szCs w:val="20"/>
          <w:color w:val="auto"/>
        </w:rPr>
      </w:pPr>
    </w:p>
    <w:p>
      <w:pPr>
        <w:jc w:val="both"/>
        <w:ind w:right="380" w:firstLine="1872"/>
        <w:spacing w:after="0" w:line="237" w:lineRule="auto"/>
        <w:rPr>
          <w:sz w:val="20"/>
          <w:szCs w:val="20"/>
          <w:color w:val="auto"/>
        </w:rPr>
      </w:pPr>
      <w:r>
        <w:rPr>
          <w:rFonts w:ascii="Times New Roman" w:cs="Times New Roman" w:eastAsia="Times New Roman" w:hAnsi="Times New Roman"/>
          <w:sz w:val="22"/>
          <w:szCs w:val="22"/>
          <w:b w:val="1"/>
          <w:bCs w:val="1"/>
          <w:color w:val="auto"/>
        </w:rPr>
        <w:t>7.3Severance Benefits for Termination Without Cause or Resignation with Good Reason Related to a Change of Control</w:t>
      </w:r>
      <w:r>
        <w:rPr>
          <w:rFonts w:ascii="Times New Roman" w:cs="Times New Roman" w:eastAsia="Times New Roman" w:hAnsi="Times New Roman"/>
          <w:sz w:val="22"/>
          <w:szCs w:val="22"/>
          <w:color w:val="auto"/>
        </w:rPr>
        <w:t>. In the event Executive’s employment with the Company is terminated by the Company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or Executive resigns for Good Reason in each case during the twelve (12) month period immediately following a Change of Control, the Company shall provide Executive with the following payments and benefits, provided that Executive remains in compliance with the terms of this Agreement and the Restrictive Covenant Agreement and subject to Section 8 below:</w:t>
      </w:r>
    </w:p>
    <w:p>
      <w:pPr>
        <w:spacing w:after="0" w:line="179" w:lineRule="exact"/>
        <w:rPr>
          <w:sz w:val="20"/>
          <w:szCs w:val="20"/>
          <w:color w:val="auto"/>
        </w:rPr>
      </w:pPr>
    </w:p>
    <w:p>
      <w:pPr>
        <w:jc w:val="both"/>
        <w:ind w:right="380" w:firstLine="2254"/>
        <w:spacing w:after="0" w:line="244" w:lineRule="auto"/>
        <w:tabs>
          <w:tab w:leader="none" w:pos="25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as severance, the equivalent of twelve (12) months of Executive’s Base Salary as in effect as of the date of Executive’s employment termination (disregarding any change to Executive’s Base Salary giving rise to Good</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Reason). This severance will be paid in the form of salary continuation, payable on the Company’s regular payroll dates, subject to standard payroll deductions and withholdings, starting on the 60th day after Executive’s termination date, with the first payment to include those payments that would have occurred earlier but for the 60-day delay.</w:t>
      </w:r>
    </w:p>
    <w:p>
      <w:pPr>
        <w:spacing w:after="0" w:line="173" w:lineRule="exact"/>
        <w:rPr>
          <w:sz w:val="20"/>
          <w:szCs w:val="20"/>
          <w:color w:val="auto"/>
        </w:rPr>
      </w:pPr>
    </w:p>
    <w:p>
      <w:pPr>
        <w:jc w:val="both"/>
        <w:ind w:right="380" w:firstLine="2246"/>
        <w:spacing w:after="0" w:line="236" w:lineRule="auto"/>
        <w:rPr>
          <w:sz w:val="20"/>
          <w:szCs w:val="20"/>
          <w:color w:val="auto"/>
        </w:rPr>
      </w:pPr>
      <w:r>
        <w:rPr>
          <w:rFonts w:ascii="Times New Roman" w:cs="Times New Roman" w:eastAsia="Times New Roman" w:hAnsi="Times New Roman"/>
          <w:sz w:val="22"/>
          <w:szCs w:val="22"/>
          <w:color w:val="auto"/>
        </w:rPr>
        <w:t>(ii)In addition, the Company shall pay Executive, as severance, an amount equal to one hundred percent (100%) of Executive’s target annual bonus as in effect as of the date of Executive’s employment termination (disregarding any change to Executive’s Base Salary giving rise to Good Reason), payable in a lump sum, less deductions and withholdings, at the same time as the first severance payment described in Section 7.3(i) above. For the avoidance of doubt, the amount payable pursuant to this Section 7.3(ii) shall not be subject to proration based on the portion of the year elapsed as of the date of termination.</w:t>
      </w:r>
    </w:p>
    <w:p>
      <w:pPr>
        <w:spacing w:after="0" w:line="181" w:lineRule="exact"/>
        <w:rPr>
          <w:sz w:val="20"/>
          <w:szCs w:val="20"/>
          <w:color w:val="auto"/>
        </w:rPr>
      </w:pPr>
    </w:p>
    <w:p>
      <w:pPr>
        <w:jc w:val="both"/>
        <w:ind w:right="380" w:firstLine="2246"/>
        <w:spacing w:after="0" w:line="235" w:lineRule="auto"/>
        <w:rPr>
          <w:sz w:val="20"/>
          <w:szCs w:val="20"/>
          <w:color w:val="auto"/>
        </w:rPr>
      </w:pPr>
      <w:r>
        <w:rPr>
          <w:rFonts w:ascii="Times New Roman" w:cs="Times New Roman" w:eastAsia="Times New Roman" w:hAnsi="Times New Roman"/>
          <w:sz w:val="22"/>
          <w:szCs w:val="22"/>
          <w:color w:val="auto"/>
        </w:rPr>
        <w:t>(iii)Provided that Executive is then eligible for and timely elects continued coverage under COBRA, the Company shall directly pay, or reimburse Executive for, the monthly COBRA premiums to continue Executive’s coverage (including coverage for eligible dependents, if applicable) through the period starting on Executive’s termination date and ending on the earliest to occur of: (a) twelve (12) months following Executive’s termination date; (b) the date Executive becomes eligible for group health insurance coverage through a new employer; or</w:t>
      </w:r>
    </w:p>
    <w:p>
      <w:pPr>
        <w:jc w:val="both"/>
        <w:ind w:right="380" w:firstLine="8"/>
        <w:spacing w:after="0" w:line="232" w:lineRule="auto"/>
        <w:tabs>
          <w:tab w:leader="none" w:pos="30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Executive ceases to be eligible for COBRA continuation coverage for any reason, including plan termination. In the event Executive becomes covered under another employer’s group health plan or otherwise ceases to be eligible for COBRA during this time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a fully taxable cash payment equal to the applicable COBRA premiums for that month, subject to applicable tax withholdings, for the remainder of the COBRA premium period. Executive may, but is not obligated to, use such payments toward the cost of COBRA premiums.</w:t>
      </w:r>
    </w:p>
    <w:p>
      <w:pPr>
        <w:spacing w:after="0" w:line="180" w:lineRule="exact"/>
        <w:rPr>
          <w:sz w:val="20"/>
          <w:szCs w:val="20"/>
          <w:color w:val="auto"/>
        </w:rPr>
      </w:pPr>
    </w:p>
    <w:p>
      <w:pPr>
        <w:jc w:val="both"/>
        <w:ind w:right="380" w:firstLine="2246"/>
        <w:spacing w:after="0" w:line="258" w:lineRule="auto"/>
        <w:rPr>
          <w:sz w:val="20"/>
          <w:szCs w:val="20"/>
          <w:color w:val="auto"/>
        </w:rPr>
      </w:pPr>
      <w:r>
        <w:rPr>
          <w:rFonts w:ascii="Times New Roman" w:cs="Times New Roman" w:eastAsia="Times New Roman" w:hAnsi="Times New Roman"/>
          <w:sz w:val="22"/>
          <w:szCs w:val="22"/>
          <w:color w:val="auto"/>
        </w:rPr>
        <w:t>(iv)The vesting of all unvested equity-based incentive compensation awards outstanding as of the date of such Change in Control and held by Executive as of the date</w:t>
      </w:r>
    </w:p>
    <w:p>
      <w:pPr>
        <w:spacing w:after="0" w:line="10" w:lineRule="exact"/>
        <w:rPr>
          <w:sz w:val="20"/>
          <w:szCs w:val="20"/>
          <w:color w:val="auto"/>
        </w:rPr>
      </w:pPr>
    </w:p>
    <w:p>
      <w:pPr>
        <w:jc w:val="both"/>
        <w:ind w:right="380"/>
        <w:spacing w:after="0" w:line="239" w:lineRule="auto"/>
        <w:rPr>
          <w:sz w:val="20"/>
          <w:szCs w:val="20"/>
          <w:color w:val="auto"/>
        </w:rPr>
      </w:pPr>
      <w:r>
        <w:rPr>
          <w:rFonts w:ascii="Times New Roman" w:cs="Times New Roman" w:eastAsia="Times New Roman" w:hAnsi="Times New Roman"/>
          <w:sz w:val="22"/>
          <w:szCs w:val="22"/>
          <w:color w:val="auto"/>
        </w:rPr>
        <w:t xml:space="preserve">of such termination shall be accelerated such that 100% of the shares underlying such awards shall be deemed immediately vested and, in the case of stock options, exercisable;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w:t>
      </w:r>
    </w:p>
    <w:p>
      <w:pPr>
        <w:spacing w:after="0" w:line="19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b w:val="1"/>
          <w:bCs w:val="1"/>
          <w:color w:val="auto"/>
        </w:rPr>
        <w:t>7.4Termination for Cause; Resignation Without Good Reason; Death reasonor Disability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380" w:firstLine="2254"/>
        <w:spacing w:after="0" w:line="239" w:lineRule="auto"/>
        <w:tabs>
          <w:tab w:leader="none" w:pos="253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resigns for any reason prior to or more than twelve (12) months following a Change in Control, resigns without Good Reason within the twelve (12) months following a Change in Control, or the Company terminates Executive’s employment for Cause, Executive shall not be entitled to receive any payments or benefits under this Agreement, other than as set forth in Section 7.1.</w:t>
      </w:r>
    </w:p>
    <w:p>
      <w:pPr>
        <w:spacing w:after="0" w:line="180" w:lineRule="exact"/>
        <w:rPr>
          <w:sz w:val="20"/>
          <w:szCs w:val="20"/>
          <w:color w:val="auto"/>
        </w:rPr>
      </w:pPr>
    </w:p>
    <w:p>
      <w:pPr>
        <w:ind w:right="380" w:firstLine="2246"/>
        <w:spacing w:after="0" w:line="258" w:lineRule="auto"/>
        <w:rPr>
          <w:sz w:val="20"/>
          <w:szCs w:val="20"/>
          <w:color w:val="auto"/>
        </w:rPr>
      </w:pPr>
      <w:r>
        <w:rPr>
          <w:rFonts w:ascii="Times New Roman" w:cs="Times New Roman" w:eastAsia="Times New Roman" w:hAnsi="Times New Roman"/>
          <w:sz w:val="22"/>
          <w:szCs w:val="22"/>
          <w:color w:val="auto"/>
        </w:rPr>
        <w:t>(ii)Executive’s employment shall terminate automatically upon Executive’s death or Total Disability. “</w:t>
      </w:r>
      <w:r>
        <w:rPr>
          <w:rFonts w:ascii="Times New Roman" w:cs="Times New Roman" w:eastAsia="Times New Roman" w:hAnsi="Times New Roman"/>
          <w:sz w:val="22"/>
          <w:szCs w:val="22"/>
          <w:b w:val="1"/>
          <w:bCs w:val="1"/>
          <w:color w:val="auto"/>
        </w:rPr>
        <w:t>Total Disability</w:t>
      </w:r>
      <w:r>
        <w:rPr>
          <w:rFonts w:ascii="Times New Roman" w:cs="Times New Roman" w:eastAsia="Times New Roman" w:hAnsi="Times New Roman"/>
          <w:sz w:val="22"/>
          <w:szCs w:val="22"/>
          <w:color w:val="auto"/>
        </w:rPr>
        <w:t>” shall mean Executive’s inability, with</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80"/>
        <w:spacing w:after="0" w:line="235" w:lineRule="auto"/>
        <w:rPr>
          <w:sz w:val="20"/>
          <w:szCs w:val="20"/>
          <w:color w:val="auto"/>
        </w:rPr>
      </w:pPr>
      <w:r>
        <w:rPr>
          <w:rFonts w:ascii="Times New Roman" w:cs="Times New Roman" w:eastAsia="Times New Roman" w:hAnsi="Times New Roman"/>
          <w:sz w:val="22"/>
          <w:szCs w:val="22"/>
          <w:color w:val="auto"/>
        </w:rPr>
        <w:t>reasonable accommodation, to perform the duties of Executive’s position for a period or periods aggregating ninety (90) calendar days in any period of one hundred eighty days (180) consecutive days as a result of physical or mental illness, loss of legal capacity or any other cause beyond Executive’s control. Executive and the Company hereby acknowledge that Executive’s ability to perform the duties specified in Section 1 is the essence of this Agreement. Termination hereunder shall be deemed to be effective (a) at the end of the calendar month in which Executive’s death occurs or (b) immediately upon a determination by the Board or the compensation committee thereof of Executive’s Total Disability. In the case of termination of employment under this Section 7.4(ii), Executive shall not be entitled to receive any payments or benefits under this Agreement, other than as set forth in Section 7.1.</w:t>
      </w:r>
    </w:p>
    <w:p>
      <w:pPr>
        <w:spacing w:after="0" w:line="174" w:lineRule="exact"/>
        <w:rPr>
          <w:sz w:val="20"/>
          <w:szCs w:val="20"/>
          <w:color w:val="auto"/>
        </w:rPr>
      </w:pPr>
    </w:p>
    <w:p>
      <w:pPr>
        <w:jc w:val="both"/>
        <w:ind w:right="380" w:firstLine="757"/>
        <w:spacing w:after="0" w:line="248" w:lineRule="auto"/>
        <w:tabs>
          <w:tab w:leader="none" w:pos="1009" w:val="left"/>
        </w:tabs>
        <w:numPr>
          <w:ilvl w:val="1"/>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Conditions to Receipt of Severance Benefits</w:t>
      </w:r>
      <w:r>
        <w:rPr>
          <w:rFonts w:ascii="Times New Roman" w:cs="Times New Roman" w:eastAsia="Times New Roman" w:hAnsi="Times New Roman"/>
          <w:sz w:val="21"/>
          <w:szCs w:val="21"/>
          <w:color w:val="auto"/>
        </w:rPr>
        <w:t>. As a condition to receiving the payments and benefits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7.2 and Section 7.3, (i) Executive must execute and deliver to the Company a release of claims in a form reasonably acceptable to the Company and such release must have become effective and the revocation period provided therein must have expired without Executive having revoked such release within the 60-day period following the date of termination, and</w:t>
      </w:r>
    </w:p>
    <w:p>
      <w:pPr>
        <w:spacing w:after="0" w:line="1" w:lineRule="exact"/>
        <w:rPr>
          <w:rFonts w:ascii="Times New Roman" w:cs="Times New Roman" w:eastAsia="Times New Roman" w:hAnsi="Times New Roman"/>
          <w:sz w:val="21"/>
          <w:szCs w:val="21"/>
          <w:b w:val="1"/>
          <w:bCs w:val="1"/>
          <w:color w:val="auto"/>
        </w:rPr>
      </w:pPr>
    </w:p>
    <w:p>
      <w:pPr>
        <w:jc w:val="both"/>
        <w:ind w:right="380" w:firstLine="8"/>
        <w:spacing w:after="0" w:line="232" w:lineRule="auto"/>
        <w:tabs>
          <w:tab w:leader="none" w:pos="32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must not have revoked or breached the provisions of such release or breached the provisions of the Restrictive Covenant Agreement. In the event that Executive does not execute and deliver such release, such release does not become effective and irrevocable within such period or Executive revokes or breaches the provisions of the release or breaches the provisions of the Restrictive Covenant Agreement, Executive (A) will be deemed to have voluntarily resigned Executive’s employment hereunder without Good Reason, (B) will not be entitled to the payments, benefits or accelerated vesting described in Section 7.2 or Section 7.3 and (C) will be required to reimburse the Company, in cash within five business days after written demand is made by the Company therefore, for an amount equal to the value of any payments or benefits Executive received pursuant to Section 7.2 or Section 7.3.</w:t>
      </w:r>
    </w:p>
    <w:p>
      <w:pPr>
        <w:spacing w:after="0" w:line="175" w:lineRule="exact"/>
        <w:rPr>
          <w:rFonts w:ascii="Times New Roman" w:cs="Times New Roman" w:eastAsia="Times New Roman" w:hAnsi="Times New Roman"/>
          <w:sz w:val="22"/>
          <w:szCs w:val="22"/>
          <w:color w:val="auto"/>
        </w:rPr>
      </w:pPr>
    </w:p>
    <w:p>
      <w:pPr>
        <w:jc w:val="both"/>
        <w:ind w:right="380" w:firstLine="757"/>
        <w:spacing w:after="0" w:line="246" w:lineRule="auto"/>
        <w:tabs>
          <w:tab w:leader="none" w:pos="1009"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It is intended that all of the severance benefits and other payments payable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satisfy, to the greatest extent possible, the exemptions from the application of Section 409A of the Internal Revenue Code of 1986, as amended (the “Code” and</w:t>
      </w:r>
    </w:p>
    <w:p>
      <w:pPr>
        <w:spacing w:after="0" w:line="32"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All payments and benefits that are payable upon a termination of employment hereunder shall be paid or provided only upon Executive’s “separation from service” from the Company (within the meaning of Section 409A). For purposes of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termination to be a “specified employee” for purposes of Section 409A(a)(2)(B)(i), and if any of the payments upon termination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shall not be provided to Executive prior to the earliest of (i) the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360"/>
        <w:spacing w:after="0" w:line="238" w:lineRule="auto"/>
        <w:rPr>
          <w:sz w:val="20"/>
          <w:szCs w:val="20"/>
          <w:color w:val="auto"/>
        </w:rPr>
      </w:pPr>
      <w:r>
        <w:rPr>
          <w:rFonts w:ascii="Times New Roman" w:cs="Times New Roman" w:eastAsia="Times New Roman" w:hAnsi="Times New Roman"/>
          <w:sz w:val="22"/>
          <w:szCs w:val="22"/>
          <w:color w:val="auto"/>
        </w:rPr>
        <w:t>expiration of the six-month period measured from the date of Executive’s termination with the Company, (ii) the date of Executive’s death or (iii) such earlier date as permitted under Section 409A without the imposition of adverse taxation. Upon the first business day following the expiration of such applicable Section 409A(a)(2)(B)(i) period, all payments deferred pursuant to this Section 9 shall be paid in a lump sum to Executive, and any remaining payments due shall be paid as otherwise provided herein or in the applicable agreement. No interest shall be due on any amounts so deferred.</w:t>
      </w:r>
    </w:p>
    <w:p>
      <w:pPr>
        <w:spacing w:after="0" w:line="173" w:lineRule="exact"/>
        <w:rPr>
          <w:sz w:val="20"/>
          <w:szCs w:val="20"/>
          <w:color w:val="auto"/>
        </w:rPr>
      </w:pPr>
    </w:p>
    <w:p>
      <w:pPr>
        <w:jc w:val="both"/>
        <w:ind w:right="380"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10.Section 280G</w:t>
      </w:r>
      <w:r>
        <w:rPr>
          <w:rFonts w:ascii="Times New Roman" w:cs="Times New Roman" w:eastAsia="Times New Roman" w:hAnsi="Times New Roman"/>
          <w:sz w:val="22"/>
          <w:szCs w:val="22"/>
          <w:color w:val="auto"/>
        </w:rPr>
        <w:t>. In the event that the severance and other benefits provided for in this Agreement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to Executive (i) constitute “parachute payments” within the meaning of Section 280G of the Code and (ii) but for this Section 10, would be subject to the excise tax imposed by Section 4999 of the Code, then, Executive’s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of the Code, results in the receipt by Executive on an after-tax basis of the greatest amount of severance benefits under this Agreement, notwithstanding that all or some portion of such severance benefits may be taxable under Section 4999 of the Code. Any reduction shall be made in the following order: (i) reduction of cash payments, (ii) cancellation of accelerated vesting of equity awards, and (iii) reduction of other benefits payable to Executive. Unless the Company and Executive otherwise agree in writing, any determination required under this Section 10 shall be made in writing by the Company’s independent public accountants (the “Accountants”), whose determination shall be conclusive and binding upon Executive and the Company for all purposes. For purposes of making the calculations required by this Section 10, the Accountants may make reasonable assumptions and approximations concerning applicable taxes and may rely on reasonable, good faith interpretations concerning the application of Sections 280G and 4999 of the Code. The Company and Executive shall furnish to the Accountants such information and documents as the Accountants may reasonably request in order to make a determination under this</w:t>
      </w:r>
    </w:p>
    <w:p>
      <w:pPr>
        <w:spacing w:after="0" w:line="45"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22"/>
          <w:szCs w:val="22"/>
          <w:color w:val="auto"/>
        </w:rPr>
        <w:t>Section 10. The Company shall bear all costs the Accountants may reasonably incur in connection with any calculations contemplated by this Section 10.</w:t>
      </w:r>
    </w:p>
    <w:p>
      <w:pPr>
        <w:spacing w:after="0" w:line="154" w:lineRule="exact"/>
        <w:rPr>
          <w:sz w:val="20"/>
          <w:szCs w:val="20"/>
          <w:color w:val="auto"/>
        </w:rPr>
      </w:pPr>
    </w:p>
    <w:p>
      <w:pPr>
        <w:ind w:left="1500" w:hanging="743"/>
        <w:spacing w:after="0"/>
        <w:tabs>
          <w:tab w:leader="none" w:pos="15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80" w:firstLine="1872"/>
        <w:spacing w:after="0" w:line="250" w:lineRule="auto"/>
        <w:rPr>
          <w:sz w:val="20"/>
          <w:szCs w:val="20"/>
          <w:color w:val="auto"/>
        </w:rPr>
      </w:pPr>
      <w:r>
        <w:rPr>
          <w:rFonts w:ascii="Times New Roman" w:cs="Times New Roman" w:eastAsia="Times New Roman" w:hAnsi="Times New Roman"/>
          <w:sz w:val="21"/>
          <w:szCs w:val="21"/>
          <w:b w:val="1"/>
          <w:bCs w:val="1"/>
          <w:color w:val="auto"/>
        </w:rPr>
        <w:t>11.1Cause</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for termination will mean: (i) a material breach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any of Executive’s obligations or duties pursuant to this Agreement or the Restrictive Covenant Agreement, which remains uncured seven (7) days after Executive becomes aware of the breach by formal written notification by the Company;</w:t>
      </w:r>
    </w:p>
    <w:p>
      <w:pPr>
        <w:spacing w:after="0" w:line="2" w:lineRule="exact"/>
        <w:rPr>
          <w:sz w:val="20"/>
          <w:szCs w:val="20"/>
          <w:color w:val="auto"/>
        </w:rPr>
      </w:pPr>
    </w:p>
    <w:p>
      <w:pPr>
        <w:jc w:val="both"/>
        <w:ind w:right="380" w:firstLine="8"/>
        <w:spacing w:after="0" w:line="232" w:lineRule="auto"/>
        <w:tabs>
          <w:tab w:leader="none" w:pos="32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 negligence, willful misconduct or breach of fiduciary duty in the course of employment; (iii) any action or activity that is contrary to applicable insider trading rules or any other applicable securities rules or legislation; (iv) a material act or omission involving substantial dishonesty or fraud that harms or would reasonably be expected to harm the Company; (v) commission of, conviction or indictment for, or plea of no contest to, any felony (or state law equivalent) or any crime involving moral turpitude, or (vi) unsatisfactory performance of Executives duties or responsibilities, provided that the Company has given Executive written notice specifying the unsatisfactory performance of his duties and responsibilities and afforded Executive at least seven (7) days to cure.</w:t>
      </w:r>
    </w:p>
    <w:p>
      <w:pPr>
        <w:spacing w:after="0" w:line="177" w:lineRule="exact"/>
        <w:rPr>
          <w:sz w:val="20"/>
          <w:szCs w:val="20"/>
          <w:color w:val="auto"/>
        </w:rPr>
      </w:pPr>
    </w:p>
    <w:p>
      <w:pPr>
        <w:ind w:right="380" w:firstLine="1872"/>
        <w:spacing w:after="0" w:line="262" w:lineRule="auto"/>
        <w:rPr>
          <w:sz w:val="20"/>
          <w:szCs w:val="20"/>
          <w:color w:val="auto"/>
        </w:rPr>
      </w:pPr>
      <w:r>
        <w:rPr>
          <w:rFonts w:ascii="Times New Roman" w:cs="Times New Roman" w:eastAsia="Times New Roman" w:hAnsi="Times New Roman"/>
          <w:sz w:val="22"/>
          <w:szCs w:val="22"/>
          <w:b w:val="1"/>
          <w:bCs w:val="1"/>
          <w:color w:val="auto"/>
        </w:rPr>
        <w:t>11.2Good Reason</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will mean any of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actions taken by the Company without Executive’s prior written consent: (i)</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80"/>
        <w:spacing w:after="0" w:line="234" w:lineRule="auto"/>
        <w:rPr>
          <w:sz w:val="20"/>
          <w:szCs w:val="20"/>
          <w:color w:val="auto"/>
        </w:rPr>
      </w:pPr>
      <w:r>
        <w:rPr>
          <w:rFonts w:ascii="Times New Roman" w:cs="Times New Roman" w:eastAsia="Times New Roman" w:hAnsi="Times New Roman"/>
          <w:sz w:val="22"/>
          <w:szCs w:val="22"/>
          <w:color w:val="auto"/>
        </w:rPr>
        <w:t>a material adverse change in Executive’s position, title, office or duties or assignment of any significant duties to Executive that are materially inconsistent with the position or offices held by Executive; (ii) a decrease in Executive’s base salary by more than 10% (other than in connection with a broad-based reduction in the base salaries of all other officers of the Company); or (iii) a relocation that increases Executive’s one-way commute by more than 25 miles. In order to resign for Good Reason, Executive must provide written notice to the Company’s Chief Executive Officer within 60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90 days after the expiration of such cure period.</w:t>
      </w:r>
    </w:p>
    <w:p>
      <w:pPr>
        <w:spacing w:after="0" w:line="179" w:lineRule="exact"/>
        <w:rPr>
          <w:sz w:val="20"/>
          <w:szCs w:val="20"/>
          <w:color w:val="auto"/>
        </w:rPr>
      </w:pPr>
    </w:p>
    <w:p>
      <w:pPr>
        <w:jc w:val="both"/>
        <w:ind w:right="380" w:firstLine="1872"/>
        <w:spacing w:after="0" w:line="245" w:lineRule="auto"/>
        <w:rPr>
          <w:sz w:val="20"/>
          <w:szCs w:val="20"/>
          <w:color w:val="auto"/>
        </w:rPr>
      </w:pPr>
      <w:r>
        <w:rPr>
          <w:rFonts w:ascii="Times New Roman" w:cs="Times New Roman" w:eastAsia="Times New Roman" w:hAnsi="Times New Roman"/>
          <w:sz w:val="21"/>
          <w:szCs w:val="21"/>
          <w:b w:val="1"/>
          <w:bCs w:val="1"/>
          <w:color w:val="auto"/>
        </w:rPr>
        <w:t>11.3Change of Control</w:t>
      </w:r>
      <w:r>
        <w:rPr>
          <w:rFonts w:ascii="Times New Roman" w:cs="Times New Roman" w:eastAsia="Times New Roman" w:hAnsi="Times New Roman"/>
          <w:sz w:val="21"/>
          <w:szCs w:val="21"/>
          <w:color w:val="auto"/>
        </w:rPr>
        <w:t>. For purposes of this Agreemen</w:t>
      </w:r>
      <w:r>
        <w:rPr>
          <w:rFonts w:ascii="Times New Roman" w:cs="Times New Roman" w:eastAsia="Times New Roman" w:hAnsi="Times New Roman"/>
          <w:sz w:val="21"/>
          <w:szCs w:val="21"/>
          <w:b w:val="1"/>
          <w:bCs w:val="1"/>
          <w:color w:val="auto"/>
        </w:rPr>
        <w:t>t, “Change of Control</w:t>
      </w:r>
      <w:r>
        <w:rPr>
          <w:rFonts w:ascii="Times New Roman" w:cs="Times New Roman" w:eastAsia="Times New Roman" w:hAnsi="Times New Roman"/>
          <w:sz w:val="21"/>
          <w:szCs w:val="21"/>
          <w:color w:val="auto"/>
        </w:rPr>
        <w:t>” means the occurrence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one or more of the following: (a) a merger, a consolidation, a reorganization or an arrangement that results in a transfer of more than fifty percent (50%) of the total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(b) a direct or indirect sale or other transfer of beneficial ownership of securities of the Company possessing more than fifty percent (50%) of the total combined voting power of the Company’s outstanding securities to a person or a group of persons different from a person or a group of persons holding those securities immediately prior to such transaction (other than the Company or a person that directly or indirectly controls, is controlled by, or is under common control with, the Company); (c) a direct or indirect sale or other transfer of the right to appoint more than fifty percent (50%) of the directors of the Board or otherwise directly or indirectly control the management, affairs and business of the Company to a</w:t>
      </w:r>
    </w:p>
    <w:p>
      <w:pPr>
        <w:spacing w:after="0" w:line="46" w:lineRule="exact"/>
        <w:rPr>
          <w:sz w:val="20"/>
          <w:szCs w:val="20"/>
          <w:color w:val="auto"/>
        </w:rPr>
      </w:pPr>
    </w:p>
    <w:p>
      <w:pPr>
        <w:jc w:val="both"/>
        <w:ind w:right="380"/>
        <w:spacing w:after="0" w:line="234" w:lineRule="auto"/>
        <w:rPr>
          <w:sz w:val="20"/>
          <w:szCs w:val="20"/>
          <w:color w:val="auto"/>
        </w:rPr>
      </w:pPr>
      <w:r>
        <w:rPr>
          <w:rFonts w:ascii="Times New Roman" w:cs="Times New Roman" w:eastAsia="Times New Roman" w:hAnsi="Times New Roman"/>
          <w:sz w:val="22"/>
          <w:szCs w:val="22"/>
          <w:color w:val="auto"/>
        </w:rPr>
        <w:t xml:space="preserve">person or a group of persons different from a person or a group of persons holding this right immediately prior to such transaction (other than the Company or a person that directly or indirectly controls, is controlled by, or is under common control with, the Company); (d) a direct or indirect sale or other transfer of all or substantially all of the assets of the Company to a person or a group of persons different from a person or a group of persons holding those assets immediately prior to such transaction (other than the Company or a person that directly or indirectly controls, is controlled by, or is under common control with, the Company); or (e) a complete liquidation, dissolution or winding-up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a Change in Control will not be deemed to have occurred if such Change in Control results solely from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issuance, in connection with a bona fide financing or series of financings by the Company, of voting securities of the Company or any rights to acquire voting securities of the Company which are convertible into voting securities.</w:t>
      </w:r>
    </w:p>
    <w:p>
      <w:pPr>
        <w:spacing w:after="0" w:line="179" w:lineRule="exact"/>
        <w:rPr>
          <w:sz w:val="20"/>
          <w:szCs w:val="20"/>
          <w:color w:val="auto"/>
        </w:rPr>
      </w:pPr>
    </w:p>
    <w:p>
      <w:pPr>
        <w:ind w:left="1500" w:hanging="743"/>
        <w:spacing w:after="0"/>
        <w:tabs>
          <w:tab w:leader="none" w:pos="150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Outside Activities During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80" w:firstLine="1872"/>
        <w:spacing w:after="0" w:line="241" w:lineRule="auto"/>
        <w:rPr>
          <w:sz w:val="20"/>
          <w:szCs w:val="20"/>
          <w:color w:val="auto"/>
        </w:rPr>
      </w:pPr>
      <w:r>
        <w:rPr>
          <w:rFonts w:ascii="Times New Roman" w:cs="Times New Roman" w:eastAsia="Times New Roman" w:hAnsi="Times New Roman"/>
          <w:sz w:val="22"/>
          <w:szCs w:val="22"/>
          <w:b w:val="1"/>
          <w:bCs w:val="1"/>
          <w:color w:val="auto"/>
        </w:rPr>
        <w:t>12.1Non-Company Business</w:t>
      </w:r>
      <w:r>
        <w:rPr>
          <w:rFonts w:ascii="Times New Roman" w:cs="Times New Roman" w:eastAsia="Times New Roman" w:hAnsi="Times New Roman"/>
          <w:sz w:val="22"/>
          <w:szCs w:val="22"/>
          <w:color w:val="auto"/>
        </w:rPr>
        <w:t>. Except with the prior written consent of the Board, Executive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of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w:t>
      </w:r>
    </w:p>
    <w:p>
      <w:pPr>
        <w:spacing w:after="0" w:line="17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b w:val="1"/>
          <w:bCs w:val="1"/>
          <w:color w:val="auto"/>
        </w:rPr>
        <w:t>12.2No Adverse Interests</w:t>
      </w:r>
      <w:r>
        <w:rPr>
          <w:rFonts w:ascii="Times New Roman" w:cs="Times New Roman" w:eastAsia="Times New Roman" w:hAnsi="Times New Roman"/>
          <w:sz w:val="22"/>
          <w:szCs w:val="22"/>
          <w:color w:val="auto"/>
        </w:rPr>
        <w:t>. Executive agrees not to acquire, assume or</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22"/>
          <w:szCs w:val="22"/>
          <w:color w:val="auto"/>
        </w:rPr>
        <w:t>participate in, directly or indirectly, any position, investment or interest known to be adverse or antagonistic to the Company, its business or prospects, financial or otherwise.</w:t>
      </w:r>
    </w:p>
    <w:p>
      <w:pPr>
        <w:spacing w:after="0" w:line="154" w:lineRule="exact"/>
        <w:rPr>
          <w:sz w:val="20"/>
          <w:szCs w:val="20"/>
          <w:color w:val="auto"/>
        </w:rPr>
      </w:pPr>
    </w:p>
    <w:p>
      <w:pPr>
        <w:jc w:val="both"/>
        <w:ind w:right="380"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13.Dispute Resolution</w:t>
      </w:r>
      <w:r>
        <w:rPr>
          <w:rFonts w:ascii="Times New Roman" w:cs="Times New Roman" w:eastAsia="Times New Roman" w:hAnsi="Times New Roman"/>
          <w:sz w:val="22"/>
          <w:szCs w:val="22"/>
          <w:color w:val="auto"/>
        </w:rPr>
        <w:t>. To ensure the timely and economical resolution of disputes that may arise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Executive’s employment with the Company, Executive and the Company agree that any and all disputes, claims, or causes of action arising from or relating to the enforcement, breach, performance, negotiation, execution, or interpretation of this Agreement, Executive’s employment, or the termination of Executive’s employment, including but not limited to statutory claims, shall be resolved to the fullest extent permitted by law by final, binding and confidential arbitration, by a single arbitrator, conducted by JAMS,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under the then applicable JAMS rules or by another arbitration company if mutually agreed upon by Executive and Board. By agreeing to this arbitration procedure, both Executive and the Company waive the right to resolve any such dispute through a trial by jury or judge or administrative proceeding. The Company acknowledges that Executive will have the right to be represented by legal counsel at any arbitration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of Executive if the dispute were decided in a court of law. Nothing in this Agreement is intended to prevent either Executive or the Company from obtaining injunctive relief in court to prevent irreparable harm pending the conclusion of any such arbitration. Any awards or orders in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arbitrations may be entered and enforced as judgments in the federal and state courts of any competent jurisdiction.</w:t>
      </w:r>
    </w:p>
    <w:p>
      <w:pPr>
        <w:spacing w:after="0" w:line="202" w:lineRule="exact"/>
        <w:rPr>
          <w:sz w:val="20"/>
          <w:szCs w:val="20"/>
          <w:color w:val="auto"/>
        </w:rPr>
      </w:pPr>
    </w:p>
    <w:p>
      <w:pPr>
        <w:ind w:left="1500" w:hanging="743"/>
        <w:spacing w:after="0"/>
        <w:tabs>
          <w:tab w:leader="none" w:pos="15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380" w:firstLine="1872"/>
        <w:spacing w:after="0" w:line="246" w:lineRule="auto"/>
        <w:rPr>
          <w:sz w:val="20"/>
          <w:szCs w:val="20"/>
          <w:color w:val="auto"/>
        </w:rPr>
      </w:pPr>
      <w:r>
        <w:rPr>
          <w:rFonts w:ascii="Times New Roman" w:cs="Times New Roman" w:eastAsia="Times New Roman" w:hAnsi="Times New Roman"/>
          <w:sz w:val="22"/>
          <w:szCs w:val="22"/>
          <w:b w:val="1"/>
          <w:bCs w:val="1"/>
          <w:color w:val="auto"/>
        </w:rPr>
        <w:t>14.1Notices</w:t>
      </w:r>
      <w:r>
        <w:rPr>
          <w:rFonts w:ascii="Times New Roman" w:cs="Times New Roman" w:eastAsia="Times New Roman" w:hAnsi="Times New Roman"/>
          <w:sz w:val="22"/>
          <w:szCs w:val="22"/>
          <w:color w:val="auto"/>
        </w:rPr>
        <w:t>. Any notices provided must be in writing and will be deemed effective upon the earlier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personal delivery (including personal delivery by fax) or the next day after sending by overnight carrier, to the Company at its primary office location and to Executive at the address as listed on the Company payroll.</w:t>
      </w:r>
    </w:p>
    <w:p>
      <w:pPr>
        <w:spacing w:after="0" w:line="167" w:lineRule="exact"/>
        <w:rPr>
          <w:sz w:val="20"/>
          <w:szCs w:val="20"/>
          <w:color w:val="auto"/>
        </w:rPr>
      </w:pPr>
    </w:p>
    <w:p>
      <w:pPr>
        <w:jc w:val="both"/>
        <w:ind w:right="360" w:firstLine="1872"/>
        <w:spacing w:after="0" w:line="238" w:lineRule="auto"/>
        <w:rPr>
          <w:sz w:val="20"/>
          <w:szCs w:val="20"/>
          <w:color w:val="auto"/>
        </w:rPr>
      </w:pPr>
      <w:r>
        <w:rPr>
          <w:rFonts w:ascii="Times New Roman" w:cs="Times New Roman" w:eastAsia="Times New Roman" w:hAnsi="Times New Roman"/>
          <w:sz w:val="22"/>
          <w:szCs w:val="22"/>
          <w:b w:val="1"/>
          <w:bCs w:val="1"/>
          <w:color w:val="auto"/>
        </w:rPr>
        <w:t>14.2Severability</w:t>
      </w:r>
      <w:r>
        <w:rPr>
          <w:rFonts w:ascii="Times New Roman" w:cs="Times New Roman" w:eastAsia="Times New Roman" w:hAnsi="Times New Roman"/>
          <w:sz w:val="22"/>
          <w:szCs w:val="22"/>
          <w:color w:val="auto"/>
        </w:rPr>
        <w:t>. Whenever possible, each provision of this Agreement will be interpreted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77" w:lineRule="exact"/>
        <w:rPr>
          <w:sz w:val="20"/>
          <w:szCs w:val="20"/>
          <w:color w:val="auto"/>
        </w:rPr>
      </w:pPr>
    </w:p>
    <w:p>
      <w:pPr>
        <w:jc w:val="both"/>
        <w:ind w:right="380" w:firstLine="1872"/>
        <w:spacing w:after="0" w:line="246" w:lineRule="auto"/>
        <w:rPr>
          <w:sz w:val="20"/>
          <w:szCs w:val="20"/>
          <w:color w:val="auto"/>
        </w:rPr>
      </w:pPr>
      <w:r>
        <w:rPr>
          <w:rFonts w:ascii="Times New Roman" w:cs="Times New Roman" w:eastAsia="Times New Roman" w:hAnsi="Times New Roman"/>
          <w:sz w:val="22"/>
          <w:szCs w:val="22"/>
          <w:b w:val="1"/>
          <w:bCs w:val="1"/>
          <w:color w:val="auto"/>
        </w:rPr>
        <w:t>14.3Waiver</w:t>
      </w:r>
      <w:r>
        <w:rPr>
          <w:rFonts w:ascii="Times New Roman" w:cs="Times New Roman" w:eastAsia="Times New Roman" w:hAnsi="Times New Roman"/>
          <w:sz w:val="22"/>
          <w:szCs w:val="22"/>
          <w:color w:val="auto"/>
        </w:rPr>
        <w:t>. Any waiver of any breach of any provisions of this Agreement must be in writing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and it shall not thereby be deemed to have waived any preceding or succeeding breach of the same or any other provision of this Agreement.</w:t>
      </w:r>
    </w:p>
    <w:p>
      <w:pPr>
        <w:spacing w:after="0" w:line="167" w:lineRule="exact"/>
        <w:rPr>
          <w:sz w:val="20"/>
          <w:szCs w:val="20"/>
          <w:color w:val="auto"/>
        </w:rPr>
      </w:pPr>
    </w:p>
    <w:p>
      <w:pPr>
        <w:jc w:val="both"/>
        <w:ind w:right="380" w:firstLine="1872"/>
        <w:spacing w:after="0" w:line="241" w:lineRule="auto"/>
        <w:rPr>
          <w:sz w:val="20"/>
          <w:szCs w:val="20"/>
          <w:color w:val="auto"/>
        </w:rPr>
      </w:pPr>
      <w:r>
        <w:rPr>
          <w:rFonts w:ascii="Times New Roman" w:cs="Times New Roman" w:eastAsia="Times New Roman" w:hAnsi="Times New Roman"/>
          <w:sz w:val="22"/>
          <w:szCs w:val="22"/>
          <w:b w:val="1"/>
          <w:bCs w:val="1"/>
          <w:color w:val="auto"/>
        </w:rPr>
        <w:t>14.4Complete Agreement</w:t>
      </w:r>
      <w:r>
        <w:rPr>
          <w:rFonts w:ascii="Times New Roman" w:cs="Times New Roman" w:eastAsia="Times New Roman" w:hAnsi="Times New Roman"/>
          <w:sz w:val="22"/>
          <w:szCs w:val="22"/>
          <w:color w:val="auto"/>
        </w:rPr>
        <w:t>. This Agreement together with the Restrictive Covenant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the entire agreement between Executive and the Company with regard to this subject matter and is the complete, final, and exclusive embodiment of the Parties’ agreement with regard to this subject matter, and supersedes all prior or contemporaneous offers, negotiations and agreements, whether written or oral, relating to such subject matter. This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380"/>
        <w:spacing w:after="0" w:line="239" w:lineRule="auto"/>
        <w:rPr>
          <w:sz w:val="20"/>
          <w:szCs w:val="20"/>
          <w:color w:val="auto"/>
        </w:rPr>
      </w:pPr>
      <w:r>
        <w:rPr>
          <w:rFonts w:ascii="Times New Roman" w:cs="Times New Roman" w:eastAsia="Times New Roman" w:hAnsi="Times New Roman"/>
          <w:sz w:val="22"/>
          <w:szCs w:val="22"/>
          <w:color w:val="auto"/>
        </w:rPr>
        <w:t>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76" w:lineRule="exact"/>
        <w:rPr>
          <w:sz w:val="20"/>
          <w:szCs w:val="20"/>
          <w:color w:val="auto"/>
        </w:rPr>
      </w:pPr>
    </w:p>
    <w:p>
      <w:pPr>
        <w:jc w:val="both"/>
        <w:ind w:right="380" w:firstLine="1872"/>
        <w:spacing w:after="0" w:line="262" w:lineRule="auto"/>
        <w:rPr>
          <w:sz w:val="20"/>
          <w:szCs w:val="20"/>
          <w:color w:val="auto"/>
        </w:rPr>
      </w:pPr>
      <w:r>
        <w:rPr>
          <w:rFonts w:ascii="Times New Roman" w:cs="Times New Roman" w:eastAsia="Times New Roman" w:hAnsi="Times New Roman"/>
          <w:sz w:val="22"/>
          <w:szCs w:val="22"/>
          <w:b w:val="1"/>
          <w:bCs w:val="1"/>
          <w:color w:val="auto"/>
        </w:rPr>
        <w:t>14.5Counterparts</w:t>
      </w:r>
      <w:r>
        <w:rPr>
          <w:rFonts w:ascii="Times New Roman" w:cs="Times New Roman" w:eastAsia="Times New Roman" w:hAnsi="Times New Roman"/>
          <w:sz w:val="22"/>
          <w:szCs w:val="22"/>
          <w:color w:val="auto"/>
        </w:rPr>
        <w:t>. This Agreement may be executed in separate counterparts, any one of which need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contain signatures of more than one party, but all of which taken together will constitute one and the same Agreement.</w:t>
      </w:r>
    </w:p>
    <w:p>
      <w:pPr>
        <w:spacing w:after="0" w:line="150" w:lineRule="exact"/>
        <w:rPr>
          <w:sz w:val="20"/>
          <w:szCs w:val="20"/>
          <w:color w:val="auto"/>
        </w:rPr>
      </w:pPr>
    </w:p>
    <w:p>
      <w:pPr>
        <w:jc w:val="both"/>
        <w:ind w:right="380" w:firstLine="1872"/>
        <w:spacing w:after="0" w:line="262" w:lineRule="auto"/>
        <w:rPr>
          <w:sz w:val="20"/>
          <w:szCs w:val="20"/>
          <w:color w:val="auto"/>
        </w:rPr>
      </w:pPr>
      <w:r>
        <w:rPr>
          <w:rFonts w:ascii="Times New Roman" w:cs="Times New Roman" w:eastAsia="Times New Roman" w:hAnsi="Times New Roman"/>
          <w:sz w:val="22"/>
          <w:szCs w:val="22"/>
          <w:b w:val="1"/>
          <w:bCs w:val="1"/>
          <w:color w:val="auto"/>
        </w:rPr>
        <w:t>14.6Headings</w:t>
      </w:r>
      <w:r>
        <w:rPr>
          <w:rFonts w:ascii="Times New Roman" w:cs="Times New Roman" w:eastAsia="Times New Roman" w:hAnsi="Times New Roman"/>
          <w:sz w:val="22"/>
          <w:szCs w:val="22"/>
          <w:color w:val="auto"/>
        </w:rPr>
        <w:t>. The headings of the paragraphs hereof are inserted for convenience only and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constitute a part hereof nor to affect the meaning thereof.</w:t>
      </w:r>
    </w:p>
    <w:p>
      <w:pPr>
        <w:spacing w:after="0" w:line="150" w:lineRule="exact"/>
        <w:rPr>
          <w:sz w:val="20"/>
          <w:szCs w:val="20"/>
          <w:color w:val="auto"/>
        </w:rPr>
      </w:pPr>
    </w:p>
    <w:p>
      <w:pPr>
        <w:jc w:val="both"/>
        <w:ind w:right="380" w:firstLine="1872"/>
        <w:spacing w:after="0" w:line="241" w:lineRule="auto"/>
        <w:rPr>
          <w:sz w:val="20"/>
          <w:szCs w:val="20"/>
          <w:color w:val="auto"/>
        </w:rPr>
      </w:pPr>
      <w:r>
        <w:rPr>
          <w:rFonts w:ascii="Times New Roman" w:cs="Times New Roman" w:eastAsia="Times New Roman" w:hAnsi="Times New Roman"/>
          <w:sz w:val="22"/>
          <w:szCs w:val="22"/>
          <w:b w:val="1"/>
          <w:bCs w:val="1"/>
          <w:color w:val="auto"/>
        </w:rPr>
        <w:t>14.7Successors and Assigns</w:t>
      </w:r>
      <w:r>
        <w:rPr>
          <w:rFonts w:ascii="Times New Roman" w:cs="Times New Roman" w:eastAsia="Times New Roman" w:hAnsi="Times New Roman"/>
          <w:sz w:val="22"/>
          <w:szCs w:val="22"/>
          <w:color w:val="auto"/>
        </w:rPr>
        <w:t>. This Agreement is intended to bind and inure to the benefit of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by Executive and the Company, and their respective successors, assigns, heirs, executors and administrators, except that Executive may not assign any of Executive’s duties hereunder and Executive may not assign any of Executive’s rights hereunder without the written consent of the Company.</w:t>
      </w:r>
    </w:p>
    <w:p>
      <w:pPr>
        <w:spacing w:after="0" w:line="172" w:lineRule="exact"/>
        <w:rPr>
          <w:sz w:val="20"/>
          <w:szCs w:val="20"/>
          <w:color w:val="auto"/>
        </w:rPr>
      </w:pPr>
    </w:p>
    <w:p>
      <w:pPr>
        <w:jc w:val="both"/>
        <w:ind w:right="380" w:firstLine="1872"/>
        <w:spacing w:after="0" w:line="262" w:lineRule="auto"/>
        <w:rPr>
          <w:sz w:val="20"/>
          <w:szCs w:val="20"/>
          <w:color w:val="auto"/>
        </w:rPr>
      </w:pPr>
      <w:r>
        <w:rPr>
          <w:rFonts w:ascii="Times New Roman" w:cs="Times New Roman" w:eastAsia="Times New Roman" w:hAnsi="Times New Roman"/>
          <w:sz w:val="22"/>
          <w:szCs w:val="22"/>
          <w:b w:val="1"/>
          <w:bCs w:val="1"/>
          <w:color w:val="auto"/>
        </w:rPr>
        <w:t>14.8Tax Withholding and Indemnification</w:t>
      </w:r>
      <w:r>
        <w:rPr>
          <w:rFonts w:ascii="Times New Roman" w:cs="Times New Roman" w:eastAsia="Times New Roman" w:hAnsi="Times New Roman"/>
          <w:sz w:val="22"/>
          <w:szCs w:val="22"/>
          <w:color w:val="auto"/>
        </w:rPr>
        <w:t>. All payments and awards contemplated or made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this Agreement will be subject to withholdings of applicable</w:t>
      </w:r>
    </w:p>
    <w:p>
      <w:pPr>
        <w:spacing w:after="0" w:line="19" w:lineRule="exact"/>
        <w:rPr>
          <w:sz w:val="20"/>
          <w:szCs w:val="20"/>
          <w:color w:val="auto"/>
        </w:rPr>
      </w:pPr>
    </w:p>
    <w:p>
      <w:pPr>
        <w:jc w:val="both"/>
        <w:ind w:right="380"/>
        <w:spacing w:after="0" w:line="238" w:lineRule="auto"/>
        <w:rPr>
          <w:sz w:val="20"/>
          <w:szCs w:val="20"/>
          <w:color w:val="auto"/>
        </w:rPr>
      </w:pPr>
      <w:r>
        <w:rPr>
          <w:rFonts w:ascii="Times New Roman" w:cs="Times New Roman" w:eastAsia="Times New Roman" w:hAnsi="Times New Roman"/>
          <w:sz w:val="22"/>
          <w:szCs w:val="22"/>
          <w:color w:val="auto"/>
        </w:rPr>
        <w:t>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3" w:lineRule="exact"/>
        <w:rPr>
          <w:sz w:val="20"/>
          <w:szCs w:val="20"/>
          <w:color w:val="auto"/>
        </w:rPr>
      </w:pPr>
    </w:p>
    <w:p>
      <w:pPr>
        <w:jc w:val="both"/>
        <w:ind w:right="380" w:firstLine="1872"/>
        <w:spacing w:after="0" w:line="238" w:lineRule="auto"/>
        <w:rPr>
          <w:sz w:val="20"/>
          <w:szCs w:val="20"/>
          <w:color w:val="auto"/>
        </w:rPr>
      </w:pPr>
      <w:r>
        <w:rPr>
          <w:rFonts w:ascii="Times New Roman" w:cs="Times New Roman" w:eastAsia="Times New Roman" w:hAnsi="Times New Roman"/>
          <w:sz w:val="22"/>
          <w:szCs w:val="22"/>
          <w:b w:val="1"/>
          <w:bCs w:val="1"/>
          <w:color w:val="auto"/>
        </w:rPr>
        <w:t>14.9Choice of Law</w:t>
      </w:r>
      <w:r>
        <w:rPr>
          <w:rFonts w:ascii="Times New Roman" w:cs="Times New Roman" w:eastAsia="Times New Roman" w:hAnsi="Times New Roman"/>
          <w:sz w:val="22"/>
          <w:szCs w:val="22"/>
          <w:color w:val="auto"/>
        </w:rPr>
        <w:t>. All questions concerning the construction, validity and interpretation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governed by the laws of the State of Delaware. Each of the Parties agrees that it has been represented by independent counsel of its choice during the negotiation and execution of this Agreement and the documents attached hereto, that they both agreed to this provision, and that the conditions set forth in California Labor Code Section 925(e) are fully satisfied.</w:t>
      </w:r>
    </w:p>
    <w:p>
      <w:pPr>
        <w:spacing w:after="0" w:line="17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have executed this Agreement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relude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ncorporated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Michele Porreca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Chief People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SEAN BRUSKY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Sean Brusky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3" w:name="page54"/>
    <w:bookmarkEnd w:id="53"/>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1"/>
          <w:szCs w:val="21"/>
          <w:b w:val="1"/>
          <w:bCs w:val="1"/>
          <w:color w:val="auto"/>
        </w:rPr>
        <w:t>Employee Invention Assignment, Confidentiality, and Restrictive Covenant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231140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1"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9"/>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Bryant Lim, certify that:</w:t>
      </w:r>
    </w:p>
    <w:p>
      <w:pPr>
        <w:spacing w:after="0" w:line="22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189"/>
        </w:trPr>
        <w:tc>
          <w:tcPr>
            <w:tcW w:w="3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Bryant Lim</w:t>
            </w:r>
          </w:p>
        </w:tc>
      </w:tr>
      <w:tr>
        <w:trPr>
          <w:trHeight w:val="216"/>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79"/>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4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2026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189"/>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Krishna Vaddi, PhD</w:t>
            </w:r>
          </w:p>
        </w:tc>
      </w:tr>
      <w:tr>
        <w:trPr>
          <w:trHeight w:val="216"/>
        </w:trPr>
        <w:tc>
          <w:tcPr>
            <w:tcW w:w="34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4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I, Bryant Lim, Chief Financial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4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2026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3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Bryant Lim</w:t>
            </w:r>
          </w:p>
        </w:tc>
      </w:tr>
      <w:tr>
        <w:trPr>
          <w:trHeight w:val="189"/>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79"/>
        </w:trPr>
        <w:tc>
          <w:tcPr>
            <w:tcW w:w="35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9"/>
    </w:lvl>
  </w:abstractNum>
  <w:abstractNum w:abstractNumId="4">
    <w:nsid w:val="6763845E"/>
    <w:multiLevelType w:val="hybridMultilevel"/>
    <w:lvl w:ilvl="0">
      <w:lvlJc w:val="left"/>
      <w:lvlText w:val="(%1)"/>
      <w:numFmt w:val="lowerRoman"/>
      <w:start w:val="2"/>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2"/>
    </w:lvl>
  </w:abstractNum>
  <w:abstractNum w:abstractNumId="9">
    <w:nsid w:val="B03E0C6"/>
    <w:multiLevelType w:val="hybridMultilevel"/>
    <w:lvl w:ilvl="0">
      <w:lvlJc w:val="left"/>
      <w:lvlText w:val="%1."/>
      <w:numFmt w:val="decimal"/>
      <w:start w:val="3"/>
    </w:lvl>
  </w:abstractNum>
  <w:abstractNum w:abstractNumId="10">
    <w:nsid w:val="189A769B"/>
    <w:multiLevelType w:val="hybridMultilevel"/>
    <w:lvl w:ilvl="0">
      <w:lvlJc w:val="left"/>
      <w:lvlText w:val="(%1)"/>
      <w:numFmt w:val="lowerRoman"/>
      <w:start w:val="1"/>
    </w:lvl>
  </w:abstractNum>
  <w:abstractNum w:abstractNumId="11">
    <w:nsid w:val="54E49EB4"/>
    <w:multiLevelType w:val="hybridMultilevel"/>
    <w:lvl w:ilvl="0">
      <w:lvlJc w:val="left"/>
      <w:lvlText w:val="(%1)"/>
      <w:numFmt w:val="lowerRoman"/>
      <w:start w:val="1"/>
    </w:lvl>
  </w:abstractNum>
  <w:abstractNum w:abstractNumId="12">
    <w:nsid w:val="71F32454"/>
    <w:multiLevelType w:val="hybridMultilevel"/>
    <w:lvl w:ilvl="0">
      <w:lvlJc w:val="left"/>
      <w:lvlText w:val="%1"/>
      <w:numFmt w:val="lowerLetter"/>
      <w:start w:val="1"/>
    </w:lvl>
    <w:lvl w:ilvl="1">
      <w:lvlJc w:val="left"/>
      <w:lvlText w:val="(%2)"/>
      <w:numFmt w:val="lowerRoman"/>
      <w:start w:val="2"/>
    </w:lvl>
  </w:abstractNum>
  <w:abstractNum w:abstractNumId="13">
    <w:nsid w:val="2CA88611"/>
    <w:multiLevelType w:val="hybridMultilevel"/>
    <w:lvl w:ilvl="0">
      <w:lvlJc w:val="left"/>
      <w:lvlText w:val="(%1)"/>
      <w:numFmt w:val="lowerLetter"/>
      <w:start w:val="3"/>
    </w:lvl>
    <w:lvl w:ilvl="1">
      <w:lvlJc w:val="left"/>
      <w:lvlText w:val="(%2)"/>
      <w:numFmt w:val="lowerRoman"/>
      <w:start w:val="4"/>
    </w:lvl>
  </w:abstractNum>
  <w:abstractNum w:abstractNumId="14">
    <w:nsid w:val="836C40E"/>
    <w:multiLevelType w:val="hybridMultilevel"/>
    <w:lvl w:ilvl="0">
      <w:lvlJc w:val="left"/>
      <w:lvlText w:val="(%1)"/>
      <w:numFmt w:val="lowerRoman"/>
      <w:start w:val="1"/>
    </w:lvl>
  </w:abstractNum>
  <w:abstractNum w:abstractNumId="15">
    <w:nsid w:val="2901D82"/>
    <w:multiLevelType w:val="hybridMultilevel"/>
    <w:lvl w:ilvl="0">
      <w:lvlJc w:val="left"/>
      <w:lvlText w:val="(%1)"/>
      <w:numFmt w:val="lowerRoman"/>
      <w:start w:val="2"/>
    </w:lvl>
  </w:abstractNum>
  <w:abstractNum w:abstractNumId="16">
    <w:nsid w:val="3A95F874"/>
    <w:multiLevelType w:val="hybridMultilevel"/>
    <w:lvl w:ilvl="0">
      <w:lvlJc w:val="left"/>
      <w:lvlText w:val="%1."/>
      <w:numFmt w:val="decimal"/>
      <w:start w:val="6"/>
    </w:lvl>
  </w:abstractNum>
  <w:abstractNum w:abstractNumId="17">
    <w:nsid w:val="8138641"/>
    <w:multiLevelType w:val="hybridMultilevel"/>
    <w:lvl w:ilvl="0">
      <w:lvlJc w:val="left"/>
      <w:lvlText w:val="%1."/>
      <w:numFmt w:val="decimal"/>
      <w:start w:val="9"/>
    </w:lvl>
  </w:abstractNum>
  <w:abstractNum w:abstractNumId="18">
    <w:nsid w:val="1E7FF521"/>
    <w:multiLevelType w:val="hybridMultilevel"/>
    <w:lvl w:ilvl="0">
      <w:lvlJc w:val="left"/>
      <w:lvlText w:val="(%1)"/>
      <w:numFmt w:val="lowerRoman"/>
      <w:start w:val="3"/>
    </w:lvl>
  </w:abstractNum>
  <w:abstractNum w:abstractNumId="19">
    <w:nsid w:val="7C3DBD3D"/>
    <w:multiLevelType w:val="hybridMultilevel"/>
    <w:lvl w:ilvl="0">
      <w:lvlJc w:val="left"/>
      <w:lvlText w:val="%1."/>
      <w:numFmt w:val="decimal"/>
      <w:start w:val="1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decimal"/>
      <w:start w:val="13"/>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1."/>
      <w:numFmt w:val="decimal"/>
      <w:start w:val="3"/>
    </w:lvl>
  </w:abstractNum>
  <w:abstractNum w:abstractNumId="25">
    <w:nsid w:val="614FD4A1"/>
    <w:multiLevelType w:val="hybridMultilevel"/>
    <w:lvl w:ilvl="0">
      <w:lvlJc w:val="left"/>
      <w:lvlText w:val="(%1)"/>
      <w:numFmt w:val="lowerRoman"/>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decimal"/>
      <w:start w:val="7"/>
    </w:lvl>
  </w:abstractNum>
  <w:abstractNum w:abstractNumId="28">
    <w:nsid w:val="440BADFC"/>
    <w:multiLevelType w:val="hybridMultilevel"/>
    <w:lvl w:ilvl="0">
      <w:lvlJc w:val="left"/>
      <w:lvlText w:val="(%1)"/>
      <w:numFmt w:val="lowerRoman"/>
      <w:start w:val="1"/>
    </w:lvl>
  </w:abstractNum>
  <w:abstractNum w:abstractNumId="29">
    <w:nsid w:val="5072367"/>
    <w:multiLevelType w:val="hybridMultilevel"/>
    <w:lvl w:ilvl="0">
      <w:lvlJc w:val="left"/>
      <w:lvlText w:val="(%1)"/>
      <w:numFmt w:val="lowerRoman"/>
      <w:start w:val="1"/>
    </w:lvl>
  </w:abstractNum>
  <w:abstractNum w:abstractNumId="30">
    <w:nsid w:val="3804823E"/>
    <w:multiLevelType w:val="hybridMultilevel"/>
    <w:lvl w:ilvl="0">
      <w:lvlJc w:val="left"/>
      <w:lvlText w:val="(%1)"/>
      <w:numFmt w:val="lowerLetter"/>
      <w:start w:val="3"/>
    </w:lvl>
  </w:abstractNum>
  <w:abstractNum w:abstractNumId="31">
    <w:nsid w:val="77465F01"/>
    <w:multiLevelType w:val="hybridMultilevel"/>
    <w:lvl w:ilvl="0">
      <w:lvlJc w:val="left"/>
      <w:lvlText w:val="(%1)"/>
      <w:numFmt w:val="lowerRoman"/>
      <w:start w:val="1"/>
    </w:lvl>
  </w:abstractNum>
  <w:abstractNum w:abstractNumId="32">
    <w:nsid w:val="7724C67E"/>
    <w:multiLevelType w:val="hybridMultilevel"/>
    <w:lvl w:ilvl="0">
      <w:lvlJc w:val="left"/>
      <w:lvlText w:val="%1"/>
      <w:numFmt w:val="lowerRoman"/>
      <w:start w:val="1"/>
    </w:lvl>
    <w:lvl w:ilvl="1">
      <w:lvlJc w:val="left"/>
      <w:lvlText w:val="%2."/>
      <w:numFmt w:val="decimal"/>
      <w:start w:val="8"/>
    </w:lvl>
  </w:abstractNum>
  <w:abstractNum w:abstractNumId="33">
    <w:nsid w:val="5C482A97"/>
    <w:multiLevelType w:val="hybridMultilevel"/>
    <w:lvl w:ilvl="0">
      <w:lvlJc w:val="left"/>
      <w:lvlText w:val="(%1)"/>
      <w:numFmt w:val="lowerRoman"/>
      <w:start w:val="2"/>
    </w:lvl>
    <w:lvl w:ilvl="1">
      <w:lvlJc w:val="left"/>
      <w:lvlText w:val="%2."/>
      <w:numFmt w:val="decimal"/>
      <w:start w:val="9"/>
    </w:lvl>
  </w:abstractNum>
  <w:abstractNum w:abstractNumId="34">
    <w:nsid w:val="2463B9EA"/>
    <w:multiLevelType w:val="hybridMultilevel"/>
    <w:lvl w:ilvl="0">
      <w:lvlJc w:val="left"/>
      <w:lvlText w:val="%1."/>
      <w:numFmt w:val="decimal"/>
      <w:start w:val="11"/>
    </w:lvl>
  </w:abstractNum>
  <w:abstractNum w:abstractNumId="35">
    <w:nsid w:val="5E884ADC"/>
    <w:multiLevelType w:val="hybridMultilevel"/>
    <w:lvl w:ilvl="0">
      <w:lvlJc w:val="left"/>
      <w:lvlText w:val="(%1)"/>
      <w:numFmt w:val="lowerRoman"/>
      <w:start w:val="2"/>
    </w:lvl>
  </w:abstractNum>
  <w:abstractNum w:abstractNumId="36">
    <w:nsid w:val="51EAD36B"/>
    <w:multiLevelType w:val="hybridMultilevel"/>
    <w:lvl w:ilvl="0">
      <w:lvlJc w:val="left"/>
      <w:lvlText w:val="%1."/>
      <w:numFmt w:val="decimal"/>
      <w:start w:val="12"/>
    </w:lvl>
  </w:abstractNum>
  <w:abstractNum w:abstractNumId="37">
    <w:nsid w:val="2D517796"/>
    <w:multiLevelType w:val="hybridMultilevel"/>
    <w:lvl w:ilvl="0">
      <w:lvlJc w:val="left"/>
      <w:lvlText w:val="%1."/>
      <w:numFmt w:val="decimal"/>
      <w:start w:val="1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185" Type="http://schemas.openxmlformats.org/officeDocument/2006/relationships/hyperlink" Target="https://www.sec.gov/Archives/edgar/data/1678660/000119312526164510/d131537dex41.htm" TargetMode="External"/><Relationship Id="rId186" Type="http://schemas.openxmlformats.org/officeDocument/2006/relationships/hyperlink" Target="https://www.sec.gov/Archives/edgar/data/1678660/000119312526164510/d131537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2026-05-12T06:21:34Z</dcterms:created>
  <dcterms:modified xsi:type="dcterms:W3CDTF">2026-05-12T06:21:34Z</dcterms:modified>
</cp:coreProperties>
</file>